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20AEB48E" w:rsidR="00B60939" w:rsidRPr="004A6040" w:rsidRDefault="00621F34" w:rsidP="00C64C73">
      <w:pPr>
        <w:pStyle w:val="1-MainHeading"/>
        <w:ind w:left="851" w:hanging="851"/>
      </w:pPr>
      <w:bookmarkStart w:id="0" w:name="_Toc145336289"/>
      <w:r>
        <w:t>5</w:t>
      </w:r>
      <w:r w:rsidR="00433044" w:rsidRPr="00C12C14">
        <w:t>.</w:t>
      </w:r>
      <w:r>
        <w:t>10</w:t>
      </w:r>
      <w:r w:rsidR="00163F66">
        <w:tab/>
      </w:r>
      <w:r w:rsidR="009072B2">
        <w:t>MARIBAVIR</w:t>
      </w:r>
      <w:r w:rsidR="00163F66">
        <w:t>,</w:t>
      </w:r>
      <w:r w:rsidR="00163F66">
        <w:br/>
      </w:r>
      <w:r w:rsidR="00DD6B60">
        <w:t>T</w:t>
      </w:r>
      <w:r w:rsidR="00372763">
        <w:t>ablet</w:t>
      </w:r>
      <w:r w:rsidR="00DD6B60">
        <w:t xml:space="preserve"> </w:t>
      </w:r>
      <w:r w:rsidR="00372763">
        <w:t>200 mg</w:t>
      </w:r>
      <w:r w:rsidR="00163F66">
        <w:t>,</w:t>
      </w:r>
      <w:r w:rsidR="00163F66">
        <w:br/>
      </w:r>
      <w:r w:rsidR="009072B2">
        <w:t>Livtencity</w:t>
      </w:r>
      <w:r w:rsidR="00B60939" w:rsidRPr="004A6040">
        <w:rPr>
          <w:vertAlign w:val="superscript"/>
        </w:rPr>
        <w:t>®</w:t>
      </w:r>
      <w:r w:rsidR="004A6040" w:rsidRPr="004A6040">
        <w:t>,</w:t>
      </w:r>
      <w:r w:rsidR="004A6040" w:rsidRPr="004A6040">
        <w:br/>
      </w:r>
      <w:r w:rsidR="009072B2">
        <w:t>Takeda</w:t>
      </w:r>
      <w:r w:rsidR="00DD6B60">
        <w:t xml:space="preserve"> Pharmaceuticals Australia</w:t>
      </w:r>
      <w:r w:rsidR="005636F5">
        <w:t xml:space="preserve"> Pty Ltd</w:t>
      </w:r>
      <w:bookmarkEnd w:id="0"/>
    </w:p>
    <w:p w14:paraId="11C00795" w14:textId="3DFB6D23" w:rsidR="00B50DB8" w:rsidRPr="00407F2D" w:rsidRDefault="00B50DB8" w:rsidP="002F5B9A">
      <w:pPr>
        <w:pStyle w:val="2-SectionHeading"/>
      </w:pPr>
      <w:bookmarkStart w:id="1" w:name="_Toc145336291"/>
      <w:r w:rsidRPr="00EA5743">
        <w:t>Purpo</w:t>
      </w:r>
      <w:r w:rsidRPr="00407F2D">
        <w:t xml:space="preserve">se of </w:t>
      </w:r>
      <w:r w:rsidR="00CD7193">
        <w:t>s</w:t>
      </w:r>
      <w:r w:rsidR="00BB3A45">
        <w:t>ubmission</w:t>
      </w:r>
      <w:bookmarkEnd w:id="1"/>
    </w:p>
    <w:p w14:paraId="19414AA1" w14:textId="42727AA5" w:rsidR="002C2775" w:rsidRPr="008B1757" w:rsidRDefault="007170DA" w:rsidP="004E18E9">
      <w:pPr>
        <w:pStyle w:val="3-BodyText"/>
      </w:pPr>
      <w:r>
        <w:t xml:space="preserve">The </w:t>
      </w:r>
      <w:r w:rsidR="00F73E08">
        <w:t xml:space="preserve">Category </w:t>
      </w:r>
      <w:r w:rsidR="009072B2">
        <w:t>1</w:t>
      </w:r>
      <w:r w:rsidR="00906521">
        <w:t xml:space="preserve"> </w:t>
      </w:r>
      <w:r>
        <w:t xml:space="preserve">submission </w:t>
      </w:r>
      <w:r w:rsidRPr="004E18E9">
        <w:t xml:space="preserve">requested </w:t>
      </w:r>
      <w:r w:rsidR="008B1757" w:rsidRPr="004E18E9">
        <w:t xml:space="preserve">Section 100, </w:t>
      </w:r>
      <w:r w:rsidR="009072B2">
        <w:t>Highly Specialised Drugs Program</w:t>
      </w:r>
      <w:r w:rsidR="008B1757" w:rsidRPr="004E18E9">
        <w:t xml:space="preserve"> listing for </w:t>
      </w:r>
      <w:r w:rsidR="009072B2">
        <w:t>maribavir</w:t>
      </w:r>
      <w:r w:rsidR="008B1757" w:rsidRPr="004E18E9">
        <w:t xml:space="preserve"> for </w:t>
      </w:r>
      <w:r w:rsidR="0050174E" w:rsidRPr="004E18E9">
        <w:t xml:space="preserve">the </w:t>
      </w:r>
      <w:r w:rsidR="008B1757" w:rsidRPr="004E18E9">
        <w:t xml:space="preserve">treatment </w:t>
      </w:r>
      <w:r w:rsidR="009072B2" w:rsidRPr="009072B2">
        <w:t xml:space="preserve">of post-transplant </w:t>
      </w:r>
      <w:r w:rsidR="009072B2">
        <w:t>cytomegalovirus (</w:t>
      </w:r>
      <w:r w:rsidR="009072B2" w:rsidRPr="009072B2">
        <w:t>CMV</w:t>
      </w:r>
      <w:r w:rsidR="009072B2">
        <w:t>)</w:t>
      </w:r>
      <w:r w:rsidR="009072B2" w:rsidRPr="009072B2">
        <w:t xml:space="preserve"> infection and disease resistant, refractory </w:t>
      </w:r>
      <w:r w:rsidR="009072B2" w:rsidRPr="006B6EED">
        <w:t>or</w:t>
      </w:r>
      <w:r w:rsidR="009072B2" w:rsidRPr="009072B2">
        <w:t xml:space="preserve"> intolerant to one or more prior therapies</w:t>
      </w:r>
      <w:r w:rsidR="008B1757" w:rsidRPr="00C527C7">
        <w:t>.</w:t>
      </w:r>
      <w:r w:rsidR="008B1757" w:rsidRPr="00C527C7">
        <w:rPr>
          <w:color w:val="0066FF"/>
        </w:rPr>
        <w:t xml:space="preserve"> </w:t>
      </w:r>
    </w:p>
    <w:p w14:paraId="4E9FBCB5" w14:textId="631DC177" w:rsidR="00C2778B" w:rsidRDefault="005750C5" w:rsidP="004E18E9">
      <w:pPr>
        <w:pStyle w:val="3-BodyText"/>
      </w:pPr>
      <w:r w:rsidRPr="005750C5">
        <w:t xml:space="preserve">Listing was requested on the basis of a </w:t>
      </w:r>
      <w:r>
        <w:t>cost-effectiveness</w:t>
      </w:r>
      <w:r w:rsidRPr="005750C5">
        <w:t xml:space="preserve"> analysis versus</w:t>
      </w:r>
      <w:r>
        <w:t xml:space="preserve"> </w:t>
      </w:r>
      <w:r w:rsidR="009072B2">
        <w:t xml:space="preserve">the current standard of care, stated to be </w:t>
      </w:r>
      <w:r w:rsidR="009072B2">
        <w:rPr>
          <w:lang w:val="en-GB"/>
        </w:rPr>
        <w:t>oral valganciclovir, IV ganciclovir, IV foscarnet and/or IV cidofovir</w:t>
      </w:r>
      <w:r w:rsidR="009072B2">
        <w:rPr>
          <w:color w:val="0066FF"/>
        </w:rPr>
        <w:t>.</w:t>
      </w:r>
      <w:r w:rsidR="00BC591F" w:rsidRPr="00696F51">
        <w:rPr>
          <w:color w:val="0066FF"/>
        </w:rPr>
        <w:t xml:space="preserve"> </w:t>
      </w:r>
    </w:p>
    <w:p w14:paraId="3718DE61" w14:textId="6154B4B2" w:rsidR="008B1757" w:rsidRPr="004A6040" w:rsidRDefault="00696EF9" w:rsidP="004A6040">
      <w:pPr>
        <w:pStyle w:val="TableFigureHeading"/>
        <w:rPr>
          <w:rStyle w:val="CommentReference"/>
          <w:b/>
          <w:szCs w:val="24"/>
        </w:rPr>
      </w:pPr>
      <w:r>
        <w:t xml:space="preserve">Table </w:t>
      </w:r>
      <w:fldSimple w:instr=" SEQ Table \* ARABIC " w:fldLock="1">
        <w:r w:rsidR="0098695D">
          <w:rPr>
            <w:noProof/>
          </w:rPr>
          <w:t>1</w:t>
        </w:r>
      </w:fldSimple>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691913" w14:paraId="569F5103" w14:textId="77777777" w:rsidTr="002A2ADE">
        <w:trPr>
          <w:cantSplit/>
          <w:tblHeader/>
        </w:trPr>
        <w:tc>
          <w:tcPr>
            <w:tcW w:w="924" w:type="pct"/>
            <w:shd w:val="clear" w:color="auto" w:fill="auto"/>
          </w:tcPr>
          <w:p w14:paraId="501803FB" w14:textId="77777777" w:rsidR="008B1757" w:rsidRPr="008B1757" w:rsidRDefault="008B1757" w:rsidP="004A6040">
            <w:pPr>
              <w:pStyle w:val="In-tableHeading"/>
              <w:rPr>
                <w:szCs w:val="20"/>
              </w:rPr>
            </w:pPr>
            <w:r w:rsidRPr="008B1757">
              <w:t>Component</w:t>
            </w:r>
          </w:p>
        </w:tc>
        <w:tc>
          <w:tcPr>
            <w:tcW w:w="4076" w:type="pct"/>
            <w:shd w:val="clear" w:color="auto" w:fill="auto"/>
          </w:tcPr>
          <w:p w14:paraId="445D9EBB" w14:textId="77777777" w:rsidR="008B1757" w:rsidRPr="008B1757" w:rsidRDefault="008B1757" w:rsidP="004A6040">
            <w:pPr>
              <w:pStyle w:val="In-tableHeading"/>
            </w:pPr>
            <w:r w:rsidRPr="008B1757">
              <w:t>Description</w:t>
            </w:r>
          </w:p>
        </w:tc>
      </w:tr>
      <w:tr w:rsidR="008B1757" w:rsidRPr="00691913" w14:paraId="2EB546E2" w14:textId="77777777" w:rsidTr="002A2ADE">
        <w:trPr>
          <w:cantSplit/>
        </w:trPr>
        <w:tc>
          <w:tcPr>
            <w:tcW w:w="924" w:type="pct"/>
            <w:shd w:val="clear" w:color="auto" w:fill="auto"/>
          </w:tcPr>
          <w:p w14:paraId="38F3BB34" w14:textId="77777777" w:rsidR="008B1757" w:rsidRPr="00691913" w:rsidRDefault="008B1757" w:rsidP="004A6040">
            <w:pPr>
              <w:pStyle w:val="TableText0"/>
            </w:pPr>
            <w:r w:rsidRPr="00691913">
              <w:t>Population</w:t>
            </w:r>
          </w:p>
        </w:tc>
        <w:tc>
          <w:tcPr>
            <w:tcW w:w="4076" w:type="pct"/>
            <w:shd w:val="clear" w:color="auto" w:fill="auto"/>
          </w:tcPr>
          <w:p w14:paraId="79618EEE" w14:textId="450EAD7A" w:rsidR="00233C01" w:rsidRPr="008A5850" w:rsidRDefault="00FC2340" w:rsidP="00233C01">
            <w:pPr>
              <w:pStyle w:val="TableText0"/>
              <w:rPr>
                <w:szCs w:val="20"/>
              </w:rPr>
            </w:pPr>
            <w:r w:rsidRPr="00FC2340">
              <w:rPr>
                <w:szCs w:val="20"/>
              </w:rPr>
              <w:t>Adults with post-transplant (HSCT and SOT) CMV infection and disease resistant, refractory, or intolerant to one or more prior therapies</w:t>
            </w:r>
          </w:p>
        </w:tc>
      </w:tr>
      <w:tr w:rsidR="008B1757" w:rsidRPr="00691913" w14:paraId="0CA523AF" w14:textId="77777777" w:rsidTr="002A2ADE">
        <w:trPr>
          <w:cantSplit/>
        </w:trPr>
        <w:tc>
          <w:tcPr>
            <w:tcW w:w="924" w:type="pct"/>
            <w:shd w:val="clear" w:color="auto" w:fill="auto"/>
          </w:tcPr>
          <w:p w14:paraId="7B6D20D8" w14:textId="77777777" w:rsidR="008B1757" w:rsidRPr="00691913" w:rsidRDefault="008B1757" w:rsidP="004A6040">
            <w:pPr>
              <w:pStyle w:val="TableText0"/>
            </w:pPr>
            <w:r w:rsidRPr="00691913">
              <w:t>Intervention</w:t>
            </w:r>
          </w:p>
        </w:tc>
        <w:tc>
          <w:tcPr>
            <w:tcW w:w="4076" w:type="pct"/>
            <w:shd w:val="clear" w:color="auto" w:fill="auto"/>
          </w:tcPr>
          <w:p w14:paraId="2491E905" w14:textId="3FB3B1EB" w:rsidR="00233C01" w:rsidRPr="008A5850" w:rsidRDefault="00FC2340" w:rsidP="00D43D83">
            <w:pPr>
              <w:pStyle w:val="TableText0"/>
            </w:pPr>
            <w:r w:rsidRPr="00FC2340">
              <w:t>Maribavir 400 mg (two 200 mg tablets) twice daily (total daily dose 800 mg)</w:t>
            </w:r>
          </w:p>
        </w:tc>
      </w:tr>
      <w:tr w:rsidR="008B1757" w:rsidRPr="00691913" w14:paraId="0F81EBE4" w14:textId="77777777" w:rsidTr="002A2ADE">
        <w:trPr>
          <w:cantSplit/>
        </w:trPr>
        <w:tc>
          <w:tcPr>
            <w:tcW w:w="924" w:type="pct"/>
            <w:shd w:val="clear" w:color="auto" w:fill="auto"/>
          </w:tcPr>
          <w:p w14:paraId="3656B343" w14:textId="77777777" w:rsidR="008B1757" w:rsidRPr="00691913" w:rsidRDefault="008B1757" w:rsidP="004A6040">
            <w:pPr>
              <w:pStyle w:val="TableText0"/>
            </w:pPr>
            <w:r w:rsidRPr="00691913">
              <w:t>Comparator</w:t>
            </w:r>
          </w:p>
        </w:tc>
        <w:tc>
          <w:tcPr>
            <w:tcW w:w="4076" w:type="pct"/>
            <w:shd w:val="clear" w:color="auto" w:fill="auto"/>
          </w:tcPr>
          <w:p w14:paraId="53ABC13F" w14:textId="77777777" w:rsidR="00FC2340" w:rsidRDefault="00FC2340" w:rsidP="00FC2340">
            <w:pPr>
              <w:pStyle w:val="TableText0"/>
            </w:pPr>
            <w:r>
              <w:t>Current standard of care which includes:</w:t>
            </w:r>
          </w:p>
          <w:p w14:paraId="7F21792E" w14:textId="6BFF1AC4" w:rsidR="00FC2340" w:rsidRDefault="00FC2340" w:rsidP="00574F28">
            <w:pPr>
              <w:pStyle w:val="TableText0"/>
              <w:numPr>
                <w:ilvl w:val="0"/>
                <w:numId w:val="9"/>
              </w:numPr>
              <w:ind w:left="347" w:hanging="284"/>
            </w:pPr>
            <w:r>
              <w:t>Ganciclovir</w:t>
            </w:r>
          </w:p>
          <w:p w14:paraId="4232DE1C" w14:textId="38BCB534" w:rsidR="00FC2340" w:rsidRDefault="00FC2340" w:rsidP="00574F28">
            <w:pPr>
              <w:pStyle w:val="TableText0"/>
              <w:numPr>
                <w:ilvl w:val="0"/>
                <w:numId w:val="9"/>
              </w:numPr>
              <w:ind w:left="347" w:hanging="284"/>
            </w:pPr>
            <w:r>
              <w:t xml:space="preserve">Valganciclovir </w:t>
            </w:r>
          </w:p>
          <w:p w14:paraId="347FB083" w14:textId="1F5346B6" w:rsidR="00FC2340" w:rsidRDefault="00FC2340" w:rsidP="00574F28">
            <w:pPr>
              <w:pStyle w:val="TableText0"/>
              <w:numPr>
                <w:ilvl w:val="0"/>
                <w:numId w:val="9"/>
              </w:numPr>
              <w:ind w:left="347" w:hanging="284"/>
            </w:pPr>
            <w:r>
              <w:t xml:space="preserve">Foscarnet </w:t>
            </w:r>
          </w:p>
          <w:p w14:paraId="3727DE24" w14:textId="1EB3C79A" w:rsidR="00233C01" w:rsidRPr="008A5850" w:rsidRDefault="00FC2340" w:rsidP="00574F28">
            <w:pPr>
              <w:pStyle w:val="TableText0"/>
              <w:numPr>
                <w:ilvl w:val="0"/>
                <w:numId w:val="9"/>
              </w:numPr>
              <w:ind w:left="347" w:hanging="284"/>
            </w:pPr>
            <w:r>
              <w:t>Cidofovir</w:t>
            </w:r>
          </w:p>
        </w:tc>
      </w:tr>
      <w:tr w:rsidR="008B1757" w:rsidRPr="00691913" w14:paraId="02F86F0D" w14:textId="77777777" w:rsidTr="002A2ADE">
        <w:trPr>
          <w:cantSplit/>
        </w:trPr>
        <w:tc>
          <w:tcPr>
            <w:tcW w:w="924" w:type="pct"/>
            <w:shd w:val="clear" w:color="auto" w:fill="auto"/>
          </w:tcPr>
          <w:p w14:paraId="06433105" w14:textId="77777777" w:rsidR="008B1757" w:rsidRPr="00691913" w:rsidRDefault="008B1757" w:rsidP="004A6040">
            <w:pPr>
              <w:pStyle w:val="TableText0"/>
            </w:pPr>
            <w:r w:rsidRPr="00691913">
              <w:t>Outcomes</w:t>
            </w:r>
          </w:p>
        </w:tc>
        <w:tc>
          <w:tcPr>
            <w:tcW w:w="4076" w:type="pct"/>
            <w:shd w:val="clear" w:color="auto" w:fill="auto"/>
          </w:tcPr>
          <w:p w14:paraId="078931F2" w14:textId="34EA39CF" w:rsidR="00FC2340" w:rsidRPr="00FC2340" w:rsidRDefault="00FC2340" w:rsidP="00574F28">
            <w:pPr>
              <w:pStyle w:val="TableText0"/>
              <w:numPr>
                <w:ilvl w:val="0"/>
                <w:numId w:val="9"/>
              </w:numPr>
              <w:ind w:left="347" w:hanging="284"/>
              <w:rPr>
                <w:rFonts w:eastAsia="Times New Roman" w:cs="Arial"/>
                <w:bCs w:val="0"/>
                <w:snapToGrid w:val="0"/>
                <w:szCs w:val="20"/>
              </w:rPr>
            </w:pPr>
            <w:r w:rsidRPr="00FC2340">
              <w:rPr>
                <w:rFonts w:eastAsia="Times New Roman" w:cs="Arial"/>
                <w:bCs w:val="0"/>
                <w:snapToGrid w:val="0"/>
                <w:szCs w:val="20"/>
              </w:rPr>
              <w:t xml:space="preserve">CMV </w:t>
            </w:r>
            <w:r w:rsidR="003F2CC0">
              <w:rPr>
                <w:rFonts w:eastAsia="Times New Roman" w:cs="Arial"/>
                <w:bCs w:val="0"/>
                <w:snapToGrid w:val="0"/>
                <w:szCs w:val="20"/>
              </w:rPr>
              <w:t>viraemia</w:t>
            </w:r>
            <w:r w:rsidRPr="00FC2340">
              <w:rPr>
                <w:rFonts w:eastAsia="Times New Roman" w:cs="Arial"/>
                <w:bCs w:val="0"/>
                <w:snapToGrid w:val="0"/>
                <w:szCs w:val="20"/>
              </w:rPr>
              <w:t xml:space="preserve"> clearance (&lt;137 IU/mL)</w:t>
            </w:r>
          </w:p>
          <w:p w14:paraId="354DC1B2" w14:textId="5E8CDAF9" w:rsidR="00FC2340" w:rsidRPr="00FC2340" w:rsidRDefault="00FC2340" w:rsidP="00574F28">
            <w:pPr>
              <w:pStyle w:val="TableText0"/>
              <w:numPr>
                <w:ilvl w:val="0"/>
                <w:numId w:val="9"/>
              </w:numPr>
              <w:ind w:left="347" w:hanging="284"/>
              <w:rPr>
                <w:rFonts w:eastAsia="Times New Roman" w:cs="Arial"/>
                <w:bCs w:val="0"/>
                <w:snapToGrid w:val="0"/>
                <w:szCs w:val="20"/>
              </w:rPr>
            </w:pPr>
            <w:r w:rsidRPr="00FC2340">
              <w:rPr>
                <w:rFonts w:eastAsia="Times New Roman" w:cs="Arial"/>
                <w:bCs w:val="0"/>
                <w:snapToGrid w:val="0"/>
                <w:szCs w:val="20"/>
              </w:rPr>
              <w:t>Symptom control (resolution/improvement of CMV disease/syndrome or absence of the development of CMV disease/syndrome</w:t>
            </w:r>
            <w:r w:rsidR="00612676">
              <w:rPr>
                <w:rFonts w:eastAsia="Times New Roman" w:cs="Arial"/>
                <w:bCs w:val="0"/>
                <w:snapToGrid w:val="0"/>
                <w:szCs w:val="20"/>
              </w:rPr>
              <w:t>)</w:t>
            </w:r>
          </w:p>
          <w:p w14:paraId="030C86A9" w14:textId="26DE9861" w:rsidR="00FC2340" w:rsidRPr="00FC2340" w:rsidRDefault="00FC2340" w:rsidP="00574F28">
            <w:pPr>
              <w:pStyle w:val="TableText0"/>
              <w:numPr>
                <w:ilvl w:val="0"/>
                <w:numId w:val="9"/>
              </w:numPr>
              <w:ind w:left="347" w:hanging="284"/>
              <w:rPr>
                <w:rFonts w:eastAsia="Times New Roman" w:cs="Arial"/>
                <w:bCs w:val="0"/>
                <w:snapToGrid w:val="0"/>
                <w:szCs w:val="20"/>
              </w:rPr>
            </w:pPr>
            <w:r w:rsidRPr="00FC2340">
              <w:rPr>
                <w:rFonts w:eastAsia="Times New Roman" w:cs="Arial"/>
                <w:bCs w:val="0"/>
                <w:snapToGrid w:val="0"/>
                <w:szCs w:val="20"/>
              </w:rPr>
              <w:t>Treatment-emergent adverse events</w:t>
            </w:r>
          </w:p>
          <w:p w14:paraId="1296AF54" w14:textId="115B55F3" w:rsidR="00FC2340" w:rsidRPr="00FC2340" w:rsidRDefault="00FC2340" w:rsidP="00574F28">
            <w:pPr>
              <w:pStyle w:val="TableText0"/>
              <w:numPr>
                <w:ilvl w:val="0"/>
                <w:numId w:val="9"/>
              </w:numPr>
              <w:ind w:left="347" w:hanging="284"/>
              <w:rPr>
                <w:rFonts w:eastAsia="Times New Roman" w:cs="Arial"/>
                <w:bCs w:val="0"/>
                <w:snapToGrid w:val="0"/>
                <w:szCs w:val="20"/>
              </w:rPr>
            </w:pPr>
            <w:r w:rsidRPr="00FC2340">
              <w:rPr>
                <w:rFonts w:eastAsia="Times New Roman" w:cs="Arial"/>
                <w:bCs w:val="0"/>
                <w:snapToGrid w:val="0"/>
                <w:szCs w:val="20"/>
              </w:rPr>
              <w:t>Treatment-emergent adverse</w:t>
            </w:r>
            <w:r w:rsidR="00906521">
              <w:rPr>
                <w:rFonts w:eastAsia="Times New Roman" w:cs="Arial"/>
                <w:bCs w:val="0"/>
                <w:snapToGrid w:val="0"/>
                <w:szCs w:val="20"/>
              </w:rPr>
              <w:t xml:space="preserve"> </w:t>
            </w:r>
            <w:r w:rsidRPr="00FC2340">
              <w:rPr>
                <w:rFonts w:eastAsia="Times New Roman" w:cs="Arial"/>
                <w:bCs w:val="0"/>
                <w:snapToGrid w:val="0"/>
                <w:szCs w:val="20"/>
              </w:rPr>
              <w:t>events leading to discontinuation</w:t>
            </w:r>
          </w:p>
          <w:p w14:paraId="39D0EA42" w14:textId="18BA8912" w:rsidR="00FC2340" w:rsidRPr="00FC2340" w:rsidRDefault="00FC2340" w:rsidP="00574F28">
            <w:pPr>
              <w:pStyle w:val="TableText0"/>
              <w:numPr>
                <w:ilvl w:val="0"/>
                <w:numId w:val="9"/>
              </w:numPr>
              <w:ind w:left="347" w:hanging="284"/>
              <w:rPr>
                <w:rFonts w:eastAsia="Times New Roman" w:cs="Arial"/>
                <w:bCs w:val="0"/>
                <w:snapToGrid w:val="0"/>
                <w:szCs w:val="20"/>
              </w:rPr>
            </w:pPr>
            <w:r w:rsidRPr="00FC2340">
              <w:rPr>
                <w:rFonts w:eastAsia="Times New Roman" w:cs="Arial"/>
                <w:bCs w:val="0"/>
                <w:snapToGrid w:val="0"/>
                <w:szCs w:val="20"/>
              </w:rPr>
              <w:t>Health-related quality of life</w:t>
            </w:r>
          </w:p>
          <w:p w14:paraId="1EB7AE0F" w14:textId="6B3F574B" w:rsidR="00FC2340" w:rsidRPr="00FC2340" w:rsidRDefault="00FC2340" w:rsidP="00574F28">
            <w:pPr>
              <w:pStyle w:val="TableText0"/>
              <w:numPr>
                <w:ilvl w:val="0"/>
                <w:numId w:val="9"/>
              </w:numPr>
              <w:ind w:left="347" w:hanging="284"/>
              <w:rPr>
                <w:rFonts w:eastAsia="Times New Roman" w:cs="Arial"/>
                <w:bCs w:val="0"/>
                <w:snapToGrid w:val="0"/>
                <w:szCs w:val="20"/>
              </w:rPr>
            </w:pPr>
            <w:r w:rsidRPr="00FC2340">
              <w:rPr>
                <w:rFonts w:eastAsia="Times New Roman" w:cs="Arial"/>
                <w:bCs w:val="0"/>
                <w:snapToGrid w:val="0"/>
                <w:szCs w:val="20"/>
              </w:rPr>
              <w:t xml:space="preserve">Maribavir resistance profile </w:t>
            </w:r>
          </w:p>
          <w:p w14:paraId="5ABC4037" w14:textId="585C9A9A" w:rsidR="00233C01" w:rsidRPr="008A5850" w:rsidRDefault="00FC2340" w:rsidP="00574F28">
            <w:pPr>
              <w:pStyle w:val="TableText0"/>
              <w:numPr>
                <w:ilvl w:val="0"/>
                <w:numId w:val="9"/>
              </w:numPr>
              <w:ind w:left="347" w:hanging="284"/>
              <w:rPr>
                <w:rFonts w:eastAsia="Times New Roman" w:cs="Arial"/>
                <w:bCs w:val="0"/>
                <w:snapToGrid w:val="0"/>
                <w:szCs w:val="20"/>
              </w:rPr>
            </w:pPr>
            <w:r w:rsidRPr="00FC2340">
              <w:rPr>
                <w:rFonts w:eastAsia="Times New Roman" w:cs="Arial"/>
                <w:bCs w:val="0"/>
                <w:snapToGrid w:val="0"/>
                <w:szCs w:val="20"/>
              </w:rPr>
              <w:t>Mortality</w:t>
            </w:r>
          </w:p>
        </w:tc>
      </w:tr>
      <w:tr w:rsidR="008B1757" w:rsidRPr="00691913" w14:paraId="22223890" w14:textId="77777777" w:rsidTr="002A2ADE">
        <w:trPr>
          <w:cantSplit/>
        </w:trPr>
        <w:tc>
          <w:tcPr>
            <w:tcW w:w="924" w:type="pct"/>
            <w:shd w:val="clear" w:color="auto" w:fill="auto"/>
          </w:tcPr>
          <w:p w14:paraId="0FC8FCE0" w14:textId="77777777" w:rsidR="008B1757" w:rsidRPr="00691913" w:rsidRDefault="008B1757" w:rsidP="004A6040">
            <w:pPr>
              <w:pStyle w:val="TableText0"/>
            </w:pPr>
            <w:r w:rsidRPr="00691913">
              <w:t>Clinical claim</w:t>
            </w:r>
          </w:p>
        </w:tc>
        <w:tc>
          <w:tcPr>
            <w:tcW w:w="4076" w:type="pct"/>
            <w:shd w:val="clear" w:color="auto" w:fill="auto"/>
          </w:tcPr>
          <w:p w14:paraId="2C99C4DE" w14:textId="3DF07339" w:rsidR="00233C01" w:rsidRPr="008A5850" w:rsidRDefault="00FC2340" w:rsidP="00D43D83">
            <w:pPr>
              <w:pStyle w:val="TableText0"/>
              <w:rPr>
                <w:rFonts w:eastAsia="Times New Roman" w:cs="Arial"/>
                <w:bCs w:val="0"/>
                <w:snapToGrid w:val="0"/>
                <w:szCs w:val="20"/>
              </w:rPr>
            </w:pPr>
            <w:r w:rsidRPr="00FC2340">
              <w:rPr>
                <w:rFonts w:eastAsia="Times New Roman" w:cs="Arial"/>
                <w:bCs w:val="0"/>
                <w:snapToGrid w:val="0"/>
                <w:szCs w:val="20"/>
              </w:rPr>
              <w:t>Maribavir is more effective and safer than current standard of care (ganciclovir, valganciclovir, foscarnet and cidofovir) in adults with post-transplant CMV infection and disease resistant, refractory, or intolerant to one or more prior therapies.</w:t>
            </w:r>
          </w:p>
        </w:tc>
      </w:tr>
    </w:tbl>
    <w:p w14:paraId="629D729C" w14:textId="77777777" w:rsidR="00ED0A0D" w:rsidRDefault="008B1757" w:rsidP="004A6040">
      <w:pPr>
        <w:pStyle w:val="FooterTableFigure"/>
      </w:pPr>
      <w:r>
        <w:t>Source: Table</w:t>
      </w:r>
      <w:r w:rsidR="00FC2340">
        <w:t xml:space="preserve"> 1.1.1</w:t>
      </w:r>
      <w:r>
        <w:t>, p</w:t>
      </w:r>
      <w:r w:rsidR="00FC2340">
        <w:t xml:space="preserve"> 21 </w:t>
      </w:r>
      <w:r w:rsidRPr="00D13A3E">
        <w:t xml:space="preserve">of the </w:t>
      </w:r>
      <w:r>
        <w:t>submission.</w:t>
      </w:r>
      <w:r w:rsidR="00FC2340">
        <w:t xml:space="preserve"> </w:t>
      </w:r>
    </w:p>
    <w:p w14:paraId="527CA7F0" w14:textId="159361FE" w:rsidR="004E43B2" w:rsidRPr="004A6040" w:rsidRDefault="00FC2340" w:rsidP="004A6040">
      <w:pPr>
        <w:pStyle w:val="FooterTableFigure"/>
        <w:rPr>
          <w:sz w:val="20"/>
        </w:rPr>
      </w:pPr>
      <w:r w:rsidRPr="00FC2340">
        <w:t>CMV</w:t>
      </w:r>
      <w:r w:rsidR="00ED0A0D">
        <w:t xml:space="preserve"> = </w:t>
      </w:r>
      <w:r w:rsidRPr="00FC2340">
        <w:t>cytomegalovirus; HSCT</w:t>
      </w:r>
      <w:r w:rsidR="00ED0A0D">
        <w:t xml:space="preserve"> = </w:t>
      </w:r>
      <w:r w:rsidRPr="00FC2340">
        <w:t>h</w:t>
      </w:r>
      <w:r w:rsidR="00ED0A0D">
        <w:t>a</w:t>
      </w:r>
      <w:r w:rsidRPr="00FC2340">
        <w:t>ematopoietic stem cell transplant</w:t>
      </w:r>
      <w:r w:rsidR="00ED0A0D">
        <w:t>;</w:t>
      </w:r>
      <w:r w:rsidRPr="00FC2340">
        <w:t xml:space="preserve"> IU</w:t>
      </w:r>
      <w:r w:rsidR="00ED0A0D">
        <w:t xml:space="preserve"> = </w:t>
      </w:r>
      <w:r w:rsidRPr="00FC2340">
        <w:t>international uni</w:t>
      </w:r>
      <w:r w:rsidR="00ED0A0D">
        <w:t>t;</w:t>
      </w:r>
      <w:r w:rsidRPr="00FC2340">
        <w:t xml:space="preserve"> SOT</w:t>
      </w:r>
      <w:r w:rsidR="00ED0A0D">
        <w:t xml:space="preserve"> = </w:t>
      </w:r>
      <w:r w:rsidRPr="00FC2340">
        <w:t>solid organ transplant</w:t>
      </w:r>
    </w:p>
    <w:p w14:paraId="6B4AB6C2" w14:textId="7F01D731" w:rsidR="005C25FF" w:rsidRPr="00407F2D" w:rsidRDefault="005C25FF" w:rsidP="002F5B9A">
      <w:pPr>
        <w:pStyle w:val="2-SectionHeading"/>
      </w:pPr>
      <w:bookmarkStart w:id="2" w:name="_Toc145336292"/>
      <w:r w:rsidRPr="00407F2D">
        <w:t>Background</w:t>
      </w:r>
      <w:bookmarkEnd w:id="2"/>
    </w:p>
    <w:p w14:paraId="2C521D6D" w14:textId="78CF03EE" w:rsidR="005C25FF" w:rsidRPr="004151CF" w:rsidRDefault="005C25FF" w:rsidP="00444F02">
      <w:pPr>
        <w:pStyle w:val="4-SubsectionHeading"/>
      </w:pPr>
      <w:bookmarkStart w:id="3" w:name="_Toc22897638"/>
      <w:bookmarkStart w:id="4" w:name="_Toc145336293"/>
      <w:r w:rsidRPr="00444F02">
        <w:t>Registration</w:t>
      </w:r>
      <w:r w:rsidRPr="004151CF">
        <w:t xml:space="preserve"> status</w:t>
      </w:r>
      <w:bookmarkEnd w:id="3"/>
      <w:bookmarkEnd w:id="4"/>
    </w:p>
    <w:p w14:paraId="5374AD55" w14:textId="59102159" w:rsidR="005C25FF" w:rsidRDefault="00FC2340" w:rsidP="00FC2340">
      <w:pPr>
        <w:pStyle w:val="3-BodyText"/>
      </w:pPr>
      <w:r>
        <w:t>Maribavir</w:t>
      </w:r>
      <w:r w:rsidR="005C25FF" w:rsidRPr="004E18E9">
        <w:t xml:space="preserve"> was TGA registered on </w:t>
      </w:r>
      <w:r>
        <w:t>7 October 2022</w:t>
      </w:r>
      <w:r w:rsidR="005C25FF" w:rsidRPr="004E18E9">
        <w:t xml:space="preserve"> for</w:t>
      </w:r>
      <w:r w:rsidRPr="00FC2340">
        <w:t xml:space="preserve"> the treatment of post-transplant cytomegalovirus (CMV) infection and disease refractory, resistant or intolerant to one or more prior therapies</w:t>
      </w:r>
      <w:r>
        <w:t>.</w:t>
      </w:r>
    </w:p>
    <w:p w14:paraId="4F07FCC3" w14:textId="02132811" w:rsidR="00B27119" w:rsidRPr="00314989" w:rsidRDefault="00B27119" w:rsidP="00B27119">
      <w:pPr>
        <w:pStyle w:val="3-BodyText"/>
      </w:pPr>
      <w:r w:rsidRPr="00314989">
        <w:lastRenderedPageBreak/>
        <w:t>The indication approved by the US FDA is more restrictive: post-transplant CMV infection/disease that is refractory to treatment (with or without genotypic resistance) with ganciclovir, valganciclovir, cidofovir or foscarnet</w:t>
      </w:r>
      <w:r w:rsidRPr="00314989">
        <w:rPr>
          <w:rStyle w:val="FootnoteReference"/>
        </w:rPr>
        <w:footnoteReference w:id="2"/>
      </w:r>
      <w:r w:rsidR="0031381D" w:rsidRPr="00314989">
        <w:t>.</w:t>
      </w:r>
    </w:p>
    <w:p w14:paraId="70A7F08D" w14:textId="579B1DB3" w:rsidR="006D32C1" w:rsidRDefault="006D32C1" w:rsidP="006D32C1">
      <w:pPr>
        <w:pStyle w:val="3-BodyText"/>
      </w:pPr>
      <w:r w:rsidRPr="00314989">
        <w:t>The indication approved by the European Medicines Agency is also more restrictive: cytomegalovirus (CMV) infection and/or disease that are refractory (with or without resistance) to one or more prior therapies, including ganciclovir, valganciclovir, cidofovir or foscarnet in adult patients who have undergone a haematopoietic stem cell transplant (HSCT) or solid organ transplant (SOT)</w:t>
      </w:r>
      <w:r w:rsidRPr="00314989">
        <w:rPr>
          <w:rStyle w:val="FootnoteReference"/>
        </w:rPr>
        <w:footnoteReference w:id="3"/>
      </w:r>
      <w:r w:rsidR="00DF40E7">
        <w:t>.</w:t>
      </w:r>
    </w:p>
    <w:p w14:paraId="782DBA89" w14:textId="275647CF" w:rsidR="000F53FB" w:rsidRPr="008A5850" w:rsidRDefault="00B50DB8" w:rsidP="002F5B9A">
      <w:pPr>
        <w:pStyle w:val="2-SectionHeading"/>
      </w:pPr>
      <w:bookmarkStart w:id="5" w:name="_Toc107902078"/>
      <w:bookmarkStart w:id="6" w:name="_Toc145336294"/>
      <w:bookmarkEnd w:id="5"/>
      <w:r w:rsidRPr="00407F2D">
        <w:t>Requested listing</w:t>
      </w:r>
      <w:bookmarkEnd w:id="6"/>
    </w:p>
    <w:p w14:paraId="4818290D" w14:textId="3D8E0B38" w:rsidR="00394C5F" w:rsidRPr="003926B6" w:rsidRDefault="002E7F5A" w:rsidP="003A4C14">
      <w:pPr>
        <w:pStyle w:val="3-BodyText"/>
        <w:numPr>
          <w:ilvl w:val="1"/>
          <w:numId w:val="38"/>
        </w:numPr>
        <w:rPr>
          <w:iCs/>
        </w:rPr>
      </w:pPr>
      <w:r w:rsidRPr="002E7F5A">
        <w:rPr>
          <w:iCs/>
        </w:rPr>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31"/>
      </w:tblGrid>
      <w:tr w:rsidR="00394C5F" w:rsidRPr="00394C5F" w14:paraId="6D62DD99" w14:textId="77777777" w:rsidTr="002E7F5A">
        <w:trPr>
          <w:cantSplit/>
          <w:trHeight w:val="20"/>
        </w:trPr>
        <w:tc>
          <w:tcPr>
            <w:tcW w:w="3940" w:type="dxa"/>
            <w:vAlign w:val="center"/>
          </w:tcPr>
          <w:p w14:paraId="203EDEF0" w14:textId="77777777" w:rsidR="00394C5F" w:rsidRPr="00394C5F" w:rsidRDefault="00394C5F" w:rsidP="003926B6">
            <w:pPr>
              <w:keepLines/>
              <w:widowControl w:val="0"/>
              <w:rPr>
                <w:rFonts w:ascii="Arial Narrow" w:hAnsi="Arial Narrow"/>
                <w:b/>
                <w:bCs/>
                <w:sz w:val="20"/>
                <w:szCs w:val="20"/>
              </w:rPr>
            </w:pPr>
            <w:r w:rsidRPr="00394C5F">
              <w:rPr>
                <w:rFonts w:ascii="Arial Narrow" w:hAnsi="Arial Narrow"/>
                <w:b/>
                <w:bCs/>
                <w:sz w:val="20"/>
                <w:szCs w:val="20"/>
              </w:rPr>
              <w:t>MEDICINAL PRODUCT</w:t>
            </w:r>
          </w:p>
          <w:p w14:paraId="26FB6246" w14:textId="77777777" w:rsidR="00394C5F" w:rsidRPr="00394C5F" w:rsidRDefault="00394C5F" w:rsidP="003926B6">
            <w:pPr>
              <w:keepLines/>
              <w:widowControl w:val="0"/>
              <w:rPr>
                <w:rFonts w:ascii="Arial Narrow" w:hAnsi="Arial Narrow"/>
                <w:b/>
                <w:sz w:val="20"/>
                <w:szCs w:val="20"/>
              </w:rPr>
            </w:pPr>
            <w:r w:rsidRPr="00394C5F">
              <w:rPr>
                <w:rFonts w:ascii="Arial Narrow" w:hAnsi="Arial Narrow"/>
                <w:b/>
                <w:bCs/>
                <w:sz w:val="20"/>
                <w:szCs w:val="20"/>
              </w:rPr>
              <w:t>medicinal product pack</w:t>
            </w:r>
          </w:p>
        </w:tc>
        <w:tc>
          <w:tcPr>
            <w:tcW w:w="811" w:type="dxa"/>
            <w:vAlign w:val="center"/>
          </w:tcPr>
          <w:p w14:paraId="14F5DD0B" w14:textId="77777777" w:rsidR="00394C5F" w:rsidRPr="00394C5F" w:rsidRDefault="00394C5F" w:rsidP="003926B6">
            <w:pPr>
              <w:keepLines/>
              <w:widowControl w:val="0"/>
              <w:jc w:val="center"/>
              <w:rPr>
                <w:rFonts w:ascii="Arial Narrow" w:hAnsi="Arial Narrow"/>
                <w:b/>
                <w:sz w:val="20"/>
                <w:szCs w:val="20"/>
              </w:rPr>
            </w:pPr>
            <w:r w:rsidRPr="00394C5F">
              <w:rPr>
                <w:rFonts w:ascii="Arial Narrow" w:hAnsi="Arial Narrow"/>
                <w:b/>
                <w:sz w:val="20"/>
                <w:szCs w:val="20"/>
              </w:rPr>
              <w:t>PBS item code</w:t>
            </w:r>
          </w:p>
        </w:tc>
        <w:tc>
          <w:tcPr>
            <w:tcW w:w="812" w:type="dxa"/>
            <w:vAlign w:val="center"/>
          </w:tcPr>
          <w:p w14:paraId="372D98A8" w14:textId="77777777" w:rsidR="00394C5F" w:rsidRPr="00394C5F" w:rsidRDefault="00394C5F" w:rsidP="003926B6">
            <w:pPr>
              <w:keepLines/>
              <w:widowControl w:val="0"/>
              <w:jc w:val="center"/>
              <w:rPr>
                <w:rFonts w:ascii="Arial Narrow" w:hAnsi="Arial Narrow"/>
                <w:b/>
                <w:sz w:val="20"/>
                <w:szCs w:val="20"/>
              </w:rPr>
            </w:pPr>
            <w:r w:rsidRPr="00394C5F">
              <w:rPr>
                <w:rFonts w:ascii="Arial Narrow" w:hAnsi="Arial Narrow"/>
                <w:b/>
                <w:sz w:val="20"/>
                <w:szCs w:val="20"/>
              </w:rPr>
              <w:t>Max. qty packs</w:t>
            </w:r>
          </w:p>
        </w:tc>
        <w:tc>
          <w:tcPr>
            <w:tcW w:w="811" w:type="dxa"/>
            <w:vAlign w:val="center"/>
          </w:tcPr>
          <w:p w14:paraId="6B463E91" w14:textId="77777777" w:rsidR="00394C5F" w:rsidRPr="00394C5F" w:rsidRDefault="00394C5F" w:rsidP="003926B6">
            <w:pPr>
              <w:keepLines/>
              <w:widowControl w:val="0"/>
              <w:jc w:val="center"/>
              <w:rPr>
                <w:rFonts w:ascii="Arial Narrow" w:hAnsi="Arial Narrow"/>
                <w:b/>
                <w:sz w:val="20"/>
                <w:szCs w:val="20"/>
              </w:rPr>
            </w:pPr>
            <w:r w:rsidRPr="00394C5F">
              <w:rPr>
                <w:rFonts w:ascii="Arial Narrow" w:hAnsi="Arial Narrow"/>
                <w:b/>
                <w:sz w:val="20"/>
                <w:szCs w:val="20"/>
              </w:rPr>
              <w:t>Max. qty units</w:t>
            </w:r>
          </w:p>
        </w:tc>
        <w:tc>
          <w:tcPr>
            <w:tcW w:w="812" w:type="dxa"/>
            <w:vAlign w:val="center"/>
          </w:tcPr>
          <w:p w14:paraId="00DB4334" w14:textId="77777777" w:rsidR="00394C5F" w:rsidRPr="00394C5F" w:rsidRDefault="00394C5F" w:rsidP="003926B6">
            <w:pPr>
              <w:keepLines/>
              <w:widowControl w:val="0"/>
              <w:jc w:val="center"/>
              <w:rPr>
                <w:rFonts w:ascii="Arial Narrow" w:hAnsi="Arial Narrow"/>
                <w:b/>
                <w:sz w:val="20"/>
                <w:szCs w:val="20"/>
              </w:rPr>
            </w:pPr>
            <w:r w:rsidRPr="00394C5F">
              <w:rPr>
                <w:rFonts w:ascii="Arial Narrow" w:hAnsi="Arial Narrow"/>
                <w:b/>
                <w:sz w:val="20"/>
                <w:szCs w:val="20"/>
              </w:rPr>
              <w:t>№.of</w:t>
            </w:r>
          </w:p>
          <w:p w14:paraId="76ADE58C" w14:textId="77777777" w:rsidR="00394C5F" w:rsidRPr="00394C5F" w:rsidRDefault="00394C5F" w:rsidP="003926B6">
            <w:pPr>
              <w:keepLines/>
              <w:widowControl w:val="0"/>
              <w:jc w:val="center"/>
              <w:rPr>
                <w:rFonts w:ascii="Arial Narrow" w:hAnsi="Arial Narrow"/>
                <w:b/>
                <w:sz w:val="20"/>
                <w:szCs w:val="20"/>
              </w:rPr>
            </w:pPr>
            <w:r w:rsidRPr="00394C5F">
              <w:rPr>
                <w:rFonts w:ascii="Arial Narrow" w:hAnsi="Arial Narrow"/>
                <w:b/>
                <w:sz w:val="20"/>
                <w:szCs w:val="20"/>
              </w:rPr>
              <w:t>Rpts</w:t>
            </w:r>
          </w:p>
        </w:tc>
        <w:tc>
          <w:tcPr>
            <w:tcW w:w="1831" w:type="dxa"/>
            <w:vAlign w:val="center"/>
          </w:tcPr>
          <w:p w14:paraId="084C2CE4" w14:textId="77777777" w:rsidR="00394C5F" w:rsidRPr="00394C5F" w:rsidRDefault="00394C5F" w:rsidP="003926B6">
            <w:pPr>
              <w:keepLines/>
              <w:widowControl w:val="0"/>
              <w:rPr>
                <w:rFonts w:ascii="Arial Narrow" w:hAnsi="Arial Narrow"/>
                <w:b/>
                <w:sz w:val="20"/>
                <w:szCs w:val="20"/>
                <w:lang w:val="fr-FR"/>
              </w:rPr>
            </w:pPr>
            <w:r w:rsidRPr="00394C5F">
              <w:rPr>
                <w:rFonts w:ascii="Arial Narrow" w:hAnsi="Arial Narrow"/>
                <w:b/>
                <w:sz w:val="20"/>
                <w:szCs w:val="20"/>
              </w:rPr>
              <w:t>Available brands</w:t>
            </w:r>
          </w:p>
        </w:tc>
      </w:tr>
      <w:tr w:rsidR="00394C5F" w:rsidRPr="00394C5F" w14:paraId="0DE9BD75" w14:textId="77777777" w:rsidTr="002E7F5A">
        <w:trPr>
          <w:cantSplit/>
          <w:trHeight w:val="20"/>
        </w:trPr>
        <w:tc>
          <w:tcPr>
            <w:tcW w:w="9017" w:type="dxa"/>
            <w:gridSpan w:val="6"/>
            <w:vAlign w:val="center"/>
          </w:tcPr>
          <w:p w14:paraId="04DC2E52" w14:textId="77777777" w:rsidR="00394C5F" w:rsidRPr="00394C5F" w:rsidRDefault="00394C5F" w:rsidP="003926B6">
            <w:pPr>
              <w:keepLines/>
              <w:widowControl w:val="0"/>
              <w:rPr>
                <w:rFonts w:ascii="Arial Narrow" w:hAnsi="Arial Narrow"/>
                <w:i/>
                <w:iCs/>
                <w:sz w:val="20"/>
                <w:szCs w:val="20"/>
              </w:rPr>
            </w:pPr>
            <w:r w:rsidRPr="00394C5F">
              <w:rPr>
                <w:rFonts w:ascii="Arial Narrow" w:hAnsi="Arial Narrow"/>
                <w:i/>
                <w:iCs/>
                <w:sz w:val="20"/>
                <w:szCs w:val="20"/>
              </w:rPr>
              <w:t>MARIBAVIR</w:t>
            </w:r>
          </w:p>
        </w:tc>
      </w:tr>
      <w:tr w:rsidR="00394C5F" w:rsidRPr="00394C5F" w14:paraId="39D3AA59" w14:textId="77777777" w:rsidTr="002E7F5A">
        <w:trPr>
          <w:cantSplit/>
          <w:trHeight w:val="20"/>
        </w:trPr>
        <w:tc>
          <w:tcPr>
            <w:tcW w:w="3940" w:type="dxa"/>
            <w:vAlign w:val="center"/>
          </w:tcPr>
          <w:p w14:paraId="5B15F7C9" w14:textId="77777777" w:rsidR="00394C5F" w:rsidRPr="00394C5F" w:rsidRDefault="00394C5F" w:rsidP="003926B6">
            <w:pPr>
              <w:keepLines/>
              <w:widowControl w:val="0"/>
              <w:rPr>
                <w:rFonts w:ascii="Arial Narrow" w:hAnsi="Arial Narrow"/>
                <w:strike/>
                <w:sz w:val="20"/>
                <w:szCs w:val="20"/>
              </w:rPr>
            </w:pPr>
            <w:r w:rsidRPr="00394C5F">
              <w:rPr>
                <w:strike/>
                <w:sz w:val="16"/>
              </w:rPr>
              <w:t>Maribavir, 200mg oral film coated tablets, 28 tablet bottle</w:t>
            </w:r>
          </w:p>
          <w:p w14:paraId="74CFC264" w14:textId="77777777" w:rsidR="00394C5F" w:rsidRPr="00394C5F" w:rsidRDefault="00394C5F" w:rsidP="003926B6">
            <w:pPr>
              <w:keepLines/>
              <w:widowControl w:val="0"/>
              <w:rPr>
                <w:rFonts w:ascii="Arial Narrow" w:hAnsi="Arial Narrow"/>
                <w:i/>
                <w:iCs/>
                <w:sz w:val="20"/>
                <w:szCs w:val="20"/>
              </w:rPr>
            </w:pPr>
            <w:r w:rsidRPr="00394C5F">
              <w:rPr>
                <w:rFonts w:ascii="Arial Narrow" w:hAnsi="Arial Narrow"/>
                <w:i/>
                <w:iCs/>
                <w:sz w:val="20"/>
                <w:szCs w:val="20"/>
              </w:rPr>
              <w:t>maribavir 200 mg tablet, 28</w:t>
            </w:r>
          </w:p>
        </w:tc>
        <w:tc>
          <w:tcPr>
            <w:tcW w:w="811" w:type="dxa"/>
            <w:vAlign w:val="center"/>
          </w:tcPr>
          <w:p w14:paraId="61617781" w14:textId="77777777" w:rsidR="00394C5F" w:rsidRPr="00394C5F" w:rsidRDefault="00394C5F" w:rsidP="003926B6">
            <w:pPr>
              <w:keepLines/>
              <w:widowControl w:val="0"/>
              <w:jc w:val="center"/>
              <w:rPr>
                <w:rFonts w:ascii="Arial Narrow" w:hAnsi="Arial Narrow"/>
                <w:sz w:val="20"/>
                <w:szCs w:val="20"/>
              </w:rPr>
            </w:pPr>
            <w:r w:rsidRPr="00394C5F">
              <w:rPr>
                <w:rFonts w:ascii="Arial Narrow" w:hAnsi="Arial Narrow"/>
                <w:sz w:val="20"/>
                <w:szCs w:val="20"/>
              </w:rPr>
              <w:t>NEW</w:t>
            </w:r>
          </w:p>
        </w:tc>
        <w:tc>
          <w:tcPr>
            <w:tcW w:w="812" w:type="dxa"/>
            <w:vAlign w:val="center"/>
          </w:tcPr>
          <w:p w14:paraId="73326F65" w14:textId="77777777" w:rsidR="00394C5F" w:rsidRPr="00394C5F" w:rsidRDefault="00394C5F" w:rsidP="003926B6">
            <w:pPr>
              <w:keepLines/>
              <w:widowControl w:val="0"/>
              <w:jc w:val="center"/>
              <w:rPr>
                <w:rFonts w:ascii="Arial Narrow" w:hAnsi="Arial Narrow"/>
                <w:sz w:val="20"/>
                <w:szCs w:val="20"/>
              </w:rPr>
            </w:pPr>
            <w:r w:rsidRPr="00394C5F">
              <w:rPr>
                <w:rFonts w:ascii="Arial Narrow" w:hAnsi="Arial Narrow"/>
                <w:sz w:val="20"/>
                <w:szCs w:val="20"/>
              </w:rPr>
              <w:t>4</w:t>
            </w:r>
          </w:p>
        </w:tc>
        <w:tc>
          <w:tcPr>
            <w:tcW w:w="811" w:type="dxa"/>
            <w:vAlign w:val="center"/>
          </w:tcPr>
          <w:p w14:paraId="70E8663B" w14:textId="77777777" w:rsidR="00394C5F" w:rsidRPr="00394C5F" w:rsidRDefault="00394C5F" w:rsidP="003926B6">
            <w:pPr>
              <w:keepLines/>
              <w:widowControl w:val="0"/>
              <w:jc w:val="center"/>
              <w:rPr>
                <w:rFonts w:ascii="Arial Narrow" w:hAnsi="Arial Narrow"/>
                <w:sz w:val="20"/>
                <w:szCs w:val="20"/>
              </w:rPr>
            </w:pPr>
            <w:r w:rsidRPr="00394C5F">
              <w:rPr>
                <w:rFonts w:ascii="Arial Narrow" w:hAnsi="Arial Narrow"/>
                <w:sz w:val="20"/>
                <w:szCs w:val="20"/>
              </w:rPr>
              <w:t>112</w:t>
            </w:r>
          </w:p>
        </w:tc>
        <w:tc>
          <w:tcPr>
            <w:tcW w:w="812" w:type="dxa"/>
            <w:vAlign w:val="center"/>
          </w:tcPr>
          <w:p w14:paraId="1EA6DF0B" w14:textId="77777777" w:rsidR="00394C5F" w:rsidRPr="00394C5F" w:rsidRDefault="00394C5F" w:rsidP="003926B6">
            <w:pPr>
              <w:keepLines/>
              <w:widowControl w:val="0"/>
              <w:jc w:val="center"/>
              <w:rPr>
                <w:rFonts w:ascii="Arial Narrow" w:hAnsi="Arial Narrow"/>
                <w:sz w:val="20"/>
                <w:szCs w:val="20"/>
              </w:rPr>
            </w:pPr>
            <w:r w:rsidRPr="00394C5F">
              <w:rPr>
                <w:rFonts w:ascii="Arial Narrow" w:hAnsi="Arial Narrow"/>
                <w:sz w:val="20"/>
                <w:szCs w:val="20"/>
              </w:rPr>
              <w:t>1</w:t>
            </w:r>
          </w:p>
        </w:tc>
        <w:tc>
          <w:tcPr>
            <w:tcW w:w="1831" w:type="dxa"/>
            <w:vAlign w:val="center"/>
          </w:tcPr>
          <w:p w14:paraId="02C77B59" w14:textId="75BA01CB" w:rsidR="00394C5F" w:rsidRPr="00394C5F" w:rsidRDefault="000730FD" w:rsidP="003926B6">
            <w:pPr>
              <w:keepLines/>
              <w:widowControl w:val="0"/>
              <w:jc w:val="center"/>
              <w:rPr>
                <w:rFonts w:ascii="Arial Narrow" w:hAnsi="Arial Narrow" w:cs="Times New Roman"/>
                <w:snapToGrid w:val="0"/>
                <w:sz w:val="20"/>
                <w:szCs w:val="20"/>
              </w:rPr>
            </w:pPr>
            <w:r w:rsidRPr="00394C5F">
              <w:rPr>
                <w:rFonts w:ascii="Arial Narrow" w:hAnsi="Arial Narrow" w:cs="Times New Roman"/>
                <w:snapToGrid w:val="0"/>
                <w:sz w:val="20"/>
                <w:szCs w:val="20"/>
              </w:rPr>
              <w:t>Livtencity</w:t>
            </w:r>
          </w:p>
        </w:tc>
      </w:tr>
      <w:tr w:rsidR="002E7F5A" w:rsidRPr="00394C5F" w14:paraId="6D33CE05" w14:textId="77777777" w:rsidTr="00256470">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tcPr>
          <w:p w14:paraId="2E1816EA" w14:textId="3AF1D9D1" w:rsidR="002E7F5A" w:rsidRPr="00394C5F" w:rsidRDefault="002E7F5A" w:rsidP="003926B6">
            <w:pPr>
              <w:keepLines/>
              <w:widowControl w:val="0"/>
              <w:rPr>
                <w:rFonts w:ascii="Arial Narrow" w:hAnsi="Arial Narrow"/>
                <w:i/>
                <w:iCs/>
                <w:sz w:val="20"/>
                <w:szCs w:val="20"/>
              </w:rPr>
            </w:pPr>
            <w:r w:rsidRPr="00394C5F">
              <w:rPr>
                <w:rFonts w:ascii="Arial Narrow" w:hAnsi="Arial Narrow"/>
                <w:b/>
                <w:i/>
                <w:iCs/>
                <w:sz w:val="20"/>
                <w:szCs w:val="20"/>
              </w:rPr>
              <w:t xml:space="preserve">Category / Program: </w:t>
            </w:r>
            <w:r w:rsidRPr="00394C5F">
              <w:rPr>
                <w:rFonts w:ascii="Arial Narrow" w:hAnsi="Arial Narrow"/>
                <w:i/>
                <w:iCs/>
                <w:sz w:val="20"/>
                <w:szCs w:val="20"/>
              </w:rPr>
              <w:t xml:space="preserve">Section 100 – Highly Specialised Drugs Program </w:t>
            </w:r>
            <w:r w:rsidR="00E66C05">
              <w:rPr>
                <w:rFonts w:ascii="Arial Narrow" w:hAnsi="Arial Narrow"/>
                <w:i/>
                <w:iCs/>
                <w:sz w:val="20"/>
                <w:szCs w:val="20"/>
              </w:rPr>
              <w:t>(</w:t>
            </w:r>
            <w:r w:rsidRPr="00394C5F">
              <w:rPr>
                <w:rFonts w:ascii="Arial Narrow" w:hAnsi="Arial Narrow"/>
                <w:i/>
                <w:iCs/>
                <w:sz w:val="20"/>
                <w:szCs w:val="20"/>
              </w:rPr>
              <w:t>Public/Private/Community Access (CA))</w:t>
            </w:r>
          </w:p>
        </w:tc>
      </w:tr>
      <w:tr w:rsidR="002E7F5A" w:rsidRPr="00394C5F" w14:paraId="003D2754" w14:textId="77777777" w:rsidTr="00070674">
        <w:tblPrEx>
          <w:tblCellMar>
            <w:top w:w="15" w:type="dxa"/>
            <w:bottom w:w="15" w:type="dxa"/>
          </w:tblCellMar>
          <w:tblLook w:val="04A0" w:firstRow="1" w:lastRow="0" w:firstColumn="1" w:lastColumn="0" w:noHBand="0" w:noVBand="1"/>
        </w:tblPrEx>
        <w:trPr>
          <w:trHeight w:val="20"/>
        </w:trPr>
        <w:tc>
          <w:tcPr>
            <w:tcW w:w="9017" w:type="dxa"/>
            <w:gridSpan w:val="6"/>
            <w:tcBorders>
              <w:left w:val="single" w:sz="4" w:space="0" w:color="auto"/>
              <w:right w:val="single" w:sz="4" w:space="0" w:color="auto"/>
            </w:tcBorders>
          </w:tcPr>
          <w:p w14:paraId="26ED7F66" w14:textId="77777777" w:rsidR="002E7F5A" w:rsidRPr="00394C5F" w:rsidRDefault="002E7F5A" w:rsidP="003926B6">
            <w:pPr>
              <w:keepLines/>
              <w:widowControl w:val="0"/>
              <w:rPr>
                <w:rFonts w:ascii="Arial Narrow" w:hAnsi="Arial Narrow"/>
                <w:b/>
                <w:i/>
                <w:iCs/>
                <w:sz w:val="20"/>
                <w:szCs w:val="20"/>
              </w:rPr>
            </w:pPr>
            <w:r w:rsidRPr="00394C5F">
              <w:rPr>
                <w:rFonts w:ascii="Arial Narrow" w:hAnsi="Arial Narrow"/>
                <w:b/>
                <w:i/>
                <w:iCs/>
                <w:sz w:val="20"/>
                <w:szCs w:val="20"/>
              </w:rPr>
              <w:t xml:space="preserve">Prescriber type: </w:t>
            </w:r>
            <w:r w:rsidRPr="00394C5F">
              <w:rPr>
                <w:rFonts w:ascii="Arial Narrow" w:hAnsi="Arial Narrow"/>
                <w:i/>
                <w:iCs/>
                <w:sz w:val="20"/>
                <w:szCs w:val="20"/>
              </w:rPr>
              <w:fldChar w:fldCharType="begin" w:fldLock="1">
                <w:ffData>
                  <w:name w:val=""/>
                  <w:enabled/>
                  <w:calcOnExit w:val="0"/>
                  <w:checkBox>
                    <w:sizeAuto/>
                    <w:default w:val="1"/>
                  </w:checkBox>
                </w:ffData>
              </w:fldChar>
            </w:r>
            <w:r w:rsidRPr="00394C5F">
              <w:rPr>
                <w:rFonts w:ascii="Arial Narrow" w:hAnsi="Arial Narrow"/>
                <w:i/>
                <w:iCs/>
                <w:sz w:val="20"/>
                <w:szCs w:val="20"/>
              </w:rPr>
              <w:instrText xml:space="preserve"> FORMCHECKBOX </w:instrText>
            </w:r>
            <w:r w:rsidR="00D821BA">
              <w:rPr>
                <w:rFonts w:ascii="Arial Narrow" w:hAnsi="Arial Narrow"/>
                <w:i/>
                <w:iCs/>
                <w:sz w:val="20"/>
                <w:szCs w:val="20"/>
              </w:rPr>
            </w:r>
            <w:r w:rsidR="00D821BA">
              <w:rPr>
                <w:rFonts w:ascii="Arial Narrow" w:hAnsi="Arial Narrow"/>
                <w:i/>
                <w:iCs/>
                <w:sz w:val="20"/>
                <w:szCs w:val="20"/>
              </w:rPr>
              <w:fldChar w:fldCharType="separate"/>
            </w:r>
            <w:r w:rsidRPr="00394C5F">
              <w:rPr>
                <w:rFonts w:ascii="Arial Narrow" w:hAnsi="Arial Narrow"/>
                <w:i/>
                <w:iCs/>
                <w:sz w:val="20"/>
                <w:szCs w:val="20"/>
              </w:rPr>
              <w:fldChar w:fldCharType="end"/>
            </w:r>
            <w:r w:rsidRPr="00394C5F">
              <w:rPr>
                <w:rFonts w:ascii="Arial Narrow" w:hAnsi="Arial Narrow"/>
                <w:i/>
                <w:iCs/>
                <w:sz w:val="20"/>
                <w:szCs w:val="20"/>
              </w:rPr>
              <w:t xml:space="preserve">Medical Practitioners </w:t>
            </w:r>
          </w:p>
        </w:tc>
      </w:tr>
      <w:tr w:rsidR="002E7F5A" w:rsidRPr="00394C5F" w14:paraId="4C19BCBB" w14:textId="77777777" w:rsidTr="00BC40E1">
        <w:tblPrEx>
          <w:tblCellMar>
            <w:top w:w="15" w:type="dxa"/>
            <w:bottom w:w="15" w:type="dxa"/>
          </w:tblCellMar>
          <w:tblLook w:val="04A0" w:firstRow="1" w:lastRow="0" w:firstColumn="1" w:lastColumn="0" w:noHBand="0" w:noVBand="1"/>
        </w:tblPrEx>
        <w:trPr>
          <w:trHeight w:val="20"/>
        </w:trPr>
        <w:tc>
          <w:tcPr>
            <w:tcW w:w="9017" w:type="dxa"/>
            <w:gridSpan w:val="6"/>
            <w:tcBorders>
              <w:left w:val="single" w:sz="4" w:space="0" w:color="auto"/>
              <w:bottom w:val="single" w:sz="4" w:space="0" w:color="auto"/>
              <w:right w:val="single" w:sz="4" w:space="0" w:color="auto"/>
            </w:tcBorders>
          </w:tcPr>
          <w:p w14:paraId="212CBB4A" w14:textId="5D4774B2" w:rsidR="002E7F5A" w:rsidRPr="00394C5F" w:rsidRDefault="002E7F5A" w:rsidP="003926B6">
            <w:pPr>
              <w:keepLines/>
              <w:widowControl w:val="0"/>
              <w:jc w:val="left"/>
              <w:rPr>
                <w:rFonts w:ascii="Arial Narrow" w:eastAsia="Calibri" w:hAnsi="Arial Narrow"/>
                <w:i/>
                <w:iCs/>
                <w:color w:val="FF0000"/>
                <w:sz w:val="20"/>
                <w:szCs w:val="20"/>
              </w:rPr>
            </w:pPr>
            <w:r w:rsidRPr="00394C5F">
              <w:rPr>
                <w:rFonts w:ascii="Arial Narrow" w:hAnsi="Arial Narrow"/>
                <w:b/>
                <w:i/>
                <w:iCs/>
                <w:sz w:val="20"/>
                <w:szCs w:val="20"/>
              </w:rPr>
              <w:t>Restriction type:</w:t>
            </w:r>
            <w:r w:rsidRPr="00394C5F">
              <w:rPr>
                <w:rFonts w:ascii="Arial Narrow" w:eastAsia="Calibri" w:hAnsi="Arial Narrow"/>
                <w:i/>
                <w:iCs/>
                <w:sz w:val="20"/>
                <w:szCs w:val="20"/>
              </w:rPr>
              <w:br/>
            </w:r>
            <w:r w:rsidRPr="00394C5F">
              <w:rPr>
                <w:rFonts w:ascii="Arial Narrow" w:eastAsia="Calibri" w:hAnsi="Arial Narrow"/>
                <w:i/>
                <w:iCs/>
                <w:sz w:val="20"/>
                <w:szCs w:val="20"/>
              </w:rPr>
              <w:fldChar w:fldCharType="begin" w:fldLock="1">
                <w:ffData>
                  <w:name w:val=""/>
                  <w:enabled/>
                  <w:calcOnExit w:val="0"/>
                  <w:checkBox>
                    <w:sizeAuto/>
                    <w:default w:val="1"/>
                  </w:checkBox>
                </w:ffData>
              </w:fldChar>
            </w:r>
            <w:r w:rsidRPr="00394C5F">
              <w:rPr>
                <w:rFonts w:ascii="Arial Narrow" w:eastAsia="Calibri" w:hAnsi="Arial Narrow"/>
                <w:i/>
                <w:iCs/>
                <w:sz w:val="20"/>
                <w:szCs w:val="20"/>
              </w:rPr>
              <w:instrText xml:space="preserve"> FORMCHECKBOX </w:instrText>
            </w:r>
            <w:r w:rsidR="00D821BA">
              <w:rPr>
                <w:rFonts w:ascii="Arial Narrow" w:eastAsia="Calibri" w:hAnsi="Arial Narrow"/>
                <w:i/>
                <w:iCs/>
                <w:sz w:val="20"/>
                <w:szCs w:val="20"/>
              </w:rPr>
            </w:r>
            <w:r w:rsidR="00D821BA">
              <w:rPr>
                <w:rFonts w:ascii="Arial Narrow" w:eastAsia="Calibri" w:hAnsi="Arial Narrow"/>
                <w:i/>
                <w:iCs/>
                <w:sz w:val="20"/>
                <w:szCs w:val="20"/>
              </w:rPr>
              <w:fldChar w:fldCharType="separate"/>
            </w:r>
            <w:r w:rsidRPr="00394C5F">
              <w:rPr>
                <w:rFonts w:ascii="Arial Narrow" w:eastAsia="Calibri" w:hAnsi="Arial Narrow"/>
                <w:i/>
                <w:iCs/>
                <w:sz w:val="20"/>
                <w:szCs w:val="20"/>
              </w:rPr>
              <w:fldChar w:fldCharType="end"/>
            </w:r>
            <w:r w:rsidRPr="00394C5F">
              <w:rPr>
                <w:rFonts w:ascii="Arial Narrow" w:eastAsia="Calibri" w:hAnsi="Arial Narrow"/>
                <w:i/>
                <w:iCs/>
                <w:sz w:val="20"/>
                <w:szCs w:val="20"/>
              </w:rPr>
              <w:t xml:space="preserve">Authority Required (Streamlined) </w:t>
            </w:r>
          </w:p>
        </w:tc>
      </w:tr>
      <w:tr w:rsidR="002E7F5A" w:rsidRPr="00394C5F" w14:paraId="16BBD386" w14:textId="77777777" w:rsidTr="00B457AC">
        <w:tblPrEx>
          <w:tblCellMar>
            <w:top w:w="15" w:type="dxa"/>
            <w:bottom w:w="15" w:type="dxa"/>
          </w:tblCellMar>
          <w:tblLook w:val="04A0" w:firstRow="1" w:lastRow="0" w:firstColumn="1" w:lastColumn="0" w:noHBand="0" w:noVBand="1"/>
        </w:tblPrEx>
        <w:trPr>
          <w:trHeight w:val="20"/>
        </w:trPr>
        <w:tc>
          <w:tcPr>
            <w:tcW w:w="9017" w:type="dxa"/>
            <w:gridSpan w:val="6"/>
            <w:vAlign w:val="center"/>
          </w:tcPr>
          <w:p w14:paraId="0DE49F31" w14:textId="77777777" w:rsidR="002E7F5A" w:rsidRPr="00394C5F" w:rsidRDefault="002E7F5A" w:rsidP="003926B6">
            <w:pPr>
              <w:keepLines/>
              <w:widowControl w:val="0"/>
              <w:rPr>
                <w:rFonts w:ascii="Arial Narrow" w:hAnsi="Arial Narrow"/>
                <w:b/>
                <w:i/>
                <w:iCs/>
                <w:sz w:val="20"/>
                <w:szCs w:val="20"/>
              </w:rPr>
            </w:pPr>
            <w:r w:rsidRPr="00394C5F">
              <w:rPr>
                <w:rFonts w:ascii="Arial Narrow" w:hAnsi="Arial Narrow"/>
                <w:b/>
                <w:bCs/>
                <w:i/>
                <w:iCs/>
                <w:sz w:val="20"/>
                <w:szCs w:val="20"/>
              </w:rPr>
              <w:t xml:space="preserve">Administrative Advice: </w:t>
            </w:r>
            <w:r w:rsidRPr="00394C5F">
              <w:rPr>
                <w:rFonts w:ascii="Arial Narrow" w:hAnsi="Arial Narrow"/>
                <w:bCs/>
                <w:i/>
                <w:iCs/>
                <w:sz w:val="20"/>
                <w:szCs w:val="20"/>
              </w:rPr>
              <w:t>Special Pricing Arrangements apply.</w:t>
            </w:r>
          </w:p>
        </w:tc>
      </w:tr>
      <w:tr w:rsidR="002E7F5A" w:rsidRPr="00394C5F" w14:paraId="4062A92E" w14:textId="77777777" w:rsidTr="00660CAF">
        <w:tblPrEx>
          <w:tblCellMar>
            <w:top w:w="15" w:type="dxa"/>
            <w:bottom w:w="15" w:type="dxa"/>
          </w:tblCellMar>
          <w:tblLook w:val="04A0" w:firstRow="1" w:lastRow="0" w:firstColumn="1" w:lastColumn="0" w:noHBand="0" w:noVBand="1"/>
        </w:tblPrEx>
        <w:trPr>
          <w:trHeight w:val="20"/>
        </w:trPr>
        <w:tc>
          <w:tcPr>
            <w:tcW w:w="9017" w:type="dxa"/>
            <w:gridSpan w:val="6"/>
            <w:vAlign w:val="center"/>
          </w:tcPr>
          <w:p w14:paraId="47CDE1F7" w14:textId="77777777" w:rsidR="002E7F5A" w:rsidRPr="00394C5F" w:rsidRDefault="002E7F5A" w:rsidP="003926B6">
            <w:pPr>
              <w:keepLines/>
              <w:widowControl w:val="0"/>
              <w:rPr>
                <w:rFonts w:ascii="Arial Narrow" w:hAnsi="Arial Narrow"/>
                <w:b/>
                <w:bCs/>
                <w:i/>
                <w:iCs/>
                <w:sz w:val="20"/>
                <w:szCs w:val="20"/>
              </w:rPr>
            </w:pPr>
            <w:r w:rsidRPr="00394C5F">
              <w:rPr>
                <w:rFonts w:ascii="Arial Narrow" w:hAnsi="Arial Narrow"/>
                <w:b/>
                <w:bCs/>
                <w:i/>
                <w:iCs/>
                <w:sz w:val="20"/>
                <w:szCs w:val="20"/>
              </w:rPr>
              <w:t xml:space="preserve">Administrative Advice: </w:t>
            </w:r>
            <w:r w:rsidRPr="00394C5F">
              <w:rPr>
                <w:rFonts w:ascii="Arial Narrow" w:hAnsi="Arial Narrow"/>
                <w:bCs/>
                <w:i/>
                <w:iCs/>
                <w:sz w:val="20"/>
                <w:szCs w:val="20"/>
              </w:rPr>
              <w:t>No increase in the maximum number of repeats may be authorised.</w:t>
            </w:r>
          </w:p>
        </w:tc>
      </w:tr>
      <w:tr w:rsidR="002E7F5A" w:rsidRPr="00394C5F" w14:paraId="625367FD" w14:textId="77777777" w:rsidTr="002202A2">
        <w:tblPrEx>
          <w:tblCellMar>
            <w:top w:w="15" w:type="dxa"/>
            <w:bottom w:w="15" w:type="dxa"/>
          </w:tblCellMar>
          <w:tblLook w:val="04A0" w:firstRow="1" w:lastRow="0" w:firstColumn="1" w:lastColumn="0" w:noHBand="0" w:noVBand="1"/>
        </w:tblPrEx>
        <w:trPr>
          <w:trHeight w:val="20"/>
        </w:trPr>
        <w:tc>
          <w:tcPr>
            <w:tcW w:w="9017" w:type="dxa"/>
            <w:gridSpan w:val="6"/>
            <w:vAlign w:val="center"/>
          </w:tcPr>
          <w:p w14:paraId="5BEE5C2F" w14:textId="77777777" w:rsidR="002E7F5A" w:rsidRPr="00394C5F" w:rsidRDefault="002E7F5A" w:rsidP="003926B6">
            <w:pPr>
              <w:keepLines/>
              <w:widowControl w:val="0"/>
              <w:rPr>
                <w:rFonts w:ascii="Arial Narrow" w:hAnsi="Arial Narrow"/>
                <w:b/>
                <w:bCs/>
                <w:strike/>
                <w:sz w:val="20"/>
                <w:szCs w:val="20"/>
              </w:rPr>
            </w:pPr>
            <w:r w:rsidRPr="00394C5F">
              <w:rPr>
                <w:rFonts w:ascii="Arial Narrow" w:hAnsi="Arial Narrow"/>
                <w:b/>
                <w:bCs/>
                <w:strike/>
                <w:sz w:val="20"/>
                <w:szCs w:val="20"/>
              </w:rPr>
              <w:t xml:space="preserve">Administrative Advice: </w:t>
            </w:r>
            <w:r w:rsidRPr="00394C5F">
              <w:rPr>
                <w:rFonts w:ascii="Arial Narrow" w:hAnsi="Arial Narrow"/>
                <w:bCs/>
                <w:strike/>
                <w:sz w:val="20"/>
                <w:szCs w:val="20"/>
              </w:rPr>
              <w:t>Applications for authorisation under this restriction may be made in real time using the Online PBS Authorities system (see www.servicesaustralia.gov.au/HPOS) or by telephone by contacting Services Australia on 1800 888 333.</w:t>
            </w:r>
          </w:p>
        </w:tc>
      </w:tr>
    </w:tbl>
    <w:tbl>
      <w:tblPr>
        <w:tblStyle w:val="TableGrid"/>
        <w:tblW w:w="5000" w:type="pct"/>
        <w:tblLook w:val="04A0" w:firstRow="1" w:lastRow="0" w:firstColumn="1" w:lastColumn="0" w:noHBand="0" w:noVBand="1"/>
      </w:tblPr>
      <w:tblGrid>
        <w:gridCol w:w="9017"/>
      </w:tblGrid>
      <w:tr w:rsidR="000F4100" w:rsidRPr="003A0D25" w14:paraId="04027BCF" w14:textId="77777777" w:rsidTr="000F4100">
        <w:trPr>
          <w:trHeight w:val="70"/>
        </w:trPr>
        <w:tc>
          <w:tcPr>
            <w:tcW w:w="5000" w:type="pct"/>
          </w:tcPr>
          <w:p w14:paraId="5CA36910" w14:textId="77777777" w:rsidR="000F4100" w:rsidRPr="003A0D25" w:rsidRDefault="000F4100" w:rsidP="003926B6">
            <w:pPr>
              <w:pStyle w:val="Tabletext8pt"/>
              <w:keepNext w:val="0"/>
              <w:widowControl w:val="0"/>
              <w:rPr>
                <w:rFonts w:ascii="Arial Narrow" w:hAnsi="Arial Narrow"/>
                <w:sz w:val="20"/>
                <w:szCs w:val="20"/>
                <w:lang w:eastAsia="en-AU"/>
              </w:rPr>
            </w:pPr>
            <w:r w:rsidRPr="004E53FB">
              <w:rPr>
                <w:rFonts w:ascii="Arial Narrow" w:hAnsi="Arial Narrow"/>
                <w:b/>
                <w:strike/>
                <w:sz w:val="20"/>
                <w:szCs w:val="20"/>
                <w:lang w:eastAsia="en-AU"/>
              </w:rPr>
              <w:t>Treatment phase:</w:t>
            </w:r>
            <w:r w:rsidRPr="004E53FB">
              <w:rPr>
                <w:rFonts w:ascii="Arial Narrow" w:hAnsi="Arial Narrow"/>
                <w:strike/>
                <w:sz w:val="20"/>
                <w:szCs w:val="20"/>
                <w:lang w:eastAsia="en-AU"/>
              </w:rPr>
              <w:t xml:space="preserve"> Initial treatment</w:t>
            </w:r>
          </w:p>
        </w:tc>
      </w:tr>
      <w:tr w:rsidR="000F4100" w:rsidRPr="003A0D25" w14:paraId="0D9D79AC" w14:textId="77777777" w:rsidTr="000F4100">
        <w:trPr>
          <w:trHeight w:val="89"/>
        </w:trPr>
        <w:tc>
          <w:tcPr>
            <w:tcW w:w="5000" w:type="pct"/>
            <w:hideMark/>
          </w:tcPr>
          <w:p w14:paraId="369BAF36"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b/>
                <w:color w:val="333333"/>
                <w:sz w:val="20"/>
                <w:szCs w:val="20"/>
                <w:lang w:eastAsia="en-AU"/>
              </w:rPr>
              <w:t>Condition:</w:t>
            </w:r>
            <w:r w:rsidRPr="003A0D25">
              <w:rPr>
                <w:rFonts w:ascii="Arial Narrow" w:hAnsi="Arial Narrow"/>
                <w:color w:val="333333"/>
                <w:sz w:val="20"/>
                <w:szCs w:val="20"/>
                <w:lang w:eastAsia="en-AU"/>
              </w:rPr>
              <w:t xml:space="preserve"> Post-transplant cytomegalovirus (CMV) infection and disease </w:t>
            </w:r>
          </w:p>
        </w:tc>
      </w:tr>
      <w:tr w:rsidR="000F4100" w:rsidRPr="003A0D25" w14:paraId="773E1CC2" w14:textId="77777777" w:rsidTr="000F4100">
        <w:trPr>
          <w:trHeight w:val="300"/>
        </w:trPr>
        <w:tc>
          <w:tcPr>
            <w:tcW w:w="5000" w:type="pct"/>
            <w:hideMark/>
          </w:tcPr>
          <w:p w14:paraId="65FB5D7B"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b/>
                <w:color w:val="333333"/>
                <w:sz w:val="20"/>
                <w:szCs w:val="20"/>
                <w:lang w:eastAsia="en-AU"/>
              </w:rPr>
              <w:t>Indication:</w:t>
            </w:r>
            <w:r w:rsidRPr="003A0D25">
              <w:rPr>
                <w:rFonts w:ascii="Arial Narrow" w:hAnsi="Arial Narrow"/>
                <w:color w:val="333333"/>
                <w:sz w:val="20"/>
                <w:szCs w:val="20"/>
                <w:lang w:eastAsia="en-AU"/>
              </w:rPr>
              <w:t xml:space="preserve"> Acute treatment of adults with post-transplant cytomegalovirus (CMV) infection </w:t>
            </w:r>
            <w:r w:rsidRPr="004E53FB">
              <w:rPr>
                <w:rFonts w:ascii="Arial Narrow" w:hAnsi="Arial Narrow"/>
                <w:i/>
                <w:iCs/>
                <w:color w:val="333333"/>
                <w:sz w:val="20"/>
                <w:szCs w:val="20"/>
                <w:lang w:eastAsia="en-AU"/>
              </w:rPr>
              <w:t>or</w:t>
            </w:r>
            <w:r w:rsidRPr="00640536">
              <w:rPr>
                <w:rFonts w:ascii="Arial Narrow" w:hAnsi="Arial Narrow"/>
                <w:color w:val="333333"/>
                <w:sz w:val="20"/>
                <w:szCs w:val="20"/>
                <w:lang w:eastAsia="en-AU"/>
              </w:rPr>
              <w:t xml:space="preserve"> </w:t>
            </w:r>
            <w:r w:rsidRPr="004E53FB">
              <w:rPr>
                <w:rFonts w:ascii="Arial Narrow" w:hAnsi="Arial Narrow"/>
                <w:i/>
                <w:iCs/>
                <w:color w:val="333333"/>
                <w:sz w:val="20"/>
                <w:szCs w:val="20"/>
                <w:lang w:eastAsia="en-AU"/>
              </w:rPr>
              <w:t>CMV</w:t>
            </w:r>
            <w:r>
              <w:rPr>
                <w:rFonts w:ascii="Arial Narrow" w:hAnsi="Arial Narrow"/>
                <w:color w:val="333333"/>
                <w:sz w:val="20"/>
                <w:szCs w:val="20"/>
                <w:lang w:eastAsia="en-AU"/>
              </w:rPr>
              <w:t xml:space="preserve"> </w:t>
            </w:r>
            <w:r w:rsidRPr="003A0D25">
              <w:rPr>
                <w:rFonts w:ascii="Arial Narrow" w:hAnsi="Arial Narrow"/>
                <w:color w:val="333333"/>
                <w:sz w:val="20"/>
                <w:szCs w:val="20"/>
                <w:lang w:eastAsia="en-AU"/>
              </w:rPr>
              <w:t>disease resistant, refractory or intolerant to one or more prior therapies </w:t>
            </w:r>
          </w:p>
        </w:tc>
      </w:tr>
      <w:tr w:rsidR="000F4100" w:rsidRPr="003A0D25" w14:paraId="503D41A2" w14:textId="77777777" w:rsidTr="000F4100">
        <w:trPr>
          <w:trHeight w:val="113"/>
        </w:trPr>
        <w:tc>
          <w:tcPr>
            <w:tcW w:w="5000" w:type="pct"/>
            <w:hideMark/>
          </w:tcPr>
          <w:p w14:paraId="16BC48B0" w14:textId="77777777" w:rsidR="000F4100" w:rsidRPr="003A0D25" w:rsidRDefault="000F4100" w:rsidP="003926B6">
            <w:pPr>
              <w:pStyle w:val="Tabletext8pt"/>
              <w:keepNext w:val="0"/>
              <w:widowControl w:val="0"/>
              <w:rPr>
                <w:rFonts w:ascii="Arial Narrow" w:hAnsi="Arial Narrow"/>
                <w:b/>
                <w:sz w:val="20"/>
                <w:szCs w:val="20"/>
                <w:lang w:eastAsia="en-AU"/>
              </w:rPr>
            </w:pPr>
            <w:r w:rsidRPr="003A0D25">
              <w:rPr>
                <w:rFonts w:ascii="Arial Narrow" w:hAnsi="Arial Narrow"/>
                <w:b/>
                <w:color w:val="333333"/>
                <w:sz w:val="20"/>
                <w:szCs w:val="20"/>
                <w:lang w:eastAsia="en-AU"/>
              </w:rPr>
              <w:t>Clinical criteria: </w:t>
            </w:r>
          </w:p>
        </w:tc>
      </w:tr>
      <w:tr w:rsidR="000F4100" w:rsidRPr="003A0D25" w14:paraId="3FE63580" w14:textId="77777777" w:rsidTr="000F4100">
        <w:trPr>
          <w:trHeight w:val="159"/>
        </w:trPr>
        <w:tc>
          <w:tcPr>
            <w:tcW w:w="5000" w:type="pct"/>
            <w:hideMark/>
          </w:tcPr>
          <w:p w14:paraId="31AFCA07"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sz w:val="20"/>
                <w:szCs w:val="20"/>
                <w:lang w:eastAsia="en-AU"/>
              </w:rPr>
              <w:t>Patient must have received a hematopoietic stem-cell transplant </w:t>
            </w:r>
          </w:p>
        </w:tc>
      </w:tr>
      <w:tr w:rsidR="000F4100" w:rsidRPr="003A0D25" w14:paraId="7FE0427D" w14:textId="77777777" w:rsidTr="000F4100">
        <w:trPr>
          <w:trHeight w:val="191"/>
        </w:trPr>
        <w:tc>
          <w:tcPr>
            <w:tcW w:w="5000" w:type="pct"/>
            <w:hideMark/>
          </w:tcPr>
          <w:p w14:paraId="62E17F5F"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color w:val="333333"/>
                <w:sz w:val="20"/>
                <w:szCs w:val="20"/>
                <w:lang w:eastAsia="en-AU"/>
              </w:rPr>
              <w:t>OR </w:t>
            </w:r>
          </w:p>
        </w:tc>
      </w:tr>
      <w:tr w:rsidR="000F4100" w:rsidRPr="003A0D25" w14:paraId="11E8E319" w14:textId="77777777" w:rsidTr="000F4100">
        <w:trPr>
          <w:trHeight w:val="223"/>
        </w:trPr>
        <w:tc>
          <w:tcPr>
            <w:tcW w:w="5000" w:type="pct"/>
            <w:hideMark/>
          </w:tcPr>
          <w:p w14:paraId="60ED7D32"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sz w:val="20"/>
                <w:szCs w:val="20"/>
                <w:lang w:eastAsia="en-AU"/>
              </w:rPr>
              <w:t>Patient must have received a solid-organ transplant </w:t>
            </w:r>
          </w:p>
        </w:tc>
      </w:tr>
      <w:tr w:rsidR="000F4100" w:rsidRPr="003A0D25" w14:paraId="02F754E2" w14:textId="77777777" w:rsidTr="000F4100">
        <w:trPr>
          <w:trHeight w:val="127"/>
        </w:trPr>
        <w:tc>
          <w:tcPr>
            <w:tcW w:w="5000" w:type="pct"/>
            <w:hideMark/>
          </w:tcPr>
          <w:p w14:paraId="3FF707E9"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color w:val="333333"/>
                <w:sz w:val="20"/>
                <w:szCs w:val="20"/>
                <w:lang w:eastAsia="en-AU"/>
              </w:rPr>
              <w:t>AND </w:t>
            </w:r>
          </w:p>
        </w:tc>
      </w:tr>
      <w:tr w:rsidR="000F4100" w:rsidRPr="003A0D25" w14:paraId="5BC54E9F" w14:textId="77777777" w:rsidTr="000F4100">
        <w:trPr>
          <w:trHeight w:val="301"/>
        </w:trPr>
        <w:tc>
          <w:tcPr>
            <w:tcW w:w="5000" w:type="pct"/>
            <w:hideMark/>
          </w:tcPr>
          <w:p w14:paraId="7D02495C"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sz w:val="20"/>
                <w:szCs w:val="20"/>
                <w:lang w:eastAsia="en-AU"/>
              </w:rPr>
              <w:t xml:space="preserve">Patient must have a CMV infection or </w:t>
            </w:r>
            <w:r>
              <w:rPr>
                <w:rFonts w:ascii="Arial Narrow" w:hAnsi="Arial Narrow"/>
                <w:i/>
                <w:iCs/>
                <w:sz w:val="20"/>
                <w:szCs w:val="20"/>
                <w:lang w:eastAsia="en-AU"/>
              </w:rPr>
              <w:t xml:space="preserve">CMV </w:t>
            </w:r>
            <w:r w:rsidRPr="003A0D25">
              <w:rPr>
                <w:rFonts w:ascii="Arial Narrow" w:hAnsi="Arial Narrow"/>
                <w:sz w:val="20"/>
                <w:szCs w:val="20"/>
                <w:lang w:eastAsia="en-AU"/>
              </w:rPr>
              <w:t>disease that is resistant, refractory or intolerant to one or more prior anti-CMV therapies </w:t>
            </w:r>
          </w:p>
        </w:tc>
      </w:tr>
      <w:tr w:rsidR="000F4100" w:rsidRPr="003A0D25" w14:paraId="029B2E9F" w14:textId="77777777" w:rsidTr="000F4100">
        <w:trPr>
          <w:trHeight w:val="73"/>
        </w:trPr>
        <w:tc>
          <w:tcPr>
            <w:tcW w:w="5000" w:type="pct"/>
            <w:hideMark/>
          </w:tcPr>
          <w:p w14:paraId="582E485E" w14:textId="77777777" w:rsidR="000F4100" w:rsidRPr="003A0D25" w:rsidRDefault="000F4100" w:rsidP="003926B6">
            <w:pPr>
              <w:pStyle w:val="Tabletext8pt"/>
              <w:keepNext w:val="0"/>
              <w:widowControl w:val="0"/>
              <w:rPr>
                <w:rFonts w:ascii="Arial Narrow" w:hAnsi="Arial Narrow"/>
                <w:b/>
                <w:sz w:val="20"/>
                <w:szCs w:val="20"/>
                <w:lang w:eastAsia="en-AU"/>
              </w:rPr>
            </w:pPr>
            <w:r w:rsidRPr="003A0D25">
              <w:rPr>
                <w:rFonts w:ascii="Arial Narrow" w:hAnsi="Arial Narrow"/>
                <w:b/>
                <w:color w:val="333333"/>
                <w:sz w:val="20"/>
                <w:szCs w:val="20"/>
                <w:lang w:eastAsia="en-AU"/>
              </w:rPr>
              <w:t>Population criteria: </w:t>
            </w:r>
          </w:p>
        </w:tc>
      </w:tr>
      <w:tr w:rsidR="000F4100" w:rsidRPr="003A0D25" w14:paraId="13800FC8" w14:textId="77777777" w:rsidTr="000F4100">
        <w:trPr>
          <w:trHeight w:val="119"/>
        </w:trPr>
        <w:tc>
          <w:tcPr>
            <w:tcW w:w="5000" w:type="pct"/>
            <w:hideMark/>
          </w:tcPr>
          <w:p w14:paraId="50241680"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sz w:val="20"/>
                <w:szCs w:val="20"/>
                <w:lang w:eastAsia="en-AU"/>
              </w:rPr>
              <w:t xml:space="preserve">Patient must be </w:t>
            </w:r>
            <w:r w:rsidRPr="00263635">
              <w:rPr>
                <w:rFonts w:ascii="Arial Narrow" w:hAnsi="Arial Narrow"/>
                <w:strike/>
                <w:sz w:val="20"/>
                <w:szCs w:val="20"/>
                <w:lang w:eastAsia="en-AU"/>
              </w:rPr>
              <w:t>≥</w:t>
            </w:r>
            <w:r w:rsidRPr="003A0D25">
              <w:rPr>
                <w:rFonts w:ascii="Arial Narrow" w:hAnsi="Arial Narrow"/>
                <w:sz w:val="20"/>
                <w:szCs w:val="20"/>
                <w:lang w:eastAsia="en-AU"/>
              </w:rPr>
              <w:t>18 years old</w:t>
            </w:r>
            <w:r w:rsidRPr="003A0D25">
              <w:rPr>
                <w:rFonts w:ascii="Arial Narrow" w:hAnsi="Arial Narrow"/>
                <w:color w:val="333333"/>
                <w:sz w:val="20"/>
                <w:szCs w:val="20"/>
                <w:lang w:eastAsia="en-AU"/>
              </w:rPr>
              <w:t> </w:t>
            </w:r>
            <w:r w:rsidRPr="00A36730">
              <w:rPr>
                <w:rFonts w:ascii="Arial Narrow" w:hAnsi="Arial Narrow"/>
                <w:i/>
                <w:iCs/>
                <w:color w:val="333333"/>
                <w:sz w:val="20"/>
                <w:szCs w:val="20"/>
                <w:lang w:eastAsia="en-AU"/>
              </w:rPr>
              <w:t>or older</w:t>
            </w:r>
            <w:r w:rsidRPr="003A0D25">
              <w:rPr>
                <w:rFonts w:ascii="Arial Narrow" w:hAnsi="Arial Narrow"/>
                <w:color w:val="333333"/>
                <w:sz w:val="20"/>
                <w:szCs w:val="20"/>
                <w:lang w:eastAsia="en-AU"/>
              </w:rPr>
              <w:t> </w:t>
            </w:r>
          </w:p>
        </w:tc>
      </w:tr>
      <w:tr w:rsidR="000F4100" w:rsidRPr="003A0D25" w14:paraId="29E5CCD9" w14:textId="77777777" w:rsidTr="000F4100">
        <w:trPr>
          <w:trHeight w:val="165"/>
        </w:trPr>
        <w:tc>
          <w:tcPr>
            <w:tcW w:w="5000" w:type="pct"/>
            <w:hideMark/>
          </w:tcPr>
          <w:p w14:paraId="5E98E068" w14:textId="77777777" w:rsidR="000F4100" w:rsidRPr="003A0D25" w:rsidRDefault="000F4100" w:rsidP="003926B6">
            <w:pPr>
              <w:pStyle w:val="Tabletext8pt"/>
              <w:keepNext w:val="0"/>
              <w:widowControl w:val="0"/>
              <w:rPr>
                <w:rFonts w:ascii="Arial Narrow" w:hAnsi="Arial Narrow"/>
                <w:b/>
                <w:sz w:val="20"/>
                <w:szCs w:val="20"/>
                <w:lang w:eastAsia="en-AU"/>
              </w:rPr>
            </w:pPr>
            <w:r w:rsidRPr="003A0D25">
              <w:rPr>
                <w:rFonts w:ascii="Arial Narrow" w:hAnsi="Arial Narrow"/>
                <w:b/>
                <w:sz w:val="20"/>
                <w:szCs w:val="20"/>
                <w:lang w:eastAsia="en-AU"/>
              </w:rPr>
              <w:t>Prescribing instructions:</w:t>
            </w:r>
          </w:p>
        </w:tc>
      </w:tr>
      <w:tr w:rsidR="000F4100" w:rsidRPr="003A0D25" w14:paraId="4BE3EA34" w14:textId="77777777" w:rsidTr="000F4100">
        <w:trPr>
          <w:trHeight w:val="300"/>
        </w:trPr>
        <w:tc>
          <w:tcPr>
            <w:tcW w:w="5000" w:type="pct"/>
            <w:hideMark/>
          </w:tcPr>
          <w:p w14:paraId="7800A5C2"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sz w:val="20"/>
                <w:szCs w:val="20"/>
                <w:lang w:eastAsia="en-AU"/>
              </w:rPr>
              <w:lastRenderedPageBreak/>
              <w:t>Patients are determined to be refractory if after two weeks of appropriately dose</w:t>
            </w:r>
            <w:r w:rsidRPr="004E53FB">
              <w:rPr>
                <w:rFonts w:ascii="Arial Narrow" w:hAnsi="Arial Narrow"/>
                <w:i/>
                <w:iCs/>
                <w:sz w:val="20"/>
                <w:szCs w:val="20"/>
                <w:lang w:eastAsia="en-AU"/>
              </w:rPr>
              <w:t>d</w:t>
            </w:r>
            <w:r w:rsidRPr="003A0D25">
              <w:rPr>
                <w:rFonts w:ascii="Arial Narrow" w:hAnsi="Arial Narrow"/>
                <w:sz w:val="20"/>
                <w:szCs w:val="20"/>
                <w:lang w:eastAsia="en-AU"/>
              </w:rPr>
              <w:t xml:space="preserve"> antiviral therapy their peak viral load has decreased by </w:t>
            </w:r>
            <w:r w:rsidRPr="004E53FB">
              <w:rPr>
                <w:rFonts w:ascii="Arial Narrow" w:hAnsi="Arial Narrow"/>
                <w:strike/>
                <w:sz w:val="20"/>
                <w:szCs w:val="20"/>
                <w:lang w:eastAsia="en-AU"/>
              </w:rPr>
              <w:t xml:space="preserve">&lt; </w:t>
            </w:r>
            <w:r w:rsidRPr="004E53FB">
              <w:rPr>
                <w:rFonts w:ascii="Arial Narrow" w:hAnsi="Arial Narrow"/>
                <w:i/>
                <w:iCs/>
                <w:sz w:val="20"/>
                <w:szCs w:val="20"/>
                <w:lang w:eastAsia="en-AU"/>
              </w:rPr>
              <w:t>less than</w:t>
            </w:r>
            <w:r w:rsidRPr="003A0D25">
              <w:rPr>
                <w:rFonts w:ascii="Arial Narrow" w:hAnsi="Arial Narrow"/>
                <w:sz w:val="20"/>
                <w:szCs w:val="20"/>
                <w:lang w:eastAsia="en-AU"/>
              </w:rPr>
              <w:t xml:space="preserve"> 1 log</w:t>
            </w:r>
            <w:r>
              <w:rPr>
                <w:rFonts w:ascii="Arial Narrow" w:hAnsi="Arial Narrow"/>
                <w:sz w:val="20"/>
                <w:szCs w:val="20"/>
                <w:lang w:eastAsia="en-AU"/>
              </w:rPr>
              <w:t>10</w:t>
            </w:r>
            <w:r w:rsidRPr="004E53FB">
              <w:rPr>
                <w:rFonts w:ascii="Arial Narrow" w:hAnsi="Arial Narrow"/>
                <w:strike/>
                <w:sz w:val="20"/>
                <w:szCs w:val="20"/>
                <w:vertAlign w:val="subscript"/>
                <w:lang w:eastAsia="en-AU"/>
              </w:rPr>
              <w:t>10</w:t>
            </w:r>
            <w:r w:rsidRPr="003A0D25">
              <w:rPr>
                <w:rFonts w:ascii="Arial Narrow" w:hAnsi="Arial Narrow"/>
                <w:sz w:val="20"/>
                <w:szCs w:val="20"/>
                <w:lang w:eastAsia="en-AU"/>
              </w:rPr>
              <w:t xml:space="preserve"> versus baseline.</w:t>
            </w:r>
          </w:p>
        </w:tc>
      </w:tr>
      <w:tr w:rsidR="000F4100" w:rsidRPr="003A0D25" w14:paraId="31D722F3" w14:textId="77777777" w:rsidTr="000F4100">
        <w:trPr>
          <w:trHeight w:val="300"/>
        </w:trPr>
        <w:tc>
          <w:tcPr>
            <w:tcW w:w="5000" w:type="pct"/>
          </w:tcPr>
          <w:p w14:paraId="71E32389"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sz w:val="20"/>
                <w:szCs w:val="20"/>
                <w:lang w:eastAsia="en-AU"/>
              </w:rPr>
              <w:t>Patients are determined to be resistant by the identification of a viral genetic alteration that decreases susceptibility to one or more antiviral drugs.</w:t>
            </w:r>
          </w:p>
        </w:tc>
      </w:tr>
      <w:tr w:rsidR="000F4100" w:rsidRPr="003A0D25" w14:paraId="7EF3EFAE" w14:textId="77777777" w:rsidTr="000F4100">
        <w:trPr>
          <w:trHeight w:val="300"/>
        </w:trPr>
        <w:tc>
          <w:tcPr>
            <w:tcW w:w="5000" w:type="pct"/>
          </w:tcPr>
          <w:p w14:paraId="20F8AC3A" w14:textId="77777777" w:rsidR="000F4100" w:rsidRPr="003A0D25" w:rsidRDefault="000F4100" w:rsidP="003926B6">
            <w:pPr>
              <w:pStyle w:val="Tabletext8pt"/>
              <w:keepNext w:val="0"/>
              <w:widowControl w:val="0"/>
              <w:rPr>
                <w:rFonts w:ascii="Arial Narrow" w:hAnsi="Arial Narrow"/>
                <w:sz w:val="20"/>
                <w:szCs w:val="20"/>
                <w:lang w:eastAsia="en-AU"/>
              </w:rPr>
            </w:pPr>
            <w:r w:rsidRPr="003A0D25">
              <w:rPr>
                <w:rFonts w:ascii="Arial Narrow" w:hAnsi="Arial Narrow"/>
                <w:sz w:val="20"/>
                <w:szCs w:val="20"/>
              </w:rPr>
              <w:t>Patients are determined to be intolerant if the potential toxicity of one or more antivirals prevents their appropriate use.</w:t>
            </w:r>
          </w:p>
        </w:tc>
      </w:tr>
      <w:tr w:rsidR="000F4100" w:rsidRPr="003A0D25" w14:paraId="15F9475F" w14:textId="77777777" w:rsidTr="000F4100">
        <w:trPr>
          <w:trHeight w:val="300"/>
        </w:trPr>
        <w:tc>
          <w:tcPr>
            <w:tcW w:w="5000" w:type="pct"/>
          </w:tcPr>
          <w:p w14:paraId="581AC4B5" w14:textId="77777777" w:rsidR="000F4100" w:rsidRPr="003A0D25" w:rsidRDefault="000F4100" w:rsidP="003926B6">
            <w:pPr>
              <w:pStyle w:val="Tabletext8pt"/>
              <w:keepNext w:val="0"/>
              <w:widowControl w:val="0"/>
              <w:rPr>
                <w:rFonts w:ascii="Arial Narrow" w:hAnsi="Arial Narrow"/>
                <w:sz w:val="20"/>
                <w:szCs w:val="20"/>
              </w:rPr>
            </w:pPr>
            <w:r w:rsidRPr="003A0D25">
              <w:rPr>
                <w:rFonts w:ascii="Arial Narrow" w:hAnsi="Arial Narrow"/>
                <w:sz w:val="20"/>
                <w:szCs w:val="20"/>
              </w:rPr>
              <w:t>Maribavir should be used as monotherapy and use with valganciclovir or ganciclovir is contraindicated</w:t>
            </w:r>
          </w:p>
        </w:tc>
      </w:tr>
    </w:tbl>
    <w:p w14:paraId="1733C568" w14:textId="77777777" w:rsidR="005F4D0C" w:rsidRDefault="005F4D0C" w:rsidP="005F4D0C">
      <w:pPr>
        <w:pStyle w:val="Caption"/>
      </w:pPr>
    </w:p>
    <w:tbl>
      <w:tblPr>
        <w:tblStyle w:val="TableGrid"/>
        <w:tblW w:w="5000" w:type="pct"/>
        <w:tblLook w:val="04A0" w:firstRow="1" w:lastRow="0" w:firstColumn="1" w:lastColumn="0" w:noHBand="0" w:noVBand="1"/>
      </w:tblPr>
      <w:tblGrid>
        <w:gridCol w:w="9017"/>
      </w:tblGrid>
      <w:tr w:rsidR="0007754A" w:rsidRPr="00163B95" w14:paraId="793C16B9" w14:textId="77777777" w:rsidTr="003926B6">
        <w:trPr>
          <w:trHeight w:val="70"/>
        </w:trPr>
        <w:tc>
          <w:tcPr>
            <w:tcW w:w="5000" w:type="pct"/>
          </w:tcPr>
          <w:p w14:paraId="127DA553" w14:textId="77777777" w:rsidR="0007754A" w:rsidRPr="004E53FB" w:rsidRDefault="0007754A" w:rsidP="004938D3">
            <w:pPr>
              <w:pStyle w:val="Tabletext8pt"/>
              <w:rPr>
                <w:rFonts w:ascii="Arial Narrow" w:hAnsi="Arial Narrow"/>
                <w:strike/>
                <w:sz w:val="20"/>
                <w:szCs w:val="20"/>
                <w:lang w:eastAsia="en-AU"/>
              </w:rPr>
            </w:pPr>
            <w:r w:rsidRPr="004E53FB">
              <w:rPr>
                <w:rFonts w:ascii="Arial Narrow" w:hAnsi="Arial Narrow"/>
                <w:b/>
                <w:strike/>
                <w:sz w:val="20"/>
                <w:szCs w:val="20"/>
                <w:lang w:eastAsia="en-AU"/>
              </w:rPr>
              <w:t>Treatment phase:</w:t>
            </w:r>
            <w:r w:rsidRPr="004E53FB">
              <w:rPr>
                <w:rFonts w:ascii="Arial Narrow" w:hAnsi="Arial Narrow"/>
                <w:strike/>
                <w:sz w:val="20"/>
                <w:szCs w:val="20"/>
                <w:lang w:eastAsia="en-AU"/>
              </w:rPr>
              <w:t xml:space="preserve"> Continuing treatment</w:t>
            </w:r>
          </w:p>
        </w:tc>
      </w:tr>
      <w:tr w:rsidR="0007754A" w:rsidRPr="00163B95" w14:paraId="0D88F02B" w14:textId="77777777" w:rsidTr="003926B6">
        <w:trPr>
          <w:trHeight w:val="89"/>
        </w:trPr>
        <w:tc>
          <w:tcPr>
            <w:tcW w:w="5000" w:type="pct"/>
            <w:hideMark/>
          </w:tcPr>
          <w:p w14:paraId="7A0E315F" w14:textId="77777777" w:rsidR="0007754A" w:rsidRPr="004E53FB" w:rsidRDefault="0007754A" w:rsidP="004938D3">
            <w:pPr>
              <w:pStyle w:val="Tabletext8pt"/>
              <w:rPr>
                <w:rFonts w:ascii="Arial Narrow" w:hAnsi="Arial Narrow"/>
                <w:strike/>
                <w:sz w:val="20"/>
                <w:szCs w:val="20"/>
                <w:lang w:eastAsia="en-AU"/>
              </w:rPr>
            </w:pPr>
            <w:r w:rsidRPr="004E53FB">
              <w:rPr>
                <w:rFonts w:ascii="Arial Narrow" w:hAnsi="Arial Narrow"/>
                <w:b/>
                <w:strike/>
                <w:color w:val="333333"/>
                <w:sz w:val="20"/>
                <w:szCs w:val="20"/>
                <w:lang w:eastAsia="en-AU"/>
              </w:rPr>
              <w:t>Condition:</w:t>
            </w:r>
            <w:r w:rsidRPr="004E53FB">
              <w:rPr>
                <w:rFonts w:ascii="Arial Narrow" w:hAnsi="Arial Narrow"/>
                <w:strike/>
                <w:color w:val="333333"/>
                <w:sz w:val="20"/>
                <w:szCs w:val="20"/>
                <w:lang w:eastAsia="en-AU"/>
              </w:rPr>
              <w:t xml:space="preserve"> Post-transplant cytomegalovirus (CMV) infection and disease </w:t>
            </w:r>
          </w:p>
        </w:tc>
      </w:tr>
      <w:tr w:rsidR="0007754A" w:rsidRPr="00163B95" w14:paraId="372C62D0" w14:textId="77777777" w:rsidTr="003926B6">
        <w:trPr>
          <w:trHeight w:val="300"/>
        </w:trPr>
        <w:tc>
          <w:tcPr>
            <w:tcW w:w="5000" w:type="pct"/>
            <w:hideMark/>
          </w:tcPr>
          <w:p w14:paraId="115CFB96" w14:textId="77777777" w:rsidR="0007754A" w:rsidRPr="004E53FB" w:rsidRDefault="0007754A" w:rsidP="004938D3">
            <w:pPr>
              <w:pStyle w:val="Tabletext8pt"/>
              <w:rPr>
                <w:rFonts w:ascii="Arial Narrow" w:hAnsi="Arial Narrow"/>
                <w:strike/>
                <w:sz w:val="20"/>
                <w:szCs w:val="20"/>
                <w:lang w:eastAsia="en-AU"/>
              </w:rPr>
            </w:pPr>
            <w:r w:rsidRPr="004E53FB">
              <w:rPr>
                <w:rFonts w:ascii="Arial Narrow" w:hAnsi="Arial Narrow"/>
                <w:b/>
                <w:strike/>
                <w:color w:val="333333"/>
                <w:sz w:val="20"/>
                <w:szCs w:val="20"/>
                <w:lang w:eastAsia="en-AU"/>
              </w:rPr>
              <w:t>Indication:</w:t>
            </w:r>
            <w:r w:rsidRPr="004E53FB">
              <w:rPr>
                <w:rFonts w:ascii="Arial Narrow" w:hAnsi="Arial Narrow"/>
                <w:strike/>
                <w:color w:val="333333"/>
                <w:sz w:val="20"/>
                <w:szCs w:val="20"/>
                <w:lang w:eastAsia="en-AU"/>
              </w:rPr>
              <w:t xml:space="preserve"> Acute treatment of adults with post-transplant cytomegalovirus (CMV) infection and disease resistant, refractory or intolerant to one or more prior therapies </w:t>
            </w:r>
          </w:p>
        </w:tc>
      </w:tr>
      <w:tr w:rsidR="0007754A" w:rsidRPr="00163B95" w14:paraId="54553C42" w14:textId="77777777" w:rsidTr="003926B6">
        <w:trPr>
          <w:trHeight w:val="113"/>
        </w:trPr>
        <w:tc>
          <w:tcPr>
            <w:tcW w:w="5000" w:type="pct"/>
            <w:hideMark/>
          </w:tcPr>
          <w:p w14:paraId="36C8E711" w14:textId="77777777" w:rsidR="0007754A" w:rsidRPr="004E53FB" w:rsidRDefault="0007754A" w:rsidP="004938D3">
            <w:pPr>
              <w:pStyle w:val="Tabletext8pt"/>
              <w:rPr>
                <w:rFonts w:ascii="Arial Narrow" w:hAnsi="Arial Narrow"/>
                <w:b/>
                <w:strike/>
                <w:sz w:val="20"/>
                <w:szCs w:val="20"/>
                <w:lang w:eastAsia="en-AU"/>
              </w:rPr>
            </w:pPr>
            <w:r w:rsidRPr="004E53FB">
              <w:rPr>
                <w:rFonts w:ascii="Arial Narrow" w:hAnsi="Arial Narrow"/>
                <w:b/>
                <w:strike/>
                <w:color w:val="333333"/>
                <w:sz w:val="20"/>
                <w:szCs w:val="20"/>
                <w:lang w:eastAsia="en-AU"/>
              </w:rPr>
              <w:t>Clinical criteria: </w:t>
            </w:r>
          </w:p>
        </w:tc>
      </w:tr>
      <w:tr w:rsidR="0007754A" w:rsidRPr="00163B95" w14:paraId="07DC2884" w14:textId="77777777" w:rsidTr="003926B6">
        <w:trPr>
          <w:trHeight w:val="301"/>
        </w:trPr>
        <w:tc>
          <w:tcPr>
            <w:tcW w:w="5000" w:type="pct"/>
            <w:hideMark/>
          </w:tcPr>
          <w:p w14:paraId="3D6C894D" w14:textId="77777777" w:rsidR="0007754A" w:rsidRPr="004E53FB" w:rsidRDefault="0007754A" w:rsidP="004938D3">
            <w:pPr>
              <w:pStyle w:val="Tabletext8pt"/>
              <w:rPr>
                <w:rFonts w:ascii="Arial Narrow" w:hAnsi="Arial Narrow"/>
                <w:strike/>
                <w:sz w:val="20"/>
                <w:szCs w:val="20"/>
                <w:lang w:eastAsia="en-AU"/>
              </w:rPr>
            </w:pPr>
            <w:r w:rsidRPr="004E53FB">
              <w:rPr>
                <w:rFonts w:ascii="Arial Narrow" w:hAnsi="Arial Narrow"/>
                <w:strike/>
                <w:sz w:val="20"/>
                <w:szCs w:val="20"/>
                <w:lang w:eastAsia="en-AU"/>
              </w:rPr>
              <w:t>Patient must have previously received PBS-subsidised treatment with this drug for this condition</w:t>
            </w:r>
          </w:p>
        </w:tc>
      </w:tr>
      <w:tr w:rsidR="0007754A" w:rsidRPr="00163B95" w14:paraId="539B46DA" w14:textId="77777777" w:rsidTr="003926B6">
        <w:trPr>
          <w:trHeight w:val="73"/>
        </w:trPr>
        <w:tc>
          <w:tcPr>
            <w:tcW w:w="5000" w:type="pct"/>
            <w:hideMark/>
          </w:tcPr>
          <w:p w14:paraId="55E8809F" w14:textId="77777777" w:rsidR="0007754A" w:rsidRPr="004E53FB" w:rsidRDefault="0007754A" w:rsidP="004938D3">
            <w:pPr>
              <w:pStyle w:val="Tabletext8pt"/>
              <w:rPr>
                <w:rFonts w:ascii="Arial Narrow" w:hAnsi="Arial Narrow"/>
                <w:b/>
                <w:strike/>
                <w:sz w:val="20"/>
                <w:szCs w:val="20"/>
                <w:lang w:eastAsia="en-AU"/>
              </w:rPr>
            </w:pPr>
            <w:r w:rsidRPr="004E53FB">
              <w:rPr>
                <w:rFonts w:ascii="Arial Narrow" w:hAnsi="Arial Narrow"/>
                <w:b/>
                <w:strike/>
                <w:color w:val="333333"/>
                <w:sz w:val="20"/>
                <w:szCs w:val="20"/>
                <w:lang w:eastAsia="en-AU"/>
              </w:rPr>
              <w:t>Population criteria: </w:t>
            </w:r>
          </w:p>
        </w:tc>
      </w:tr>
      <w:tr w:rsidR="0007754A" w:rsidRPr="00163B95" w14:paraId="593903F0" w14:textId="77777777" w:rsidTr="003926B6">
        <w:trPr>
          <w:trHeight w:val="119"/>
        </w:trPr>
        <w:tc>
          <w:tcPr>
            <w:tcW w:w="5000" w:type="pct"/>
            <w:hideMark/>
          </w:tcPr>
          <w:p w14:paraId="3DED71F1" w14:textId="77777777" w:rsidR="0007754A" w:rsidRPr="004E53FB" w:rsidRDefault="0007754A" w:rsidP="004938D3">
            <w:pPr>
              <w:pStyle w:val="Tabletext8pt"/>
              <w:rPr>
                <w:rFonts w:ascii="Arial Narrow" w:hAnsi="Arial Narrow"/>
                <w:strike/>
                <w:sz w:val="20"/>
                <w:szCs w:val="20"/>
                <w:lang w:eastAsia="en-AU"/>
              </w:rPr>
            </w:pPr>
            <w:r w:rsidRPr="004E53FB">
              <w:rPr>
                <w:rFonts w:ascii="Arial Narrow" w:hAnsi="Arial Narrow"/>
                <w:strike/>
                <w:sz w:val="20"/>
                <w:szCs w:val="20"/>
                <w:lang w:eastAsia="en-AU"/>
              </w:rPr>
              <w:t>Patient must be ≥18 years old</w:t>
            </w:r>
            <w:r w:rsidRPr="004E53FB">
              <w:rPr>
                <w:rFonts w:ascii="Arial Narrow" w:hAnsi="Arial Narrow"/>
                <w:strike/>
                <w:color w:val="333333"/>
                <w:sz w:val="20"/>
                <w:szCs w:val="20"/>
                <w:lang w:eastAsia="en-AU"/>
              </w:rPr>
              <w:t>  </w:t>
            </w:r>
          </w:p>
        </w:tc>
      </w:tr>
      <w:tr w:rsidR="0007754A" w:rsidRPr="00163B95" w14:paraId="5A5A9069" w14:textId="77777777" w:rsidTr="003926B6">
        <w:trPr>
          <w:trHeight w:val="119"/>
        </w:trPr>
        <w:tc>
          <w:tcPr>
            <w:tcW w:w="5000" w:type="pct"/>
          </w:tcPr>
          <w:p w14:paraId="20CC580C" w14:textId="77777777" w:rsidR="0007754A" w:rsidRPr="004E53FB" w:rsidRDefault="0007754A" w:rsidP="004938D3">
            <w:pPr>
              <w:pStyle w:val="Tabletext8pt"/>
              <w:rPr>
                <w:rFonts w:ascii="Arial Narrow" w:hAnsi="Arial Narrow"/>
                <w:strike/>
                <w:sz w:val="20"/>
                <w:szCs w:val="20"/>
                <w:lang w:eastAsia="en-AU"/>
              </w:rPr>
            </w:pPr>
            <w:r w:rsidRPr="004E53FB">
              <w:rPr>
                <w:rFonts w:ascii="Arial Narrow" w:hAnsi="Arial Narrow"/>
                <w:b/>
                <w:strike/>
                <w:sz w:val="20"/>
                <w:szCs w:val="20"/>
                <w:lang w:eastAsia="en-AU"/>
              </w:rPr>
              <w:t>Prescribing instructions:</w:t>
            </w:r>
          </w:p>
        </w:tc>
      </w:tr>
      <w:tr w:rsidR="0007754A" w:rsidRPr="00163B95" w14:paraId="4EB98549" w14:textId="77777777" w:rsidTr="003926B6">
        <w:trPr>
          <w:trHeight w:val="119"/>
        </w:trPr>
        <w:tc>
          <w:tcPr>
            <w:tcW w:w="5000" w:type="pct"/>
          </w:tcPr>
          <w:p w14:paraId="72374E08" w14:textId="77777777" w:rsidR="0007754A" w:rsidRPr="004E53FB" w:rsidRDefault="0007754A" w:rsidP="004938D3">
            <w:pPr>
              <w:pStyle w:val="Tabletext8pt"/>
              <w:rPr>
                <w:rFonts w:ascii="Arial Narrow" w:hAnsi="Arial Narrow"/>
                <w:strike/>
                <w:sz w:val="20"/>
                <w:szCs w:val="20"/>
                <w:lang w:eastAsia="en-AU"/>
              </w:rPr>
            </w:pPr>
            <w:r w:rsidRPr="004E53FB">
              <w:rPr>
                <w:rFonts w:ascii="Arial Narrow" w:hAnsi="Arial Narrow"/>
                <w:strike/>
                <w:sz w:val="20"/>
                <w:szCs w:val="20"/>
              </w:rPr>
              <w:t>Maribavir should be used as monotherapy and use with valganciclovir or ganciclovir is contraindicated</w:t>
            </w:r>
          </w:p>
        </w:tc>
      </w:tr>
    </w:tbl>
    <w:p w14:paraId="720820B1" w14:textId="77777777" w:rsidR="00394C5F" w:rsidRPr="003926B6" w:rsidRDefault="00394C5F" w:rsidP="003A4C14">
      <w:pPr>
        <w:pStyle w:val="TableText0"/>
        <w:rPr>
          <w:rFonts w:asciiTheme="minorHAnsi" w:hAnsiTheme="minorHAnsi" w:cstheme="minorHAnsi"/>
          <w:sz w:val="12"/>
          <w:szCs w:val="16"/>
        </w:rPr>
      </w:pPr>
    </w:p>
    <w:p w14:paraId="4EB8DD15" w14:textId="3A109A9B" w:rsidR="006D32C1" w:rsidRPr="00314989" w:rsidRDefault="006D32C1" w:rsidP="00653520">
      <w:pPr>
        <w:pStyle w:val="ExecSumBodyText"/>
        <w:numPr>
          <w:ilvl w:val="1"/>
          <w:numId w:val="1"/>
        </w:numPr>
        <w:rPr>
          <w:iCs/>
        </w:rPr>
      </w:pPr>
      <w:r w:rsidRPr="00314989">
        <w:rPr>
          <w:iCs/>
        </w:rPr>
        <w:t xml:space="preserve">The </w:t>
      </w:r>
      <w:r w:rsidR="00900491">
        <w:rPr>
          <w:iCs/>
        </w:rPr>
        <w:t xml:space="preserve">submission’s proposed </w:t>
      </w:r>
      <w:r w:rsidRPr="00314989">
        <w:rPr>
          <w:iCs/>
        </w:rPr>
        <w:t xml:space="preserve">restriction does not align with the </w:t>
      </w:r>
      <w:r w:rsidR="00EE4EF2" w:rsidRPr="00314989">
        <w:rPr>
          <w:iCs/>
        </w:rPr>
        <w:t xml:space="preserve">population studied in the </w:t>
      </w:r>
      <w:r w:rsidR="00544096">
        <w:rPr>
          <w:iCs/>
        </w:rPr>
        <w:t xml:space="preserve">SOLSTICE </w:t>
      </w:r>
      <w:r w:rsidRPr="00314989">
        <w:rPr>
          <w:iCs/>
        </w:rPr>
        <w:t>trial. Eligibility for the trial required infection refractory to treatment</w:t>
      </w:r>
      <w:r w:rsidR="00B70AEA" w:rsidRPr="00314989">
        <w:rPr>
          <w:iCs/>
        </w:rPr>
        <w:t>. Patients with r</w:t>
      </w:r>
      <w:r w:rsidRPr="00314989">
        <w:rPr>
          <w:iCs/>
        </w:rPr>
        <w:t>esistance alone</w:t>
      </w:r>
      <w:r w:rsidR="008B182C" w:rsidRPr="00314989">
        <w:rPr>
          <w:iCs/>
        </w:rPr>
        <w:t>, or intolerance alone,</w:t>
      </w:r>
      <w:r w:rsidRPr="00314989">
        <w:rPr>
          <w:iCs/>
        </w:rPr>
        <w:t xml:space="preserve"> </w:t>
      </w:r>
      <w:r w:rsidR="00B70AEA" w:rsidRPr="00314989">
        <w:rPr>
          <w:iCs/>
        </w:rPr>
        <w:t>were not eligible</w:t>
      </w:r>
      <w:r w:rsidR="008B182C" w:rsidRPr="00314989">
        <w:rPr>
          <w:iCs/>
        </w:rPr>
        <w:t>.</w:t>
      </w:r>
      <w:r w:rsidR="00B70AEA" w:rsidRPr="00314989">
        <w:rPr>
          <w:iCs/>
        </w:rPr>
        <w:t xml:space="preserve"> </w:t>
      </w:r>
      <w:r w:rsidR="00544096" w:rsidRPr="00421405">
        <w:t xml:space="preserve">The Pre-Sub-Committee Response (PSCR) stated the SOLSTICE trial excluded patients who had genotypic resistance to investigator assigned anti-CMV treatment (IAT) but who were not refractory </w:t>
      </w:r>
      <w:r w:rsidR="00673492" w:rsidRPr="00421405">
        <w:t xml:space="preserve">because </w:t>
      </w:r>
      <w:r w:rsidR="00544096" w:rsidRPr="00421405">
        <w:t xml:space="preserve">in this scenario, </w:t>
      </w:r>
      <w:r w:rsidR="005D3482" w:rsidRPr="00421405">
        <w:t>the IAT</w:t>
      </w:r>
      <w:r w:rsidR="00544096" w:rsidRPr="00421405">
        <w:t xml:space="preserve"> </w:t>
      </w:r>
      <w:r w:rsidR="003C667C">
        <w:t>was</w:t>
      </w:r>
      <w:r w:rsidR="003C667C" w:rsidRPr="00421405">
        <w:t xml:space="preserve"> </w:t>
      </w:r>
      <w:r w:rsidR="00544096" w:rsidRPr="00421405">
        <w:t>expected to be ineffective</w:t>
      </w:r>
      <w:r w:rsidR="00673492" w:rsidRPr="00421405">
        <w:t xml:space="preserve">. The PSCR argued </w:t>
      </w:r>
      <w:r w:rsidR="00544096" w:rsidRPr="00421405">
        <w:t xml:space="preserve">that patients </w:t>
      </w:r>
      <w:r w:rsidR="005D3482" w:rsidRPr="00421405">
        <w:t xml:space="preserve">with resistance alone </w:t>
      </w:r>
      <w:r w:rsidR="00544096" w:rsidRPr="00421405">
        <w:t>should not be excluded from receiving maribavir.</w:t>
      </w:r>
      <w:r w:rsidR="00673492" w:rsidRPr="00421405">
        <w:t xml:space="preserve"> The ESC noted that in </w:t>
      </w:r>
      <w:r w:rsidR="000C44B4" w:rsidRPr="00421405">
        <w:t xml:space="preserve">Australian </w:t>
      </w:r>
      <w:r w:rsidR="00673492" w:rsidRPr="00421405">
        <w:t xml:space="preserve">clinical practice </w:t>
      </w:r>
      <w:r w:rsidR="00110BD7" w:rsidRPr="00421405">
        <w:t xml:space="preserve">genotypic </w:t>
      </w:r>
      <w:r w:rsidR="00673492" w:rsidRPr="00421405">
        <w:t>testing for resistance is not available within useful timeframes, therefore clinical decisions are likely to be based on response to treatment rather than</w:t>
      </w:r>
      <w:r w:rsidR="000C44B4" w:rsidRPr="00421405">
        <w:t xml:space="preserve"> genotypic</w:t>
      </w:r>
      <w:r w:rsidR="00673492" w:rsidRPr="00421405">
        <w:t xml:space="preserve"> testing for mutations conferring resistance.</w:t>
      </w:r>
    </w:p>
    <w:p w14:paraId="4C4B972B" w14:textId="0853E229" w:rsidR="006412B3" w:rsidRPr="00314989" w:rsidRDefault="006412B3" w:rsidP="00653520">
      <w:pPr>
        <w:pStyle w:val="ExecSumBodyText"/>
        <w:numPr>
          <w:ilvl w:val="1"/>
          <w:numId w:val="1"/>
        </w:numPr>
        <w:rPr>
          <w:iCs/>
        </w:rPr>
      </w:pPr>
      <w:r w:rsidRPr="00314989">
        <w:rPr>
          <w:iCs/>
        </w:rPr>
        <w:t xml:space="preserve">The </w:t>
      </w:r>
      <w:r w:rsidR="005E4C66">
        <w:rPr>
          <w:iCs/>
        </w:rPr>
        <w:t xml:space="preserve">evaluation </w:t>
      </w:r>
      <w:r w:rsidR="00E71E6C">
        <w:rPr>
          <w:iCs/>
        </w:rPr>
        <w:t>highlighted</w:t>
      </w:r>
      <w:r w:rsidR="005E4C66">
        <w:rPr>
          <w:iCs/>
        </w:rPr>
        <w:t xml:space="preserve"> that the </w:t>
      </w:r>
      <w:r w:rsidRPr="00314989">
        <w:rPr>
          <w:iCs/>
        </w:rPr>
        <w:t xml:space="preserve">difference in outcomes in favour of maribavir </w:t>
      </w:r>
      <w:r w:rsidR="00E71E6C">
        <w:rPr>
          <w:iCs/>
        </w:rPr>
        <w:t xml:space="preserve">in the SOLSTICE trial </w:t>
      </w:r>
      <w:r w:rsidRPr="00314989">
        <w:rPr>
          <w:iCs/>
        </w:rPr>
        <w:t xml:space="preserve">was large in patients refractory </w:t>
      </w:r>
      <w:r w:rsidRPr="00314989">
        <w:rPr>
          <w:b/>
          <w:bCs/>
          <w:iCs/>
        </w:rPr>
        <w:t>and</w:t>
      </w:r>
      <w:r w:rsidRPr="00314989">
        <w:rPr>
          <w:iCs/>
        </w:rPr>
        <w:t xml:space="preserve"> resistant, but smaller </w:t>
      </w:r>
      <w:r w:rsidR="009E40BA" w:rsidRPr="00314989">
        <w:rPr>
          <w:iCs/>
        </w:rPr>
        <w:t xml:space="preserve">in patients refractory </w:t>
      </w:r>
      <w:r w:rsidR="009E40BA" w:rsidRPr="00314989">
        <w:rPr>
          <w:b/>
          <w:bCs/>
          <w:iCs/>
        </w:rPr>
        <w:t>but not</w:t>
      </w:r>
      <w:r w:rsidR="009E40BA" w:rsidRPr="00314989">
        <w:rPr>
          <w:iCs/>
        </w:rPr>
        <w:t xml:space="preserve"> resistant. </w:t>
      </w:r>
      <w:r w:rsidR="00110BD7" w:rsidRPr="00421405">
        <w:t xml:space="preserve">However, as noted above, results of genotypic testing are not available in a clinically useful timeframe, and </w:t>
      </w:r>
      <w:r w:rsidR="00E642C0" w:rsidRPr="00421405">
        <w:t xml:space="preserve">ESC </w:t>
      </w:r>
      <w:r w:rsidR="00110BD7" w:rsidRPr="00421405">
        <w:t>considered that accordingly, it would not be appropriate for the restriction to stipulate that</w:t>
      </w:r>
      <w:r w:rsidR="00E642C0" w:rsidRPr="00421405">
        <w:t xml:space="preserve"> </w:t>
      </w:r>
      <w:r w:rsidR="00110BD7" w:rsidRPr="00421405">
        <w:t>the infecting CMV must have genotypic resistance to ganciclovir/valganciclovir.</w:t>
      </w:r>
      <w:r w:rsidR="004B7F79" w:rsidRPr="00421405">
        <w:t xml:space="preserve"> </w:t>
      </w:r>
    </w:p>
    <w:p w14:paraId="064FAFD8" w14:textId="2A08009B" w:rsidR="00693C26" w:rsidRPr="00314989" w:rsidRDefault="00693C26" w:rsidP="006723C9">
      <w:pPr>
        <w:pStyle w:val="ExecSumBodyText"/>
        <w:numPr>
          <w:ilvl w:val="1"/>
          <w:numId w:val="1"/>
        </w:numPr>
        <w:tabs>
          <w:tab w:val="left" w:pos="1276"/>
        </w:tabs>
        <w:rPr>
          <w:iCs/>
        </w:rPr>
      </w:pPr>
      <w:r w:rsidRPr="00314989">
        <w:rPr>
          <w:iCs/>
        </w:rPr>
        <w:t xml:space="preserve">The wording of the proposed restriction </w:t>
      </w:r>
      <w:r w:rsidR="00E66C05">
        <w:rPr>
          <w:iCs/>
        </w:rPr>
        <w:t>wa</w:t>
      </w:r>
      <w:r w:rsidRPr="00314989">
        <w:rPr>
          <w:iCs/>
        </w:rPr>
        <w:t xml:space="preserve">s unclear in relation to intolerance. The indication requires that the patient be “intolerant to one or more prior therapies”, implying that there must have been intolerance. However, the Prescribing </w:t>
      </w:r>
      <w:r w:rsidR="000C44B4">
        <w:rPr>
          <w:iCs/>
        </w:rPr>
        <w:t>I</w:t>
      </w:r>
      <w:r w:rsidRPr="00314989">
        <w:rPr>
          <w:iCs/>
        </w:rPr>
        <w:t xml:space="preserve">nstructions state that “Patients are determined to be intolerant if the </w:t>
      </w:r>
      <w:r w:rsidRPr="00314989">
        <w:rPr>
          <w:b/>
          <w:bCs/>
          <w:iCs/>
        </w:rPr>
        <w:t>potential</w:t>
      </w:r>
      <w:r w:rsidRPr="00314989">
        <w:rPr>
          <w:iCs/>
        </w:rPr>
        <w:t xml:space="preserve"> toxicity of one or more antivirals prevents their appropriate use” [emphasis added], which suggests that concern about possible toxicity is sufficient.</w:t>
      </w:r>
      <w:r w:rsidR="00796250">
        <w:rPr>
          <w:iCs/>
        </w:rPr>
        <w:t xml:space="preserve"> </w:t>
      </w:r>
      <w:r w:rsidR="000C44B4" w:rsidRPr="00421405">
        <w:t xml:space="preserve">The ESC considered that intolerance would imply prior use of the therapy. </w:t>
      </w:r>
      <w:r w:rsidR="00796250" w:rsidRPr="00421405">
        <w:t>The PSCR</w:t>
      </w:r>
      <w:r w:rsidR="003D03AB" w:rsidRPr="00421405">
        <w:t xml:space="preserve"> </w:t>
      </w:r>
      <w:r w:rsidR="00796250" w:rsidRPr="00421405">
        <w:t xml:space="preserve">stated that intolerance is an approved reason for treatment within the TGA indication, </w:t>
      </w:r>
      <w:r w:rsidR="000C44B4" w:rsidRPr="00421405">
        <w:t xml:space="preserve">and </w:t>
      </w:r>
      <w:r w:rsidR="00796250" w:rsidRPr="00421405">
        <w:t xml:space="preserve">a criterion </w:t>
      </w:r>
      <w:r w:rsidR="000C44B4" w:rsidRPr="00421405">
        <w:t>based on potential toxicity (</w:t>
      </w:r>
      <w:r w:rsidR="00E66C05" w:rsidRPr="00421405">
        <w:t>e.g.,</w:t>
      </w:r>
      <w:r w:rsidR="000C44B4" w:rsidRPr="00421405">
        <w:t xml:space="preserve"> </w:t>
      </w:r>
      <w:r w:rsidR="000C44B4" w:rsidRPr="00421405">
        <w:rPr>
          <w:rFonts w:cstheme="minorHAnsi"/>
          <w:szCs w:val="22"/>
        </w:rPr>
        <w:t xml:space="preserve">ganciclovir haematological toxicity in haematopoietic stem cell </w:t>
      </w:r>
      <w:r w:rsidR="000C44B4" w:rsidRPr="00421405">
        <w:rPr>
          <w:rFonts w:cstheme="minorHAnsi"/>
          <w:szCs w:val="22"/>
        </w:rPr>
        <w:lastRenderedPageBreak/>
        <w:t>transplant patients or foscarnet nephrotoxicity in renal transplant patients</w:t>
      </w:r>
      <w:r w:rsidR="005D3482" w:rsidRPr="00421405">
        <w:rPr>
          <w:rFonts w:cstheme="minorHAnsi"/>
          <w:szCs w:val="22"/>
        </w:rPr>
        <w:t xml:space="preserve"> </w:t>
      </w:r>
      <w:r w:rsidR="00E66C05" w:rsidRPr="00421405">
        <w:rPr>
          <w:rFonts w:cstheme="minorHAnsi"/>
          <w:szCs w:val="22"/>
        </w:rPr>
        <w:t>i.e.,</w:t>
      </w:r>
      <w:r w:rsidR="005D3482" w:rsidRPr="00421405">
        <w:rPr>
          <w:rFonts w:cstheme="minorHAnsi"/>
          <w:szCs w:val="22"/>
        </w:rPr>
        <w:t xml:space="preserve"> contraindication rather than intolerance</w:t>
      </w:r>
      <w:r w:rsidR="000C44B4" w:rsidRPr="00421405">
        <w:rPr>
          <w:rFonts w:cstheme="minorHAnsi"/>
          <w:szCs w:val="22"/>
        </w:rPr>
        <w:t xml:space="preserve">) </w:t>
      </w:r>
      <w:r w:rsidR="00796250" w:rsidRPr="00421405">
        <w:t>may be appropriate.</w:t>
      </w:r>
      <w:r w:rsidR="005D5A42" w:rsidRPr="00421405">
        <w:t xml:space="preserve"> </w:t>
      </w:r>
    </w:p>
    <w:p w14:paraId="1001DE29" w14:textId="5AAC15A5" w:rsidR="00E642C0" w:rsidRPr="00E642C0" w:rsidRDefault="00E642C0" w:rsidP="00265A52">
      <w:pPr>
        <w:pStyle w:val="ExecSumBodyText"/>
        <w:numPr>
          <w:ilvl w:val="1"/>
          <w:numId w:val="1"/>
        </w:numPr>
        <w:rPr>
          <w:iCs/>
        </w:rPr>
      </w:pPr>
      <w:r w:rsidRPr="00421405">
        <w:t xml:space="preserve">The ESC considered that it may be appropriate to align the restriction with the trial </w:t>
      </w:r>
      <w:r w:rsidR="006723C9" w:rsidRPr="00421405">
        <w:t>criteria</w:t>
      </w:r>
      <w:r w:rsidRPr="00421405">
        <w:t xml:space="preserve"> such that patients must have received at least two weeks treatment with ganciclovir or valganciclovir for this infection, with virological or clinical failure.</w:t>
      </w:r>
    </w:p>
    <w:p w14:paraId="1BD439B3" w14:textId="100BFB0D" w:rsidR="002F2DA6" w:rsidRPr="002F2DA6" w:rsidRDefault="00E47C82" w:rsidP="00265A52">
      <w:pPr>
        <w:pStyle w:val="ExecSumBodyText"/>
        <w:numPr>
          <w:ilvl w:val="1"/>
          <w:numId w:val="1"/>
        </w:numPr>
        <w:rPr>
          <w:iCs/>
        </w:rPr>
      </w:pPr>
      <w:r w:rsidRPr="002F2DA6">
        <w:rPr>
          <w:iCs/>
        </w:rPr>
        <w:t xml:space="preserve">No evidence to support the use of maintenance treatment </w:t>
      </w:r>
      <w:r w:rsidR="004301BF" w:rsidRPr="002F2DA6">
        <w:rPr>
          <w:iCs/>
        </w:rPr>
        <w:t xml:space="preserve">beyond 8 weeks of treatment </w:t>
      </w:r>
      <w:r w:rsidRPr="002F2DA6">
        <w:rPr>
          <w:iCs/>
        </w:rPr>
        <w:t>with maribavir, or of repeated courses for recurrent infections</w:t>
      </w:r>
      <w:r w:rsidR="00110BD7">
        <w:rPr>
          <w:iCs/>
        </w:rPr>
        <w:t>,</w:t>
      </w:r>
      <w:r w:rsidRPr="002F2DA6">
        <w:rPr>
          <w:iCs/>
        </w:rPr>
        <w:t xml:space="preserve"> was presented.</w:t>
      </w:r>
      <w:r w:rsidR="002F2DA6" w:rsidRPr="002F2DA6">
        <w:rPr>
          <w:iCs/>
        </w:rPr>
        <w:t xml:space="preserve"> </w:t>
      </w:r>
      <w:r w:rsidR="002F2DA6" w:rsidRPr="00421405">
        <w:t xml:space="preserve">The PSCR stated that the National Institute for Health and Care Excellence (NICE) did not restrict use of maribavir to 8 weeks in their recommendation for listing, and that use beyond 8 weeks should only be for individual circumstances where there is ongoing CMV </w:t>
      </w:r>
      <w:r w:rsidR="003F2CC0">
        <w:t>viraemia</w:t>
      </w:r>
      <w:r w:rsidR="002F2DA6" w:rsidRPr="00421405">
        <w:t>, since this is a predictor of recurrence and the development of resistant mutations.</w:t>
      </w:r>
      <w:r w:rsidR="002F2DA6" w:rsidRPr="002F2DA6">
        <w:rPr>
          <w:iCs/>
        </w:rPr>
        <w:t xml:space="preserve"> </w:t>
      </w:r>
      <w:r w:rsidR="00E642C0" w:rsidRPr="00421405">
        <w:t>The ESC noted that development of resistance to maribavir during treatment can occur, and suggested that as such, it may be appropriate to restrict treatment with maribavir to 8 weeks. The ESC noted that such a restriction would be in line with the trial evidence submitted, where patients were only able to receive up to 8 weeks of treatment with maribavir.</w:t>
      </w:r>
    </w:p>
    <w:p w14:paraId="4FADEE4F" w14:textId="1C2C074D" w:rsidR="00A67AC3" w:rsidRPr="00DF40E7" w:rsidRDefault="00233168" w:rsidP="00653520">
      <w:pPr>
        <w:pStyle w:val="ExecSumBodyText"/>
        <w:numPr>
          <w:ilvl w:val="1"/>
          <w:numId w:val="1"/>
        </w:numPr>
        <w:rPr>
          <w:iCs/>
        </w:rPr>
      </w:pPr>
      <w:bookmarkStart w:id="7" w:name="_Ref145335614"/>
      <w:r w:rsidRPr="00421405">
        <w:t xml:space="preserve">The ESC considered it may </w:t>
      </w:r>
      <w:r w:rsidR="00E642C0" w:rsidRPr="00421405">
        <w:t xml:space="preserve">also </w:t>
      </w:r>
      <w:r w:rsidRPr="00421405">
        <w:t xml:space="preserve">be appropriate </w:t>
      </w:r>
      <w:r w:rsidR="000C44B4" w:rsidRPr="00421405">
        <w:t>for the restriction to remain silent regarding age</w:t>
      </w:r>
      <w:r w:rsidR="00110BD7" w:rsidRPr="00421405">
        <w:t xml:space="preserve"> as there is no reason to assume treatment efficacy would be different in patients aged &lt;18 years</w:t>
      </w:r>
      <w:r w:rsidRPr="00421405">
        <w:t xml:space="preserve">. </w:t>
      </w:r>
      <w:bookmarkEnd w:id="7"/>
    </w:p>
    <w:p w14:paraId="5C5DF4DC" w14:textId="77777777" w:rsidR="00DF40E7" w:rsidRPr="00C33D30" w:rsidRDefault="00DF40E7" w:rsidP="00DF40E7">
      <w:pPr>
        <w:ind w:firstLine="709"/>
        <w:rPr>
          <w:rFonts w:asciiTheme="minorHAnsi" w:hAnsiTheme="minorHAnsi"/>
          <w:i/>
        </w:rPr>
      </w:pPr>
      <w:r w:rsidRPr="00C33D30">
        <w:rPr>
          <w:rFonts w:asciiTheme="minorHAnsi" w:hAnsiTheme="minorHAnsi"/>
          <w:i/>
        </w:rPr>
        <w:t>For more detail on PBAC’s view, see section 7 PBAC outcome.</w:t>
      </w:r>
    </w:p>
    <w:p w14:paraId="7075B85C" w14:textId="62A47B7B" w:rsidR="00B50DB8" w:rsidRPr="00407F2D" w:rsidDel="00195452" w:rsidRDefault="00203181" w:rsidP="002F5B9A">
      <w:pPr>
        <w:pStyle w:val="2-SectionHeading"/>
      </w:pPr>
      <w:bookmarkStart w:id="8" w:name="_Toc145336295"/>
      <w:r w:rsidDel="00195452">
        <w:t xml:space="preserve">Population and </w:t>
      </w:r>
      <w:r w:rsidR="008E0D3C" w:rsidDel="00195452">
        <w:t>d</w:t>
      </w:r>
      <w:r w:rsidDel="00195452">
        <w:t>isease</w:t>
      </w:r>
      <w:bookmarkEnd w:id="8"/>
    </w:p>
    <w:p w14:paraId="3FE79846" w14:textId="77521DA6" w:rsidR="00F22E42" w:rsidRDefault="00B70AEA" w:rsidP="00F60177">
      <w:pPr>
        <w:pStyle w:val="3-BodyText"/>
      </w:pPr>
      <w:r>
        <w:t>CMV is a common infection</w:t>
      </w:r>
      <w:r w:rsidR="00013BDA">
        <w:t xml:space="preserve">. The virus is present in body fluids, including saliva, and infection is </w:t>
      </w:r>
      <w:r w:rsidR="00A01FA7">
        <w:t xml:space="preserve">usually </w:t>
      </w:r>
      <w:r w:rsidR="00013BDA">
        <w:t xml:space="preserve">transmitted by close contact, especially with children, who may shed virus for prolonged periods after infection. Infection most commonly occurs in childhood, </w:t>
      </w:r>
      <w:r w:rsidR="00147341">
        <w:t xml:space="preserve">with about 50% of </w:t>
      </w:r>
      <w:r w:rsidR="00013BDA">
        <w:t xml:space="preserve">young </w:t>
      </w:r>
      <w:r w:rsidR="00147341">
        <w:t>adults in high-income countries being seropositive</w:t>
      </w:r>
      <w:r w:rsidR="00F22E42">
        <w:t>, but can occur at any age</w:t>
      </w:r>
      <w:r w:rsidR="00147341">
        <w:t>.</w:t>
      </w:r>
      <w:r w:rsidR="00013BDA">
        <w:t xml:space="preserve"> </w:t>
      </w:r>
      <w:r w:rsidR="00147341">
        <w:t xml:space="preserve">After initial infection, latent infection is lifelong. Primary infection is </w:t>
      </w:r>
      <w:r w:rsidR="00E51B83">
        <w:t xml:space="preserve">most often asymptomatic, and even if symptomatic </w:t>
      </w:r>
      <w:r w:rsidR="00013BDA">
        <w:t>i</w:t>
      </w:r>
      <w:r>
        <w:t xml:space="preserve">mmunocompetent individuals rarely become seriously ill. </w:t>
      </w:r>
      <w:r w:rsidR="00A86BF7">
        <w:t>CMV may cause serious illness</w:t>
      </w:r>
      <w:r>
        <w:t xml:space="preserve"> in immunosuppressed individuals, </w:t>
      </w:r>
      <w:r w:rsidR="00A86BF7">
        <w:t xml:space="preserve">by reactivation of latent infection, or by </w:t>
      </w:r>
      <w:r w:rsidR="00E51B83">
        <w:t xml:space="preserve">primary </w:t>
      </w:r>
      <w:r w:rsidR="00A86BF7">
        <w:t xml:space="preserve">infection </w:t>
      </w:r>
      <w:r w:rsidR="00E51B83">
        <w:t>of those</w:t>
      </w:r>
      <w:r w:rsidR="00F22E42">
        <w:t xml:space="preserve"> not </w:t>
      </w:r>
      <w:r w:rsidR="00E51B83">
        <w:t>previously</w:t>
      </w:r>
      <w:r w:rsidR="00F22E42">
        <w:t xml:space="preserve"> exposed to CMV</w:t>
      </w:r>
      <w:r w:rsidR="00E51B83">
        <w:t>. Infection may be acquired</w:t>
      </w:r>
      <w:r w:rsidR="00F22E42">
        <w:t xml:space="preserve"> </w:t>
      </w:r>
      <w:r w:rsidR="00E51B83">
        <w:t xml:space="preserve">in the usual way, </w:t>
      </w:r>
      <w:r w:rsidR="00F22E42">
        <w:t>by close contact with an infected person, or by receiving a solid organ or h</w:t>
      </w:r>
      <w:r w:rsidR="000258D7">
        <w:t>a</w:t>
      </w:r>
      <w:r w:rsidR="00F22E42">
        <w:t>em</w:t>
      </w:r>
      <w:r w:rsidR="000258D7">
        <w:t>at</w:t>
      </w:r>
      <w:r w:rsidR="00F22E42">
        <w:t xml:space="preserve">opoietic stem cell transplant </w:t>
      </w:r>
      <w:r>
        <w:t xml:space="preserve">from a person with latent CMV infection. </w:t>
      </w:r>
    </w:p>
    <w:p w14:paraId="24B98BD0" w14:textId="2D892AAA" w:rsidR="00B91A2C" w:rsidRDefault="00B91A2C" w:rsidP="00F60177">
      <w:pPr>
        <w:pStyle w:val="3-BodyText"/>
      </w:pPr>
      <w:r>
        <w:t>A transplant recipient may</w:t>
      </w:r>
      <w:r w:rsidR="00A01FA7">
        <w:t xml:space="preserve">, therefore, </w:t>
      </w:r>
      <w:r>
        <w:t xml:space="preserve">have </w:t>
      </w:r>
      <w:r w:rsidR="00E51B83">
        <w:t xml:space="preserve">no CMV infection, </w:t>
      </w:r>
      <w:r w:rsidR="00A01FA7">
        <w:t>latent</w:t>
      </w:r>
      <w:r>
        <w:t xml:space="preserve"> infection</w:t>
      </w:r>
      <w:r w:rsidR="00A01FA7">
        <w:t xml:space="preserve">, active infection with viral replication but no symptoms, or CMV disease. </w:t>
      </w:r>
    </w:p>
    <w:p w14:paraId="00B1333C" w14:textId="323B592B" w:rsidR="00B91A2C" w:rsidRDefault="00B91A2C" w:rsidP="00B91A2C">
      <w:pPr>
        <w:pStyle w:val="3-BodyText"/>
      </w:pPr>
      <w:r>
        <w:t xml:space="preserve">Transplant recipients </w:t>
      </w:r>
      <w:r w:rsidR="00A01FA7">
        <w:t>believed to have</w:t>
      </w:r>
      <w:r>
        <w:t xml:space="preserve"> </w:t>
      </w:r>
      <w:r w:rsidR="00A01FA7">
        <w:t>latent</w:t>
      </w:r>
      <w:r>
        <w:t xml:space="preserve"> CMV infection</w:t>
      </w:r>
      <w:r w:rsidR="00AA55C6">
        <w:t>, or to be at high risk of infection (e</w:t>
      </w:r>
      <w:r w:rsidR="00C04856">
        <w:t>.</w:t>
      </w:r>
      <w:r w:rsidR="00AA55C6">
        <w:t>g</w:t>
      </w:r>
      <w:r w:rsidR="00C04856">
        <w:t>.</w:t>
      </w:r>
      <w:r w:rsidR="00AA55C6">
        <w:t>, parents of small children)</w:t>
      </w:r>
      <w:r>
        <w:t xml:space="preserve"> </w:t>
      </w:r>
      <w:r w:rsidR="00A01FA7">
        <w:t>are commonly</w:t>
      </w:r>
      <w:r>
        <w:t xml:space="preserve"> given “prophylactic </w:t>
      </w:r>
      <w:r>
        <w:lastRenderedPageBreak/>
        <w:t>treatment”. Maribavir has been trialled for use as prophylactic treatment but was found to be ineffective</w:t>
      </w:r>
      <w:r>
        <w:rPr>
          <w:rStyle w:val="FootnoteReference"/>
        </w:rPr>
        <w:footnoteReference w:id="4"/>
      </w:r>
      <w:r w:rsidR="00C04856">
        <w:t>.</w:t>
      </w:r>
      <w:r>
        <w:t xml:space="preserve"> </w:t>
      </w:r>
    </w:p>
    <w:p w14:paraId="5C2237D4" w14:textId="76C041F5" w:rsidR="00B91A2C" w:rsidRDefault="00A01FA7" w:rsidP="00F60177">
      <w:pPr>
        <w:pStyle w:val="3-BodyText"/>
      </w:pPr>
      <w:r w:rsidRPr="00A01FA7">
        <w:t xml:space="preserve">Transplant recipients with </w:t>
      </w:r>
      <w:r>
        <w:t xml:space="preserve">active </w:t>
      </w:r>
      <w:r w:rsidR="00B91A2C" w:rsidRPr="00A01FA7">
        <w:t xml:space="preserve">CMV </w:t>
      </w:r>
      <w:r w:rsidR="00B15E90" w:rsidRPr="00314989">
        <w:t>infection</w:t>
      </w:r>
      <w:r>
        <w:t>,</w:t>
      </w:r>
      <w:r w:rsidR="00B91A2C">
        <w:t xml:space="preserve"> defined as </w:t>
      </w:r>
      <w:r w:rsidR="00B15E90">
        <w:t>viral replication with</w:t>
      </w:r>
      <w:r w:rsidR="00B91A2C">
        <w:t xml:space="preserve"> isolation of CMV DNA from body fluid or tissue</w:t>
      </w:r>
      <w:r>
        <w:t>, but who</w:t>
      </w:r>
      <w:r w:rsidR="00B91A2C">
        <w:t xml:space="preserve"> do not have CMV </w:t>
      </w:r>
      <w:r w:rsidR="00B91A2C" w:rsidRPr="00314989">
        <w:t>disease</w:t>
      </w:r>
      <w:r w:rsidR="00A86BF7" w:rsidRPr="00314989">
        <w:t>,</w:t>
      </w:r>
      <w:r w:rsidR="00B91A2C" w:rsidRPr="00314989">
        <w:t xml:space="preserve"> are</w:t>
      </w:r>
      <w:r w:rsidRPr="00314989">
        <w:t xml:space="preserve"> commonly</w:t>
      </w:r>
      <w:r w:rsidR="00B91A2C" w:rsidRPr="00314989">
        <w:t xml:space="preserve"> </w:t>
      </w:r>
      <w:r w:rsidRPr="00314989">
        <w:t xml:space="preserve">given </w:t>
      </w:r>
      <w:r w:rsidR="00B91A2C" w:rsidRPr="00314989">
        <w:t>“pre-emptive treatment”. This practice is not based on robust evidence</w:t>
      </w:r>
      <w:r w:rsidRPr="00314989">
        <w:t>,</w:t>
      </w:r>
      <w:r w:rsidR="00B91A2C" w:rsidRPr="00314989">
        <w:t xml:space="preserve"> and </w:t>
      </w:r>
      <w:r w:rsidRPr="00314989">
        <w:t xml:space="preserve">although the risk of CMV disease is higher in those with higher levels of CMV replication, </w:t>
      </w:r>
      <w:r w:rsidR="00B91A2C" w:rsidRPr="00314989">
        <w:t xml:space="preserve">the level of CMV replication at which treatment is beneficial is not well-defined. If treatment is given, it is continued for at least two weeks and </w:t>
      </w:r>
      <w:r w:rsidR="00B91A2C">
        <w:t xml:space="preserve">until CMV DNA is no longer detectable in blood or plasma. </w:t>
      </w:r>
    </w:p>
    <w:p w14:paraId="5ECE89BB" w14:textId="24C47CC1" w:rsidR="00F22E42" w:rsidRDefault="00F22E42" w:rsidP="00A75C49">
      <w:pPr>
        <w:pStyle w:val="3-BodyText"/>
      </w:pPr>
      <w:r>
        <w:t xml:space="preserve">CMV </w:t>
      </w:r>
      <w:r w:rsidRPr="00E51B83">
        <w:t>disease</w:t>
      </w:r>
      <w:r w:rsidR="00E51B83" w:rsidRPr="00E51B83">
        <w:t xml:space="preserve"> in an immuno-suppressed person</w:t>
      </w:r>
      <w:r w:rsidR="00E51B83" w:rsidRPr="00DF40E7">
        <w:rPr>
          <w:iCs/>
        </w:rPr>
        <w:t>,</w:t>
      </w:r>
      <w:r>
        <w:t xml:space="preserve"> whether due to reactivation of latent infection, or to primary infection, or infection acquired by transplantation, can manifest as a syndrome of fever, malaise, leukopenia and atypical lymphocytosis, or as tissue-invasive disease, commonly affecting the liver, lung, retina, brain and meninges, </w:t>
      </w:r>
      <w:r w:rsidR="00E51B83">
        <w:t>or</w:t>
      </w:r>
      <w:r>
        <w:t xml:space="preserve"> colon.</w:t>
      </w:r>
      <w:r w:rsidR="00A75C49">
        <w:t xml:space="preserve"> Immuno-suppressed p</w:t>
      </w:r>
      <w:r>
        <w:t xml:space="preserve">atients with CMV </w:t>
      </w:r>
      <w:r w:rsidRPr="00314989">
        <w:t>disease</w:t>
      </w:r>
      <w:r>
        <w:t xml:space="preserve"> require treatment. </w:t>
      </w:r>
    </w:p>
    <w:p w14:paraId="0714B4E7" w14:textId="3BABEFE7" w:rsidR="00F60177" w:rsidRDefault="00A01FA7" w:rsidP="00F60177">
      <w:pPr>
        <w:pStyle w:val="3-BodyText"/>
      </w:pPr>
      <w:r>
        <w:t>The submission</w:t>
      </w:r>
      <w:r w:rsidR="004D3FDA">
        <w:t xml:space="preserve"> proposed</w:t>
      </w:r>
      <w:r w:rsidR="00A86BF7">
        <w:t xml:space="preserve"> listing of maribavir</w:t>
      </w:r>
      <w:r>
        <w:t xml:space="preserve"> for pre-emptive treatment and treatment for CMV disease, but not prophylactic treatment. </w:t>
      </w:r>
    </w:p>
    <w:p w14:paraId="48A975BC" w14:textId="13B3A783" w:rsidR="00F60177" w:rsidRDefault="00F60177" w:rsidP="00F60177">
      <w:pPr>
        <w:pStyle w:val="3-BodyText"/>
      </w:pPr>
      <w:r>
        <w:t>Current treatment options for pre-emptive treatment of asymptomatic CMV infection</w:t>
      </w:r>
      <w:r w:rsidR="00A75C49">
        <w:t>,</w:t>
      </w:r>
      <w:r>
        <w:t xml:space="preserve"> and for treatment of CMV disease are ganciclovir and its prodrug valganciclovir, foscarnet</w:t>
      </w:r>
      <w:r w:rsidR="0038312F">
        <w:t>,</w:t>
      </w:r>
      <w:r>
        <w:t xml:space="preserve"> and cidofovir. </w:t>
      </w:r>
    </w:p>
    <w:p w14:paraId="5E11BF20" w14:textId="3E6ECE58" w:rsidR="00B70AEA" w:rsidRDefault="00B70AEA" w:rsidP="00B70AEA">
      <w:pPr>
        <w:pStyle w:val="3-BodyText"/>
      </w:pPr>
      <w:r>
        <w:t xml:space="preserve">All </w:t>
      </w:r>
      <w:r w:rsidR="006B6EED">
        <w:t>four</w:t>
      </w:r>
      <w:r>
        <w:t xml:space="preserve"> drugs act by inhibiting the viral DNA polymerase, encoded by the viral gene UL54. Ganciclovir must be phosphorylated by a phosphotransferase encoded by the viral gene UL97 before it can inhibit the DNA polymerase. </w:t>
      </w:r>
    </w:p>
    <w:p w14:paraId="29EB8EC2" w14:textId="5A494346" w:rsidR="0088006B" w:rsidRDefault="006B6EED" w:rsidP="00B70AEA">
      <w:pPr>
        <w:pStyle w:val="3-BodyText"/>
      </w:pPr>
      <w:r>
        <w:t>Some strains of CMV have mutations in UL54 and or UL</w:t>
      </w:r>
      <w:r w:rsidR="00767FBD">
        <w:t>9</w:t>
      </w:r>
      <w:r>
        <w:t xml:space="preserve">7 associated with drug resistance, but the presence of mutations associated with resistance to a drug does not preclude therapeutic success with it, and therapeutic failure can occur without mutations known to confer resistance. </w:t>
      </w:r>
    </w:p>
    <w:p w14:paraId="5DBD42BE" w14:textId="6F06419E" w:rsidR="00B70AEA" w:rsidRDefault="00B70AEA" w:rsidP="00B70AEA">
      <w:pPr>
        <w:pStyle w:val="3-BodyText"/>
      </w:pPr>
      <w:r>
        <w:t xml:space="preserve">The commonest resistance mutations are in UL97; they confer </w:t>
      </w:r>
      <w:r w:rsidR="008B182C">
        <w:t xml:space="preserve">varying degrees of </w:t>
      </w:r>
      <w:r>
        <w:t>resistance to ganciclovir but not to foscarnet or cidofovir. Mutations in UL54 confer var</w:t>
      </w:r>
      <w:r w:rsidR="008B182C">
        <w:t>ying</w:t>
      </w:r>
      <w:r>
        <w:t xml:space="preserve"> degrees of resistance to vari</w:t>
      </w:r>
      <w:r w:rsidR="008B182C">
        <w:t>ous</w:t>
      </w:r>
      <w:r>
        <w:t xml:space="preserve"> combinations of ganciclovir, foscarnet and cidofovir. Some CMV strains </w:t>
      </w:r>
      <w:r w:rsidR="00D062C1">
        <w:t>have</w:t>
      </w:r>
      <w:r>
        <w:t xml:space="preserve"> mutations in both UL97 and UL54</w:t>
      </w:r>
      <w:r w:rsidR="00D062C1">
        <w:t>, and these strains</w:t>
      </w:r>
      <w:r>
        <w:t xml:space="preserve"> have high-level resistance to ganciclovir.</w:t>
      </w:r>
    </w:p>
    <w:p w14:paraId="34F9A011" w14:textId="0CB9364A" w:rsidR="002C2775" w:rsidRDefault="00B70AEA" w:rsidP="00B70AEA">
      <w:pPr>
        <w:pStyle w:val="3-BodyText"/>
      </w:pPr>
      <w:r>
        <w:t>Maribavir acts by inhibiting the viral phosphotransferase encoded by UL97. (</w:t>
      </w:r>
      <w:r w:rsidR="0088006B">
        <w:t>For this reason,</w:t>
      </w:r>
      <w:r>
        <w:t xml:space="preserve"> co-administration with ganciclovir and valganciclovir is contra-indicated). UL97 mutations different to those common in ganciclovir-resistant strains confer </w:t>
      </w:r>
      <w:r>
        <w:lastRenderedPageBreak/>
        <w:t>resistance to maribavir, either alone or together with ganciclovir.</w:t>
      </w:r>
      <w:r w:rsidR="00906521">
        <w:t xml:space="preserve"> </w:t>
      </w:r>
      <w:r>
        <w:t>Some mutations in the CMV gene UL27 also confer maribavir resistance</w:t>
      </w:r>
      <w:r w:rsidR="00D062C1">
        <w:t>, but the function of the protein encoded by UL27 is not well understood</w:t>
      </w:r>
      <w:r>
        <w:t xml:space="preserve">. </w:t>
      </w:r>
    </w:p>
    <w:p w14:paraId="5D7D5258" w14:textId="6A5CBBBD" w:rsidR="00B70AEA" w:rsidRDefault="00B70AEA" w:rsidP="00B70AEA">
      <w:pPr>
        <w:pStyle w:val="3-BodyText"/>
      </w:pPr>
      <w:r>
        <w:t xml:space="preserve">Maribavir does not cross the blood-brain barrier and is not used for </w:t>
      </w:r>
      <w:r w:rsidR="00BD5EC2">
        <w:t xml:space="preserve">CMV retinitis or meningo-encephalitis. </w:t>
      </w:r>
    </w:p>
    <w:p w14:paraId="078B52F9" w14:textId="77777777" w:rsidR="00DF40E7" w:rsidRPr="00C33D30" w:rsidRDefault="00DF40E7" w:rsidP="00DF40E7">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407F2D" w:rsidRDefault="00B50DB8" w:rsidP="002F5B9A">
      <w:pPr>
        <w:pStyle w:val="2-SectionHeading"/>
      </w:pPr>
      <w:bookmarkStart w:id="9" w:name="_Toc145336296"/>
      <w:r w:rsidRPr="00407F2D">
        <w:t>Comparator</w:t>
      </w:r>
      <w:bookmarkEnd w:id="9"/>
    </w:p>
    <w:p w14:paraId="64F06BE2" w14:textId="1699A7F6" w:rsidR="00AA55C6" w:rsidRDefault="00ED5BD4" w:rsidP="00AA55C6">
      <w:pPr>
        <w:pStyle w:val="3-BodyText"/>
      </w:pPr>
      <w:r w:rsidRPr="00ED5BD4">
        <w:rPr>
          <w:lang w:val="en-US"/>
        </w:rPr>
        <w:t xml:space="preserve">The submission nominated </w:t>
      </w:r>
      <w:r w:rsidR="004A51B9">
        <w:t>‘standard medical management’ as the main comparator, consisting of ganciclovir, valganciclovir, foscarnet</w:t>
      </w:r>
      <w:r w:rsidR="00B70AEA">
        <w:t>,</w:t>
      </w:r>
      <w:r w:rsidR="004A51B9">
        <w:t xml:space="preserve"> cidofovir</w:t>
      </w:r>
      <w:r w:rsidR="0038312F">
        <w:t>,</w:t>
      </w:r>
      <w:r w:rsidR="00B70AEA">
        <w:t xml:space="preserve"> alone or in combination</w:t>
      </w:r>
      <w:r w:rsidR="0038312F">
        <w:t xml:space="preserve"> (foscarnet and cidofovir cannot be give</w:t>
      </w:r>
      <w:r w:rsidR="0014624F">
        <w:t>n</w:t>
      </w:r>
      <w:r w:rsidR="0038312F">
        <w:t xml:space="preserve"> together because of renal toxicity)</w:t>
      </w:r>
      <w:r w:rsidR="004A51B9">
        <w:t>. The main argument provided in support of this nomination w</w:t>
      </w:r>
      <w:r w:rsidR="0014624F">
        <w:t>as</w:t>
      </w:r>
      <w:r w:rsidR="004A51B9">
        <w:t xml:space="preserve"> that all four products are currently used to treat CMV infection in the target population</w:t>
      </w:r>
      <w:r w:rsidR="00B70AEA">
        <w:t>,</w:t>
      </w:r>
      <w:r w:rsidR="004A51B9">
        <w:t xml:space="preserve"> although treatment choices vary </w:t>
      </w:r>
      <w:r w:rsidR="00B70AEA">
        <w:t>among</w:t>
      </w:r>
      <w:r w:rsidR="004A51B9">
        <w:t xml:space="preserve"> centre</w:t>
      </w:r>
      <w:r w:rsidR="00B70AEA">
        <w:t>s</w:t>
      </w:r>
      <w:r w:rsidR="004A51B9">
        <w:t xml:space="preserve">. </w:t>
      </w:r>
      <w:r w:rsidR="00AA55C6">
        <w:t>The TGA Indications and PBS listings for these four products are shown in</w:t>
      </w:r>
      <w:r w:rsidR="00E52BB8">
        <w:t xml:space="preserve"> </w:t>
      </w:r>
      <w:r w:rsidR="00E52BB8">
        <w:fldChar w:fldCharType="begin" w:fldLock="1"/>
      </w:r>
      <w:r w:rsidR="00E52BB8">
        <w:instrText xml:space="preserve"> REF _Ref144210781 \h </w:instrText>
      </w:r>
      <w:r w:rsidR="00E52BB8">
        <w:fldChar w:fldCharType="separate"/>
      </w:r>
      <w:r w:rsidR="0098695D">
        <w:t xml:space="preserve">Table </w:t>
      </w:r>
      <w:r w:rsidR="0098695D">
        <w:rPr>
          <w:noProof/>
        </w:rPr>
        <w:t>2</w:t>
      </w:r>
      <w:r w:rsidR="00E52BB8">
        <w:fldChar w:fldCharType="end"/>
      </w:r>
      <w:r w:rsidR="00AA55C6">
        <w:t>.</w:t>
      </w:r>
    </w:p>
    <w:p w14:paraId="7667A10E" w14:textId="13095FC0" w:rsidR="00AA55C6" w:rsidRDefault="00AA55C6" w:rsidP="003926B6">
      <w:pPr>
        <w:pStyle w:val="TableFigureHeading"/>
        <w:keepLines/>
      </w:pPr>
      <w:bookmarkStart w:id="10" w:name="_Ref144210781"/>
      <w:r>
        <w:t xml:space="preserve">Table </w:t>
      </w:r>
      <w:fldSimple w:instr=" SEQ Table \* ARABIC " w:fldLock="1">
        <w:r w:rsidR="0098695D">
          <w:rPr>
            <w:noProof/>
          </w:rPr>
          <w:t>2</w:t>
        </w:r>
      </w:fldSimple>
      <w:bookmarkEnd w:id="10"/>
      <w:r>
        <w:t>: TGA indications and PB</w:t>
      </w:r>
      <w:r w:rsidR="00DB22C0">
        <w:t>S</w:t>
      </w:r>
      <w:r>
        <w:t xml:space="preserve"> listings for comparators</w:t>
      </w:r>
    </w:p>
    <w:tbl>
      <w:tblPr>
        <w:tblStyle w:val="TableGrid"/>
        <w:tblW w:w="5000" w:type="pct"/>
        <w:tblLook w:val="04A0" w:firstRow="1" w:lastRow="0" w:firstColumn="1" w:lastColumn="0" w:noHBand="0" w:noVBand="1"/>
        <w:tblCaption w:val="Table 2: TGA indications and PBS listings for comparators"/>
        <w:tblDescription w:val="Table 2: TGA indications and PBS listings for comparators"/>
      </w:tblPr>
      <w:tblGrid>
        <w:gridCol w:w="1412"/>
        <w:gridCol w:w="4221"/>
        <w:gridCol w:w="3384"/>
      </w:tblGrid>
      <w:tr w:rsidR="00A10133" w14:paraId="5DDACD1A" w14:textId="77777777" w:rsidTr="00DB22C0">
        <w:tc>
          <w:tcPr>
            <w:tcW w:w="1412" w:type="dxa"/>
          </w:tcPr>
          <w:p w14:paraId="009A7BC5" w14:textId="77777777" w:rsidR="00AA55C6" w:rsidRDefault="00AA55C6" w:rsidP="003926B6">
            <w:pPr>
              <w:pStyle w:val="In-tableHeading"/>
              <w:keepLines/>
              <w:rPr>
                <w:lang w:val="en-AU"/>
              </w:rPr>
            </w:pPr>
            <w:r>
              <w:rPr>
                <w:lang w:val="en-AU"/>
              </w:rPr>
              <w:t xml:space="preserve">Product </w:t>
            </w:r>
          </w:p>
        </w:tc>
        <w:tc>
          <w:tcPr>
            <w:tcW w:w="4221" w:type="dxa"/>
          </w:tcPr>
          <w:p w14:paraId="418AD469" w14:textId="77777777" w:rsidR="00AA55C6" w:rsidRDefault="00AA55C6" w:rsidP="003926B6">
            <w:pPr>
              <w:pStyle w:val="In-tableHeading"/>
              <w:keepLines/>
              <w:jc w:val="center"/>
              <w:rPr>
                <w:lang w:val="en-AU"/>
              </w:rPr>
            </w:pPr>
            <w:r>
              <w:rPr>
                <w:lang w:val="en-AU"/>
              </w:rPr>
              <w:t>TGA indication</w:t>
            </w:r>
          </w:p>
        </w:tc>
        <w:tc>
          <w:tcPr>
            <w:tcW w:w="3384" w:type="dxa"/>
          </w:tcPr>
          <w:p w14:paraId="0603A18E" w14:textId="77777777" w:rsidR="00AA55C6" w:rsidRDefault="00AA55C6" w:rsidP="003926B6">
            <w:pPr>
              <w:pStyle w:val="In-tableHeading"/>
              <w:keepLines/>
              <w:jc w:val="center"/>
              <w:rPr>
                <w:lang w:val="en-AU"/>
              </w:rPr>
            </w:pPr>
            <w:r>
              <w:rPr>
                <w:lang w:val="en-AU"/>
              </w:rPr>
              <w:t>PBS listing</w:t>
            </w:r>
          </w:p>
        </w:tc>
      </w:tr>
      <w:tr w:rsidR="00A10133" w14:paraId="22E72FEF" w14:textId="77777777" w:rsidTr="00DB22C0">
        <w:tc>
          <w:tcPr>
            <w:tcW w:w="1412" w:type="dxa"/>
            <w:vAlign w:val="center"/>
          </w:tcPr>
          <w:p w14:paraId="09DB12E8" w14:textId="77777777" w:rsidR="00AA55C6" w:rsidRDefault="00AA55C6" w:rsidP="003926B6">
            <w:pPr>
              <w:pStyle w:val="TableText0"/>
              <w:keepLines/>
            </w:pPr>
            <w:r>
              <w:t>Ganciclovir</w:t>
            </w:r>
          </w:p>
        </w:tc>
        <w:tc>
          <w:tcPr>
            <w:tcW w:w="4221" w:type="dxa"/>
          </w:tcPr>
          <w:p w14:paraId="34710B46" w14:textId="51B9C7BD" w:rsidR="00AA55C6" w:rsidRDefault="00AA55C6" w:rsidP="003926B6">
            <w:pPr>
              <w:pStyle w:val="TableText0"/>
              <w:keepLines/>
              <w:numPr>
                <w:ilvl w:val="0"/>
                <w:numId w:val="4"/>
              </w:numPr>
              <w:ind w:left="38" w:hanging="142"/>
            </w:pPr>
            <w:r>
              <w:t>P</w:t>
            </w:r>
            <w:r w:rsidRPr="00FB0C61">
              <w:t>rophylaxis of CMV in SOT and BMT</w:t>
            </w:r>
            <w:r>
              <w:t xml:space="preserve"> </w:t>
            </w:r>
            <w:r w:rsidRPr="00FB0C61">
              <w:t>recipients at risk of CMV disease</w:t>
            </w:r>
            <w:r w:rsidR="00DB22C0">
              <w:t>.</w:t>
            </w:r>
          </w:p>
          <w:p w14:paraId="6FCA50B9" w14:textId="15BAEFD1" w:rsidR="00AA55C6" w:rsidRDefault="00AA55C6" w:rsidP="003926B6">
            <w:pPr>
              <w:pStyle w:val="TableText0"/>
              <w:keepLines/>
              <w:numPr>
                <w:ilvl w:val="0"/>
                <w:numId w:val="4"/>
              </w:numPr>
              <w:ind w:left="38" w:hanging="142"/>
            </w:pPr>
            <w:r>
              <w:t>P</w:t>
            </w:r>
            <w:r w:rsidRPr="00FB0C61">
              <w:t>alliative treatment of confirmed sight-threatening CMV disease in AIDS and other severely immunocompromised individuals</w:t>
            </w:r>
            <w:r w:rsidR="00DB22C0">
              <w:t>.</w:t>
            </w:r>
          </w:p>
          <w:p w14:paraId="3F87B04F" w14:textId="2FE6344D" w:rsidR="00AA55C6" w:rsidRDefault="00AA55C6" w:rsidP="003926B6">
            <w:pPr>
              <w:pStyle w:val="TableText0"/>
              <w:keepLines/>
              <w:numPr>
                <w:ilvl w:val="0"/>
                <w:numId w:val="4"/>
              </w:numPr>
              <w:ind w:left="38" w:hanging="142"/>
            </w:pPr>
            <w:r>
              <w:t>T</w:t>
            </w:r>
            <w:r w:rsidRPr="00FB0C61">
              <w:t>reatment of confirmed CMV pneumonitis in BMT recipients</w:t>
            </w:r>
            <w:r w:rsidR="00DB22C0">
              <w:t>.</w:t>
            </w:r>
          </w:p>
        </w:tc>
        <w:tc>
          <w:tcPr>
            <w:tcW w:w="3384" w:type="dxa"/>
          </w:tcPr>
          <w:p w14:paraId="53839E24" w14:textId="2D4692A9" w:rsidR="00AA55C6" w:rsidRDefault="00AA55C6" w:rsidP="003926B6">
            <w:pPr>
              <w:pStyle w:val="TableText0"/>
              <w:keepLines/>
              <w:numPr>
                <w:ilvl w:val="0"/>
                <w:numId w:val="4"/>
              </w:numPr>
              <w:ind w:left="65" w:hanging="142"/>
            </w:pPr>
            <w:r>
              <w:t>Prophylaxis of CMV in BMT and SOT patients</w:t>
            </w:r>
            <w:r w:rsidR="00DB22C0">
              <w:t>.</w:t>
            </w:r>
          </w:p>
          <w:p w14:paraId="7B56A3F1" w14:textId="64B0E54A" w:rsidR="00AA55C6" w:rsidRDefault="00AA55C6" w:rsidP="003926B6">
            <w:pPr>
              <w:pStyle w:val="TableText0"/>
              <w:keepLines/>
              <w:numPr>
                <w:ilvl w:val="0"/>
                <w:numId w:val="4"/>
              </w:numPr>
              <w:ind w:left="65" w:hanging="142"/>
            </w:pPr>
            <w:r>
              <w:t>Treatment of CMV retinitis in severely immunocompromised patients including HIV</w:t>
            </w:r>
            <w:r w:rsidR="00DB22C0">
              <w:t>.</w:t>
            </w:r>
          </w:p>
        </w:tc>
      </w:tr>
      <w:tr w:rsidR="00A10133" w14:paraId="2216B501" w14:textId="77777777" w:rsidTr="00DB22C0">
        <w:tc>
          <w:tcPr>
            <w:tcW w:w="1412" w:type="dxa"/>
            <w:vAlign w:val="center"/>
          </w:tcPr>
          <w:p w14:paraId="2D5F27E2" w14:textId="77777777" w:rsidR="00AA55C6" w:rsidRDefault="00AA55C6" w:rsidP="003926B6">
            <w:pPr>
              <w:pStyle w:val="TableText0"/>
              <w:keepLines/>
            </w:pPr>
            <w:r>
              <w:t>Valganciclovir</w:t>
            </w:r>
          </w:p>
        </w:tc>
        <w:tc>
          <w:tcPr>
            <w:tcW w:w="4221" w:type="dxa"/>
          </w:tcPr>
          <w:p w14:paraId="3689D96D" w14:textId="0E2C8C22" w:rsidR="00AA55C6" w:rsidRDefault="00AA55C6" w:rsidP="003926B6">
            <w:pPr>
              <w:pStyle w:val="TableText0"/>
              <w:keepLines/>
              <w:numPr>
                <w:ilvl w:val="0"/>
                <w:numId w:val="11"/>
              </w:numPr>
              <w:ind w:left="38" w:hanging="142"/>
            </w:pPr>
            <w:r>
              <w:t>T</w:t>
            </w:r>
            <w:r w:rsidRPr="000B5531">
              <w:t>reatment of CMV</w:t>
            </w:r>
            <w:r>
              <w:t xml:space="preserve"> </w:t>
            </w:r>
            <w:r w:rsidRPr="000B5531">
              <w:t>retinitis in adult patients</w:t>
            </w:r>
            <w:r>
              <w:t xml:space="preserve"> </w:t>
            </w:r>
            <w:r w:rsidRPr="000B5531">
              <w:t>with AIDS</w:t>
            </w:r>
            <w:r w:rsidR="00DB22C0">
              <w:t>.</w:t>
            </w:r>
          </w:p>
          <w:p w14:paraId="6166F9A5" w14:textId="77777777" w:rsidR="00AA55C6" w:rsidRDefault="00AA55C6" w:rsidP="003926B6">
            <w:pPr>
              <w:pStyle w:val="TableText0"/>
              <w:keepLines/>
              <w:numPr>
                <w:ilvl w:val="0"/>
                <w:numId w:val="11"/>
              </w:numPr>
              <w:ind w:left="38" w:hanging="142"/>
            </w:pPr>
            <w:r>
              <w:t>Prophylaxis of CMV disease in adult and paediatric SOT patients who are at risk.</w:t>
            </w:r>
          </w:p>
        </w:tc>
        <w:tc>
          <w:tcPr>
            <w:tcW w:w="3384" w:type="dxa"/>
          </w:tcPr>
          <w:p w14:paraId="468420FB" w14:textId="12B4C6EC" w:rsidR="00AA55C6" w:rsidRDefault="00AA55C6" w:rsidP="003926B6">
            <w:pPr>
              <w:pStyle w:val="TableText0"/>
              <w:keepLines/>
              <w:numPr>
                <w:ilvl w:val="0"/>
                <w:numId w:val="11"/>
              </w:numPr>
              <w:ind w:left="65" w:hanging="142"/>
            </w:pPr>
            <w:r>
              <w:t>Treatment of CMV retinitis in patients with HIV</w:t>
            </w:r>
            <w:r w:rsidR="00DB22C0">
              <w:t>.</w:t>
            </w:r>
          </w:p>
          <w:p w14:paraId="55F2288E" w14:textId="7501C6DA" w:rsidR="00AA55C6" w:rsidRDefault="00AA55C6" w:rsidP="003926B6">
            <w:pPr>
              <w:pStyle w:val="TableText0"/>
              <w:keepLines/>
              <w:numPr>
                <w:ilvl w:val="0"/>
                <w:numId w:val="11"/>
              </w:numPr>
              <w:ind w:left="65" w:hanging="142"/>
            </w:pPr>
            <w:r>
              <w:t>Prophylaxis of CMV in patients with SOT at risk of CMV disease</w:t>
            </w:r>
            <w:r w:rsidR="00DB22C0">
              <w:t>.</w:t>
            </w:r>
          </w:p>
        </w:tc>
      </w:tr>
      <w:tr w:rsidR="00A10133" w14:paraId="4F797711" w14:textId="77777777" w:rsidTr="00DB22C0">
        <w:tc>
          <w:tcPr>
            <w:tcW w:w="1412" w:type="dxa"/>
            <w:vAlign w:val="center"/>
          </w:tcPr>
          <w:p w14:paraId="23BED901" w14:textId="77777777" w:rsidR="00AA55C6" w:rsidRDefault="00AA55C6" w:rsidP="003926B6">
            <w:pPr>
              <w:pStyle w:val="TableText0"/>
              <w:keepLines/>
            </w:pPr>
            <w:r>
              <w:t>Foscarnet</w:t>
            </w:r>
          </w:p>
        </w:tc>
        <w:tc>
          <w:tcPr>
            <w:tcW w:w="4221" w:type="dxa"/>
          </w:tcPr>
          <w:p w14:paraId="6B97AE2A" w14:textId="77777777" w:rsidR="00AA55C6" w:rsidRDefault="00AA55C6" w:rsidP="003926B6">
            <w:pPr>
              <w:pStyle w:val="TableText0"/>
              <w:keepLines/>
              <w:numPr>
                <w:ilvl w:val="0"/>
                <w:numId w:val="12"/>
              </w:numPr>
              <w:ind w:left="38" w:hanging="142"/>
            </w:pPr>
            <w:r w:rsidRPr="000B5531">
              <w:t>Treatment of CMV retinitis in patients with AIDS.</w:t>
            </w:r>
          </w:p>
          <w:p w14:paraId="350160F1" w14:textId="77777777" w:rsidR="00AA55C6" w:rsidRDefault="00AA55C6" w:rsidP="003926B6">
            <w:pPr>
              <w:pStyle w:val="TableText0"/>
              <w:keepLines/>
              <w:numPr>
                <w:ilvl w:val="0"/>
                <w:numId w:val="12"/>
              </w:numPr>
              <w:ind w:left="38" w:hanging="142"/>
            </w:pPr>
            <w:r w:rsidRPr="000B5531">
              <w:t xml:space="preserve">Treatment of </w:t>
            </w:r>
            <w:r>
              <w:t>aciclovir</w:t>
            </w:r>
            <w:r w:rsidRPr="000B5531">
              <w:t xml:space="preserve"> resistant herpes simplex virus (HSV) infections (defined by clinical trial or in vitro</w:t>
            </w:r>
            <w:r>
              <w:t xml:space="preserve"> r</w:t>
            </w:r>
            <w:r w:rsidRPr="000B5531">
              <w:t>esistance) in immunocompromised patients with human immunodeficiency virus (HIV) infection.</w:t>
            </w:r>
          </w:p>
        </w:tc>
        <w:tc>
          <w:tcPr>
            <w:tcW w:w="3384" w:type="dxa"/>
            <w:vAlign w:val="center"/>
          </w:tcPr>
          <w:p w14:paraId="10F0D5BF" w14:textId="77777777" w:rsidR="00AA55C6" w:rsidRDefault="00AA55C6" w:rsidP="003926B6">
            <w:pPr>
              <w:pStyle w:val="TableText0"/>
              <w:keepLines/>
            </w:pPr>
            <w:r>
              <w:t>Not listed</w:t>
            </w:r>
          </w:p>
        </w:tc>
      </w:tr>
      <w:tr w:rsidR="00A10133" w14:paraId="5CCD9944" w14:textId="77777777" w:rsidTr="00DB22C0">
        <w:tc>
          <w:tcPr>
            <w:tcW w:w="1412" w:type="dxa"/>
            <w:vAlign w:val="center"/>
          </w:tcPr>
          <w:p w14:paraId="1F8164CC" w14:textId="77777777" w:rsidR="00AA55C6" w:rsidRDefault="00AA55C6" w:rsidP="003926B6">
            <w:pPr>
              <w:pStyle w:val="TableText0"/>
              <w:keepLines/>
            </w:pPr>
            <w:r>
              <w:t>Cidofovir</w:t>
            </w:r>
          </w:p>
        </w:tc>
        <w:tc>
          <w:tcPr>
            <w:tcW w:w="4221" w:type="dxa"/>
          </w:tcPr>
          <w:p w14:paraId="4204AC18" w14:textId="77777777" w:rsidR="00AA55C6" w:rsidRDefault="00AA55C6" w:rsidP="003926B6">
            <w:pPr>
              <w:pStyle w:val="TableText0"/>
              <w:keepLines/>
              <w:numPr>
                <w:ilvl w:val="0"/>
                <w:numId w:val="13"/>
              </w:numPr>
              <w:ind w:left="38" w:hanging="142"/>
            </w:pPr>
            <w:r>
              <w:t>T</w:t>
            </w:r>
            <w:r w:rsidRPr="000B5531">
              <w:t>reatment of CMV retinitis in patients with</w:t>
            </w:r>
            <w:r>
              <w:t xml:space="preserve"> </w:t>
            </w:r>
            <w:r w:rsidRPr="000B5531">
              <w:t>AIDS.</w:t>
            </w:r>
          </w:p>
        </w:tc>
        <w:tc>
          <w:tcPr>
            <w:tcW w:w="3384" w:type="dxa"/>
            <w:vAlign w:val="center"/>
          </w:tcPr>
          <w:p w14:paraId="484AF839" w14:textId="77777777" w:rsidR="00AA55C6" w:rsidRDefault="00AA55C6" w:rsidP="003926B6">
            <w:pPr>
              <w:pStyle w:val="TableText0"/>
              <w:keepLines/>
            </w:pPr>
            <w:r>
              <w:t>Not listed</w:t>
            </w:r>
          </w:p>
        </w:tc>
      </w:tr>
    </w:tbl>
    <w:p w14:paraId="43F5CA0C" w14:textId="77777777" w:rsidR="00AA55C6" w:rsidRDefault="00AA55C6" w:rsidP="003926B6">
      <w:pPr>
        <w:pStyle w:val="TableFooter"/>
        <w:keepNext/>
        <w:keepLines/>
      </w:pPr>
      <w:r>
        <w:t xml:space="preserve">Source: Table 1.1.5, p32-33 of the submission and product information documents. </w:t>
      </w:r>
    </w:p>
    <w:p w14:paraId="7AD5867E" w14:textId="72532E0D" w:rsidR="00AA55C6" w:rsidRDefault="00AA55C6" w:rsidP="007D31F9">
      <w:pPr>
        <w:pStyle w:val="TableFooter"/>
        <w:spacing w:after="120"/>
      </w:pPr>
      <w:r>
        <w:t xml:space="preserve">AIDS = acquired immunodeficiency syndrome; BMT = </w:t>
      </w:r>
      <w:r w:rsidRPr="00FB0C61">
        <w:t>bone marrow transplant</w:t>
      </w:r>
      <w:r>
        <w:t>; CMV = cytomegalovirus; SOT = solid organ transplant</w:t>
      </w:r>
    </w:p>
    <w:p w14:paraId="4C87DA12" w14:textId="0F5A1232" w:rsidR="00503C98" w:rsidRPr="00421405" w:rsidRDefault="00503C98" w:rsidP="00CF7B19">
      <w:pPr>
        <w:pStyle w:val="3-BodyText"/>
        <w:rPr>
          <w:iCs/>
        </w:rPr>
      </w:pPr>
      <w:r w:rsidRPr="00421405">
        <w:rPr>
          <w:iCs/>
        </w:rPr>
        <w:t xml:space="preserve">The ESC noted that none of </w:t>
      </w:r>
      <w:r w:rsidR="001226B7" w:rsidRPr="00421405">
        <w:rPr>
          <w:iCs/>
        </w:rPr>
        <w:t>the</w:t>
      </w:r>
      <w:r w:rsidR="001226B7">
        <w:rPr>
          <w:iCs/>
        </w:rPr>
        <w:t xml:space="preserve"> nominated </w:t>
      </w:r>
      <w:r w:rsidRPr="00421405">
        <w:rPr>
          <w:iCs/>
        </w:rPr>
        <w:t xml:space="preserve">comparators are listed on the PBS for the requested patient population, but </w:t>
      </w:r>
      <w:r w:rsidR="00340202" w:rsidRPr="00421405">
        <w:rPr>
          <w:iCs/>
        </w:rPr>
        <w:t xml:space="preserve">considered </w:t>
      </w:r>
      <w:r w:rsidRPr="00421405">
        <w:rPr>
          <w:iCs/>
        </w:rPr>
        <w:t xml:space="preserve">it was likely that use of valganciclovir and ganciclovir on the PBS extended to patients who required CMV treatment. The ESC considered that </w:t>
      </w:r>
      <w:r w:rsidR="00C0272B" w:rsidRPr="00421405">
        <w:rPr>
          <w:iCs/>
        </w:rPr>
        <w:t xml:space="preserve">patients would likely commence treatment </w:t>
      </w:r>
      <w:r w:rsidRPr="00421405">
        <w:rPr>
          <w:iCs/>
        </w:rPr>
        <w:t xml:space="preserve">in an inpatient setting, and </w:t>
      </w:r>
      <w:r w:rsidR="00C0272B" w:rsidRPr="00421405">
        <w:rPr>
          <w:iCs/>
        </w:rPr>
        <w:t>therefore</w:t>
      </w:r>
      <w:r w:rsidRPr="00421405">
        <w:rPr>
          <w:iCs/>
        </w:rPr>
        <w:t xml:space="preserve"> it would be difficult to </w:t>
      </w:r>
      <w:r w:rsidR="00C0272B" w:rsidRPr="00421405">
        <w:rPr>
          <w:iCs/>
        </w:rPr>
        <w:t>determine proportionate use</w:t>
      </w:r>
      <w:r w:rsidR="00046E04" w:rsidRPr="00421405">
        <w:rPr>
          <w:iCs/>
        </w:rPr>
        <w:t xml:space="preserve"> of the potential comparators</w:t>
      </w:r>
      <w:r w:rsidR="006723C9" w:rsidRPr="00421405">
        <w:rPr>
          <w:iCs/>
        </w:rPr>
        <w:t xml:space="preserve"> in the PBS setting</w:t>
      </w:r>
      <w:r w:rsidRPr="00421405">
        <w:rPr>
          <w:iCs/>
        </w:rPr>
        <w:t>.</w:t>
      </w:r>
    </w:p>
    <w:p w14:paraId="25BEA743" w14:textId="1B769393" w:rsidR="0035379D" w:rsidRPr="00421405" w:rsidRDefault="00CF7B19" w:rsidP="00CF7B19">
      <w:pPr>
        <w:pStyle w:val="3-BodyText"/>
        <w:rPr>
          <w:iCs/>
        </w:rPr>
      </w:pPr>
      <w:r>
        <w:t xml:space="preserve">The evaluation considered that foscarnet or cidofovir would be the comparators of choice should maribavir be restricted to second line use and that patients who could not tolerate second-line therapy (e.g., due to poor kidney function) would continue to </w:t>
      </w:r>
      <w:r>
        <w:lastRenderedPageBreak/>
        <w:t xml:space="preserve">be treated with valganciclovir or ganciclovir despite their poor response. </w:t>
      </w:r>
      <w:r w:rsidRPr="00421405">
        <w:rPr>
          <w:iCs/>
        </w:rPr>
        <w:t>The PSCR stated</w:t>
      </w:r>
      <w:r>
        <w:t xml:space="preserve"> </w:t>
      </w:r>
      <w:r w:rsidRPr="00421405">
        <w:rPr>
          <w:iCs/>
        </w:rPr>
        <w:t>that the SOLSTICE trial was designed to capture this dynamic, since it reflects current clinical practice.</w:t>
      </w:r>
      <w:r>
        <w:t xml:space="preserve"> </w:t>
      </w:r>
    </w:p>
    <w:p w14:paraId="18BF9628" w14:textId="64518BE2" w:rsidR="00CF7B19" w:rsidRPr="00421405" w:rsidRDefault="00CF7B19" w:rsidP="00CF7B19">
      <w:pPr>
        <w:pStyle w:val="3-BodyText"/>
        <w:rPr>
          <w:iCs/>
        </w:rPr>
      </w:pPr>
      <w:r w:rsidRPr="00421405">
        <w:rPr>
          <w:iCs/>
        </w:rPr>
        <w:t xml:space="preserve">The ESC considered that </w:t>
      </w:r>
      <w:r w:rsidR="0035379D" w:rsidRPr="00421405">
        <w:rPr>
          <w:bCs/>
        </w:rPr>
        <w:t>while th</w:t>
      </w:r>
      <w:r w:rsidR="002C7489" w:rsidRPr="00421405">
        <w:rPr>
          <w:bCs/>
        </w:rPr>
        <w:t>e most likely comparator is foscarnet</w:t>
      </w:r>
      <w:r w:rsidR="0035379D" w:rsidRPr="00421405">
        <w:rPr>
          <w:bCs/>
        </w:rPr>
        <w:t xml:space="preserve">, </w:t>
      </w:r>
      <w:r w:rsidR="00471121" w:rsidRPr="00421405">
        <w:rPr>
          <w:bCs/>
        </w:rPr>
        <w:t>in clinical practice</w:t>
      </w:r>
      <w:r w:rsidR="00471121" w:rsidRPr="00421405" w:rsidDel="00340202">
        <w:rPr>
          <w:bCs/>
        </w:rPr>
        <w:t xml:space="preserve"> </w:t>
      </w:r>
      <w:r w:rsidR="0035379D" w:rsidRPr="00421405">
        <w:rPr>
          <w:bCs/>
        </w:rPr>
        <w:t xml:space="preserve">patients not responding to first-line treatment with valganciclovir or ganciclovir </w:t>
      </w:r>
      <w:r w:rsidR="00340202" w:rsidRPr="00421405">
        <w:rPr>
          <w:bCs/>
        </w:rPr>
        <w:t>may</w:t>
      </w:r>
      <w:r w:rsidR="0035379D" w:rsidRPr="00421405">
        <w:rPr>
          <w:bCs/>
        </w:rPr>
        <w:t xml:space="preserve"> be </w:t>
      </w:r>
      <w:r w:rsidR="00340202" w:rsidRPr="00421405">
        <w:rPr>
          <w:bCs/>
        </w:rPr>
        <w:t>re</w:t>
      </w:r>
      <w:r w:rsidR="00046E04" w:rsidRPr="00421405">
        <w:rPr>
          <w:bCs/>
        </w:rPr>
        <w:t>-</w:t>
      </w:r>
      <w:r w:rsidR="0035379D" w:rsidRPr="00421405">
        <w:rPr>
          <w:bCs/>
        </w:rPr>
        <w:t xml:space="preserve">treated with higher doses of these therapies, </w:t>
      </w:r>
      <w:r w:rsidR="00471121" w:rsidRPr="00421405">
        <w:rPr>
          <w:bCs/>
        </w:rPr>
        <w:t xml:space="preserve">therefore </w:t>
      </w:r>
      <w:r w:rsidR="0035379D" w:rsidRPr="00421405">
        <w:rPr>
          <w:bCs/>
        </w:rPr>
        <w:t>higher doses of these therapies should also be considered as comparators</w:t>
      </w:r>
      <w:r w:rsidR="002C7489" w:rsidRPr="00421405">
        <w:rPr>
          <w:bCs/>
        </w:rPr>
        <w:t>.</w:t>
      </w:r>
    </w:p>
    <w:p w14:paraId="7C1AAADF" w14:textId="2F082447" w:rsidR="00CF7B19" w:rsidRPr="00DF40E7" w:rsidRDefault="00CF7B19" w:rsidP="00FD52FE">
      <w:pPr>
        <w:pStyle w:val="3-BodyText"/>
      </w:pPr>
      <w:r>
        <w:t xml:space="preserve">The evaluation considered that a comparison with foscarnet is difficult because the SOLSTICE trial did </w:t>
      </w:r>
      <w:r w:rsidR="003F2CC0">
        <w:t xml:space="preserve">not </w:t>
      </w:r>
      <w:r w:rsidR="008913AC">
        <w:t>report</w:t>
      </w:r>
      <w:r>
        <w:t xml:space="preserve"> outcomes according to the type of IAT as a pre-specified </w:t>
      </w:r>
      <w:r w:rsidR="008913AC">
        <w:t>analysis</w:t>
      </w:r>
      <w:r>
        <w:t xml:space="preserve">, and that only a few patients in SOLSTICE received cidofovir. </w:t>
      </w:r>
      <w:r w:rsidRPr="00421405">
        <w:rPr>
          <w:iCs/>
        </w:rPr>
        <w:t>The PSCR provided a post-hoc responder analysis of the primary outcome by IAT treatment</w:t>
      </w:r>
      <w:r w:rsidR="00471121" w:rsidRPr="00421405">
        <w:rPr>
          <w:iCs/>
        </w:rPr>
        <w:t xml:space="preserve"> (see </w:t>
      </w:r>
      <w:r w:rsidR="00471121" w:rsidRPr="00421405">
        <w:rPr>
          <w:iCs/>
        </w:rPr>
        <w:fldChar w:fldCharType="begin" w:fldLock="1"/>
      </w:r>
      <w:r w:rsidR="00471121" w:rsidRPr="00421405">
        <w:rPr>
          <w:iCs/>
        </w:rPr>
        <w:instrText xml:space="preserve"> REF _Ref147823913 \r \h </w:instrText>
      </w:r>
      <w:r w:rsidR="00471121" w:rsidRPr="00421405">
        <w:rPr>
          <w:iCs/>
        </w:rPr>
      </w:r>
      <w:r w:rsidR="00471121" w:rsidRPr="00421405">
        <w:rPr>
          <w:iCs/>
        </w:rPr>
        <w:fldChar w:fldCharType="separate"/>
      </w:r>
      <w:r w:rsidR="00471121" w:rsidRPr="00421405">
        <w:rPr>
          <w:iCs/>
        </w:rPr>
        <w:t>6.3</w:t>
      </w:r>
      <w:r w:rsidR="00F3629E">
        <w:rPr>
          <w:iCs/>
        </w:rPr>
        <w:t>3</w:t>
      </w:r>
      <w:r w:rsidR="00471121" w:rsidRPr="00421405">
        <w:rPr>
          <w:iCs/>
        </w:rPr>
        <w:fldChar w:fldCharType="end"/>
      </w:r>
      <w:r w:rsidR="00471121" w:rsidRPr="00421405">
        <w:rPr>
          <w:iCs/>
        </w:rPr>
        <w:t>)</w:t>
      </w:r>
      <w:r w:rsidRPr="00421405">
        <w:rPr>
          <w:iCs/>
        </w:rPr>
        <w:t xml:space="preserve">. </w:t>
      </w:r>
    </w:p>
    <w:p w14:paraId="199F5167" w14:textId="77777777" w:rsidR="00DF40E7" w:rsidRPr="00C33D30" w:rsidRDefault="00DF40E7" w:rsidP="00DF40E7">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407F2D" w:rsidRDefault="00223D5A" w:rsidP="00223D5A">
      <w:pPr>
        <w:pStyle w:val="2-SectionHeading"/>
      </w:pPr>
      <w:bookmarkStart w:id="11" w:name="_Toc145336297"/>
      <w:bookmarkStart w:id="12" w:name="_Toc22897640"/>
      <w:r>
        <w:t>C</w:t>
      </w:r>
      <w:r w:rsidRPr="00407F2D">
        <w:t>onsideration of the evidence</w:t>
      </w:r>
      <w:bookmarkEnd w:id="11"/>
    </w:p>
    <w:p w14:paraId="0266C40E" w14:textId="77777777" w:rsidR="00D11FB5" w:rsidRPr="006E1229" w:rsidRDefault="00D11FB5" w:rsidP="00F101C2">
      <w:pPr>
        <w:pStyle w:val="4-SubsectionHeading"/>
      </w:pPr>
      <w:bookmarkStart w:id="13" w:name="_Toc145336298"/>
      <w:r w:rsidRPr="006E1229">
        <w:t>Sponsor hearing</w:t>
      </w:r>
    </w:p>
    <w:p w14:paraId="20A6F50C" w14:textId="5F772FBF" w:rsidR="00D11FB5" w:rsidRPr="00F91542" w:rsidRDefault="00956257" w:rsidP="00D11FB5">
      <w:pPr>
        <w:widowControl w:val="0"/>
        <w:numPr>
          <w:ilvl w:val="1"/>
          <w:numId w:val="1"/>
        </w:numPr>
        <w:spacing w:after="120"/>
        <w:rPr>
          <w:rFonts w:cs="Calibri"/>
          <w:bCs/>
          <w:snapToGrid w:val="0"/>
        </w:rPr>
      </w:pPr>
      <w:r w:rsidRPr="00836F75">
        <w:rPr>
          <w:rFonts w:asciiTheme="minorHAnsi" w:hAnsiTheme="minorHAnsi"/>
          <w:bCs/>
          <w:snapToGrid w:val="0"/>
        </w:rPr>
        <w:t xml:space="preserve">The sponsor requested a hearing for this item. The clinician </w:t>
      </w:r>
      <w:r w:rsidR="00D5610A">
        <w:rPr>
          <w:rFonts w:asciiTheme="minorHAnsi" w:hAnsiTheme="minorHAnsi"/>
          <w:bCs/>
          <w:snapToGrid w:val="0"/>
        </w:rPr>
        <w:t xml:space="preserve">discussed </w:t>
      </w:r>
      <w:r w:rsidRPr="00836F75">
        <w:rPr>
          <w:rFonts w:asciiTheme="minorHAnsi" w:hAnsiTheme="minorHAnsi"/>
          <w:bCs/>
          <w:snapToGrid w:val="0"/>
        </w:rPr>
        <w:t xml:space="preserve">how </w:t>
      </w:r>
      <w:r w:rsidR="00D5610A">
        <w:rPr>
          <w:rFonts w:asciiTheme="minorHAnsi" w:hAnsiTheme="minorHAnsi"/>
          <w:bCs/>
          <w:snapToGrid w:val="0"/>
        </w:rPr>
        <w:t>maribavir</w:t>
      </w:r>
      <w:r w:rsidRPr="00836F75">
        <w:rPr>
          <w:rFonts w:asciiTheme="minorHAnsi" w:hAnsiTheme="minorHAnsi"/>
          <w:bCs/>
          <w:snapToGrid w:val="0"/>
        </w:rPr>
        <w:t xml:space="preserve"> would be used in practice, </w:t>
      </w:r>
      <w:r w:rsidR="00D5610A">
        <w:rPr>
          <w:rFonts w:asciiTheme="minorHAnsi" w:hAnsiTheme="minorHAnsi"/>
          <w:bCs/>
          <w:snapToGrid w:val="0"/>
        </w:rPr>
        <w:t xml:space="preserve">and noted that ganciclovir and valganciclovir are used as initial treatment, which would be expected to continue. The clinician noted that second line treatment, foscarnet, is quite toxic, relatively expensive, and requires patients to be hospitalised for IV administration. The clinician considered that maribavir would therefore be preferred over foscarnet if treatment with ganciclovir or valganciclovir is not effective. The PBAC also noted that the clinician </w:t>
      </w:r>
      <w:r w:rsidRPr="00836F75">
        <w:rPr>
          <w:rFonts w:asciiTheme="minorHAnsi" w:hAnsiTheme="minorHAnsi"/>
          <w:bCs/>
          <w:snapToGrid w:val="0"/>
        </w:rPr>
        <w:t>addressed other matters in response to the Committee’s qu</w:t>
      </w:r>
      <w:r>
        <w:rPr>
          <w:rFonts w:asciiTheme="minorHAnsi" w:hAnsiTheme="minorHAnsi"/>
          <w:bCs/>
          <w:snapToGrid w:val="0"/>
        </w:rPr>
        <w:t>estions</w:t>
      </w:r>
      <w:r w:rsidR="00D5610A">
        <w:rPr>
          <w:rFonts w:asciiTheme="minorHAnsi" w:hAnsiTheme="minorHAnsi"/>
          <w:bCs/>
          <w:snapToGrid w:val="0"/>
        </w:rPr>
        <w:t xml:space="preserve"> and </w:t>
      </w:r>
      <w:r w:rsidR="00D5610A">
        <w:rPr>
          <w:rFonts w:asciiTheme="minorHAnsi" w:hAnsiTheme="minorHAnsi"/>
          <w:snapToGrid w:val="0"/>
          <w:lang w:val="en-GB" w:eastAsia="en-US"/>
        </w:rPr>
        <w:t>the Committee</w:t>
      </w:r>
      <w:r w:rsidR="00D5610A" w:rsidRPr="00076E83">
        <w:rPr>
          <w:rFonts w:asciiTheme="minorHAnsi" w:hAnsiTheme="minorHAnsi"/>
          <w:snapToGrid w:val="0"/>
          <w:lang w:val="en-GB" w:eastAsia="en-US"/>
        </w:rPr>
        <w:t xml:space="preserve"> considered the sponsor hearing to be informative.</w:t>
      </w:r>
    </w:p>
    <w:p w14:paraId="4A394146" w14:textId="77777777" w:rsidR="00D11FB5" w:rsidRPr="006E1229" w:rsidRDefault="00D11FB5" w:rsidP="00F101C2">
      <w:pPr>
        <w:pStyle w:val="4-SubsectionHeading"/>
      </w:pPr>
      <w:r w:rsidRPr="006E1229">
        <w:t>Consumer comments</w:t>
      </w:r>
    </w:p>
    <w:p w14:paraId="1189E609" w14:textId="0DF94225" w:rsidR="00D11FB5" w:rsidRPr="00836F75" w:rsidRDefault="00D11FB5" w:rsidP="00D11FB5">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PBAC noted and welcomed the input from health care professionals (</w:t>
      </w:r>
      <w:r w:rsidR="005C0E72">
        <w:rPr>
          <w:rFonts w:asciiTheme="minorHAnsi" w:hAnsiTheme="minorHAnsi"/>
          <w:bCs/>
          <w:snapToGrid w:val="0"/>
        </w:rPr>
        <w:t>2</w:t>
      </w:r>
      <w:r w:rsidRPr="00836F75">
        <w:rPr>
          <w:rFonts w:asciiTheme="minorHAnsi" w:hAnsiTheme="minorHAnsi"/>
          <w:bCs/>
          <w:snapToGrid w:val="0"/>
        </w:rPr>
        <w:t xml:space="preserve">) via the Consumer Comments facility on the PBS website. The comments described </w:t>
      </w:r>
      <w:r w:rsidR="00C55E41">
        <w:rPr>
          <w:rFonts w:asciiTheme="minorHAnsi" w:hAnsiTheme="minorHAnsi"/>
          <w:bCs/>
          <w:snapToGrid w:val="0"/>
        </w:rPr>
        <w:t xml:space="preserve">the impact of CMV infection for transplant recipients as having high morbidity, graft failure and mortality. The comments also discussed </w:t>
      </w:r>
      <w:r w:rsidRPr="00836F75">
        <w:rPr>
          <w:rFonts w:asciiTheme="minorHAnsi" w:hAnsiTheme="minorHAnsi"/>
          <w:bCs/>
          <w:snapToGrid w:val="0"/>
        </w:rPr>
        <w:t xml:space="preserve">a range of benefits of treatment with </w:t>
      </w:r>
      <w:r w:rsidR="005C0E72">
        <w:rPr>
          <w:rFonts w:asciiTheme="minorHAnsi" w:hAnsiTheme="minorHAnsi"/>
          <w:bCs/>
          <w:snapToGrid w:val="0"/>
        </w:rPr>
        <w:t>maribavir,</w:t>
      </w:r>
      <w:r w:rsidRPr="00836F75">
        <w:rPr>
          <w:rFonts w:asciiTheme="minorHAnsi" w:hAnsiTheme="minorHAnsi"/>
          <w:bCs/>
          <w:snapToGrid w:val="0"/>
        </w:rPr>
        <w:t xml:space="preserve"> including fewer side effects</w:t>
      </w:r>
      <w:r w:rsidR="00C55E41">
        <w:rPr>
          <w:rFonts w:asciiTheme="minorHAnsi" w:hAnsiTheme="minorHAnsi"/>
          <w:bCs/>
          <w:snapToGrid w:val="0"/>
        </w:rPr>
        <w:t xml:space="preserve"> and oral administration</w:t>
      </w:r>
      <w:r w:rsidR="000D03EC">
        <w:rPr>
          <w:rFonts w:asciiTheme="minorHAnsi" w:hAnsiTheme="minorHAnsi"/>
          <w:bCs/>
          <w:snapToGrid w:val="0"/>
        </w:rPr>
        <w:t xml:space="preserve">, and </w:t>
      </w:r>
      <w:r w:rsidR="00C55E41">
        <w:rPr>
          <w:rFonts w:asciiTheme="minorHAnsi" w:hAnsiTheme="minorHAnsi"/>
          <w:bCs/>
          <w:snapToGrid w:val="0"/>
        </w:rPr>
        <w:t>noted that there are</w:t>
      </w:r>
      <w:r w:rsidR="000D03EC">
        <w:rPr>
          <w:rFonts w:asciiTheme="minorHAnsi" w:hAnsiTheme="minorHAnsi"/>
          <w:bCs/>
          <w:snapToGrid w:val="0"/>
        </w:rPr>
        <w:t xml:space="preserve"> limited </w:t>
      </w:r>
      <w:r w:rsidR="00C55E41">
        <w:rPr>
          <w:rFonts w:asciiTheme="minorHAnsi" w:hAnsiTheme="minorHAnsi"/>
          <w:bCs/>
          <w:snapToGrid w:val="0"/>
        </w:rPr>
        <w:t xml:space="preserve">treatment </w:t>
      </w:r>
      <w:r w:rsidR="000D03EC">
        <w:rPr>
          <w:rFonts w:asciiTheme="minorHAnsi" w:hAnsiTheme="minorHAnsi"/>
          <w:bCs/>
          <w:snapToGrid w:val="0"/>
        </w:rPr>
        <w:t>options available for patients with post-transplant CMV infection</w:t>
      </w:r>
      <w:r w:rsidR="005C0E72">
        <w:rPr>
          <w:rFonts w:asciiTheme="minorHAnsi" w:hAnsiTheme="minorHAnsi"/>
          <w:bCs/>
          <w:snapToGrid w:val="0"/>
        </w:rPr>
        <w:t>.</w:t>
      </w:r>
    </w:p>
    <w:p w14:paraId="609C0765" w14:textId="33DAEE63" w:rsidR="00B60939" w:rsidRPr="00C9624D" w:rsidRDefault="00B60939" w:rsidP="002E4F02">
      <w:pPr>
        <w:pStyle w:val="4-SubsectionHeading"/>
      </w:pPr>
      <w:r w:rsidRPr="00C9624D">
        <w:t>Clinical trial</w:t>
      </w:r>
      <w:bookmarkEnd w:id="12"/>
      <w:bookmarkEnd w:id="13"/>
    </w:p>
    <w:p w14:paraId="761F280A" w14:textId="28E1B8E4" w:rsidR="008B7558" w:rsidRPr="00B50DB8" w:rsidRDefault="008B7558" w:rsidP="008B7558">
      <w:pPr>
        <w:pStyle w:val="3-BodyText"/>
      </w:pPr>
      <w:r w:rsidRPr="008B7558">
        <w:rPr>
          <w:lang w:val="en-US"/>
        </w:rPr>
        <w:t>The submission was based on the SOLSTICE trial comparing maribavir to the treating clinician’s choice of anti-CMV treatment</w:t>
      </w:r>
      <w:r w:rsidR="00BD5EC2">
        <w:rPr>
          <w:lang w:val="en-US"/>
        </w:rPr>
        <w:t xml:space="preserve"> in patients refractory to their current treatment</w:t>
      </w:r>
      <w:r w:rsidRPr="008B7558">
        <w:rPr>
          <w:lang w:val="en-US"/>
        </w:rPr>
        <w:t>.</w:t>
      </w:r>
      <w:r w:rsidR="00906521">
        <w:rPr>
          <w:lang w:val="en-US"/>
        </w:rPr>
        <w:t xml:space="preserve"> </w:t>
      </w:r>
      <w:r>
        <w:rPr>
          <w:snapToGrid/>
          <w:lang w:val="en-US"/>
        </w:rPr>
        <w:t xml:space="preserve">Details of the trial presented in the submission are provided in </w:t>
      </w:r>
      <w:r>
        <w:rPr>
          <w:snapToGrid/>
          <w:lang w:val="en-US"/>
        </w:rPr>
        <w:fldChar w:fldCharType="begin" w:fldLock="1"/>
      </w:r>
      <w:r>
        <w:rPr>
          <w:snapToGrid/>
          <w:lang w:val="en-US"/>
        </w:rPr>
        <w:instrText xml:space="preserve"> REF _Ref104803956 \h </w:instrText>
      </w:r>
      <w:r>
        <w:rPr>
          <w:snapToGrid/>
          <w:lang w:val="en-US"/>
        </w:rPr>
      </w:r>
      <w:r>
        <w:rPr>
          <w:snapToGrid/>
          <w:lang w:val="en-US"/>
        </w:rPr>
        <w:fldChar w:fldCharType="separate"/>
      </w:r>
      <w:r w:rsidR="0098695D">
        <w:t xml:space="preserve">Table </w:t>
      </w:r>
      <w:r w:rsidR="0098695D">
        <w:rPr>
          <w:noProof/>
        </w:rPr>
        <w:t>3</w:t>
      </w:r>
      <w:r>
        <w:rPr>
          <w:snapToGrid/>
          <w:lang w:val="en-US"/>
        </w:rPr>
        <w:fldChar w:fldCharType="end"/>
      </w:r>
      <w:r>
        <w:rPr>
          <w:snapToGrid/>
          <w:lang w:val="en-US"/>
        </w:rPr>
        <w:t xml:space="preserve">. </w:t>
      </w:r>
    </w:p>
    <w:p w14:paraId="7DE3A286" w14:textId="4523724F" w:rsidR="008E0D3C" w:rsidRDefault="00696EF9" w:rsidP="002E4F02">
      <w:pPr>
        <w:pStyle w:val="TableFigureHeading"/>
        <w:rPr>
          <w:rStyle w:val="CommentReference"/>
          <w:b/>
          <w:szCs w:val="24"/>
        </w:rPr>
      </w:pPr>
      <w:bookmarkStart w:id="14" w:name="_Ref104803956"/>
      <w:r>
        <w:lastRenderedPageBreak/>
        <w:t xml:space="preserve">Table </w:t>
      </w:r>
      <w:fldSimple w:instr=" SEQ Table \* ARABIC " w:fldLock="1">
        <w:r w:rsidR="0098695D">
          <w:rPr>
            <w:noProof/>
          </w:rPr>
          <w:t>3</w:t>
        </w:r>
      </w:fldSimple>
      <w:bookmarkEnd w:id="14"/>
      <w:r>
        <w:t>:</w:t>
      </w:r>
      <w:r w:rsidR="00BC591F" w:rsidRPr="002E4F02">
        <w:rPr>
          <w:rStyle w:val="CommentReference"/>
          <w:b/>
          <w:szCs w:val="24"/>
        </w:rPr>
        <w:t xml:space="preserve"> </w:t>
      </w:r>
      <w:r w:rsidR="008E0D3C" w:rsidRPr="002E4F02">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Description w:val="Table 3: Trials and associated reports presented in the submission"/>
      </w:tblPr>
      <w:tblGrid>
        <w:gridCol w:w="1434"/>
        <w:gridCol w:w="5055"/>
        <w:gridCol w:w="2528"/>
      </w:tblGrid>
      <w:tr w:rsidR="008B7558" w:rsidRPr="008B7558" w14:paraId="098C9CE2" w14:textId="77777777" w:rsidTr="00F15370">
        <w:trPr>
          <w:cantSplit/>
          <w:tblHeader/>
        </w:trPr>
        <w:tc>
          <w:tcPr>
            <w:tcW w:w="795" w:type="pct"/>
            <w:tcBorders>
              <w:bottom w:val="single" w:sz="4" w:space="0" w:color="auto"/>
            </w:tcBorders>
            <w:vAlign w:val="center"/>
          </w:tcPr>
          <w:p w14:paraId="1BEC6CB4" w14:textId="77777777" w:rsidR="008B7558" w:rsidRPr="008B7558" w:rsidRDefault="008B7558" w:rsidP="00956257">
            <w:pPr>
              <w:pStyle w:val="In-tableHeading"/>
            </w:pPr>
            <w:r w:rsidRPr="008B7558">
              <w:t>Trial ID</w:t>
            </w:r>
          </w:p>
        </w:tc>
        <w:tc>
          <w:tcPr>
            <w:tcW w:w="2803" w:type="pct"/>
            <w:tcBorders>
              <w:bottom w:val="single" w:sz="4" w:space="0" w:color="auto"/>
            </w:tcBorders>
            <w:vAlign w:val="center"/>
          </w:tcPr>
          <w:p w14:paraId="581301BE" w14:textId="77777777" w:rsidR="008B7558" w:rsidRPr="008B7558" w:rsidRDefault="008B7558" w:rsidP="00956257">
            <w:pPr>
              <w:pStyle w:val="In-tableHeading"/>
            </w:pPr>
            <w:r w:rsidRPr="008B7558">
              <w:t>Protocol title/ Publication title</w:t>
            </w:r>
          </w:p>
        </w:tc>
        <w:tc>
          <w:tcPr>
            <w:tcW w:w="1402" w:type="pct"/>
            <w:tcBorders>
              <w:bottom w:val="single" w:sz="4" w:space="0" w:color="auto"/>
            </w:tcBorders>
            <w:vAlign w:val="center"/>
          </w:tcPr>
          <w:p w14:paraId="6C36B362" w14:textId="77777777" w:rsidR="008B7558" w:rsidRPr="008B7558" w:rsidRDefault="008B7558" w:rsidP="008B7558">
            <w:pPr>
              <w:pStyle w:val="In-tableHeading"/>
            </w:pPr>
            <w:r w:rsidRPr="008B7558">
              <w:t>Publication citation</w:t>
            </w:r>
          </w:p>
        </w:tc>
      </w:tr>
      <w:tr w:rsidR="008B7558" w:rsidRPr="008B7558" w14:paraId="454EE375" w14:textId="77777777" w:rsidTr="0022029D">
        <w:trPr>
          <w:cantSplit/>
        </w:trPr>
        <w:tc>
          <w:tcPr>
            <w:tcW w:w="795" w:type="pct"/>
            <w:vMerge w:val="restart"/>
          </w:tcPr>
          <w:p w14:paraId="726B3B54" w14:textId="77777777" w:rsidR="008B7558" w:rsidRPr="008B7558" w:rsidRDefault="008B7558" w:rsidP="00956257">
            <w:pPr>
              <w:pStyle w:val="Tabletext"/>
              <w:keepNext/>
              <w:rPr>
                <w:rFonts w:eastAsiaTheme="majorEastAsia"/>
                <w:bCs/>
              </w:rPr>
            </w:pPr>
            <w:r w:rsidRPr="008B7558">
              <w:rPr>
                <w:rFonts w:eastAsiaTheme="majorEastAsia"/>
              </w:rPr>
              <w:t>NCT 02931539</w:t>
            </w:r>
          </w:p>
        </w:tc>
        <w:tc>
          <w:tcPr>
            <w:tcW w:w="2803" w:type="pct"/>
            <w:tcBorders>
              <w:bottom w:val="nil"/>
            </w:tcBorders>
          </w:tcPr>
          <w:p w14:paraId="16CFEC52" w14:textId="77777777" w:rsidR="008B7558" w:rsidRPr="008B7558" w:rsidRDefault="008B7558" w:rsidP="00956257">
            <w:pPr>
              <w:pStyle w:val="Tabletext"/>
              <w:keepNext/>
              <w:rPr>
                <w:rFonts w:eastAsiaTheme="majorEastAsia"/>
              </w:rPr>
            </w:pPr>
            <w:r w:rsidRPr="008B7558">
              <w:rPr>
                <w:rFonts w:eastAsiaTheme="majorEastAsia"/>
              </w:rPr>
              <w:t>SOLSTICE Clinical Study Report: A Phase 3, Multicenter, Randomized, Open-label, Active-controlled Study to Assess the Efficacy and Safety of Maribavir Treatment Compared to Investigator-assigned Treatment in Transplant Recipients with Cytomegalovirus (CMV) Infections that are Refractory or Resistant to Treatment with Ganciclovir, Valganciclovir, Foscarnet, or Cidofovir</w:t>
            </w:r>
          </w:p>
        </w:tc>
        <w:tc>
          <w:tcPr>
            <w:tcW w:w="1402" w:type="pct"/>
            <w:tcBorders>
              <w:bottom w:val="nil"/>
            </w:tcBorders>
            <w:vAlign w:val="center"/>
          </w:tcPr>
          <w:p w14:paraId="286BA969" w14:textId="66EF7CAF" w:rsidR="008B7558" w:rsidRPr="008B7558" w:rsidRDefault="00544E7C" w:rsidP="00F15370">
            <w:pPr>
              <w:pStyle w:val="Tabletext"/>
              <w:rPr>
                <w:rFonts w:eastAsiaTheme="majorEastAsia"/>
                <w:bCs/>
              </w:rPr>
            </w:pPr>
            <w:r>
              <w:rPr>
                <w:rFonts w:eastAsiaTheme="majorEastAsia"/>
                <w:bCs/>
              </w:rPr>
              <w:t>February 2021</w:t>
            </w:r>
          </w:p>
        </w:tc>
      </w:tr>
      <w:tr w:rsidR="008B7558" w:rsidRPr="008B7558" w14:paraId="59055083" w14:textId="77777777" w:rsidTr="00F15370">
        <w:trPr>
          <w:cantSplit/>
        </w:trPr>
        <w:tc>
          <w:tcPr>
            <w:tcW w:w="795" w:type="pct"/>
            <w:vMerge/>
            <w:tcBorders>
              <w:bottom w:val="single" w:sz="4" w:space="0" w:color="auto"/>
            </w:tcBorders>
            <w:vAlign w:val="center"/>
          </w:tcPr>
          <w:p w14:paraId="7E78CFD3" w14:textId="77777777" w:rsidR="008B7558" w:rsidRPr="008B7558" w:rsidRDefault="008B7558" w:rsidP="00956257">
            <w:pPr>
              <w:pStyle w:val="Tabletext"/>
              <w:keepNext/>
              <w:rPr>
                <w:rFonts w:eastAsiaTheme="majorEastAsia"/>
                <w:bCs/>
              </w:rPr>
            </w:pPr>
          </w:p>
        </w:tc>
        <w:tc>
          <w:tcPr>
            <w:tcW w:w="2803" w:type="pct"/>
            <w:tcBorders>
              <w:top w:val="nil"/>
              <w:bottom w:val="single" w:sz="4" w:space="0" w:color="auto"/>
            </w:tcBorders>
            <w:vAlign w:val="center"/>
          </w:tcPr>
          <w:p w14:paraId="73AC4A72" w14:textId="77777777" w:rsidR="008B7558" w:rsidRDefault="00F15370" w:rsidP="00956257">
            <w:pPr>
              <w:pStyle w:val="Tabletext"/>
              <w:keepNext/>
              <w:rPr>
                <w:rFonts w:eastAsiaTheme="majorEastAsia"/>
              </w:rPr>
            </w:pPr>
            <w:r w:rsidRPr="008B7558">
              <w:rPr>
                <w:rFonts w:eastAsiaTheme="majorEastAsia"/>
              </w:rPr>
              <w:t>Avery RK, Alain S, Alexander BD, et al. Maribavir for refractory cytomegalovirus infections with or without resistance post-transplant: Results from a Phase 3 randomized clinical trial.</w:t>
            </w:r>
          </w:p>
          <w:p w14:paraId="263AE408" w14:textId="77777777" w:rsidR="00F15370" w:rsidRDefault="00F15370" w:rsidP="00956257">
            <w:pPr>
              <w:pStyle w:val="Tabletext"/>
              <w:keepNext/>
              <w:rPr>
                <w:rFonts w:eastAsiaTheme="majorEastAsia"/>
                <w:bCs/>
              </w:rPr>
            </w:pPr>
          </w:p>
          <w:p w14:paraId="7BC9C710" w14:textId="08A4AD73" w:rsidR="00F15370" w:rsidRPr="008B7558" w:rsidRDefault="00F15370" w:rsidP="00956257">
            <w:pPr>
              <w:pStyle w:val="Tabletext"/>
              <w:keepNext/>
              <w:rPr>
                <w:rFonts w:eastAsiaTheme="majorEastAsia"/>
                <w:bCs/>
              </w:rPr>
            </w:pPr>
            <w:r>
              <w:rPr>
                <w:rFonts w:eastAsiaTheme="majorEastAsia"/>
                <w:bCs/>
              </w:rPr>
              <w:t>Plus 13 abstract citati</w:t>
            </w:r>
            <w:r w:rsidR="002C508C">
              <w:rPr>
                <w:rFonts w:eastAsiaTheme="majorEastAsia"/>
                <w:bCs/>
              </w:rPr>
              <w:t>o</w:t>
            </w:r>
            <w:r>
              <w:rPr>
                <w:rFonts w:eastAsiaTheme="majorEastAsia"/>
                <w:bCs/>
              </w:rPr>
              <w:t>n</w:t>
            </w:r>
            <w:r w:rsidR="002C508C">
              <w:rPr>
                <w:rFonts w:eastAsiaTheme="majorEastAsia"/>
                <w:bCs/>
              </w:rPr>
              <w:t>s</w:t>
            </w:r>
            <w:r>
              <w:rPr>
                <w:rFonts w:eastAsiaTheme="majorEastAsia"/>
                <w:bCs/>
              </w:rPr>
              <w:t xml:space="preserve"> for the same trial</w:t>
            </w:r>
          </w:p>
        </w:tc>
        <w:tc>
          <w:tcPr>
            <w:tcW w:w="1402" w:type="pct"/>
            <w:tcBorders>
              <w:top w:val="nil"/>
              <w:bottom w:val="single" w:sz="4" w:space="0" w:color="auto"/>
            </w:tcBorders>
            <w:vAlign w:val="center"/>
          </w:tcPr>
          <w:p w14:paraId="1FAFA0D2" w14:textId="767EC7E9" w:rsidR="00F15370" w:rsidRPr="008B7558" w:rsidRDefault="00F15370" w:rsidP="00F15370">
            <w:pPr>
              <w:pStyle w:val="Tabletext"/>
              <w:rPr>
                <w:rFonts w:eastAsiaTheme="majorEastAsia"/>
              </w:rPr>
            </w:pPr>
            <w:r w:rsidRPr="008B7558">
              <w:rPr>
                <w:rFonts w:eastAsiaTheme="majorEastAsia"/>
              </w:rPr>
              <w:t xml:space="preserve"> 2022; 75(4):690-701</w:t>
            </w:r>
          </w:p>
          <w:p w14:paraId="06E6A2EF" w14:textId="77777777" w:rsidR="008B7558" w:rsidRPr="008B7558" w:rsidRDefault="008B7558" w:rsidP="008B7558">
            <w:pPr>
              <w:pStyle w:val="Tabletext"/>
              <w:rPr>
                <w:rFonts w:eastAsiaTheme="majorEastAsia"/>
                <w:bCs/>
              </w:rPr>
            </w:pPr>
          </w:p>
        </w:tc>
      </w:tr>
    </w:tbl>
    <w:p w14:paraId="49EC77EB" w14:textId="566DE300" w:rsidR="00F15370" w:rsidRPr="008B7558" w:rsidRDefault="008B7558" w:rsidP="002F69B7">
      <w:pPr>
        <w:pStyle w:val="FooterTableFigure"/>
        <w:rPr>
          <w:rFonts w:eastAsiaTheme="majorEastAsia"/>
        </w:rPr>
      </w:pPr>
      <w:r w:rsidRPr="008B7558">
        <w:rPr>
          <w:rFonts w:eastAsiaTheme="majorEastAsia"/>
        </w:rPr>
        <w:t>Source: Table 2.2.2, pp 48-49 of the submission.</w:t>
      </w:r>
    </w:p>
    <w:p w14:paraId="1DD06D7D" w14:textId="1BCA556C" w:rsidR="007F1017" w:rsidRPr="00EC5836" w:rsidRDefault="008F120A" w:rsidP="00EC5836">
      <w:pPr>
        <w:pStyle w:val="3-BodyText"/>
        <w:rPr>
          <w:color w:val="0066FF"/>
        </w:rPr>
      </w:pPr>
      <w:r w:rsidRPr="00B50DB8">
        <w:t>The key features of the direct randomised trial</w:t>
      </w:r>
      <w:r w:rsidR="008B7558">
        <w:t xml:space="preserve"> </w:t>
      </w:r>
      <w:r w:rsidRPr="00B50DB8">
        <w:t>are summarised in</w:t>
      </w:r>
      <w:r w:rsidR="00D6076E">
        <w:t xml:space="preserve"> </w:t>
      </w:r>
      <w:r w:rsidR="00D6076E">
        <w:fldChar w:fldCharType="begin" w:fldLock="1"/>
      </w:r>
      <w:r w:rsidR="00D6076E">
        <w:instrText xml:space="preserve"> REF _Ref104804098 \h  \* MERGEFORMAT </w:instrText>
      </w:r>
      <w:r w:rsidR="00D6076E">
        <w:fldChar w:fldCharType="separate"/>
      </w:r>
      <w:r w:rsidR="0098695D" w:rsidRPr="0098695D">
        <w:t>Table 4</w:t>
      </w:r>
      <w:r w:rsidR="00D6076E">
        <w:fldChar w:fldCharType="end"/>
      </w:r>
      <w:r w:rsidRPr="00B50DB8">
        <w:t>.</w:t>
      </w:r>
      <w:r w:rsidR="00BC591F">
        <w:t xml:space="preserve"> </w:t>
      </w:r>
    </w:p>
    <w:p w14:paraId="355E2F15" w14:textId="03262089" w:rsidR="007F1017" w:rsidRDefault="00696EF9" w:rsidP="00D6076E">
      <w:pPr>
        <w:pStyle w:val="Caption"/>
        <w:rPr>
          <w:rStyle w:val="CommentReference"/>
          <w:rFonts w:eastAsiaTheme="majorEastAsia" w:cstheme="majorBidi"/>
          <w:b/>
          <w:szCs w:val="24"/>
        </w:rPr>
      </w:pPr>
      <w:bookmarkStart w:id="15"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98695D">
        <w:rPr>
          <w:rStyle w:val="CommentReference"/>
          <w:rFonts w:eastAsiaTheme="majorEastAsia" w:cstheme="majorBidi"/>
          <w:b/>
          <w:noProof/>
          <w:szCs w:val="24"/>
        </w:rPr>
        <w:t>4</w:t>
      </w:r>
      <w:r w:rsidRPr="00D6076E">
        <w:rPr>
          <w:rStyle w:val="CommentReference"/>
          <w:rFonts w:eastAsiaTheme="majorEastAsia" w:cstheme="majorBidi"/>
          <w:b/>
          <w:szCs w:val="24"/>
        </w:rPr>
        <w:fldChar w:fldCharType="end"/>
      </w:r>
      <w:bookmarkEnd w:id="15"/>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Description w:val="Table 4: Key features of the included evidence"/>
      </w:tblPr>
      <w:tblGrid>
        <w:gridCol w:w="1286"/>
        <w:gridCol w:w="840"/>
        <w:gridCol w:w="1410"/>
        <w:gridCol w:w="1120"/>
        <w:gridCol w:w="1546"/>
        <w:gridCol w:w="1122"/>
        <w:gridCol w:w="1693"/>
      </w:tblGrid>
      <w:tr w:rsidR="008B7558" w:rsidRPr="008B7558" w14:paraId="15731340" w14:textId="77777777" w:rsidTr="0022029D">
        <w:trPr>
          <w:cantSplit/>
          <w:tblHeader/>
        </w:trPr>
        <w:tc>
          <w:tcPr>
            <w:tcW w:w="713" w:type="pct"/>
            <w:shd w:val="clear" w:color="auto" w:fill="auto"/>
            <w:vAlign w:val="center"/>
          </w:tcPr>
          <w:p w14:paraId="4FC02C17" w14:textId="77777777" w:rsidR="008B7558" w:rsidRPr="008B7558" w:rsidRDefault="008B7558" w:rsidP="008B7558">
            <w:pPr>
              <w:pStyle w:val="In-tableHeading"/>
            </w:pPr>
            <w:r w:rsidRPr="008B7558">
              <w:t>Trial</w:t>
            </w:r>
          </w:p>
        </w:tc>
        <w:tc>
          <w:tcPr>
            <w:tcW w:w="466" w:type="pct"/>
            <w:shd w:val="clear" w:color="auto" w:fill="auto"/>
            <w:vAlign w:val="center"/>
          </w:tcPr>
          <w:p w14:paraId="1A6856CF" w14:textId="77777777" w:rsidR="008B7558" w:rsidRPr="008B7558" w:rsidRDefault="008B7558" w:rsidP="00544E7C">
            <w:pPr>
              <w:pStyle w:val="In-tableHeading"/>
              <w:jc w:val="center"/>
            </w:pPr>
            <w:r w:rsidRPr="008B7558">
              <w:t>N</w:t>
            </w:r>
          </w:p>
        </w:tc>
        <w:tc>
          <w:tcPr>
            <w:tcW w:w="782" w:type="pct"/>
            <w:shd w:val="clear" w:color="auto" w:fill="auto"/>
            <w:vAlign w:val="center"/>
          </w:tcPr>
          <w:p w14:paraId="2FD6FE9E" w14:textId="77777777" w:rsidR="008B7558" w:rsidRPr="008B7558" w:rsidRDefault="008B7558" w:rsidP="00544E7C">
            <w:pPr>
              <w:pStyle w:val="In-tableHeading"/>
              <w:jc w:val="center"/>
            </w:pPr>
            <w:r w:rsidRPr="008B7558">
              <w:t>Design/ duration</w:t>
            </w:r>
          </w:p>
        </w:tc>
        <w:tc>
          <w:tcPr>
            <w:tcW w:w="621" w:type="pct"/>
            <w:shd w:val="clear" w:color="auto" w:fill="auto"/>
            <w:vAlign w:val="center"/>
          </w:tcPr>
          <w:p w14:paraId="65F2CECF" w14:textId="77777777" w:rsidR="008B7558" w:rsidRPr="008B7558" w:rsidRDefault="008B7558" w:rsidP="00544E7C">
            <w:pPr>
              <w:pStyle w:val="In-tableHeading"/>
              <w:jc w:val="center"/>
            </w:pPr>
            <w:r w:rsidRPr="008B7558">
              <w:t>Risk of bias</w:t>
            </w:r>
          </w:p>
        </w:tc>
        <w:tc>
          <w:tcPr>
            <w:tcW w:w="857" w:type="pct"/>
            <w:shd w:val="clear" w:color="auto" w:fill="auto"/>
            <w:vAlign w:val="center"/>
          </w:tcPr>
          <w:p w14:paraId="2EF4CC1E" w14:textId="77777777" w:rsidR="008B7558" w:rsidRPr="008B7558" w:rsidRDefault="008B7558" w:rsidP="00544E7C">
            <w:pPr>
              <w:pStyle w:val="In-tableHeading"/>
              <w:jc w:val="center"/>
            </w:pPr>
            <w:r w:rsidRPr="008B7558">
              <w:t>Patient population</w:t>
            </w:r>
          </w:p>
        </w:tc>
        <w:tc>
          <w:tcPr>
            <w:tcW w:w="622" w:type="pct"/>
            <w:shd w:val="clear" w:color="auto" w:fill="auto"/>
            <w:vAlign w:val="center"/>
          </w:tcPr>
          <w:p w14:paraId="00476A7A" w14:textId="77777777" w:rsidR="008B7558" w:rsidRPr="008B7558" w:rsidRDefault="008B7558" w:rsidP="00544E7C">
            <w:pPr>
              <w:pStyle w:val="In-tableHeading"/>
              <w:jc w:val="center"/>
            </w:pPr>
            <w:r w:rsidRPr="008B7558">
              <w:t>Outcome(s)</w:t>
            </w:r>
          </w:p>
        </w:tc>
        <w:tc>
          <w:tcPr>
            <w:tcW w:w="939" w:type="pct"/>
            <w:shd w:val="clear" w:color="auto" w:fill="auto"/>
            <w:vAlign w:val="center"/>
          </w:tcPr>
          <w:p w14:paraId="4ECC7A0D" w14:textId="77777777" w:rsidR="008B7558" w:rsidRPr="008B7558" w:rsidRDefault="008B7558" w:rsidP="00544E7C">
            <w:pPr>
              <w:pStyle w:val="In-tableHeading"/>
              <w:jc w:val="center"/>
            </w:pPr>
            <w:r w:rsidRPr="008B7558">
              <w:t>Use in modelled evaluation</w:t>
            </w:r>
          </w:p>
        </w:tc>
      </w:tr>
      <w:tr w:rsidR="008B7558" w:rsidRPr="008B7558" w14:paraId="3ED74D9E" w14:textId="77777777" w:rsidTr="0022029D">
        <w:trPr>
          <w:cantSplit/>
        </w:trPr>
        <w:tc>
          <w:tcPr>
            <w:tcW w:w="5000" w:type="pct"/>
            <w:gridSpan w:val="7"/>
            <w:shd w:val="clear" w:color="auto" w:fill="auto"/>
            <w:vAlign w:val="center"/>
          </w:tcPr>
          <w:p w14:paraId="7AB64DE5" w14:textId="7C689926" w:rsidR="008B7558" w:rsidRPr="008B7558" w:rsidRDefault="008B7558" w:rsidP="008B7558">
            <w:pPr>
              <w:pStyle w:val="TableText0"/>
              <w:rPr>
                <w:lang w:val="en-US"/>
              </w:rPr>
            </w:pPr>
            <w:r w:rsidRPr="008B7558">
              <w:rPr>
                <w:lang w:val="en-US"/>
              </w:rPr>
              <w:t>Maribavir vs</w:t>
            </w:r>
            <w:r w:rsidR="00954CA5">
              <w:rPr>
                <w:lang w:val="en-US"/>
              </w:rPr>
              <w:t>.</w:t>
            </w:r>
            <w:r w:rsidRPr="008B7558">
              <w:rPr>
                <w:lang w:val="en-US"/>
              </w:rPr>
              <w:t xml:space="preserve"> </w:t>
            </w:r>
            <w:r w:rsidR="00954CA5">
              <w:rPr>
                <w:lang w:val="en-US"/>
              </w:rPr>
              <w:t>i</w:t>
            </w:r>
            <w:r w:rsidRPr="008B7558">
              <w:rPr>
                <w:lang w:val="en-US"/>
              </w:rPr>
              <w:t xml:space="preserve">nvestigator </w:t>
            </w:r>
            <w:r w:rsidR="00954CA5">
              <w:rPr>
                <w:lang w:val="en-US"/>
              </w:rPr>
              <w:t>a</w:t>
            </w:r>
            <w:r w:rsidRPr="008B7558">
              <w:rPr>
                <w:lang w:val="en-US"/>
              </w:rPr>
              <w:t xml:space="preserve">ssigned </w:t>
            </w:r>
            <w:r w:rsidR="00954CA5">
              <w:rPr>
                <w:lang w:val="en-US"/>
              </w:rPr>
              <w:t>t</w:t>
            </w:r>
            <w:r w:rsidRPr="008B7558">
              <w:rPr>
                <w:lang w:val="en-US"/>
              </w:rPr>
              <w:t>reatment (ganciclovir</w:t>
            </w:r>
            <w:r w:rsidR="00E66C05">
              <w:rPr>
                <w:lang w:val="en-US"/>
              </w:rPr>
              <w:t>,</w:t>
            </w:r>
            <w:r w:rsidRPr="008B7558">
              <w:rPr>
                <w:lang w:val="en-US"/>
              </w:rPr>
              <w:t xml:space="preserve"> valganciclovir</w:t>
            </w:r>
            <w:r w:rsidR="00E66C05">
              <w:rPr>
                <w:lang w:val="en-US"/>
              </w:rPr>
              <w:t>,</w:t>
            </w:r>
            <w:r w:rsidRPr="008B7558">
              <w:rPr>
                <w:lang w:val="en-US"/>
              </w:rPr>
              <w:t xml:space="preserve"> foscarnet</w:t>
            </w:r>
            <w:r w:rsidR="00E66C05">
              <w:rPr>
                <w:lang w:val="en-US"/>
              </w:rPr>
              <w:t>,</w:t>
            </w:r>
            <w:r w:rsidRPr="008B7558">
              <w:rPr>
                <w:lang w:val="en-US"/>
              </w:rPr>
              <w:t xml:space="preserve"> cidofovir combination)</w:t>
            </w:r>
          </w:p>
        </w:tc>
      </w:tr>
      <w:tr w:rsidR="008B7558" w:rsidRPr="008B7558" w14:paraId="7326A086" w14:textId="77777777" w:rsidTr="0022029D">
        <w:trPr>
          <w:cantSplit/>
        </w:trPr>
        <w:tc>
          <w:tcPr>
            <w:tcW w:w="713" w:type="pct"/>
            <w:shd w:val="clear" w:color="auto" w:fill="auto"/>
            <w:vAlign w:val="center"/>
          </w:tcPr>
          <w:p w14:paraId="64C970CD" w14:textId="77777777" w:rsidR="008B7558" w:rsidRPr="008B7558" w:rsidRDefault="008B7558" w:rsidP="008B7558">
            <w:pPr>
              <w:pStyle w:val="TableText0"/>
              <w:rPr>
                <w:lang w:val="en-US"/>
              </w:rPr>
            </w:pPr>
            <w:r w:rsidRPr="008B7558">
              <w:rPr>
                <w:lang w:val="en-US"/>
              </w:rPr>
              <w:t>SOLSTICE</w:t>
            </w:r>
          </w:p>
        </w:tc>
        <w:tc>
          <w:tcPr>
            <w:tcW w:w="466" w:type="pct"/>
            <w:shd w:val="clear" w:color="auto" w:fill="auto"/>
            <w:vAlign w:val="center"/>
          </w:tcPr>
          <w:p w14:paraId="1EF9507A" w14:textId="77777777" w:rsidR="008B7558" w:rsidRPr="008B7558" w:rsidRDefault="008B7558" w:rsidP="008B7558">
            <w:pPr>
              <w:pStyle w:val="TableText0"/>
              <w:rPr>
                <w:lang w:val="en-US"/>
              </w:rPr>
            </w:pPr>
            <w:r w:rsidRPr="008B7558">
              <w:rPr>
                <w:lang w:val="en-US"/>
              </w:rPr>
              <w:t>352</w:t>
            </w:r>
          </w:p>
        </w:tc>
        <w:tc>
          <w:tcPr>
            <w:tcW w:w="782" w:type="pct"/>
            <w:shd w:val="clear" w:color="auto" w:fill="auto"/>
            <w:vAlign w:val="center"/>
          </w:tcPr>
          <w:p w14:paraId="5D91104A" w14:textId="155EF040" w:rsidR="008B7558" w:rsidRPr="008B7558" w:rsidRDefault="008B7558" w:rsidP="008B7558">
            <w:pPr>
              <w:pStyle w:val="TableText0"/>
              <w:rPr>
                <w:lang w:val="en-US"/>
              </w:rPr>
            </w:pPr>
            <w:r w:rsidRPr="008B7558">
              <w:rPr>
                <w:lang w:val="en-US"/>
              </w:rPr>
              <w:t>R, 2:1 maribavir or IAT, OL, MC</w:t>
            </w:r>
          </w:p>
          <w:p w14:paraId="212ADB06" w14:textId="2E063E55" w:rsidR="008B7558" w:rsidRPr="008B7558" w:rsidRDefault="008B7558" w:rsidP="008B7558">
            <w:pPr>
              <w:pStyle w:val="TableText0"/>
              <w:rPr>
                <w:lang w:val="en-US"/>
              </w:rPr>
            </w:pPr>
            <w:r w:rsidRPr="008B7558">
              <w:rPr>
                <w:lang w:val="en-US"/>
              </w:rPr>
              <w:t>8 w</w:t>
            </w:r>
            <w:r w:rsidR="00E66C05">
              <w:rPr>
                <w:lang w:val="en-US"/>
              </w:rPr>
              <w:t>ee</w:t>
            </w:r>
            <w:r w:rsidRPr="008B7558">
              <w:rPr>
                <w:lang w:val="en-US"/>
              </w:rPr>
              <w:t>k + 12 w</w:t>
            </w:r>
            <w:r w:rsidR="00E66C05">
              <w:rPr>
                <w:lang w:val="en-US"/>
              </w:rPr>
              <w:t>ee</w:t>
            </w:r>
            <w:r w:rsidRPr="008B7558">
              <w:rPr>
                <w:lang w:val="en-US"/>
              </w:rPr>
              <w:t>k follow-up</w:t>
            </w:r>
          </w:p>
        </w:tc>
        <w:tc>
          <w:tcPr>
            <w:tcW w:w="621" w:type="pct"/>
            <w:shd w:val="clear" w:color="auto" w:fill="auto"/>
            <w:vAlign w:val="center"/>
          </w:tcPr>
          <w:p w14:paraId="04213D7D" w14:textId="790FABB2" w:rsidR="008B7558" w:rsidRPr="00A900D2" w:rsidRDefault="00A900D2" w:rsidP="008B7558">
            <w:pPr>
              <w:pStyle w:val="TableText0"/>
              <w:rPr>
                <w:iCs/>
                <w:lang w:val="en-US"/>
              </w:rPr>
            </w:pPr>
            <w:r w:rsidRPr="00A900D2">
              <w:rPr>
                <w:iCs/>
                <w:lang w:val="en-US"/>
              </w:rPr>
              <w:t>High</w:t>
            </w:r>
          </w:p>
        </w:tc>
        <w:tc>
          <w:tcPr>
            <w:tcW w:w="857" w:type="pct"/>
            <w:shd w:val="clear" w:color="auto" w:fill="auto"/>
            <w:vAlign w:val="center"/>
          </w:tcPr>
          <w:p w14:paraId="0A40A2C1" w14:textId="39EE559D" w:rsidR="008B7558" w:rsidRPr="008B7558" w:rsidRDefault="008B7558" w:rsidP="008B7558">
            <w:pPr>
              <w:pStyle w:val="TableText0"/>
            </w:pPr>
            <w:r w:rsidRPr="008B7558">
              <w:sym w:font="Symbol" w:char="F0B3"/>
            </w:r>
            <w:r w:rsidRPr="008B7558">
              <w:t xml:space="preserve"> 12 years</w:t>
            </w:r>
            <w:r w:rsidR="00590DDE">
              <w:rPr>
                <w:vertAlign w:val="superscript"/>
              </w:rPr>
              <w:t>a</w:t>
            </w:r>
            <w:r w:rsidR="00590DDE">
              <w:t>,</w:t>
            </w:r>
            <w:r w:rsidRPr="008B7558">
              <w:t xml:space="preserve"> HSCT or SOT, CMV infections refractory to one or more of ganciclovir, valganciclovir, foscarnet, or cidofovir, including CMV infections with confirmed resistance to one or more anti-CMV agents.</w:t>
            </w:r>
          </w:p>
          <w:p w14:paraId="6CB07E62" w14:textId="77777777" w:rsidR="008B7558" w:rsidRPr="008B7558" w:rsidRDefault="008B7558" w:rsidP="008B7558">
            <w:pPr>
              <w:pStyle w:val="TableText0"/>
              <w:rPr>
                <w:lang w:val="en-US"/>
              </w:rPr>
            </w:pPr>
          </w:p>
        </w:tc>
        <w:tc>
          <w:tcPr>
            <w:tcW w:w="622" w:type="pct"/>
            <w:shd w:val="clear" w:color="auto" w:fill="auto"/>
            <w:vAlign w:val="center"/>
          </w:tcPr>
          <w:p w14:paraId="49ED5F40" w14:textId="53C83699" w:rsidR="008B7558" w:rsidRPr="008B7558" w:rsidRDefault="008B7558" w:rsidP="008B7558">
            <w:pPr>
              <w:pStyle w:val="TableText0"/>
              <w:rPr>
                <w:lang w:val="en-US"/>
              </w:rPr>
            </w:pPr>
            <w:r w:rsidRPr="008B7558">
              <w:t xml:space="preserve">CMV </w:t>
            </w:r>
            <w:r w:rsidR="003F2CC0">
              <w:t>viraemia</w:t>
            </w:r>
            <w:r w:rsidRPr="008B7558">
              <w:t xml:space="preserve"> clearance at 8 w</w:t>
            </w:r>
            <w:r w:rsidR="00E66C05">
              <w:t>ee</w:t>
            </w:r>
            <w:r w:rsidRPr="008B7558">
              <w:t>k, control of CMV disease, recurrence</w:t>
            </w:r>
          </w:p>
        </w:tc>
        <w:tc>
          <w:tcPr>
            <w:tcW w:w="939" w:type="pct"/>
            <w:shd w:val="clear" w:color="auto" w:fill="auto"/>
            <w:vAlign w:val="center"/>
          </w:tcPr>
          <w:p w14:paraId="326BF870" w14:textId="5B099385" w:rsidR="008B7558" w:rsidRPr="008B7558" w:rsidRDefault="008B7558" w:rsidP="008B7558">
            <w:pPr>
              <w:pStyle w:val="TableText0"/>
              <w:rPr>
                <w:lang w:val="en-US"/>
              </w:rPr>
            </w:pPr>
            <w:r w:rsidRPr="008B7558">
              <w:rPr>
                <w:lang w:val="en-US"/>
              </w:rPr>
              <w:t>Used</w:t>
            </w:r>
            <w:r w:rsidR="00A900D2">
              <w:rPr>
                <w:lang w:val="en-US"/>
              </w:rPr>
              <w:t xml:space="preserve"> in stage 1 of the model to inform clearance, </w:t>
            </w:r>
            <w:proofErr w:type="gramStart"/>
            <w:r w:rsidR="00A900D2">
              <w:rPr>
                <w:lang w:val="en-US"/>
              </w:rPr>
              <w:t>recurrence</w:t>
            </w:r>
            <w:proofErr w:type="gramEnd"/>
            <w:r w:rsidR="00A900D2">
              <w:rPr>
                <w:lang w:val="en-US"/>
              </w:rPr>
              <w:t xml:space="preserve"> and mortality transitions</w:t>
            </w:r>
          </w:p>
        </w:tc>
      </w:tr>
    </w:tbl>
    <w:p w14:paraId="2BE92B98" w14:textId="77777777" w:rsidR="008B7558" w:rsidRPr="008B7558" w:rsidRDefault="008B7558" w:rsidP="008B7558">
      <w:pPr>
        <w:pStyle w:val="TableFooter"/>
        <w:rPr>
          <w:rFonts w:eastAsiaTheme="majorEastAsia"/>
        </w:rPr>
      </w:pPr>
      <w:r w:rsidRPr="008B7558">
        <w:rPr>
          <w:rFonts w:eastAsiaTheme="majorEastAsia"/>
        </w:rPr>
        <w:t>Source: Pp 51, 57 of the submission.</w:t>
      </w:r>
    </w:p>
    <w:p w14:paraId="2B3A23E3" w14:textId="7CC22247" w:rsidR="008B7558" w:rsidRPr="008B7558" w:rsidRDefault="008B7558" w:rsidP="008B7558">
      <w:pPr>
        <w:pStyle w:val="TableFooter"/>
        <w:rPr>
          <w:rFonts w:eastAsiaTheme="majorEastAsia"/>
        </w:rPr>
      </w:pPr>
      <w:r w:rsidRPr="008B7558">
        <w:rPr>
          <w:rFonts w:eastAsiaTheme="majorEastAsia"/>
        </w:rPr>
        <w:t xml:space="preserve">CMV = cytomegalovirus; HSCT = </w:t>
      </w:r>
      <w:r w:rsidR="00544E7C">
        <w:rPr>
          <w:rFonts w:eastAsiaTheme="majorEastAsia"/>
        </w:rPr>
        <w:t>ha</w:t>
      </w:r>
      <w:r w:rsidRPr="008B7558">
        <w:rPr>
          <w:rFonts w:eastAsiaTheme="majorEastAsia"/>
        </w:rPr>
        <w:t xml:space="preserve">emopoietic </w:t>
      </w:r>
      <w:r w:rsidR="00544E7C">
        <w:rPr>
          <w:rFonts w:eastAsiaTheme="majorEastAsia"/>
        </w:rPr>
        <w:t>s</w:t>
      </w:r>
      <w:r w:rsidRPr="008B7558">
        <w:rPr>
          <w:rFonts w:eastAsiaTheme="majorEastAsia"/>
        </w:rPr>
        <w:t xml:space="preserve">tem </w:t>
      </w:r>
      <w:r w:rsidR="00544E7C">
        <w:rPr>
          <w:rFonts w:eastAsiaTheme="majorEastAsia"/>
        </w:rPr>
        <w:t>c</w:t>
      </w:r>
      <w:r w:rsidRPr="008B7558">
        <w:rPr>
          <w:rFonts w:eastAsiaTheme="majorEastAsia"/>
        </w:rPr>
        <w:t xml:space="preserve">ell </w:t>
      </w:r>
      <w:r w:rsidR="00544E7C">
        <w:rPr>
          <w:rFonts w:eastAsiaTheme="majorEastAsia"/>
        </w:rPr>
        <w:t>t</w:t>
      </w:r>
      <w:r w:rsidRPr="008B7558">
        <w:rPr>
          <w:rFonts w:eastAsiaTheme="majorEastAsia"/>
        </w:rPr>
        <w:t xml:space="preserve">ransplant; IAT = </w:t>
      </w:r>
      <w:r w:rsidR="00544E7C">
        <w:rPr>
          <w:rFonts w:eastAsiaTheme="majorEastAsia"/>
        </w:rPr>
        <w:t>i</w:t>
      </w:r>
      <w:r w:rsidRPr="008B7558">
        <w:rPr>
          <w:rFonts w:eastAsiaTheme="majorEastAsia"/>
        </w:rPr>
        <w:t xml:space="preserve">nvestigator </w:t>
      </w:r>
      <w:r w:rsidR="00544E7C">
        <w:rPr>
          <w:rFonts w:eastAsiaTheme="majorEastAsia"/>
        </w:rPr>
        <w:t>assigned t</w:t>
      </w:r>
      <w:r w:rsidRPr="008B7558">
        <w:rPr>
          <w:rFonts w:eastAsiaTheme="majorEastAsia"/>
        </w:rPr>
        <w:t xml:space="preserve">reatment; MC = multi-centre; OL = open label; R = randomised; SOT = </w:t>
      </w:r>
      <w:r w:rsidR="00544E7C">
        <w:rPr>
          <w:rFonts w:eastAsiaTheme="majorEastAsia"/>
        </w:rPr>
        <w:t>s</w:t>
      </w:r>
      <w:r w:rsidRPr="008B7558">
        <w:rPr>
          <w:rFonts w:eastAsiaTheme="majorEastAsia"/>
        </w:rPr>
        <w:t xml:space="preserve">olid </w:t>
      </w:r>
      <w:r w:rsidR="00544E7C">
        <w:rPr>
          <w:rFonts w:eastAsiaTheme="majorEastAsia"/>
        </w:rPr>
        <w:t>o</w:t>
      </w:r>
      <w:r w:rsidRPr="008B7558">
        <w:rPr>
          <w:rFonts w:eastAsiaTheme="majorEastAsia"/>
        </w:rPr>
        <w:t xml:space="preserve">rgan </w:t>
      </w:r>
      <w:r w:rsidR="00544E7C">
        <w:rPr>
          <w:rFonts w:eastAsiaTheme="majorEastAsia"/>
        </w:rPr>
        <w:t>t</w:t>
      </w:r>
      <w:r w:rsidRPr="008B7558">
        <w:rPr>
          <w:rFonts w:eastAsiaTheme="majorEastAsia"/>
        </w:rPr>
        <w:t>ransplant</w:t>
      </w:r>
    </w:p>
    <w:p w14:paraId="4901D459" w14:textId="226887C1" w:rsidR="00F15370" w:rsidRDefault="00590DDE" w:rsidP="003926B6">
      <w:pPr>
        <w:pStyle w:val="TableFooter"/>
        <w:tabs>
          <w:tab w:val="left" w:pos="142"/>
        </w:tabs>
        <w:spacing w:after="120"/>
        <w:rPr>
          <w:rFonts w:eastAsiaTheme="majorEastAsia"/>
        </w:rPr>
      </w:pPr>
      <w:r>
        <w:rPr>
          <w:rFonts w:eastAsiaTheme="majorEastAsia"/>
          <w:vertAlign w:val="superscript"/>
        </w:rPr>
        <w:t>a</w:t>
      </w:r>
      <w:r>
        <w:rPr>
          <w:rFonts w:eastAsiaTheme="majorEastAsia"/>
        </w:rPr>
        <w:tab/>
      </w:r>
      <w:r w:rsidR="008B7558" w:rsidRPr="008B7558">
        <w:rPr>
          <w:rFonts w:eastAsiaTheme="majorEastAsia"/>
        </w:rPr>
        <w:t xml:space="preserve">No patients under age 18 were enrolled. </w:t>
      </w:r>
    </w:p>
    <w:p w14:paraId="6C94F85E" w14:textId="718F83AE" w:rsidR="006B51BF" w:rsidRDefault="006B51BF" w:rsidP="006B51BF">
      <w:pPr>
        <w:pStyle w:val="3-BodyText"/>
        <w:rPr>
          <w:rFonts w:eastAsiaTheme="majorEastAsia"/>
        </w:rPr>
      </w:pPr>
      <w:r>
        <w:t xml:space="preserve">Details of trials excluded by the submission but considered relevant are shown in </w:t>
      </w:r>
      <w:r>
        <w:fldChar w:fldCharType="begin" w:fldLock="1"/>
      </w:r>
      <w:r>
        <w:instrText xml:space="preserve"> REF _Ref136083105 \h </w:instrText>
      </w:r>
      <w:r>
        <w:fldChar w:fldCharType="separate"/>
      </w:r>
      <w:r>
        <w:t>Table</w:t>
      </w:r>
      <w:r w:rsidR="003926B6">
        <w:t> </w:t>
      </w:r>
      <w:r>
        <w:rPr>
          <w:noProof/>
        </w:rPr>
        <w:t>5</w:t>
      </w:r>
      <w:r>
        <w:fldChar w:fldCharType="end"/>
      </w:r>
      <w:r>
        <w:t>.</w:t>
      </w:r>
    </w:p>
    <w:p w14:paraId="016BB354" w14:textId="43A55D7A" w:rsidR="00F15370" w:rsidRPr="00421405" w:rsidRDefault="00995BED" w:rsidP="00F15370">
      <w:pPr>
        <w:pStyle w:val="TableFigureHeading"/>
        <w:rPr>
          <w:iCs/>
        </w:rPr>
      </w:pPr>
      <w:bookmarkStart w:id="16" w:name="_Ref136083105"/>
      <w:r>
        <w:lastRenderedPageBreak/>
        <w:t xml:space="preserve">Table </w:t>
      </w:r>
      <w:fldSimple w:instr=" SEQ Table \* ARABIC " w:fldLock="1">
        <w:r w:rsidR="0098695D">
          <w:rPr>
            <w:noProof/>
          </w:rPr>
          <w:t>5</w:t>
        </w:r>
      </w:fldSimple>
      <w:bookmarkEnd w:id="16"/>
      <w:r>
        <w:rPr>
          <w:noProof/>
        </w:rPr>
        <w:t xml:space="preserve">: </w:t>
      </w:r>
      <w:r w:rsidR="00F15370" w:rsidRPr="000E0A75">
        <w:t xml:space="preserve">Excluded </w:t>
      </w:r>
      <w:r w:rsidRPr="000E0A75">
        <w:t>t</w:t>
      </w:r>
      <w:r w:rsidR="00F15370" w:rsidRPr="000E0A75">
        <w:t xml:space="preserve">rials with </w:t>
      </w:r>
      <w:r w:rsidRPr="000E0A75">
        <w:t>r</w:t>
      </w:r>
      <w:r w:rsidR="00F15370" w:rsidRPr="000E0A75">
        <w:t xml:space="preserve">elevant </w:t>
      </w:r>
      <w:r w:rsidRPr="000E0A75">
        <w:t>r</w:t>
      </w:r>
      <w:r w:rsidR="00F15370" w:rsidRPr="000E0A75">
        <w:t>esults</w:t>
      </w:r>
    </w:p>
    <w:tbl>
      <w:tblPr>
        <w:tblStyle w:val="TableGrid"/>
        <w:tblW w:w="5000" w:type="pct"/>
        <w:tblCellMar>
          <w:left w:w="28" w:type="dxa"/>
          <w:right w:w="28" w:type="dxa"/>
        </w:tblCellMar>
        <w:tblLook w:val="04A0" w:firstRow="1" w:lastRow="0" w:firstColumn="1" w:lastColumn="0" w:noHBand="0" w:noVBand="1"/>
        <w:tblCaption w:val="Table 5: Excluded trials with relevant results"/>
        <w:tblDescription w:val="Table 5: Excluded trials with relevant results"/>
      </w:tblPr>
      <w:tblGrid>
        <w:gridCol w:w="1282"/>
        <w:gridCol w:w="668"/>
        <w:gridCol w:w="2421"/>
        <w:gridCol w:w="2253"/>
        <w:gridCol w:w="2393"/>
      </w:tblGrid>
      <w:tr w:rsidR="00995BED" w:rsidRPr="00C642CC" w14:paraId="3078072E" w14:textId="77777777" w:rsidTr="00995BED">
        <w:tc>
          <w:tcPr>
            <w:tcW w:w="1282" w:type="dxa"/>
          </w:tcPr>
          <w:p w14:paraId="194D08F5" w14:textId="4DC64A10" w:rsidR="00995BED" w:rsidRPr="00C642CC" w:rsidRDefault="00590DDE" w:rsidP="00590DDE">
            <w:pPr>
              <w:pStyle w:val="TableText0"/>
              <w:rPr>
                <w:b/>
                <w:bCs w:val="0"/>
              </w:rPr>
            </w:pPr>
            <w:r w:rsidRPr="00C642CC">
              <w:rPr>
                <w:b/>
                <w:bCs w:val="0"/>
              </w:rPr>
              <w:t>Trial</w:t>
            </w:r>
          </w:p>
        </w:tc>
        <w:tc>
          <w:tcPr>
            <w:tcW w:w="668" w:type="dxa"/>
          </w:tcPr>
          <w:p w14:paraId="3B5D6F54" w14:textId="77777777" w:rsidR="00995BED" w:rsidRPr="00C642CC" w:rsidRDefault="00995BED" w:rsidP="00C9687D">
            <w:pPr>
              <w:pStyle w:val="TableText0"/>
              <w:jc w:val="center"/>
              <w:rPr>
                <w:b/>
                <w:bCs w:val="0"/>
              </w:rPr>
            </w:pPr>
            <w:r w:rsidRPr="00C642CC">
              <w:rPr>
                <w:b/>
                <w:bCs w:val="0"/>
              </w:rPr>
              <w:t>N</w:t>
            </w:r>
          </w:p>
        </w:tc>
        <w:tc>
          <w:tcPr>
            <w:tcW w:w="2421" w:type="dxa"/>
          </w:tcPr>
          <w:p w14:paraId="0A84B892" w14:textId="77777777" w:rsidR="00995BED" w:rsidRPr="00C642CC" w:rsidRDefault="00995BED" w:rsidP="00C9687D">
            <w:pPr>
              <w:pStyle w:val="TableText0"/>
              <w:jc w:val="center"/>
              <w:rPr>
                <w:b/>
                <w:bCs w:val="0"/>
              </w:rPr>
            </w:pPr>
            <w:r w:rsidRPr="00C642CC">
              <w:rPr>
                <w:b/>
                <w:bCs w:val="0"/>
              </w:rPr>
              <w:t>Design and duration</w:t>
            </w:r>
          </w:p>
        </w:tc>
        <w:tc>
          <w:tcPr>
            <w:tcW w:w="2253" w:type="dxa"/>
          </w:tcPr>
          <w:p w14:paraId="20A95E5B" w14:textId="77777777" w:rsidR="00995BED" w:rsidRPr="00C642CC" w:rsidRDefault="00995BED" w:rsidP="00C9687D">
            <w:pPr>
              <w:pStyle w:val="TableText0"/>
              <w:jc w:val="center"/>
              <w:rPr>
                <w:b/>
                <w:bCs w:val="0"/>
              </w:rPr>
            </w:pPr>
            <w:r w:rsidRPr="00C642CC">
              <w:rPr>
                <w:b/>
                <w:bCs w:val="0"/>
              </w:rPr>
              <w:t>Patient population</w:t>
            </w:r>
          </w:p>
        </w:tc>
        <w:tc>
          <w:tcPr>
            <w:tcW w:w="2393" w:type="dxa"/>
          </w:tcPr>
          <w:p w14:paraId="1C958E12" w14:textId="77777777" w:rsidR="00995BED" w:rsidRPr="00C642CC" w:rsidRDefault="00995BED" w:rsidP="00C9687D">
            <w:pPr>
              <w:pStyle w:val="TableText0"/>
              <w:jc w:val="center"/>
              <w:rPr>
                <w:b/>
                <w:bCs w:val="0"/>
              </w:rPr>
            </w:pPr>
            <w:r w:rsidRPr="00C642CC">
              <w:rPr>
                <w:b/>
                <w:bCs w:val="0"/>
              </w:rPr>
              <w:t>Primary outcome</w:t>
            </w:r>
          </w:p>
        </w:tc>
      </w:tr>
      <w:tr w:rsidR="00995BED" w:rsidRPr="00F15370" w14:paraId="2575BBA7" w14:textId="77777777" w:rsidTr="00590DDE">
        <w:tc>
          <w:tcPr>
            <w:tcW w:w="1282" w:type="dxa"/>
            <w:vAlign w:val="center"/>
          </w:tcPr>
          <w:p w14:paraId="07B843DC" w14:textId="77777777" w:rsidR="00995BED" w:rsidRPr="000E0A75" w:rsidRDefault="00995BED" w:rsidP="00C9687D">
            <w:pPr>
              <w:pStyle w:val="TableText0"/>
            </w:pPr>
            <w:r w:rsidRPr="000E0A75">
              <w:t>NCT02927067</w:t>
            </w:r>
          </w:p>
        </w:tc>
        <w:tc>
          <w:tcPr>
            <w:tcW w:w="668" w:type="dxa"/>
            <w:vAlign w:val="center"/>
          </w:tcPr>
          <w:p w14:paraId="431001B9" w14:textId="77777777" w:rsidR="00995BED" w:rsidRPr="000E0A75" w:rsidRDefault="00995BED" w:rsidP="00C9687D">
            <w:pPr>
              <w:pStyle w:val="TableText0"/>
              <w:jc w:val="center"/>
            </w:pPr>
            <w:r w:rsidRPr="000E0A75">
              <w:t>553</w:t>
            </w:r>
          </w:p>
        </w:tc>
        <w:tc>
          <w:tcPr>
            <w:tcW w:w="2421" w:type="dxa"/>
          </w:tcPr>
          <w:p w14:paraId="581EF5E4" w14:textId="77777777" w:rsidR="00995BED" w:rsidRPr="000E0A75" w:rsidRDefault="00995BED" w:rsidP="00C9687D">
            <w:pPr>
              <w:pStyle w:val="TableText0"/>
            </w:pPr>
            <w:r w:rsidRPr="000E0A75">
              <w:t>R, DB, DD, maribavir 400 mg bd or valganciclovir 900 mg bd, 8 wk</w:t>
            </w:r>
          </w:p>
        </w:tc>
        <w:tc>
          <w:tcPr>
            <w:tcW w:w="2253" w:type="dxa"/>
          </w:tcPr>
          <w:p w14:paraId="36CC03F2" w14:textId="77777777" w:rsidR="00995BED" w:rsidRPr="000E0A75" w:rsidRDefault="00995BED" w:rsidP="00C9687D">
            <w:pPr>
              <w:pStyle w:val="TableText0"/>
            </w:pPr>
            <w:r w:rsidRPr="000E0A75">
              <w:t xml:space="preserve">HSCT, </w:t>
            </w:r>
            <w:r w:rsidRPr="000E0A75">
              <w:sym w:font="Symbol" w:char="F0B3"/>
            </w:r>
            <w:r w:rsidRPr="000E0A75">
              <w:t xml:space="preserve"> 16 yrs, CMV infection, no CMV organ disease, first episode of CMV after transplant, no resistance to ganciclovir</w:t>
            </w:r>
          </w:p>
        </w:tc>
        <w:tc>
          <w:tcPr>
            <w:tcW w:w="2393" w:type="dxa"/>
          </w:tcPr>
          <w:p w14:paraId="4BC025C4" w14:textId="3EA9F155" w:rsidR="00995BED" w:rsidRPr="000E0A75" w:rsidRDefault="00995BED" w:rsidP="00C9687D">
            <w:pPr>
              <w:pStyle w:val="TableText0"/>
            </w:pPr>
            <w:r w:rsidRPr="000E0A75">
              <w:t xml:space="preserve">CMV </w:t>
            </w:r>
            <w:r w:rsidR="003F2CC0">
              <w:t>viraemia</w:t>
            </w:r>
            <w:r w:rsidRPr="000E0A75">
              <w:t xml:space="preserve"> clearance at 8 wk (same definition of clearance as SOLSTICE)</w:t>
            </w:r>
          </w:p>
        </w:tc>
      </w:tr>
      <w:tr w:rsidR="00995BED" w:rsidRPr="00F15370" w14:paraId="74836181" w14:textId="77777777" w:rsidTr="00590DDE">
        <w:tc>
          <w:tcPr>
            <w:tcW w:w="1282" w:type="dxa"/>
            <w:vAlign w:val="center"/>
          </w:tcPr>
          <w:p w14:paraId="30ACBB47" w14:textId="03EA2B25" w:rsidR="00995BED" w:rsidRPr="000E0A75" w:rsidRDefault="00050A79" w:rsidP="00C9687D">
            <w:pPr>
              <w:pStyle w:val="TableText0"/>
            </w:pPr>
            <w:r w:rsidRPr="000E0A75">
              <w:t xml:space="preserve">Maertens et al </w:t>
            </w:r>
            <w:r w:rsidR="00995BED" w:rsidRPr="000E0A75">
              <w:t>NEJM 2019; 381:1136-47</w:t>
            </w:r>
          </w:p>
        </w:tc>
        <w:tc>
          <w:tcPr>
            <w:tcW w:w="668" w:type="dxa"/>
            <w:vAlign w:val="center"/>
          </w:tcPr>
          <w:p w14:paraId="6D9962D0" w14:textId="77777777" w:rsidR="00995BED" w:rsidRPr="000E0A75" w:rsidRDefault="00995BED" w:rsidP="00C9687D">
            <w:pPr>
              <w:pStyle w:val="TableText0"/>
              <w:jc w:val="center"/>
            </w:pPr>
            <w:r w:rsidRPr="000E0A75">
              <w:t>161</w:t>
            </w:r>
          </w:p>
        </w:tc>
        <w:tc>
          <w:tcPr>
            <w:tcW w:w="2421" w:type="dxa"/>
          </w:tcPr>
          <w:p w14:paraId="3070C577" w14:textId="079BA3C5" w:rsidR="00995BED" w:rsidRPr="000E0A75" w:rsidRDefault="00995BED" w:rsidP="00C9687D">
            <w:pPr>
              <w:pStyle w:val="TableText0"/>
            </w:pPr>
            <w:r w:rsidRPr="000E0A75">
              <w:t>R, OL to maribavir v</w:t>
            </w:r>
            <w:r w:rsidR="00D35E4F" w:rsidRPr="000E0A75">
              <w:t>ersu</w:t>
            </w:r>
            <w:r w:rsidRPr="000E0A75">
              <w:t>s valganciclovir but blinded to maribavir dose; maribavir 400 mg bd, 800 mg bd, 1200 mg bd or valganciclovir, 12 wk</w:t>
            </w:r>
          </w:p>
        </w:tc>
        <w:tc>
          <w:tcPr>
            <w:tcW w:w="2253" w:type="dxa"/>
          </w:tcPr>
          <w:p w14:paraId="71544277" w14:textId="77777777" w:rsidR="00995BED" w:rsidRPr="000E0A75" w:rsidRDefault="00995BED" w:rsidP="00C9687D">
            <w:pPr>
              <w:pStyle w:val="TableText0"/>
            </w:pPr>
            <w:r w:rsidRPr="000E0A75">
              <w:t xml:space="preserve">HSCT or SOT, </w:t>
            </w:r>
            <w:r w:rsidRPr="000E0A75">
              <w:sym w:font="Symbol" w:char="F0B3"/>
            </w:r>
            <w:r w:rsidRPr="000E0A75">
              <w:t xml:space="preserve"> 18 yrs, CMV DNA 1,000 to 100,000 IU/mL, no CMV organ disease, no resistance to ganciclovir</w:t>
            </w:r>
          </w:p>
        </w:tc>
        <w:tc>
          <w:tcPr>
            <w:tcW w:w="2393" w:type="dxa"/>
          </w:tcPr>
          <w:p w14:paraId="4886C013" w14:textId="3296EC80" w:rsidR="00995BED" w:rsidRPr="000E0A75" w:rsidRDefault="00995BED" w:rsidP="00C9687D">
            <w:pPr>
              <w:pStyle w:val="TableText0"/>
            </w:pPr>
            <w:r w:rsidRPr="000E0A75">
              <w:t xml:space="preserve">CMV </w:t>
            </w:r>
            <w:r w:rsidR="003F2CC0">
              <w:t>viraemia</w:t>
            </w:r>
            <w:r w:rsidRPr="000E0A75">
              <w:t xml:space="preserve"> clearance at 3 or 6 wk (same definition of clearance as SOLSTICE)</w:t>
            </w:r>
          </w:p>
        </w:tc>
      </w:tr>
    </w:tbl>
    <w:p w14:paraId="1F87C5F2" w14:textId="0A4C1E3E" w:rsidR="00995BED" w:rsidRDefault="00995BED" w:rsidP="00590DDE">
      <w:pPr>
        <w:rPr>
          <w:rFonts w:asciiTheme="minorHAnsi" w:hAnsiTheme="minorHAnsi" w:cstheme="minorBidi"/>
          <w:sz w:val="18"/>
          <w:szCs w:val="18"/>
        </w:rPr>
      </w:pPr>
      <w:r w:rsidRPr="0073211F">
        <w:rPr>
          <w:rStyle w:val="TableFooterChar"/>
          <w:color w:val="000000" w:themeColor="text1"/>
        </w:rPr>
        <w:t xml:space="preserve">Source: constructed during the evaluation from: </w:t>
      </w:r>
      <w:hyperlink r:id="rId8" w:history="1">
        <w:r w:rsidRPr="00B44812">
          <w:rPr>
            <w:rStyle w:val="TableFooterChar"/>
          </w:rPr>
          <w:t>https://clinicaltrials.gov/study/NCT02927067</w:t>
        </w:r>
      </w:hyperlink>
      <w:r w:rsidRPr="00B44812">
        <w:rPr>
          <w:rStyle w:val="TableFooterChar"/>
        </w:rPr>
        <w:t xml:space="preserve"> (accessed 15 July, 2023); Maertens 2019</w:t>
      </w:r>
      <w:r w:rsidR="00E80DE2">
        <w:rPr>
          <w:rStyle w:val="FootnoteReference"/>
          <w:rFonts w:ascii="Arial Narrow" w:hAnsi="Arial Narrow"/>
          <w:snapToGrid w:val="0"/>
          <w:sz w:val="18"/>
          <w:lang w:eastAsia="en-US"/>
        </w:rPr>
        <w:footnoteReference w:id="5"/>
      </w:r>
      <w:r w:rsidRPr="002D4C68">
        <w:rPr>
          <w:sz w:val="18"/>
          <w:szCs w:val="18"/>
        </w:rPr>
        <w:t>.</w:t>
      </w:r>
      <w:r w:rsidR="00906521">
        <w:rPr>
          <w:sz w:val="18"/>
          <w:szCs w:val="18"/>
        </w:rPr>
        <w:t xml:space="preserve"> </w:t>
      </w:r>
    </w:p>
    <w:p w14:paraId="43AE970D" w14:textId="4AC5812D" w:rsidR="009E40BA" w:rsidRDefault="002F69B7" w:rsidP="00A10133">
      <w:pPr>
        <w:pStyle w:val="TableFooter"/>
        <w:spacing w:after="120"/>
      </w:pPr>
      <w:r>
        <w:t xml:space="preserve">bd = twice daily; </w:t>
      </w:r>
      <w:r w:rsidR="00995BED" w:rsidRPr="002D4C68">
        <w:t xml:space="preserve">CMV = cytomegalovirus; DB = </w:t>
      </w:r>
      <w:r w:rsidR="00995BED">
        <w:t>d</w:t>
      </w:r>
      <w:r w:rsidR="00995BED" w:rsidRPr="002D4C68">
        <w:t xml:space="preserve">ouble </w:t>
      </w:r>
      <w:r w:rsidR="00995BED">
        <w:t>b</w:t>
      </w:r>
      <w:r w:rsidR="00995BED" w:rsidRPr="002D4C68">
        <w:t xml:space="preserve">lind; DD = </w:t>
      </w:r>
      <w:r w:rsidR="00995BED">
        <w:t>d</w:t>
      </w:r>
      <w:r w:rsidR="00995BED" w:rsidRPr="002D4C68">
        <w:t xml:space="preserve">ouble </w:t>
      </w:r>
      <w:r w:rsidR="00995BED">
        <w:t>d</w:t>
      </w:r>
      <w:r w:rsidR="00995BED" w:rsidRPr="002D4C68">
        <w:t xml:space="preserve">ummy; HSCT = </w:t>
      </w:r>
      <w:r w:rsidR="00995BED">
        <w:t>ha</w:t>
      </w:r>
      <w:r w:rsidR="00995BED" w:rsidRPr="002D4C68">
        <w:t xml:space="preserve">emopoietic </w:t>
      </w:r>
      <w:r w:rsidR="00995BED">
        <w:t>s</w:t>
      </w:r>
      <w:r w:rsidR="00995BED" w:rsidRPr="002D4C68">
        <w:t xml:space="preserve">tem </w:t>
      </w:r>
      <w:r w:rsidR="00995BED">
        <w:t>c</w:t>
      </w:r>
      <w:r w:rsidR="00995BED" w:rsidRPr="002D4C68">
        <w:t xml:space="preserve">ell </w:t>
      </w:r>
      <w:r w:rsidR="00995BED">
        <w:t>t</w:t>
      </w:r>
      <w:r w:rsidR="00995BED" w:rsidRPr="002D4C68">
        <w:t xml:space="preserve">ransplant; OL = </w:t>
      </w:r>
      <w:r w:rsidR="00995BED">
        <w:t>o</w:t>
      </w:r>
      <w:r w:rsidR="00995BED" w:rsidRPr="002D4C68">
        <w:t xml:space="preserve">pen </w:t>
      </w:r>
      <w:r w:rsidR="00995BED">
        <w:t>l</w:t>
      </w:r>
      <w:r w:rsidR="00995BED" w:rsidRPr="002D4C68">
        <w:t xml:space="preserve">abel; R = </w:t>
      </w:r>
      <w:r w:rsidR="00995BED">
        <w:t>r</w:t>
      </w:r>
      <w:r w:rsidR="00995BED" w:rsidRPr="002D4C68">
        <w:t xml:space="preserve">andomised; SOT = </w:t>
      </w:r>
      <w:r w:rsidR="00995BED">
        <w:t>s</w:t>
      </w:r>
      <w:r w:rsidR="00995BED" w:rsidRPr="002D4C68">
        <w:t xml:space="preserve">olid </w:t>
      </w:r>
      <w:r w:rsidR="00995BED">
        <w:t>o</w:t>
      </w:r>
      <w:r w:rsidR="00995BED" w:rsidRPr="002D4C68">
        <w:t xml:space="preserve">rgan </w:t>
      </w:r>
      <w:r w:rsidR="00995BED">
        <w:t>t</w:t>
      </w:r>
      <w:r w:rsidR="00995BED" w:rsidRPr="002D4C68">
        <w:t>ransplant</w:t>
      </w:r>
      <w:r w:rsidR="00995BED">
        <w:t>; wk = week</w:t>
      </w:r>
      <w:r w:rsidR="00D35E4F">
        <w:t>; yrs = years</w:t>
      </w:r>
    </w:p>
    <w:p w14:paraId="2DFD9CD1" w14:textId="3DEB7DF1" w:rsidR="00987C3D" w:rsidRPr="00965546" w:rsidRDefault="00965546" w:rsidP="001C584F">
      <w:pPr>
        <w:pStyle w:val="3-BodyText"/>
      </w:pPr>
      <w:r>
        <w:t xml:space="preserve">To be included in the SOLSTICE trial, </w:t>
      </w:r>
      <w:r w:rsidR="00A75692">
        <w:t>p</w:t>
      </w:r>
      <w:r w:rsidR="001213E4" w:rsidRPr="00965546">
        <w:t xml:space="preserve">atients were required to be refractory </w:t>
      </w:r>
      <w:r w:rsidR="001C584F" w:rsidRPr="00965546">
        <w:t xml:space="preserve">to the most recently used anti-CMV agent, defined as </w:t>
      </w:r>
      <w:r w:rsidR="001C584F" w:rsidRPr="00965546">
        <w:rPr>
          <w:lang w:val="en-GB"/>
        </w:rPr>
        <w:t>failure to achieve &gt;1 log</w:t>
      </w:r>
      <w:r w:rsidR="001C584F" w:rsidRPr="00965546">
        <w:rPr>
          <w:vertAlign w:val="subscript"/>
          <w:lang w:val="en-GB"/>
        </w:rPr>
        <w:t>10</w:t>
      </w:r>
      <w:r w:rsidR="001C584F" w:rsidRPr="00965546">
        <w:rPr>
          <w:lang w:val="en-GB"/>
        </w:rPr>
        <w:t xml:space="preserve"> decrease in CMV DNA level in whole blood or plasma after a 14-day or longer treatment period (</w:t>
      </w:r>
      <w:r w:rsidR="000E1B19" w:rsidRPr="00965546">
        <w:rPr>
          <w:lang w:val="en-GB"/>
        </w:rPr>
        <w:t>i.e.</w:t>
      </w:r>
      <w:r w:rsidR="001C584F" w:rsidRPr="00965546">
        <w:rPr>
          <w:lang w:val="en-GB"/>
        </w:rPr>
        <w:t>, there was no upper limit to allowable treatment duration</w:t>
      </w:r>
      <w:r w:rsidR="00083252" w:rsidRPr="00965546">
        <w:rPr>
          <w:lang w:val="en-GB"/>
        </w:rPr>
        <w:t>, and the me</w:t>
      </w:r>
      <w:r w:rsidR="00346772" w:rsidRPr="00965546">
        <w:rPr>
          <w:lang w:val="en-GB"/>
        </w:rPr>
        <w:t>dian</w:t>
      </w:r>
      <w:r w:rsidR="00083252" w:rsidRPr="00965546">
        <w:rPr>
          <w:lang w:val="en-GB"/>
        </w:rPr>
        <w:t xml:space="preserve"> duration of infection before trial enrolment was </w:t>
      </w:r>
      <w:r w:rsidR="00346772" w:rsidRPr="00965546">
        <w:rPr>
          <w:lang w:val="en-GB"/>
        </w:rPr>
        <w:t xml:space="preserve">more than 5 weeks – see </w:t>
      </w:r>
      <w:r w:rsidR="00ED03BA">
        <w:rPr>
          <w:lang w:val="en-GB"/>
        </w:rPr>
        <w:fldChar w:fldCharType="begin" w:fldLock="1"/>
      </w:r>
      <w:r w:rsidR="00ED03BA">
        <w:rPr>
          <w:lang w:val="en-GB"/>
        </w:rPr>
        <w:instrText xml:space="preserve"> REF _Ref141175748 \h </w:instrText>
      </w:r>
      <w:r w:rsidR="00ED03BA">
        <w:rPr>
          <w:lang w:val="en-GB"/>
        </w:rPr>
      </w:r>
      <w:r w:rsidR="00ED03BA">
        <w:rPr>
          <w:lang w:val="en-GB"/>
        </w:rPr>
        <w:fldChar w:fldCharType="separate"/>
      </w:r>
      <w:r w:rsidR="002206AE">
        <w:t xml:space="preserve">Table </w:t>
      </w:r>
      <w:r w:rsidR="002206AE">
        <w:rPr>
          <w:noProof/>
        </w:rPr>
        <w:t>7</w:t>
      </w:r>
      <w:r w:rsidR="00ED03BA">
        <w:rPr>
          <w:lang w:val="en-GB"/>
        </w:rPr>
        <w:fldChar w:fldCharType="end"/>
      </w:r>
      <w:r w:rsidR="00346772" w:rsidRPr="00965546">
        <w:rPr>
          <w:lang w:val="en-GB"/>
        </w:rPr>
        <w:t>, below</w:t>
      </w:r>
      <w:r w:rsidR="001C584F" w:rsidRPr="00965546">
        <w:rPr>
          <w:lang w:val="en-GB"/>
        </w:rPr>
        <w:t xml:space="preserve">). </w:t>
      </w:r>
      <w:r w:rsidR="00987C3D" w:rsidRPr="00965546">
        <w:t>Patients with genotypic resistance or prior intolerance had to meet the criteria for refractoriness</w:t>
      </w:r>
      <w:r w:rsidR="00153100" w:rsidRPr="00965546">
        <w:t xml:space="preserve"> (</w:t>
      </w:r>
      <w:r w:rsidR="000E1B19" w:rsidRPr="00965546">
        <w:t>i.e.</w:t>
      </w:r>
      <w:r w:rsidR="00153100" w:rsidRPr="00965546">
        <w:t xml:space="preserve">, resistance and intolerance were ignored for eligibility). </w:t>
      </w:r>
    </w:p>
    <w:p w14:paraId="0D94BB08" w14:textId="37E6786E" w:rsidR="001213E4" w:rsidRPr="000E0A75" w:rsidRDefault="001C584F" w:rsidP="001C584F">
      <w:pPr>
        <w:pStyle w:val="3-BodyText"/>
      </w:pPr>
      <w:r w:rsidRPr="00965546">
        <w:t xml:space="preserve">About </w:t>
      </w:r>
      <w:r w:rsidR="007D31F9" w:rsidRPr="00965546">
        <w:t>two-thirds</w:t>
      </w:r>
      <w:r w:rsidRPr="00965546">
        <w:t xml:space="preserve"> of patients were eligible on the basis of refractoriness to ganciclovir/valganciclovir (SOLSTICE CSR, p141). </w:t>
      </w:r>
      <w:r w:rsidR="00153100" w:rsidRPr="00965546">
        <w:t xml:space="preserve">This is similar to the proportion of patients experiencing their first post-transplant CMV infection, consistent with the use of ganciclovir/valganciclovir as first-line treatment. </w:t>
      </w:r>
      <w:r w:rsidR="00987C3D" w:rsidRPr="000E0A75">
        <w:t xml:space="preserve">The other </w:t>
      </w:r>
      <w:r w:rsidR="007D31F9" w:rsidRPr="000E0A75">
        <w:t>third</w:t>
      </w:r>
      <w:r w:rsidR="00987C3D" w:rsidRPr="000E0A75">
        <w:t xml:space="preserve"> must have been eligible on the basis of refractoriness to foscarnet or cidofovir, but the proportion</w:t>
      </w:r>
      <w:r w:rsidR="00153100" w:rsidRPr="000E0A75">
        <w:t>s of each are</w:t>
      </w:r>
      <w:r w:rsidR="00987C3D" w:rsidRPr="000E0A75">
        <w:t xml:space="preserve"> not </w:t>
      </w:r>
      <w:r w:rsidR="00153100" w:rsidRPr="000E0A75">
        <w:t>given in</w:t>
      </w:r>
      <w:r w:rsidR="00987C3D" w:rsidRPr="000E0A75">
        <w:t xml:space="preserve"> the CSR. The importance of this is that</w:t>
      </w:r>
      <w:r w:rsidR="00346772" w:rsidRPr="000E0A75">
        <w:t>, assuming standard treatment guidelines were followed,</w:t>
      </w:r>
      <w:r w:rsidR="00987C3D" w:rsidRPr="000E0A75">
        <w:t xml:space="preserve"> the use of foscarnet </w:t>
      </w:r>
      <w:r w:rsidR="00153100" w:rsidRPr="000E0A75">
        <w:t>or cidofovir</w:t>
      </w:r>
      <w:r w:rsidR="00987C3D" w:rsidRPr="000E0A75">
        <w:t xml:space="preserve"> would imply that the</w:t>
      </w:r>
      <w:r w:rsidR="00153100" w:rsidRPr="000E0A75">
        <w:t xml:space="preserve"> patients</w:t>
      </w:r>
      <w:r w:rsidR="00987C3D" w:rsidRPr="000E0A75">
        <w:t xml:space="preserve"> had previously failed treatment with or were infected with CMV resistant to ganciclovir /valganciclovir, </w:t>
      </w:r>
      <w:r w:rsidR="00153100" w:rsidRPr="000E0A75">
        <w:t>although</w:t>
      </w:r>
      <w:r w:rsidR="00987C3D" w:rsidRPr="000E0A75">
        <w:t xml:space="preserve"> this also </w:t>
      </w:r>
      <w:r w:rsidR="00FA2043">
        <w:t>wa</w:t>
      </w:r>
      <w:r w:rsidR="00987C3D" w:rsidRPr="000E0A75">
        <w:t>s not reported in the CSR</w:t>
      </w:r>
      <w:r w:rsidR="00153100" w:rsidRPr="000E0A75">
        <w:t xml:space="preserve">. </w:t>
      </w:r>
      <w:r w:rsidR="00346772" w:rsidRPr="000E0A75">
        <w:t>Therefore</w:t>
      </w:r>
      <w:r w:rsidR="00153100" w:rsidRPr="000E0A75">
        <w:t>, it seems likely that all patients in the trial had</w:t>
      </w:r>
      <w:r w:rsidR="00346772" w:rsidRPr="000E0A75">
        <w:t>, or had</w:t>
      </w:r>
      <w:r w:rsidR="00153100" w:rsidRPr="000E0A75">
        <w:t xml:space="preserve"> a history of</w:t>
      </w:r>
      <w:r w:rsidR="006C36CC">
        <w:t>,</w:t>
      </w:r>
      <w:r w:rsidR="00153100" w:rsidRPr="000E0A75">
        <w:t xml:space="preserve"> CMV infection refractory or resistant to ganciclovir/valganciclovir.</w:t>
      </w:r>
    </w:p>
    <w:p w14:paraId="1050D547" w14:textId="78682DA1" w:rsidR="00EF7B8D" w:rsidRPr="009C006D" w:rsidRDefault="00EF7B8D" w:rsidP="00EF7B8D">
      <w:pPr>
        <w:pStyle w:val="3-BodyText"/>
      </w:pPr>
      <w:r>
        <w:t>Patients enrolled in SOLSTICE were randomised 2:1 to maribavir or investigator a</w:t>
      </w:r>
      <w:r w:rsidR="00767FBD">
        <w:t>ssign</w:t>
      </w:r>
      <w:r>
        <w:t>ed treatment (IAT). Randomisation was stratified by transplant type (h</w:t>
      </w:r>
      <w:r w:rsidR="00BD17BC">
        <w:t>a</w:t>
      </w:r>
      <w:r>
        <w:t>em</w:t>
      </w:r>
      <w:r w:rsidR="00BD17BC">
        <w:t>at</w:t>
      </w:r>
      <w:r>
        <w:t>opoietic stem cell vs solid organ), and by high (</w:t>
      </w:r>
      <w:r>
        <w:sym w:font="Symbol" w:char="F0B3"/>
      </w:r>
      <w:r>
        <w:t xml:space="preserve"> 91,000 IU/mL in plasma), medium (</w:t>
      </w:r>
      <w:r>
        <w:sym w:font="Symbol" w:char="F0B3"/>
      </w:r>
      <w:r>
        <w:t xml:space="preserve"> 9,100 and &lt; 91,000 IU/mL in plasma) and low (</w:t>
      </w:r>
      <w:r>
        <w:sym w:font="Symbol" w:char="F0B3"/>
      </w:r>
      <w:r>
        <w:t xml:space="preserve"> 910 and &lt; 9,100 IU/mL in plasma) CMV DNA. Patients received maribavir 400 mg twice daily or IAT for 8 weeks. After the </w:t>
      </w:r>
      <w:r w:rsidR="00F3629E">
        <w:t>8-week</w:t>
      </w:r>
      <w:r>
        <w:t xml:space="preserve"> treatment period patients were followed-up off treatment for 12</w:t>
      </w:r>
      <w:r w:rsidR="003926B6">
        <w:t> </w:t>
      </w:r>
      <w:r>
        <w:t>weeks (total 20 weeks).</w:t>
      </w:r>
    </w:p>
    <w:p w14:paraId="0A31C6D5" w14:textId="35F9822A" w:rsidR="009C0308" w:rsidRDefault="00EF7B8D" w:rsidP="00EF7B8D">
      <w:pPr>
        <w:pStyle w:val="3-BodyText"/>
      </w:pPr>
      <w:r w:rsidRPr="009C006D">
        <w:rPr>
          <w:rStyle w:val="3-BodyTextChar"/>
        </w:rPr>
        <w:lastRenderedPageBreak/>
        <w:t>P</w:t>
      </w:r>
      <w:r w:rsidRPr="002D2F1D">
        <w:t>atients randomised to IAT</w:t>
      </w:r>
      <w:r>
        <w:t xml:space="preserve"> had their treatment chosen at the discretion of the local investigator from among the four drugs allowed: ganciclovir, valganciclovir, foscarnet and cidof</w:t>
      </w:r>
      <w:r w:rsidR="00A15DB5">
        <w:t>o</w:t>
      </w:r>
      <w:r>
        <w:t xml:space="preserve">vir. Although treatment failure with the current treatment was an entry criterion, patients </w:t>
      </w:r>
      <w:r w:rsidRPr="002D2F1D">
        <w:t xml:space="preserve">could </w:t>
      </w:r>
      <w:r>
        <w:t>continue</w:t>
      </w:r>
      <w:r w:rsidRPr="002D2F1D">
        <w:t xml:space="preserve"> their current treatment</w:t>
      </w:r>
      <w:r>
        <w:t xml:space="preserve"> unchanged, receive the same agent</w:t>
      </w:r>
      <w:r w:rsidRPr="002D2F1D">
        <w:t xml:space="preserve"> at a </w:t>
      </w:r>
      <w:r>
        <w:t>higher</w:t>
      </w:r>
      <w:r w:rsidRPr="002D2F1D">
        <w:t xml:space="preserve"> dose or </w:t>
      </w:r>
      <w:r>
        <w:t xml:space="preserve">reduced </w:t>
      </w:r>
      <w:r w:rsidRPr="002D2F1D">
        <w:t xml:space="preserve">dosing interval, </w:t>
      </w:r>
      <w:r>
        <w:t>change</w:t>
      </w:r>
      <w:r w:rsidRPr="002D2F1D">
        <w:t xml:space="preserve"> to another a</w:t>
      </w:r>
      <w:r>
        <w:t>gent,</w:t>
      </w:r>
      <w:r w:rsidRPr="002D2F1D">
        <w:t xml:space="preserve"> or receive a combination of two agents (but not foscarnet + cidofovir). Dose and dosing interval could be changed during treatment, but a change to another agent </w:t>
      </w:r>
      <w:r>
        <w:t>(except switching between ganciclovir and valganciclovir and vice versa)</w:t>
      </w:r>
      <w:r w:rsidR="0038312F">
        <w:t>,</w:t>
      </w:r>
      <w:r>
        <w:t xml:space="preserve"> </w:t>
      </w:r>
      <w:r w:rsidRPr="002D2F1D">
        <w:t>or addition of an agent</w:t>
      </w:r>
      <w:r>
        <w:t xml:space="preserve"> not chosen at randomisation was considered treatment failure. </w:t>
      </w:r>
    </w:p>
    <w:p w14:paraId="639E57CB" w14:textId="0567EF10" w:rsidR="00EF7B8D" w:rsidRDefault="001213E4" w:rsidP="00EF7B8D">
      <w:pPr>
        <w:pStyle w:val="3-BodyText"/>
      </w:pPr>
      <w:r>
        <w:t>The IAT chosen was g</w:t>
      </w:r>
      <w:r w:rsidR="00F25940">
        <w:t>anciclovir</w:t>
      </w:r>
      <w:r>
        <w:t xml:space="preserve"> </w:t>
      </w:r>
      <w:r w:rsidR="00F25940">
        <w:t xml:space="preserve">for 28 (24.1%) of patients, valganciclovir for 28 (24.1%), foscarnet for 47 (40.5%), cidofovir for 6 (5.2%), and foscarnet + ganciclovir/valganciclovir for 7 (6.0%). </w:t>
      </w:r>
    </w:p>
    <w:p w14:paraId="4B40EFEA" w14:textId="66648245" w:rsidR="009C3015" w:rsidRPr="00421405" w:rsidRDefault="00EF7B8D" w:rsidP="009C3015">
      <w:pPr>
        <w:pStyle w:val="3-BodyText"/>
        <w:rPr>
          <w:iCs/>
        </w:rPr>
      </w:pPr>
      <w:r w:rsidRPr="000E0A75">
        <w:t>Of 69 patients with CMV resistant to ganciclovir/valganciclovir at baseline randomised to IAT</w:t>
      </w:r>
      <w:r w:rsidR="0073211F" w:rsidRPr="000E0A75">
        <w:t>,</w:t>
      </w:r>
      <w:r w:rsidRPr="000E0A75">
        <w:t xml:space="preserve"> 32 (46.4%) were treated with ganciclovir/valganciclovir, so that of 56 patients treated with ganciclovir/valganciclovir most (57.1%) were known to have CMV resistant to that treatment. Of 7 patients with CMV resistant to foscarnet at baseline, none received foscarnet as IAT; of 14 patients with CMV resistant to cidofovir at baseline, one received cidofovir as IAT (SOLSTICE CSR, Table 18, p139</w:t>
      </w:r>
      <w:r w:rsidR="00995BED" w:rsidRPr="000E0A75">
        <w:t xml:space="preserve">; </w:t>
      </w:r>
      <w:r w:rsidRPr="000E0A75">
        <w:t xml:space="preserve">SOLSTICE CSR, Table 17, p138). </w:t>
      </w:r>
      <w:r w:rsidR="009C3015" w:rsidRPr="00421405">
        <w:rPr>
          <w:iCs/>
        </w:rPr>
        <w:t>The PSCR stated that clinicians were able to assign the most appropriate treatment in the IAT comparator arm to ensure that patients received the best care, aligned with how clinicians currently treat their patients</w:t>
      </w:r>
      <w:r w:rsidR="00E06B19" w:rsidRPr="00421405">
        <w:rPr>
          <w:iCs/>
        </w:rPr>
        <w:t>.</w:t>
      </w:r>
      <w:r w:rsidR="009C3015" w:rsidRPr="00421405">
        <w:rPr>
          <w:iCs/>
        </w:rPr>
        <w:t xml:space="preserve"> The PSCR also stated that resistance can be low, medium or high, and if it is lower the ganciclovir dose can be increased to manage resistance. </w:t>
      </w:r>
      <w:r w:rsidR="009C3015" w:rsidRPr="00421405">
        <w:rPr>
          <w:rFonts w:cstheme="minorBidi"/>
          <w:iCs/>
        </w:rPr>
        <w:t xml:space="preserve">The ESC considered that this </w:t>
      </w:r>
      <w:r w:rsidR="00E06B19" w:rsidRPr="00421405">
        <w:rPr>
          <w:rFonts w:cstheme="minorBidi"/>
          <w:iCs/>
        </w:rPr>
        <w:t>was consistent with clinical practice and with the inclusion of</w:t>
      </w:r>
      <w:r w:rsidR="009C3015" w:rsidRPr="00421405">
        <w:rPr>
          <w:rFonts w:cstheme="minorBidi"/>
          <w:iCs/>
        </w:rPr>
        <w:t xml:space="preserve"> ganciclovir</w:t>
      </w:r>
      <w:r w:rsidR="00E06B19" w:rsidRPr="00421405">
        <w:rPr>
          <w:rFonts w:cstheme="minorBidi"/>
          <w:iCs/>
        </w:rPr>
        <w:t>/valganciclovir (at higher</w:t>
      </w:r>
      <w:r w:rsidR="009C3015" w:rsidRPr="00421405">
        <w:rPr>
          <w:rFonts w:cstheme="minorBidi"/>
          <w:iCs/>
        </w:rPr>
        <w:t xml:space="preserve"> doses</w:t>
      </w:r>
      <w:r w:rsidR="00E06B19" w:rsidRPr="00421405">
        <w:rPr>
          <w:rFonts w:cstheme="minorBidi"/>
          <w:iCs/>
        </w:rPr>
        <w:t>) as relevant comparators</w:t>
      </w:r>
      <w:r w:rsidR="009C3015" w:rsidRPr="00421405">
        <w:rPr>
          <w:rFonts w:cstheme="minorBidi"/>
          <w:iCs/>
        </w:rPr>
        <w:t>.</w:t>
      </w:r>
    </w:p>
    <w:p w14:paraId="6A1094F1" w14:textId="78DDADC9" w:rsidR="00EF7B8D" w:rsidRPr="000E0A75" w:rsidRDefault="009E40BA" w:rsidP="00EF7B8D">
      <w:pPr>
        <w:pStyle w:val="3-BodyText"/>
      </w:pPr>
      <w:r w:rsidRPr="000E0A75">
        <w:t xml:space="preserve">It is possible that some </w:t>
      </w:r>
      <w:r w:rsidR="003B0465" w:rsidRPr="000E0A75">
        <w:t xml:space="preserve">or all of the </w:t>
      </w:r>
      <w:r w:rsidRPr="000E0A75">
        <w:t xml:space="preserve">patients treated with ganciclovir despite known resistance, or the patient treated with cidofovir despite known resistance, could not receive </w:t>
      </w:r>
      <w:r w:rsidR="0073211F" w:rsidRPr="000E0A75">
        <w:t>either</w:t>
      </w:r>
      <w:r w:rsidRPr="000E0A75">
        <w:t xml:space="preserve"> of the other drugs</w:t>
      </w:r>
      <w:r w:rsidR="003B0465" w:rsidRPr="000E0A75">
        <w:t xml:space="preserve"> because of toxicity</w:t>
      </w:r>
      <w:r w:rsidRPr="000E0A75">
        <w:t xml:space="preserve"> (eligibility required </w:t>
      </w:r>
      <w:r w:rsidR="003B0465" w:rsidRPr="000E0A75">
        <w:t xml:space="preserve">only </w:t>
      </w:r>
      <w:r w:rsidRPr="000E0A75">
        <w:t xml:space="preserve">that the investigator was willing to use at least one of the </w:t>
      </w:r>
      <w:r w:rsidR="003B0465" w:rsidRPr="000E0A75">
        <w:t xml:space="preserve">allowed agents). This was not reported in the CSR, however. </w:t>
      </w:r>
    </w:p>
    <w:p w14:paraId="0E38955C" w14:textId="524522DA" w:rsidR="00EF7B8D" w:rsidRPr="009C006D" w:rsidRDefault="00EF7B8D" w:rsidP="00EF7B8D">
      <w:pPr>
        <w:pStyle w:val="3-BodyText"/>
      </w:pPr>
      <w:r>
        <w:t xml:space="preserve">The primary outcome, </w:t>
      </w:r>
      <w:r w:rsidRPr="00864310">
        <w:t>clearance of plasma CMV DNA at the end of Study Week 8</w:t>
      </w:r>
      <w:r>
        <w:t xml:space="preserve">, </w:t>
      </w:r>
      <w:r w:rsidRPr="00864310">
        <w:t>was defined as plasma CMV DNA concentrations</w:t>
      </w:r>
      <w:r>
        <w:t xml:space="preserve"> below the lower limit of quantification</w:t>
      </w:r>
      <w:r w:rsidRPr="00864310">
        <w:t xml:space="preserve"> (</w:t>
      </w:r>
      <w:r w:rsidR="00167F2A" w:rsidRPr="00864310">
        <w:t>i.e.</w:t>
      </w:r>
      <w:r w:rsidRPr="00864310">
        <w:t>, &lt;137</w:t>
      </w:r>
      <w:r>
        <w:t xml:space="preserve"> </w:t>
      </w:r>
      <w:r w:rsidRPr="00864310">
        <w:t xml:space="preserve">IU/mL) in 2 consecutive </w:t>
      </w:r>
      <w:r w:rsidR="00510184">
        <w:t xml:space="preserve">samples </w:t>
      </w:r>
      <w:r w:rsidRPr="00864310">
        <w:t xml:space="preserve">separated by at least </w:t>
      </w:r>
      <w:r>
        <w:t>five</w:t>
      </w:r>
      <w:r w:rsidRPr="00864310">
        <w:t xml:space="preserve"> days, regardless of whether study-assigned treatment was discontinued before the end of 8 weeks</w:t>
      </w:r>
      <w:r>
        <w:t xml:space="preserve">. </w:t>
      </w:r>
      <w:r w:rsidRPr="00EF7B8D">
        <w:t xml:space="preserve">The planned times for evaluation of viral load were Weeks 7 and 8, but data from adjacent weeks may have been used to impute missing data. Subjects who received non-randomised anti-CMV treatment were considered as non-responders. </w:t>
      </w:r>
    </w:p>
    <w:p w14:paraId="7C1A83F1" w14:textId="0F2218B1" w:rsidR="00EF7B8D" w:rsidRPr="00421405" w:rsidRDefault="00EF7B8D" w:rsidP="00EF7B8D">
      <w:pPr>
        <w:pStyle w:val="3-BodyText"/>
        <w:rPr>
          <w:iCs/>
        </w:rPr>
      </w:pPr>
      <w:r w:rsidRPr="009C006D">
        <w:t xml:space="preserve">A </w:t>
      </w:r>
      <w:r>
        <w:t xml:space="preserve">pre-specified “key secondary” outcome was </w:t>
      </w:r>
      <w:r w:rsidRPr="00864310">
        <w:t xml:space="preserve">CMV </w:t>
      </w:r>
      <w:r w:rsidR="003F2CC0">
        <w:t>viraemia</w:t>
      </w:r>
      <w:r w:rsidRPr="00864310">
        <w:t xml:space="preserve"> clearance </w:t>
      </w:r>
      <w:r w:rsidRPr="00421405">
        <w:rPr>
          <w:iCs/>
        </w:rPr>
        <w:t>and</w:t>
      </w:r>
      <w:r w:rsidRPr="00864310">
        <w:t xml:space="preserve"> resolution or improvement of tissue-invasive CMV disease or CMV syndrome for subjects symptomatic at baseline</w:t>
      </w:r>
      <w:r>
        <w:t>,</w:t>
      </w:r>
      <w:r w:rsidRPr="00864310">
        <w:t xml:space="preserve"> </w:t>
      </w:r>
      <w:r w:rsidRPr="00421405">
        <w:rPr>
          <w:iCs/>
        </w:rPr>
        <w:t>or</w:t>
      </w:r>
      <w:r w:rsidRPr="00864310">
        <w:t xml:space="preserve"> </w:t>
      </w:r>
      <w:r w:rsidR="003F2CC0">
        <w:t>viraemia</w:t>
      </w:r>
      <w:r w:rsidRPr="00864310">
        <w:t xml:space="preserve"> </w:t>
      </w:r>
      <w:r>
        <w:t xml:space="preserve">clearance </w:t>
      </w:r>
      <w:r w:rsidRPr="000E0A75">
        <w:t>and</w:t>
      </w:r>
      <w:r w:rsidRPr="00864310">
        <w:t xml:space="preserve"> no symptoms of tissue-invasive CMV disease or CMV syndrome for subjects asymptomatic at baseline at the end of </w:t>
      </w:r>
      <w:r w:rsidRPr="00864310">
        <w:lastRenderedPageBreak/>
        <w:t>8</w:t>
      </w:r>
      <w:r w:rsidR="003926B6">
        <w:t> </w:t>
      </w:r>
      <w:r>
        <w:t>weeks</w:t>
      </w:r>
      <w:r w:rsidRPr="00864310">
        <w:t xml:space="preserve"> </w:t>
      </w:r>
      <w:r w:rsidRPr="00421405">
        <w:rPr>
          <w:iCs/>
        </w:rPr>
        <w:t>and</w:t>
      </w:r>
      <w:r w:rsidRPr="00864310">
        <w:t xml:space="preserve"> maintenance of this treatment effect for an additional 8 weeks off treatment</w:t>
      </w:r>
      <w:r>
        <w:t xml:space="preserve">. </w:t>
      </w:r>
    </w:p>
    <w:p w14:paraId="105AE47A" w14:textId="50490414" w:rsidR="004A39D4" w:rsidRPr="009C006D" w:rsidRDefault="004A39D4" w:rsidP="00EF7B8D">
      <w:pPr>
        <w:pStyle w:val="3-BodyText"/>
      </w:pPr>
      <w:r>
        <w:t xml:space="preserve">CMV </w:t>
      </w:r>
      <w:r w:rsidR="003F2CC0">
        <w:t>viraemia</w:t>
      </w:r>
      <w:r>
        <w:t xml:space="preserve"> clearance according to preceding anti-CMV treatment,</w:t>
      </w:r>
      <w:r w:rsidR="001202DA">
        <w:t xml:space="preserve"> to the IAT chosen,</w:t>
      </w:r>
      <w:r>
        <w:t xml:space="preserve"> or according to genotypic resistance, were not pre-specified outcomes. </w:t>
      </w:r>
    </w:p>
    <w:p w14:paraId="06BCD0EC" w14:textId="65077623" w:rsidR="00EF7B8D" w:rsidRPr="009C006D" w:rsidRDefault="00EF7B8D" w:rsidP="00EF7B8D">
      <w:pPr>
        <w:pStyle w:val="3-BodyText"/>
      </w:pPr>
      <w:r w:rsidRPr="00F1326F">
        <w:t xml:space="preserve">Recurrence of CMV </w:t>
      </w:r>
      <w:r w:rsidR="003F2CC0">
        <w:t>viraemia</w:t>
      </w:r>
      <w:r w:rsidRPr="00F1326F">
        <w:t xml:space="preserve"> was defined as plasma CMV DNA concentrations</w:t>
      </w:r>
      <w:r>
        <w:t xml:space="preserve"> at or above the lower limit of quantitation</w:t>
      </w:r>
      <w:r w:rsidRPr="00F1326F">
        <w:t xml:space="preserve"> </w:t>
      </w:r>
      <w:r>
        <w:t>(</w:t>
      </w:r>
      <w:r w:rsidRPr="00F1326F">
        <w:t>≥</w:t>
      </w:r>
      <w:r>
        <w:t>137 IU/mL)</w:t>
      </w:r>
      <w:r w:rsidRPr="00F1326F">
        <w:t xml:space="preserve">, in </w:t>
      </w:r>
      <w:r>
        <w:t>two</w:t>
      </w:r>
      <w:r w:rsidRPr="00F1326F">
        <w:t xml:space="preserve"> consecutive plasma samples separated by at least </w:t>
      </w:r>
      <w:r>
        <w:t>five</w:t>
      </w:r>
      <w:r w:rsidRPr="00F1326F">
        <w:t xml:space="preserve"> days</w:t>
      </w:r>
      <w:r>
        <w:t>,</w:t>
      </w:r>
      <w:r w:rsidRPr="00F1326F">
        <w:t xml:space="preserve"> </w:t>
      </w:r>
      <w:r>
        <w:t xml:space="preserve">at any time </w:t>
      </w:r>
      <w:r w:rsidRPr="00F1326F">
        <w:t xml:space="preserve">after achieving </w:t>
      </w:r>
      <w:r w:rsidR="003F2CC0">
        <w:t>viraemia</w:t>
      </w:r>
      <w:r w:rsidRPr="00F1326F">
        <w:t xml:space="preserve"> clearance. </w:t>
      </w:r>
      <w:r>
        <w:t xml:space="preserve">For assessing recurrence, CMV DNA measurements were counted whether or not non-randomised treatment was being given. </w:t>
      </w:r>
    </w:p>
    <w:p w14:paraId="534735EF" w14:textId="77777777" w:rsidR="009C006D" w:rsidRDefault="00EF7B8D" w:rsidP="003926B6">
      <w:pPr>
        <w:pStyle w:val="3-BodyText"/>
      </w:pPr>
      <w:r>
        <w:t>Patients randomised to IAT who had received at least three weeks of treatment could be switched to maribavir (“the maribavir rescue arm”), if they met any of the following criteria:</w:t>
      </w:r>
    </w:p>
    <w:p w14:paraId="5F20AE0F" w14:textId="7B656F11" w:rsidR="009C006D" w:rsidRDefault="00EF7B8D" w:rsidP="003926B6">
      <w:pPr>
        <w:pStyle w:val="3-BodyText"/>
        <w:numPr>
          <w:ilvl w:val="1"/>
          <w:numId w:val="16"/>
        </w:numPr>
        <w:ind w:left="1134" w:hanging="425"/>
      </w:pPr>
      <w:r>
        <w:t xml:space="preserve">rising CMV </w:t>
      </w:r>
      <w:r w:rsidR="003F2CC0">
        <w:t>viraemia</w:t>
      </w:r>
      <w:r>
        <w:t xml:space="preserve"> </w:t>
      </w:r>
      <w:r>
        <w:sym w:font="Symbol" w:char="F0B3"/>
      </w:r>
      <w:r>
        <w:t xml:space="preserve"> 1 log</w:t>
      </w:r>
      <w:r w:rsidRPr="009C006D">
        <w:rPr>
          <w:vertAlign w:val="subscript"/>
        </w:rPr>
        <w:t>10</w:t>
      </w:r>
      <w:r>
        <w:t xml:space="preserve"> from baseline</w:t>
      </w:r>
      <w:r w:rsidR="009C006D">
        <w:t>;</w:t>
      </w:r>
    </w:p>
    <w:p w14:paraId="6A9E39DB" w14:textId="17964559" w:rsidR="009C006D" w:rsidRDefault="00EF7B8D" w:rsidP="003926B6">
      <w:pPr>
        <w:pStyle w:val="3-BodyText"/>
        <w:numPr>
          <w:ilvl w:val="1"/>
          <w:numId w:val="16"/>
        </w:numPr>
        <w:ind w:left="1134" w:hanging="425"/>
      </w:pPr>
      <w:r>
        <w:t xml:space="preserve">tissue-invasive CMV had not improved or worsened if it was present at baseline, or had appeared in subjects asymptomatic at baseline, </w:t>
      </w:r>
      <w:r w:rsidRPr="00421405">
        <w:rPr>
          <w:iCs/>
        </w:rPr>
        <w:t>and</w:t>
      </w:r>
      <w:r>
        <w:t xml:space="preserve"> CMV </w:t>
      </w:r>
      <w:r w:rsidR="003F2CC0">
        <w:t>viraemia</w:t>
      </w:r>
      <w:r>
        <w:t xml:space="preserve"> had decreased by &lt; 1 log</w:t>
      </w:r>
      <w:r w:rsidRPr="009C006D">
        <w:rPr>
          <w:vertAlign w:val="subscript"/>
        </w:rPr>
        <w:t>10</w:t>
      </w:r>
      <w:r>
        <w:t xml:space="preserve"> from baseline</w:t>
      </w:r>
      <w:r w:rsidR="009C006D">
        <w:t>;</w:t>
      </w:r>
    </w:p>
    <w:p w14:paraId="30AB6819" w14:textId="003CA86B" w:rsidR="00EF7B8D" w:rsidRPr="009C006D" w:rsidRDefault="00EF7B8D" w:rsidP="00574F28">
      <w:pPr>
        <w:pStyle w:val="3-BodyText"/>
        <w:numPr>
          <w:ilvl w:val="1"/>
          <w:numId w:val="16"/>
        </w:numPr>
        <w:ind w:left="1134" w:hanging="425"/>
      </w:pPr>
      <w:r>
        <w:t xml:space="preserve">CMV </w:t>
      </w:r>
      <w:r w:rsidR="003F2CC0">
        <w:t>viraemia</w:t>
      </w:r>
      <w:r>
        <w:t xml:space="preserve"> clearance had not been achieved </w:t>
      </w:r>
      <w:r w:rsidRPr="00421405">
        <w:rPr>
          <w:iCs/>
        </w:rPr>
        <w:t>and</w:t>
      </w:r>
      <w:r>
        <w:t xml:space="preserve"> continued anti-CMV treatment was considered to be necessary </w:t>
      </w:r>
      <w:r w:rsidRPr="00421405">
        <w:rPr>
          <w:iCs/>
        </w:rPr>
        <w:t>and</w:t>
      </w:r>
      <w:r>
        <w:t xml:space="preserve"> there was intolerance to the IAT (at least 50% increase in serum creatinine </w:t>
      </w:r>
      <w:r w:rsidRPr="00421405">
        <w:rPr>
          <w:iCs/>
        </w:rPr>
        <w:t>or</w:t>
      </w:r>
      <w:r>
        <w:t xml:space="preserve"> </w:t>
      </w:r>
      <w:r w:rsidR="00167F2A">
        <w:t>haemorrhagic</w:t>
      </w:r>
      <w:r>
        <w:t xml:space="preserve"> cystitis if treated with foscarnet or cidofovir </w:t>
      </w:r>
      <w:r w:rsidRPr="00421405">
        <w:rPr>
          <w:iCs/>
        </w:rPr>
        <w:t>or</w:t>
      </w:r>
      <w:r>
        <w:t xml:space="preserve"> neutrophil count &lt; 0.5 x 10</w:t>
      </w:r>
      <w:r w:rsidRPr="009C006D">
        <w:rPr>
          <w:vertAlign w:val="superscript"/>
        </w:rPr>
        <w:t>9</w:t>
      </w:r>
      <w:r>
        <w:t xml:space="preserve">/L if treated with ganciclovir or valganciclovir). </w:t>
      </w:r>
    </w:p>
    <w:p w14:paraId="11F227DD" w14:textId="4CD1BFDE" w:rsidR="00EF7B8D" w:rsidRPr="009C006D" w:rsidRDefault="00EF7B8D" w:rsidP="007E1D59">
      <w:pPr>
        <w:pStyle w:val="3-BodyText"/>
      </w:pPr>
      <w:r w:rsidRPr="000E0A75">
        <w:t xml:space="preserve">Intolerance to the IAT alone, lack of clinical response alone, or intolerance plus lack of a clinical response, did </w:t>
      </w:r>
      <w:r w:rsidRPr="006B3071">
        <w:rPr>
          <w:b/>
          <w:bCs/>
        </w:rPr>
        <w:t>not</w:t>
      </w:r>
      <w:r w:rsidRPr="000E0A75">
        <w:t xml:space="preserve"> allow entry to the maribavir rescue arm. </w:t>
      </w:r>
      <w:r>
        <w:t>Twenty-two patients were accepted into the rescue arm; they received maribavir 400 mg twice daily for 8 weeks, followed by 12 weeks follow-up. Their data were recorded separately, but they were otherwise handled in the same way as patients randomised to maribavir. Patients who could not continue their IAT but were not eligible for the maribavir rescue arm “</w:t>
      </w:r>
      <w:r w:rsidRPr="00F24736">
        <w:t>were treated as deemed appropriate by the investigator</w:t>
      </w:r>
      <w:r>
        <w:t xml:space="preserve">” (SOLSTICE CSR, p46); whether this could </w:t>
      </w:r>
      <w:r w:rsidR="00694BEA">
        <w:t xml:space="preserve">have </w:t>
      </w:r>
      <w:r>
        <w:t>include</w:t>
      </w:r>
      <w:r w:rsidR="00694BEA">
        <w:t>d</w:t>
      </w:r>
      <w:r>
        <w:t xml:space="preserve"> maribavir </w:t>
      </w:r>
      <w:r w:rsidR="00694BEA">
        <w:t>wa</w:t>
      </w:r>
      <w:r>
        <w:t>s not stated.</w:t>
      </w:r>
      <w:r w:rsidR="00906521">
        <w:t xml:space="preserve"> </w:t>
      </w:r>
    </w:p>
    <w:p w14:paraId="74866C49" w14:textId="38E68009" w:rsidR="006071CD" w:rsidRPr="00FC3C1E" w:rsidRDefault="00EF7B8D" w:rsidP="009F523B">
      <w:pPr>
        <w:pStyle w:val="3-BodyText"/>
      </w:pPr>
      <w:r w:rsidRPr="000E0A75">
        <w:t xml:space="preserve">The </w:t>
      </w:r>
      <w:r w:rsidR="003F2CC0">
        <w:t xml:space="preserve">evaluation noted the </w:t>
      </w:r>
      <w:r w:rsidRPr="000E0A75">
        <w:t xml:space="preserve">option of switching to maribavir within the trial </w:t>
      </w:r>
      <w:r w:rsidR="003F2CC0">
        <w:t>may</w:t>
      </w:r>
      <w:r w:rsidRPr="000E0A75">
        <w:t xml:space="preserve"> </w:t>
      </w:r>
      <w:r w:rsidR="00D136EA" w:rsidRPr="000E0A75">
        <w:t xml:space="preserve">have </w:t>
      </w:r>
      <w:r w:rsidRPr="000E0A75">
        <w:t>encourage</w:t>
      </w:r>
      <w:r w:rsidR="00D136EA" w:rsidRPr="000E0A75">
        <w:t>d</w:t>
      </w:r>
      <w:r w:rsidRPr="000E0A75">
        <w:t xml:space="preserve"> the enrolment of patients whose current treatment was failing in order to provide access to maribavir.</w:t>
      </w:r>
      <w:r w:rsidR="00906521" w:rsidRPr="000E0A75">
        <w:t xml:space="preserve"> </w:t>
      </w:r>
      <w:r w:rsidR="009F523B" w:rsidRPr="000E0A75">
        <w:t>If this was the case</w:t>
      </w:r>
      <w:r w:rsidRPr="000E0A75">
        <w:t>, the results of the trial are subject to a high risk of bias. The existence of bias is suggested by the observation that the proportions of patients completing 8 weeks treatment, and completing the 20</w:t>
      </w:r>
      <w:r w:rsidR="003926B6">
        <w:t> </w:t>
      </w:r>
      <w:r w:rsidRPr="000E0A75">
        <w:t xml:space="preserve">week treatment + follow-up period, were higher in patients in the maribavir rescue arm than in patients randomised to maribavir (see </w:t>
      </w:r>
      <w:r w:rsidR="00372763" w:rsidRPr="000E0A75">
        <w:fldChar w:fldCharType="begin" w:fldLock="1"/>
      </w:r>
      <w:r w:rsidR="00372763" w:rsidRPr="000E0A75">
        <w:instrText xml:space="preserve"> REF _Ref141173764 \h  \* MERGEFORMAT </w:instrText>
      </w:r>
      <w:r w:rsidR="00372763" w:rsidRPr="000E0A75">
        <w:fldChar w:fldCharType="separate"/>
      </w:r>
      <w:r w:rsidR="0098695D" w:rsidRPr="000E0A75">
        <w:t xml:space="preserve">Table </w:t>
      </w:r>
      <w:r w:rsidR="0098695D" w:rsidRPr="000E0A75">
        <w:rPr>
          <w:noProof/>
        </w:rPr>
        <w:t>6</w:t>
      </w:r>
      <w:r w:rsidR="00372763" w:rsidRPr="000E0A75">
        <w:fldChar w:fldCharType="end"/>
      </w:r>
      <w:r w:rsidRPr="000E0A75">
        <w:t>).</w:t>
      </w:r>
      <w:r w:rsidR="00046E04">
        <w:t xml:space="preserve"> </w:t>
      </w:r>
      <w:r w:rsidR="00046E04" w:rsidRPr="00421405">
        <w:rPr>
          <w:iCs/>
        </w:rPr>
        <w:t xml:space="preserve">The PSCR stated that the inclusion of rescue arm was ethically necessary and needed to reflect clinical practice where clinicians will change treatment in the case of treatment failure, and that it would be “highly </w:t>
      </w:r>
      <w:r w:rsidR="00046E04" w:rsidRPr="00421405">
        <w:rPr>
          <w:rFonts w:cstheme="minorBidi"/>
          <w:iCs/>
        </w:rPr>
        <w:t xml:space="preserve">questionable for a clinician to treat a post-transplant CMV infection with IAT that is failing, to gain access to maribavir. Especially given patients were required to </w:t>
      </w:r>
      <w:r w:rsidR="00046E04" w:rsidRPr="00421405">
        <w:rPr>
          <w:rFonts w:cstheme="minorBidi"/>
          <w:iCs/>
        </w:rPr>
        <w:lastRenderedPageBreak/>
        <w:t>be treated with IAT and then either have increasing viral load, worsening symptoms, or significant intolerance, combined with a substandard response that required ongoing treatment”.</w:t>
      </w:r>
    </w:p>
    <w:p w14:paraId="13E8BEC8" w14:textId="170EDBAA" w:rsidR="00F25940" w:rsidRDefault="00CA051A" w:rsidP="009F523B">
      <w:pPr>
        <w:pStyle w:val="3-BodyText"/>
      </w:pPr>
      <w:r>
        <w:t>The f</w:t>
      </w:r>
      <w:r w:rsidR="006071CD" w:rsidRPr="006071CD">
        <w:t xml:space="preserve">low of patients through SOLSTICE is shown in </w:t>
      </w:r>
      <w:r w:rsidR="00372763">
        <w:fldChar w:fldCharType="begin" w:fldLock="1"/>
      </w:r>
      <w:r w:rsidR="00372763">
        <w:instrText xml:space="preserve"> REF _Ref141173764 \h </w:instrText>
      </w:r>
      <w:r w:rsidR="00372763">
        <w:fldChar w:fldCharType="separate"/>
      </w:r>
      <w:r w:rsidR="0098695D">
        <w:t xml:space="preserve">Table </w:t>
      </w:r>
      <w:r w:rsidR="0098695D">
        <w:rPr>
          <w:noProof/>
        </w:rPr>
        <w:t>6</w:t>
      </w:r>
      <w:r w:rsidR="00372763">
        <w:fldChar w:fldCharType="end"/>
      </w:r>
      <w:r w:rsidR="006071CD" w:rsidRPr="006071CD">
        <w:t xml:space="preserve">. </w:t>
      </w:r>
    </w:p>
    <w:p w14:paraId="5446F92F" w14:textId="0F526DF6" w:rsidR="006071CD" w:rsidRPr="00B350A5" w:rsidRDefault="00FD6457" w:rsidP="005F4F67">
      <w:pPr>
        <w:pStyle w:val="TableFigureHeading"/>
      </w:pPr>
      <w:bookmarkStart w:id="17" w:name="_Ref141173764"/>
      <w:r>
        <w:t xml:space="preserve">Table </w:t>
      </w:r>
      <w:fldSimple w:instr=" SEQ Table \* ARABIC " w:fldLock="1">
        <w:r w:rsidR="0098695D">
          <w:rPr>
            <w:noProof/>
          </w:rPr>
          <w:t>6</w:t>
        </w:r>
      </w:fldSimple>
      <w:bookmarkEnd w:id="17"/>
      <w:r>
        <w:rPr>
          <w:noProof/>
        </w:rPr>
        <w:t>:</w:t>
      </w:r>
      <w:r w:rsidR="006071CD" w:rsidRPr="00B350A5">
        <w:t xml:space="preserve"> Disposition of patients in SOLSTICE</w:t>
      </w:r>
    </w:p>
    <w:tbl>
      <w:tblPr>
        <w:tblStyle w:val="TableGrid"/>
        <w:tblW w:w="0" w:type="auto"/>
        <w:tblLook w:val="04A0" w:firstRow="1" w:lastRow="0" w:firstColumn="1" w:lastColumn="0" w:noHBand="0" w:noVBand="1"/>
        <w:tblCaption w:val="Table 6: Disposition of patients in SOLSTICE"/>
        <w:tblDescription w:val="Table 6: Disposition of patients in SOLSTICE"/>
      </w:tblPr>
      <w:tblGrid>
        <w:gridCol w:w="4248"/>
        <w:gridCol w:w="2551"/>
        <w:gridCol w:w="2217"/>
      </w:tblGrid>
      <w:tr w:rsidR="005F4F67" w:rsidRPr="00B350A5" w14:paraId="4AF11911" w14:textId="77777777" w:rsidTr="00C9687D">
        <w:tc>
          <w:tcPr>
            <w:tcW w:w="4248" w:type="dxa"/>
          </w:tcPr>
          <w:p w14:paraId="3B72825D" w14:textId="77777777" w:rsidR="005F4F67" w:rsidRPr="00B350A5" w:rsidRDefault="005F4F67" w:rsidP="00C9687D">
            <w:pPr>
              <w:pStyle w:val="TableText0"/>
            </w:pPr>
          </w:p>
        </w:tc>
        <w:tc>
          <w:tcPr>
            <w:tcW w:w="2551" w:type="dxa"/>
          </w:tcPr>
          <w:p w14:paraId="32FFED39" w14:textId="77777777" w:rsidR="005F4F67" w:rsidRPr="00B350A5" w:rsidRDefault="005F4F67" w:rsidP="00C9687D">
            <w:pPr>
              <w:pStyle w:val="TableText0"/>
              <w:jc w:val="center"/>
              <w:rPr>
                <w:b/>
              </w:rPr>
            </w:pPr>
            <w:r w:rsidRPr="00B350A5">
              <w:rPr>
                <w:b/>
              </w:rPr>
              <w:t>Maribavir</w:t>
            </w:r>
          </w:p>
          <w:p w14:paraId="1F3C6978" w14:textId="77777777" w:rsidR="005F4F67" w:rsidRPr="00B350A5" w:rsidRDefault="005F4F67" w:rsidP="00C9687D">
            <w:pPr>
              <w:pStyle w:val="TableText0"/>
              <w:jc w:val="center"/>
              <w:rPr>
                <w:b/>
              </w:rPr>
            </w:pPr>
            <w:r w:rsidRPr="00B350A5">
              <w:rPr>
                <w:b/>
              </w:rPr>
              <w:t>N = 235</w:t>
            </w:r>
          </w:p>
        </w:tc>
        <w:tc>
          <w:tcPr>
            <w:tcW w:w="2217" w:type="dxa"/>
          </w:tcPr>
          <w:p w14:paraId="6BA6D830" w14:textId="77777777" w:rsidR="005F4F67" w:rsidRPr="00B350A5" w:rsidRDefault="005F4F67" w:rsidP="00C9687D">
            <w:pPr>
              <w:pStyle w:val="TableText0"/>
              <w:jc w:val="center"/>
              <w:rPr>
                <w:b/>
              </w:rPr>
            </w:pPr>
            <w:r w:rsidRPr="00B350A5">
              <w:rPr>
                <w:b/>
              </w:rPr>
              <w:t>IAT</w:t>
            </w:r>
          </w:p>
          <w:p w14:paraId="7AC0A118" w14:textId="77777777" w:rsidR="005F4F67" w:rsidRPr="00B350A5" w:rsidRDefault="005F4F67" w:rsidP="00C9687D">
            <w:pPr>
              <w:pStyle w:val="TableText0"/>
              <w:jc w:val="center"/>
              <w:rPr>
                <w:b/>
              </w:rPr>
            </w:pPr>
            <w:r w:rsidRPr="00B350A5">
              <w:rPr>
                <w:b/>
              </w:rPr>
              <w:t>N = 117</w:t>
            </w:r>
          </w:p>
        </w:tc>
      </w:tr>
      <w:tr w:rsidR="005F4F67" w:rsidRPr="00B350A5" w14:paraId="3C28CE12" w14:textId="77777777" w:rsidTr="00C9687D">
        <w:tc>
          <w:tcPr>
            <w:tcW w:w="4248" w:type="dxa"/>
          </w:tcPr>
          <w:p w14:paraId="1E5B8B0D" w14:textId="77777777" w:rsidR="005F4F67" w:rsidRPr="00B350A5" w:rsidRDefault="005F4F67" w:rsidP="00C9687D">
            <w:pPr>
              <w:pStyle w:val="TableText0"/>
            </w:pPr>
            <w:r w:rsidRPr="00B350A5">
              <w:t>Completed 8 week</w:t>
            </w:r>
            <w:r>
              <w:t>s</w:t>
            </w:r>
            <w:r w:rsidRPr="00B350A5">
              <w:t xml:space="preserve"> on treatment, n (%)</w:t>
            </w:r>
          </w:p>
        </w:tc>
        <w:tc>
          <w:tcPr>
            <w:tcW w:w="2551" w:type="dxa"/>
          </w:tcPr>
          <w:p w14:paraId="38F23E73" w14:textId="77777777" w:rsidR="005F4F67" w:rsidRPr="00B350A5" w:rsidRDefault="005F4F67" w:rsidP="00C9687D">
            <w:pPr>
              <w:pStyle w:val="TableText0"/>
              <w:jc w:val="center"/>
            </w:pPr>
            <w:r w:rsidRPr="00B350A5">
              <w:t>183 (77.9%)</w:t>
            </w:r>
          </w:p>
        </w:tc>
        <w:tc>
          <w:tcPr>
            <w:tcW w:w="2217" w:type="dxa"/>
          </w:tcPr>
          <w:p w14:paraId="40529B9E" w14:textId="77777777" w:rsidR="005F4F67" w:rsidRPr="00B350A5" w:rsidRDefault="005F4F67" w:rsidP="00C9687D">
            <w:pPr>
              <w:pStyle w:val="TableText0"/>
              <w:jc w:val="center"/>
            </w:pPr>
            <w:r w:rsidRPr="00B350A5">
              <w:t>37 (31.6%)</w:t>
            </w:r>
          </w:p>
        </w:tc>
      </w:tr>
      <w:tr w:rsidR="005F4F67" w:rsidRPr="00B350A5" w14:paraId="4EA430E1" w14:textId="77777777" w:rsidTr="00C9687D">
        <w:tc>
          <w:tcPr>
            <w:tcW w:w="4248" w:type="dxa"/>
          </w:tcPr>
          <w:p w14:paraId="047661EF" w14:textId="77777777" w:rsidR="005F4F67" w:rsidRPr="00B350A5" w:rsidRDefault="005F4F67" w:rsidP="00C9687D">
            <w:pPr>
              <w:pStyle w:val="TableText0"/>
            </w:pPr>
            <w:r w:rsidRPr="00B350A5">
              <w:t>Discontinued treatment before 8 week</w:t>
            </w:r>
            <w:r>
              <w:t>s</w:t>
            </w:r>
            <w:r w:rsidRPr="00B350A5">
              <w:t>, n (%)</w:t>
            </w:r>
          </w:p>
          <w:p w14:paraId="4C97B5B0" w14:textId="77777777" w:rsidR="005F4F67" w:rsidRDefault="005F4F67" w:rsidP="00C9687D">
            <w:pPr>
              <w:pStyle w:val="TableText0"/>
            </w:pPr>
          </w:p>
          <w:p w14:paraId="7321ECB0" w14:textId="77777777" w:rsidR="005F4F67" w:rsidRPr="00B350A5" w:rsidRDefault="005F4F67" w:rsidP="00C9687D">
            <w:pPr>
              <w:pStyle w:val="TableText0"/>
              <w:jc w:val="right"/>
            </w:pPr>
            <w:r w:rsidRPr="00B350A5">
              <w:t>Withdrawn consent</w:t>
            </w:r>
          </w:p>
          <w:p w14:paraId="77820E46" w14:textId="77777777" w:rsidR="005F4F67" w:rsidRPr="00B350A5" w:rsidRDefault="005F4F67" w:rsidP="00C9687D">
            <w:pPr>
              <w:pStyle w:val="TableText0"/>
              <w:jc w:val="right"/>
            </w:pPr>
            <w:r w:rsidRPr="00B350A5">
              <w:t>Adverse event</w:t>
            </w:r>
          </w:p>
          <w:p w14:paraId="536A9AAD" w14:textId="77777777" w:rsidR="005F4F67" w:rsidRPr="00B350A5" w:rsidRDefault="005F4F67" w:rsidP="00C9687D">
            <w:pPr>
              <w:pStyle w:val="TableText0"/>
              <w:jc w:val="right"/>
            </w:pPr>
            <w:r w:rsidRPr="00B350A5">
              <w:t>Lack of efficacy</w:t>
            </w:r>
          </w:p>
          <w:p w14:paraId="3BBCB371" w14:textId="77777777" w:rsidR="005F4F67" w:rsidRPr="00B350A5" w:rsidRDefault="005F4F67" w:rsidP="00C9687D">
            <w:pPr>
              <w:pStyle w:val="TableText0"/>
              <w:jc w:val="right"/>
            </w:pPr>
            <w:r w:rsidRPr="00B350A5">
              <w:t>Death</w:t>
            </w:r>
          </w:p>
        </w:tc>
        <w:tc>
          <w:tcPr>
            <w:tcW w:w="2551" w:type="dxa"/>
          </w:tcPr>
          <w:p w14:paraId="256A8AB8" w14:textId="5B673CE1" w:rsidR="005F4F67" w:rsidRDefault="004A39D4" w:rsidP="00C9687D">
            <w:pPr>
              <w:pStyle w:val="TableText0"/>
              <w:jc w:val="center"/>
            </w:pPr>
            <w:r w:rsidRPr="00B350A5">
              <w:t>51 (21.7%)</w:t>
            </w:r>
          </w:p>
          <w:p w14:paraId="5FD1AF9C" w14:textId="77777777" w:rsidR="004A39D4" w:rsidRDefault="004A39D4" w:rsidP="00C9687D">
            <w:pPr>
              <w:pStyle w:val="TableText0"/>
              <w:jc w:val="center"/>
            </w:pPr>
          </w:p>
          <w:p w14:paraId="035868D9" w14:textId="3023932B" w:rsidR="005F4F67" w:rsidRPr="00B350A5" w:rsidRDefault="005F4F67" w:rsidP="00C9687D">
            <w:pPr>
              <w:pStyle w:val="TableText0"/>
              <w:jc w:val="center"/>
            </w:pPr>
            <w:r w:rsidRPr="00B350A5">
              <w:t>2 (0.9%)</w:t>
            </w:r>
          </w:p>
          <w:p w14:paraId="71BB028E" w14:textId="77777777" w:rsidR="005F4F67" w:rsidRPr="00B350A5" w:rsidRDefault="005F4F67" w:rsidP="00C9687D">
            <w:pPr>
              <w:pStyle w:val="TableText0"/>
              <w:jc w:val="center"/>
            </w:pPr>
            <w:r w:rsidRPr="00B350A5">
              <w:t>15 (6.4%)</w:t>
            </w:r>
          </w:p>
          <w:p w14:paraId="2E5DE47E" w14:textId="77777777" w:rsidR="005F4F67" w:rsidRPr="00B350A5" w:rsidRDefault="005F4F67" w:rsidP="00C9687D">
            <w:pPr>
              <w:pStyle w:val="TableText0"/>
              <w:jc w:val="center"/>
            </w:pPr>
            <w:r w:rsidRPr="00B350A5">
              <w:t>21 (8.9%)</w:t>
            </w:r>
          </w:p>
          <w:p w14:paraId="6313869F" w14:textId="77777777" w:rsidR="005F4F67" w:rsidRPr="00B350A5" w:rsidRDefault="005F4F67" w:rsidP="00C9687D">
            <w:pPr>
              <w:pStyle w:val="TableText0"/>
              <w:jc w:val="center"/>
            </w:pPr>
            <w:r w:rsidRPr="00B350A5">
              <w:t>14 (6.0%)</w:t>
            </w:r>
          </w:p>
        </w:tc>
        <w:tc>
          <w:tcPr>
            <w:tcW w:w="2217" w:type="dxa"/>
          </w:tcPr>
          <w:p w14:paraId="6ACA2DA9" w14:textId="77777777" w:rsidR="004A39D4" w:rsidRPr="00B350A5" w:rsidRDefault="004A39D4" w:rsidP="004A39D4">
            <w:pPr>
              <w:pStyle w:val="TableText0"/>
              <w:jc w:val="center"/>
            </w:pPr>
            <w:r w:rsidRPr="00B350A5">
              <w:t>79 (65.7%)</w:t>
            </w:r>
          </w:p>
          <w:p w14:paraId="17589544" w14:textId="77777777" w:rsidR="005F4F67" w:rsidRDefault="005F4F67" w:rsidP="004A39D4">
            <w:pPr>
              <w:pStyle w:val="TableText0"/>
              <w:jc w:val="center"/>
            </w:pPr>
          </w:p>
          <w:p w14:paraId="3C631969" w14:textId="77777777" w:rsidR="005F4F67" w:rsidRPr="00B350A5" w:rsidRDefault="005F4F67" w:rsidP="00C9687D">
            <w:pPr>
              <w:pStyle w:val="TableText0"/>
              <w:jc w:val="center"/>
            </w:pPr>
            <w:r w:rsidRPr="00B350A5">
              <w:t>8 (6.8%)</w:t>
            </w:r>
          </w:p>
          <w:p w14:paraId="40D2A477" w14:textId="77777777" w:rsidR="005F4F67" w:rsidRPr="00B350A5" w:rsidRDefault="005F4F67" w:rsidP="00C9687D">
            <w:pPr>
              <w:pStyle w:val="TableText0"/>
              <w:jc w:val="center"/>
            </w:pPr>
            <w:r w:rsidRPr="00B350A5">
              <w:t>36 (30.8%)</w:t>
            </w:r>
          </w:p>
          <w:p w14:paraId="6BFC4278" w14:textId="77777777" w:rsidR="005F4F67" w:rsidRPr="00B350A5" w:rsidRDefault="005F4F67" w:rsidP="00C9687D">
            <w:pPr>
              <w:pStyle w:val="TableText0"/>
              <w:jc w:val="center"/>
            </w:pPr>
            <w:r w:rsidRPr="00B350A5">
              <w:t>16 (13.7%)</w:t>
            </w:r>
          </w:p>
          <w:p w14:paraId="478EDC3F" w14:textId="77777777" w:rsidR="005F4F67" w:rsidRPr="00B350A5" w:rsidRDefault="005F4F67" w:rsidP="00C9687D">
            <w:pPr>
              <w:pStyle w:val="TableText0"/>
              <w:jc w:val="center"/>
            </w:pPr>
            <w:r w:rsidRPr="00B350A5">
              <w:t>5 (4.3%)</w:t>
            </w:r>
          </w:p>
        </w:tc>
      </w:tr>
      <w:tr w:rsidR="005F4F67" w:rsidRPr="00B350A5" w14:paraId="05A833C6" w14:textId="77777777" w:rsidTr="00C9687D">
        <w:tc>
          <w:tcPr>
            <w:tcW w:w="4248" w:type="dxa"/>
          </w:tcPr>
          <w:p w14:paraId="0BF41955" w14:textId="262E6B7B" w:rsidR="005F4F67" w:rsidRPr="00B350A5" w:rsidRDefault="005F4F67" w:rsidP="00C9687D">
            <w:pPr>
              <w:pStyle w:val="TableText0"/>
            </w:pPr>
            <w:r w:rsidRPr="00B350A5">
              <w:t>Completed study to 20 w</w:t>
            </w:r>
            <w:r w:rsidR="00F3629E">
              <w:t>ee</w:t>
            </w:r>
            <w:r w:rsidRPr="00B350A5">
              <w:t>k, n (%)</w:t>
            </w:r>
          </w:p>
        </w:tc>
        <w:tc>
          <w:tcPr>
            <w:tcW w:w="2551" w:type="dxa"/>
          </w:tcPr>
          <w:p w14:paraId="2E7C9371" w14:textId="77777777" w:rsidR="005F4F67" w:rsidRPr="00B350A5" w:rsidRDefault="005F4F67" w:rsidP="00C9687D">
            <w:pPr>
              <w:pStyle w:val="TableText0"/>
              <w:jc w:val="center"/>
            </w:pPr>
            <w:r w:rsidRPr="00B350A5">
              <w:t>199 (84.7%)</w:t>
            </w:r>
          </w:p>
        </w:tc>
        <w:tc>
          <w:tcPr>
            <w:tcW w:w="2217" w:type="dxa"/>
          </w:tcPr>
          <w:p w14:paraId="7C312D6A" w14:textId="77777777" w:rsidR="005F4F67" w:rsidRPr="00B350A5" w:rsidRDefault="005F4F67" w:rsidP="00C9687D">
            <w:pPr>
              <w:pStyle w:val="TableText0"/>
              <w:jc w:val="center"/>
            </w:pPr>
            <w:r w:rsidRPr="00B350A5">
              <w:t>58 (48.6%)</w:t>
            </w:r>
          </w:p>
        </w:tc>
      </w:tr>
      <w:tr w:rsidR="005F4F67" w:rsidRPr="00B350A5" w14:paraId="0A4ED17C" w14:textId="77777777" w:rsidTr="00C9687D">
        <w:tc>
          <w:tcPr>
            <w:tcW w:w="4248" w:type="dxa"/>
          </w:tcPr>
          <w:p w14:paraId="20D6D493" w14:textId="5694EA83" w:rsidR="005F4F67" w:rsidRPr="00B350A5" w:rsidRDefault="005F4F67" w:rsidP="00C9687D">
            <w:pPr>
              <w:pStyle w:val="TableText0"/>
            </w:pPr>
            <w:r w:rsidRPr="00B350A5">
              <w:t xml:space="preserve">Discontinued </w:t>
            </w:r>
            <w:r>
              <w:t>s</w:t>
            </w:r>
            <w:r w:rsidRPr="00B350A5">
              <w:t>tudy before 20 w</w:t>
            </w:r>
            <w:r w:rsidR="00F3629E">
              <w:t>ee</w:t>
            </w:r>
            <w:r w:rsidRPr="00B350A5">
              <w:t>k, n (%)</w:t>
            </w:r>
          </w:p>
          <w:p w14:paraId="6CA5D43B" w14:textId="77777777" w:rsidR="005F4F67" w:rsidRDefault="005F4F67" w:rsidP="00C9687D">
            <w:pPr>
              <w:pStyle w:val="TableText0"/>
            </w:pPr>
          </w:p>
          <w:p w14:paraId="30CBCA8E" w14:textId="77777777" w:rsidR="005F4F67" w:rsidRPr="00B350A5" w:rsidRDefault="005F4F67" w:rsidP="00C9687D">
            <w:pPr>
              <w:pStyle w:val="TableText0"/>
              <w:jc w:val="right"/>
            </w:pPr>
            <w:r w:rsidRPr="00B350A5">
              <w:t>Withdrawn consent</w:t>
            </w:r>
          </w:p>
          <w:p w14:paraId="15266B73" w14:textId="77777777" w:rsidR="005F4F67" w:rsidRPr="00B350A5" w:rsidRDefault="005F4F67" w:rsidP="00C9687D">
            <w:pPr>
              <w:pStyle w:val="TableText0"/>
              <w:jc w:val="right"/>
            </w:pPr>
            <w:r w:rsidRPr="00B350A5">
              <w:t>Adverse event</w:t>
            </w:r>
          </w:p>
          <w:p w14:paraId="7DF4E7A6" w14:textId="77777777" w:rsidR="005F4F67" w:rsidRPr="00B350A5" w:rsidRDefault="005F4F67" w:rsidP="00C9687D">
            <w:pPr>
              <w:pStyle w:val="TableText0"/>
              <w:jc w:val="right"/>
            </w:pPr>
            <w:r w:rsidRPr="00B350A5">
              <w:t>Noncompliance</w:t>
            </w:r>
          </w:p>
          <w:p w14:paraId="3767D972" w14:textId="0B256C38" w:rsidR="005F4F67" w:rsidRPr="00B350A5" w:rsidRDefault="005F4F67" w:rsidP="00C9687D">
            <w:pPr>
              <w:pStyle w:val="TableText0"/>
              <w:jc w:val="right"/>
            </w:pPr>
            <w:r w:rsidRPr="00B350A5">
              <w:t>Death</w:t>
            </w:r>
            <w:r w:rsidR="00590DDE">
              <w:rPr>
                <w:vertAlign w:val="superscript"/>
              </w:rPr>
              <w:t>c</w:t>
            </w:r>
          </w:p>
        </w:tc>
        <w:tc>
          <w:tcPr>
            <w:tcW w:w="2551" w:type="dxa"/>
          </w:tcPr>
          <w:p w14:paraId="260DB3EC" w14:textId="77777777" w:rsidR="005F4F67" w:rsidRPr="00B350A5" w:rsidRDefault="005F4F67" w:rsidP="00C9687D">
            <w:pPr>
              <w:pStyle w:val="TableText0"/>
              <w:jc w:val="center"/>
            </w:pPr>
            <w:r w:rsidRPr="00B350A5">
              <w:t>36 (15.3%)</w:t>
            </w:r>
          </w:p>
          <w:p w14:paraId="76BC1F7A" w14:textId="77777777" w:rsidR="005F4F67" w:rsidRDefault="005F4F67" w:rsidP="00C9687D">
            <w:pPr>
              <w:pStyle w:val="TableText0"/>
              <w:jc w:val="center"/>
            </w:pPr>
          </w:p>
          <w:p w14:paraId="2A1074BF" w14:textId="77777777" w:rsidR="005F4F67" w:rsidRPr="00B350A5" w:rsidRDefault="005F4F67" w:rsidP="00C9687D">
            <w:pPr>
              <w:pStyle w:val="TableText0"/>
              <w:jc w:val="center"/>
            </w:pPr>
            <w:r w:rsidRPr="00B350A5">
              <w:t>8 (3.4%)</w:t>
            </w:r>
          </w:p>
          <w:p w14:paraId="545B8CBE" w14:textId="77777777" w:rsidR="005F4F67" w:rsidRPr="00B350A5" w:rsidRDefault="005F4F67" w:rsidP="00C9687D">
            <w:pPr>
              <w:pStyle w:val="TableText0"/>
              <w:jc w:val="center"/>
            </w:pPr>
            <w:r w:rsidRPr="00B350A5">
              <w:t>1 (0.4%)</w:t>
            </w:r>
          </w:p>
          <w:p w14:paraId="57332831" w14:textId="77777777" w:rsidR="005F4F67" w:rsidRPr="00B350A5" w:rsidRDefault="005F4F67" w:rsidP="00C9687D">
            <w:pPr>
              <w:pStyle w:val="TableText0"/>
              <w:jc w:val="center"/>
            </w:pPr>
            <w:r w:rsidRPr="00B350A5">
              <w:t>0</w:t>
            </w:r>
          </w:p>
          <w:p w14:paraId="6099D177" w14:textId="77777777" w:rsidR="005F4F67" w:rsidRPr="00B350A5" w:rsidRDefault="005F4F67" w:rsidP="00C9687D">
            <w:pPr>
              <w:pStyle w:val="TableText0"/>
              <w:jc w:val="center"/>
            </w:pPr>
            <w:r w:rsidRPr="00B350A5">
              <w:t>25 (10.7%)</w:t>
            </w:r>
          </w:p>
        </w:tc>
        <w:tc>
          <w:tcPr>
            <w:tcW w:w="2217" w:type="dxa"/>
          </w:tcPr>
          <w:p w14:paraId="0805B121" w14:textId="77777777" w:rsidR="005F4F67" w:rsidRPr="00B350A5" w:rsidRDefault="005F4F67" w:rsidP="00C9687D">
            <w:pPr>
              <w:pStyle w:val="TableText0"/>
              <w:jc w:val="center"/>
            </w:pPr>
            <w:r w:rsidRPr="00B350A5">
              <w:t>37 (31.6%)</w:t>
            </w:r>
          </w:p>
          <w:p w14:paraId="5D68EBDE" w14:textId="77777777" w:rsidR="005F4F67" w:rsidRDefault="005F4F67" w:rsidP="00C9687D">
            <w:pPr>
              <w:pStyle w:val="TableText0"/>
              <w:jc w:val="center"/>
            </w:pPr>
          </w:p>
          <w:p w14:paraId="1D2D9C49" w14:textId="77777777" w:rsidR="005F4F67" w:rsidRPr="00B350A5" w:rsidRDefault="005F4F67" w:rsidP="00C9687D">
            <w:pPr>
              <w:pStyle w:val="TableText0"/>
              <w:jc w:val="center"/>
            </w:pPr>
            <w:r w:rsidRPr="00B350A5">
              <w:t>16 (13.7%)</w:t>
            </w:r>
          </w:p>
          <w:p w14:paraId="79D160ED" w14:textId="77777777" w:rsidR="005F4F67" w:rsidRPr="00B350A5" w:rsidRDefault="005F4F67" w:rsidP="00C9687D">
            <w:pPr>
              <w:pStyle w:val="TableText0"/>
              <w:jc w:val="center"/>
            </w:pPr>
            <w:r w:rsidRPr="00B350A5">
              <w:t>5 (4.3%)</w:t>
            </w:r>
          </w:p>
          <w:p w14:paraId="70805E14" w14:textId="77777777" w:rsidR="005F4F67" w:rsidRPr="00B350A5" w:rsidRDefault="005F4F67" w:rsidP="00C9687D">
            <w:pPr>
              <w:pStyle w:val="TableText0"/>
              <w:jc w:val="center"/>
            </w:pPr>
            <w:r w:rsidRPr="00B350A5">
              <w:t>6 (5.1%)</w:t>
            </w:r>
          </w:p>
          <w:p w14:paraId="07A61A62" w14:textId="77777777" w:rsidR="005F4F67" w:rsidRPr="00B350A5" w:rsidRDefault="005F4F67" w:rsidP="00C9687D">
            <w:pPr>
              <w:pStyle w:val="TableText0"/>
              <w:jc w:val="center"/>
            </w:pPr>
            <w:r w:rsidRPr="00B350A5">
              <w:t>11 (9.5%)</w:t>
            </w:r>
          </w:p>
        </w:tc>
      </w:tr>
      <w:tr w:rsidR="005F4F67" w:rsidRPr="00B350A5" w14:paraId="39CF083C" w14:textId="77777777" w:rsidTr="00C9687D">
        <w:tc>
          <w:tcPr>
            <w:tcW w:w="4248" w:type="dxa"/>
          </w:tcPr>
          <w:p w14:paraId="0CC73826" w14:textId="77777777" w:rsidR="005F4F67" w:rsidRPr="00B350A5" w:rsidRDefault="005F4F67" w:rsidP="00C9687D">
            <w:pPr>
              <w:pStyle w:val="TableText0"/>
              <w:rPr>
                <w:b/>
              </w:rPr>
            </w:pPr>
            <w:r w:rsidRPr="00B350A5">
              <w:rPr>
                <w:b/>
              </w:rPr>
              <w:t>Maribavir rescue arm</w:t>
            </w:r>
          </w:p>
          <w:p w14:paraId="51C1C2D3" w14:textId="77777777" w:rsidR="005F4F67" w:rsidRPr="00B350A5" w:rsidRDefault="005F4F67" w:rsidP="00C9687D">
            <w:pPr>
              <w:pStyle w:val="TableText0"/>
            </w:pPr>
            <w:r w:rsidRPr="00B350A5">
              <w:t>Entered maribavir rescue arm, n/N (%)</w:t>
            </w:r>
          </w:p>
          <w:p w14:paraId="115BFB43" w14:textId="2B2B32AE" w:rsidR="005F4F67" w:rsidRPr="00B350A5" w:rsidRDefault="005F4F67" w:rsidP="00C9687D">
            <w:pPr>
              <w:pStyle w:val="TableText0"/>
            </w:pPr>
            <w:r w:rsidRPr="00B350A5">
              <w:t xml:space="preserve">Completed </w:t>
            </w:r>
            <w:r w:rsidR="00F3629E" w:rsidRPr="00B350A5">
              <w:t>8-week</w:t>
            </w:r>
            <w:r w:rsidRPr="00B350A5">
              <w:t xml:space="preserve"> rescue treatment, n/N (%)</w:t>
            </w:r>
          </w:p>
          <w:p w14:paraId="10C2EE51" w14:textId="688EAFBC" w:rsidR="005F4F67" w:rsidRPr="00B350A5" w:rsidRDefault="005F4F67" w:rsidP="00C9687D">
            <w:pPr>
              <w:pStyle w:val="TableText0"/>
            </w:pPr>
            <w:r w:rsidRPr="00B350A5">
              <w:t xml:space="preserve">Completed rescue arm to </w:t>
            </w:r>
            <w:r w:rsidR="00F3629E" w:rsidRPr="00B350A5">
              <w:t>20-week</w:t>
            </w:r>
            <w:r w:rsidRPr="00B350A5">
              <w:t xml:space="preserve">, n/N (%) </w:t>
            </w:r>
          </w:p>
        </w:tc>
        <w:tc>
          <w:tcPr>
            <w:tcW w:w="2551" w:type="dxa"/>
          </w:tcPr>
          <w:p w14:paraId="213D5D03" w14:textId="77777777" w:rsidR="005F4F67" w:rsidRPr="00B350A5" w:rsidRDefault="005F4F67" w:rsidP="00C9687D">
            <w:pPr>
              <w:pStyle w:val="TableText0"/>
              <w:jc w:val="center"/>
            </w:pPr>
          </w:p>
          <w:p w14:paraId="4A260FC9" w14:textId="77777777" w:rsidR="005F4F67" w:rsidRPr="00B350A5" w:rsidRDefault="005F4F67" w:rsidP="00C9687D">
            <w:pPr>
              <w:pStyle w:val="TableText0"/>
              <w:jc w:val="center"/>
            </w:pPr>
          </w:p>
          <w:p w14:paraId="313867BD" w14:textId="77777777" w:rsidR="005F4F67" w:rsidRPr="00B350A5" w:rsidRDefault="005F4F67" w:rsidP="00C9687D">
            <w:pPr>
              <w:pStyle w:val="TableText0"/>
              <w:jc w:val="center"/>
            </w:pPr>
            <w:r w:rsidRPr="00B350A5">
              <w:t>NA</w:t>
            </w:r>
          </w:p>
          <w:p w14:paraId="5BF08FB5" w14:textId="77777777" w:rsidR="005F4F67" w:rsidRPr="00B350A5" w:rsidRDefault="005F4F67" w:rsidP="00C9687D">
            <w:pPr>
              <w:pStyle w:val="TableText0"/>
              <w:jc w:val="center"/>
            </w:pPr>
          </w:p>
        </w:tc>
        <w:tc>
          <w:tcPr>
            <w:tcW w:w="2217" w:type="dxa"/>
          </w:tcPr>
          <w:p w14:paraId="36C5E89F" w14:textId="77777777" w:rsidR="005F4F67" w:rsidRPr="00B350A5" w:rsidRDefault="005F4F67" w:rsidP="00C9687D">
            <w:pPr>
              <w:pStyle w:val="TableText0"/>
              <w:jc w:val="center"/>
            </w:pPr>
          </w:p>
          <w:p w14:paraId="6179FBBE" w14:textId="77777777" w:rsidR="005F4F67" w:rsidRPr="00B350A5" w:rsidRDefault="005F4F67" w:rsidP="00C9687D">
            <w:pPr>
              <w:pStyle w:val="TableText0"/>
              <w:jc w:val="center"/>
            </w:pPr>
            <w:r w:rsidRPr="00B350A5">
              <w:t>22/51 (43.1%)</w:t>
            </w:r>
          </w:p>
          <w:p w14:paraId="1FBB9C04" w14:textId="6AC53A16" w:rsidR="005F4F67" w:rsidRPr="00B350A5" w:rsidRDefault="005F4F67" w:rsidP="00C9687D">
            <w:pPr>
              <w:pStyle w:val="TableText0"/>
              <w:jc w:val="center"/>
            </w:pPr>
            <w:r w:rsidRPr="00B350A5">
              <w:t>21/22 (95.4%)</w:t>
            </w:r>
            <w:r w:rsidR="00590DDE">
              <w:rPr>
                <w:vertAlign w:val="superscript"/>
              </w:rPr>
              <w:t>a</w:t>
            </w:r>
          </w:p>
          <w:p w14:paraId="7B5CFFD2" w14:textId="0E0F02B7" w:rsidR="005F4F67" w:rsidRPr="00B350A5" w:rsidRDefault="005F4F67" w:rsidP="00C9687D">
            <w:pPr>
              <w:pStyle w:val="TableText0"/>
              <w:jc w:val="center"/>
            </w:pPr>
            <w:r w:rsidRPr="00B350A5">
              <w:t>20/22 (90.9%)</w:t>
            </w:r>
            <w:r w:rsidR="00590DDE">
              <w:rPr>
                <w:vertAlign w:val="superscript"/>
              </w:rPr>
              <w:t>b</w:t>
            </w:r>
          </w:p>
        </w:tc>
      </w:tr>
    </w:tbl>
    <w:p w14:paraId="38042FEE" w14:textId="77777777" w:rsidR="005F4F67" w:rsidRPr="00B350A5" w:rsidRDefault="005F4F67" w:rsidP="005F4F67">
      <w:pPr>
        <w:pStyle w:val="TableFooter"/>
      </w:pPr>
      <w:r w:rsidRPr="00B350A5">
        <w:t>Source: SOLSTICE CSR, Figure 2, p124, except for data for deaths which are from Table 42, pp229-230.</w:t>
      </w:r>
    </w:p>
    <w:p w14:paraId="13AF9774" w14:textId="2D967E5F" w:rsidR="005F4F67" w:rsidRPr="00B350A5" w:rsidRDefault="005F4F67" w:rsidP="005F4F67">
      <w:pPr>
        <w:pStyle w:val="TableFooter"/>
      </w:pPr>
      <w:r w:rsidRPr="00342D51">
        <w:t xml:space="preserve">IAT = </w:t>
      </w:r>
      <w:r>
        <w:t>i</w:t>
      </w:r>
      <w:r w:rsidRPr="00342D51">
        <w:t xml:space="preserve">nvestigator </w:t>
      </w:r>
      <w:r>
        <w:t>assigned</w:t>
      </w:r>
      <w:r w:rsidRPr="00342D51">
        <w:t xml:space="preserve"> </w:t>
      </w:r>
      <w:r>
        <w:t>t</w:t>
      </w:r>
      <w:r w:rsidRPr="00342D51">
        <w:t xml:space="preserve">reatment; NA = </w:t>
      </w:r>
      <w:r>
        <w:t>n</w:t>
      </w:r>
      <w:r w:rsidRPr="00342D51">
        <w:t xml:space="preserve">ot </w:t>
      </w:r>
      <w:r>
        <w:t>a</w:t>
      </w:r>
      <w:r w:rsidRPr="00342D51">
        <w:t xml:space="preserve">pplicable </w:t>
      </w:r>
    </w:p>
    <w:p w14:paraId="5251F663" w14:textId="0EFCBA69" w:rsidR="005F4F67" w:rsidRPr="00342D51" w:rsidRDefault="00590DDE" w:rsidP="00590DDE">
      <w:pPr>
        <w:pStyle w:val="TableFooter"/>
        <w:tabs>
          <w:tab w:val="left" w:pos="142"/>
        </w:tabs>
      </w:pPr>
      <w:r>
        <w:rPr>
          <w:vertAlign w:val="superscript"/>
        </w:rPr>
        <w:t>a</w:t>
      </w:r>
      <w:r>
        <w:tab/>
      </w:r>
      <w:r w:rsidR="005F4F67" w:rsidRPr="00342D51">
        <w:t xml:space="preserve">One subject was withdrawn from rescue maribavir by the sponsor. </w:t>
      </w:r>
    </w:p>
    <w:p w14:paraId="2D66051D" w14:textId="4F98A111" w:rsidR="005F4F67" w:rsidRPr="00342D51" w:rsidRDefault="00590DDE" w:rsidP="00590DDE">
      <w:pPr>
        <w:pStyle w:val="TableFooter"/>
        <w:tabs>
          <w:tab w:val="left" w:pos="142"/>
        </w:tabs>
      </w:pPr>
      <w:r>
        <w:rPr>
          <w:vertAlign w:val="superscript"/>
        </w:rPr>
        <w:t>b</w:t>
      </w:r>
      <w:r>
        <w:tab/>
      </w:r>
      <w:r w:rsidR="005F4F67" w:rsidRPr="00342D51">
        <w:t xml:space="preserve">One subject was hospitalised in another city and could not complete study follow-up visits. </w:t>
      </w:r>
    </w:p>
    <w:p w14:paraId="41D25677" w14:textId="5BE13C5A" w:rsidR="006071CD" w:rsidRPr="00B350A5" w:rsidRDefault="00590DDE" w:rsidP="003926B6">
      <w:pPr>
        <w:pStyle w:val="TableFooter"/>
        <w:tabs>
          <w:tab w:val="left" w:pos="142"/>
        </w:tabs>
        <w:spacing w:after="120"/>
        <w:ind w:left="142" w:hanging="142"/>
      </w:pPr>
      <w:r>
        <w:rPr>
          <w:vertAlign w:val="superscript"/>
        </w:rPr>
        <w:t>c</w:t>
      </w:r>
      <w:r>
        <w:tab/>
      </w:r>
      <w:r w:rsidR="005F4F67" w:rsidRPr="00342D51">
        <w:t xml:space="preserve">Two patients in each group died after the end of the </w:t>
      </w:r>
      <w:r w:rsidR="00F3629E" w:rsidRPr="00342D51">
        <w:t>20-week</w:t>
      </w:r>
      <w:r w:rsidR="005F4F67" w:rsidRPr="00342D51">
        <w:t xml:space="preserve"> treatment + follow-up period</w:t>
      </w:r>
      <w:r w:rsidR="007F0495">
        <w:t xml:space="preserve"> due to events emerging before the end of 20</w:t>
      </w:r>
      <w:r w:rsidR="003926B6">
        <w:t> </w:t>
      </w:r>
      <w:r w:rsidR="007F0495">
        <w:t>weeks</w:t>
      </w:r>
      <w:r w:rsidR="005F4F67" w:rsidRPr="00342D51">
        <w:t>.</w:t>
      </w:r>
    </w:p>
    <w:p w14:paraId="52555CD7" w14:textId="64546A32" w:rsidR="00B17BC8" w:rsidRPr="00627E76" w:rsidRDefault="00B17BC8" w:rsidP="00627E76">
      <w:pPr>
        <w:pStyle w:val="3-BodyText"/>
        <w:rPr>
          <w:iCs/>
        </w:rPr>
      </w:pPr>
      <w:r w:rsidRPr="00421405">
        <w:rPr>
          <w:iCs/>
        </w:rPr>
        <w:t xml:space="preserve">The PSCR stated that an open-label design was the only ethical and feasible way to conduct the study and that enabling physicians to choose appropriate IAT for patients was specifically aimed at limiting the impact of the adverse events on </w:t>
      </w:r>
      <w:r w:rsidR="00046E04" w:rsidRPr="00421405">
        <w:rPr>
          <w:iCs/>
        </w:rPr>
        <w:t xml:space="preserve">the </w:t>
      </w:r>
      <w:r w:rsidRPr="00421405">
        <w:rPr>
          <w:iCs/>
        </w:rPr>
        <w:t xml:space="preserve">patient’s ability to complete their course of therapy. The PSCR stated that the primary outcome of </w:t>
      </w:r>
      <w:r w:rsidR="003F2CC0">
        <w:rPr>
          <w:iCs/>
        </w:rPr>
        <w:t>viraemia</w:t>
      </w:r>
      <w:r w:rsidRPr="00421405">
        <w:rPr>
          <w:iCs/>
        </w:rPr>
        <w:t xml:space="preserve"> clearance was assessed in a blinded fashion. </w:t>
      </w:r>
      <w:r w:rsidR="00046E04" w:rsidRPr="00421405">
        <w:rPr>
          <w:iCs/>
        </w:rPr>
        <w:t>The ESC considered the SOLSTICE trial to have a high risk of bias, and commented that the high rate of discontinuations in patients prior to 8 weeks in the IAT comparator arm confounded the trial results</w:t>
      </w:r>
      <w:r w:rsidR="00627E76">
        <w:rPr>
          <w:iCs/>
        </w:rPr>
        <w:t xml:space="preserve"> and</w:t>
      </w:r>
      <w:r w:rsidR="00627E76">
        <w:t xml:space="preserve"> introduced significant uncertainty. The pre-PBAC Response stated that the high discontinuation rate from the IAT arm occurred as a direct result of the challenges with the available antivirals, in that the toxicity of IAT led to higher discontinuation due to treatment-emergent adverse events in the IAT group than in the maribavir group. </w:t>
      </w:r>
    </w:p>
    <w:p w14:paraId="490F0460" w14:textId="6F5FA68E" w:rsidR="00AD1328" w:rsidRPr="00421405" w:rsidRDefault="00046E04" w:rsidP="002740F4">
      <w:pPr>
        <w:pStyle w:val="3-BodyText"/>
        <w:rPr>
          <w:iCs/>
        </w:rPr>
      </w:pPr>
      <w:r w:rsidRPr="000E0A75">
        <w:t xml:space="preserve">Baseline characteristics are shown in </w:t>
      </w:r>
      <w:r w:rsidRPr="000E0A75">
        <w:fldChar w:fldCharType="begin" w:fldLock="1"/>
      </w:r>
      <w:r w:rsidRPr="000E0A75">
        <w:instrText xml:space="preserve"> REF _Ref141175748 \h  \* MERGEFORMAT </w:instrText>
      </w:r>
      <w:r w:rsidRPr="000E0A75">
        <w:fldChar w:fldCharType="separate"/>
      </w:r>
      <w:r w:rsidRPr="000E0A75">
        <w:t xml:space="preserve">Table </w:t>
      </w:r>
      <w:r w:rsidRPr="000E0A75">
        <w:rPr>
          <w:noProof/>
        </w:rPr>
        <w:t>7</w:t>
      </w:r>
      <w:r w:rsidRPr="000E0A75">
        <w:fldChar w:fldCharType="end"/>
      </w:r>
      <w:r>
        <w:t>.</w:t>
      </w:r>
    </w:p>
    <w:p w14:paraId="30F21AB5" w14:textId="346F1BF9" w:rsidR="009F523B" w:rsidRDefault="00FD6457" w:rsidP="003926B6">
      <w:pPr>
        <w:pStyle w:val="TableFigureHeading"/>
        <w:keepLines/>
      </w:pPr>
      <w:bookmarkStart w:id="18" w:name="_Ref141175748"/>
      <w:r>
        <w:lastRenderedPageBreak/>
        <w:t xml:space="preserve">Table </w:t>
      </w:r>
      <w:fldSimple w:instr=" SEQ Table \* ARABIC " w:fldLock="1">
        <w:r w:rsidR="0098695D">
          <w:rPr>
            <w:noProof/>
          </w:rPr>
          <w:t>7</w:t>
        </w:r>
      </w:fldSimple>
      <w:bookmarkEnd w:id="18"/>
      <w:r>
        <w:rPr>
          <w:noProof/>
        </w:rPr>
        <w:t>:</w:t>
      </w:r>
      <w:r w:rsidR="009F523B">
        <w:t xml:space="preserve"> Baseline </w:t>
      </w:r>
      <w:r w:rsidR="00167F2A">
        <w:t>c</w:t>
      </w:r>
      <w:r w:rsidR="009F523B">
        <w:t xml:space="preserve">haracteristics of </w:t>
      </w:r>
      <w:r w:rsidR="00167F2A">
        <w:t>p</w:t>
      </w:r>
      <w:r w:rsidR="009F523B">
        <w:t xml:space="preserve">atients </w:t>
      </w:r>
      <w:r w:rsidR="00167F2A">
        <w:t>p</w:t>
      </w:r>
      <w:r w:rsidR="009F523B">
        <w:t>articipating in SOLSTICE</w:t>
      </w:r>
    </w:p>
    <w:tbl>
      <w:tblPr>
        <w:tblStyle w:val="TableGrid"/>
        <w:tblW w:w="5000" w:type="pct"/>
        <w:tblLook w:val="04A0" w:firstRow="1" w:lastRow="0" w:firstColumn="1" w:lastColumn="0" w:noHBand="0" w:noVBand="1"/>
        <w:tblCaption w:val="Table 7: Baseline characteristics of patients participating in SOLSTICE"/>
        <w:tblDescription w:val="Table 7: Baseline characteristics of patients participating in SOLSTICE"/>
      </w:tblPr>
      <w:tblGrid>
        <w:gridCol w:w="4123"/>
        <w:gridCol w:w="2447"/>
        <w:gridCol w:w="2447"/>
      </w:tblGrid>
      <w:tr w:rsidR="009F523B" w:rsidRPr="002F69B7" w14:paraId="051D84F5" w14:textId="77777777" w:rsidTr="00FF7F5B">
        <w:tc>
          <w:tcPr>
            <w:tcW w:w="3823" w:type="dxa"/>
          </w:tcPr>
          <w:p w14:paraId="52F76F6A" w14:textId="77777777" w:rsidR="009F523B" w:rsidRPr="002F69B7" w:rsidRDefault="009F523B" w:rsidP="003926B6">
            <w:pPr>
              <w:pStyle w:val="TableText0"/>
              <w:keepLines/>
              <w:rPr>
                <w:b/>
                <w:bCs w:val="0"/>
              </w:rPr>
            </w:pPr>
          </w:p>
        </w:tc>
        <w:tc>
          <w:tcPr>
            <w:tcW w:w="2268" w:type="dxa"/>
          </w:tcPr>
          <w:p w14:paraId="797A114B" w14:textId="55F2A68A" w:rsidR="009F523B" w:rsidRPr="002F69B7" w:rsidRDefault="009F523B" w:rsidP="003926B6">
            <w:pPr>
              <w:pStyle w:val="TableText0"/>
              <w:keepLines/>
              <w:jc w:val="center"/>
              <w:rPr>
                <w:b/>
                <w:bCs w:val="0"/>
              </w:rPr>
            </w:pPr>
            <w:r w:rsidRPr="002F69B7">
              <w:rPr>
                <w:b/>
                <w:bCs w:val="0"/>
              </w:rPr>
              <w:t>Maribavir</w:t>
            </w:r>
          </w:p>
          <w:p w14:paraId="5AF657A4" w14:textId="77777777" w:rsidR="009F523B" w:rsidRPr="002F69B7" w:rsidRDefault="009F523B" w:rsidP="003926B6">
            <w:pPr>
              <w:pStyle w:val="TableText0"/>
              <w:keepLines/>
              <w:jc w:val="center"/>
              <w:rPr>
                <w:b/>
                <w:bCs w:val="0"/>
              </w:rPr>
            </w:pPr>
            <w:r w:rsidRPr="002F69B7">
              <w:rPr>
                <w:b/>
                <w:bCs w:val="0"/>
              </w:rPr>
              <w:t>N = 235</w:t>
            </w:r>
          </w:p>
        </w:tc>
        <w:tc>
          <w:tcPr>
            <w:tcW w:w="2268" w:type="dxa"/>
          </w:tcPr>
          <w:p w14:paraId="378D0FE9" w14:textId="77777777" w:rsidR="009F523B" w:rsidRPr="002F69B7" w:rsidRDefault="009F523B" w:rsidP="003926B6">
            <w:pPr>
              <w:pStyle w:val="TableText0"/>
              <w:keepLines/>
              <w:jc w:val="center"/>
              <w:rPr>
                <w:b/>
                <w:bCs w:val="0"/>
              </w:rPr>
            </w:pPr>
            <w:r w:rsidRPr="002F69B7">
              <w:rPr>
                <w:b/>
                <w:bCs w:val="0"/>
              </w:rPr>
              <w:t>IAT</w:t>
            </w:r>
          </w:p>
          <w:p w14:paraId="39A8359C" w14:textId="77777777" w:rsidR="009F523B" w:rsidRPr="002F69B7" w:rsidRDefault="009F523B" w:rsidP="003926B6">
            <w:pPr>
              <w:pStyle w:val="TableText0"/>
              <w:keepLines/>
              <w:jc w:val="center"/>
              <w:rPr>
                <w:b/>
                <w:bCs w:val="0"/>
              </w:rPr>
            </w:pPr>
            <w:r w:rsidRPr="002F69B7">
              <w:rPr>
                <w:b/>
                <w:bCs w:val="0"/>
              </w:rPr>
              <w:t>N = 117</w:t>
            </w:r>
          </w:p>
        </w:tc>
      </w:tr>
      <w:tr w:rsidR="009F523B" w14:paraId="0CAFD877" w14:textId="77777777" w:rsidTr="00FF7F5B">
        <w:tc>
          <w:tcPr>
            <w:tcW w:w="3823" w:type="dxa"/>
          </w:tcPr>
          <w:p w14:paraId="588251F7" w14:textId="77777777" w:rsidR="009F523B" w:rsidRPr="00F9636F" w:rsidRDefault="009F523B" w:rsidP="003926B6">
            <w:pPr>
              <w:pStyle w:val="TableText0"/>
              <w:keepLines/>
            </w:pPr>
            <w:r w:rsidRPr="00F9636F">
              <w:t xml:space="preserve">Age, years </w:t>
            </w:r>
          </w:p>
          <w:p w14:paraId="1A8F5BF5" w14:textId="77777777" w:rsidR="009F523B" w:rsidRPr="00F9636F" w:rsidRDefault="009F523B" w:rsidP="003926B6">
            <w:pPr>
              <w:pStyle w:val="TableText0"/>
              <w:keepLines/>
            </w:pPr>
            <w:r w:rsidRPr="00F9636F">
              <w:t>Median (range)</w:t>
            </w:r>
          </w:p>
        </w:tc>
        <w:tc>
          <w:tcPr>
            <w:tcW w:w="2268" w:type="dxa"/>
          </w:tcPr>
          <w:p w14:paraId="08C776B6" w14:textId="77777777" w:rsidR="009F523B" w:rsidRPr="00F9636F" w:rsidRDefault="009F523B" w:rsidP="003926B6">
            <w:pPr>
              <w:pStyle w:val="TableText0"/>
              <w:keepLines/>
              <w:jc w:val="center"/>
            </w:pPr>
          </w:p>
          <w:p w14:paraId="6721DA23" w14:textId="77777777" w:rsidR="009F523B" w:rsidRPr="00F9636F" w:rsidRDefault="009F523B" w:rsidP="003926B6">
            <w:pPr>
              <w:pStyle w:val="TableText0"/>
              <w:keepLines/>
              <w:jc w:val="center"/>
            </w:pPr>
            <w:r w:rsidRPr="00F9636F">
              <w:t>57 (19-79)</w:t>
            </w:r>
          </w:p>
        </w:tc>
        <w:tc>
          <w:tcPr>
            <w:tcW w:w="2268" w:type="dxa"/>
          </w:tcPr>
          <w:p w14:paraId="18BA6F7F" w14:textId="77777777" w:rsidR="009F523B" w:rsidRPr="00F9636F" w:rsidRDefault="009F523B" w:rsidP="003926B6">
            <w:pPr>
              <w:pStyle w:val="TableText0"/>
              <w:keepLines/>
              <w:jc w:val="center"/>
            </w:pPr>
          </w:p>
          <w:p w14:paraId="43541B80" w14:textId="77777777" w:rsidR="009F523B" w:rsidRPr="00F9636F" w:rsidRDefault="009F523B" w:rsidP="003926B6">
            <w:pPr>
              <w:pStyle w:val="TableText0"/>
              <w:keepLines/>
              <w:jc w:val="center"/>
            </w:pPr>
            <w:r w:rsidRPr="00F9636F">
              <w:t>54 (19-77)</w:t>
            </w:r>
          </w:p>
        </w:tc>
      </w:tr>
      <w:tr w:rsidR="009F523B" w14:paraId="5D53BC55" w14:textId="77777777" w:rsidTr="00FF7F5B">
        <w:tc>
          <w:tcPr>
            <w:tcW w:w="3823" w:type="dxa"/>
          </w:tcPr>
          <w:p w14:paraId="51101456" w14:textId="77777777" w:rsidR="009F523B" w:rsidRPr="00F9636F" w:rsidRDefault="009F523B" w:rsidP="003926B6">
            <w:pPr>
              <w:pStyle w:val="TableText0"/>
              <w:keepLines/>
            </w:pPr>
            <w:r w:rsidRPr="00F9636F">
              <w:t xml:space="preserve">Age </w:t>
            </w:r>
            <w:r w:rsidRPr="00F9636F">
              <w:sym w:font="Symbol" w:char="F0B3"/>
            </w:r>
            <w:r w:rsidRPr="00F9636F">
              <w:t xml:space="preserve"> 65, n (%)</w:t>
            </w:r>
          </w:p>
        </w:tc>
        <w:tc>
          <w:tcPr>
            <w:tcW w:w="2268" w:type="dxa"/>
          </w:tcPr>
          <w:p w14:paraId="70E90F8A" w14:textId="77777777" w:rsidR="009F523B" w:rsidRPr="00F9636F" w:rsidRDefault="009F523B" w:rsidP="003926B6">
            <w:pPr>
              <w:pStyle w:val="TableText0"/>
              <w:keepLines/>
              <w:jc w:val="center"/>
            </w:pPr>
            <w:r w:rsidRPr="00F9636F">
              <w:t>54 (23%)</w:t>
            </w:r>
          </w:p>
        </w:tc>
        <w:tc>
          <w:tcPr>
            <w:tcW w:w="2268" w:type="dxa"/>
          </w:tcPr>
          <w:p w14:paraId="38061B57" w14:textId="77777777" w:rsidR="009F523B" w:rsidRPr="00F9636F" w:rsidRDefault="009F523B" w:rsidP="003926B6">
            <w:pPr>
              <w:pStyle w:val="TableText0"/>
              <w:keepLines/>
              <w:jc w:val="center"/>
            </w:pPr>
            <w:r w:rsidRPr="00F9636F">
              <w:t>16 (13.7%)</w:t>
            </w:r>
          </w:p>
        </w:tc>
      </w:tr>
      <w:tr w:rsidR="009F523B" w14:paraId="20A6C859" w14:textId="77777777" w:rsidTr="00FF7F5B">
        <w:tc>
          <w:tcPr>
            <w:tcW w:w="3823" w:type="dxa"/>
          </w:tcPr>
          <w:p w14:paraId="706D0003" w14:textId="77777777" w:rsidR="009F523B" w:rsidRPr="00F9636F" w:rsidRDefault="009F523B" w:rsidP="003926B6">
            <w:pPr>
              <w:pStyle w:val="TableText0"/>
              <w:keepLines/>
            </w:pPr>
            <w:r w:rsidRPr="00F9636F">
              <w:t>Male, n (%)</w:t>
            </w:r>
          </w:p>
        </w:tc>
        <w:tc>
          <w:tcPr>
            <w:tcW w:w="2268" w:type="dxa"/>
          </w:tcPr>
          <w:p w14:paraId="20A66BF4" w14:textId="77777777" w:rsidR="009F523B" w:rsidRPr="00F9636F" w:rsidRDefault="009F523B" w:rsidP="003926B6">
            <w:pPr>
              <w:pStyle w:val="TableText0"/>
              <w:keepLines/>
              <w:jc w:val="center"/>
            </w:pPr>
            <w:r w:rsidRPr="00F9636F">
              <w:t>148 (63%)</w:t>
            </w:r>
          </w:p>
        </w:tc>
        <w:tc>
          <w:tcPr>
            <w:tcW w:w="2268" w:type="dxa"/>
          </w:tcPr>
          <w:p w14:paraId="2B8822AB" w14:textId="77777777" w:rsidR="009F523B" w:rsidRPr="00F9636F" w:rsidRDefault="009F523B" w:rsidP="003926B6">
            <w:pPr>
              <w:pStyle w:val="TableText0"/>
              <w:keepLines/>
              <w:jc w:val="center"/>
            </w:pPr>
            <w:r w:rsidRPr="00F9636F">
              <w:t>65 (55.6%)</w:t>
            </w:r>
          </w:p>
        </w:tc>
      </w:tr>
      <w:tr w:rsidR="009F523B" w14:paraId="6E2CEE56" w14:textId="77777777" w:rsidTr="00FF7F5B">
        <w:tc>
          <w:tcPr>
            <w:tcW w:w="3823" w:type="dxa"/>
          </w:tcPr>
          <w:p w14:paraId="3960CA16" w14:textId="52BF3ADF" w:rsidR="009F523B" w:rsidRPr="00F9636F" w:rsidRDefault="009F523B" w:rsidP="003926B6">
            <w:pPr>
              <w:pStyle w:val="TableText0"/>
              <w:keepLines/>
            </w:pPr>
            <w:r w:rsidRPr="00F9636F">
              <w:t xml:space="preserve">Solid </w:t>
            </w:r>
            <w:r w:rsidR="00167F2A">
              <w:t>o</w:t>
            </w:r>
            <w:r w:rsidRPr="00F9636F">
              <w:t xml:space="preserve">rgan </w:t>
            </w:r>
            <w:r w:rsidR="00167F2A">
              <w:t>t</w:t>
            </w:r>
            <w:r w:rsidRPr="00F9636F">
              <w:t>ransplant</w:t>
            </w:r>
          </w:p>
        </w:tc>
        <w:tc>
          <w:tcPr>
            <w:tcW w:w="2268" w:type="dxa"/>
          </w:tcPr>
          <w:p w14:paraId="513579F8" w14:textId="77777777" w:rsidR="009F523B" w:rsidRPr="00F9636F" w:rsidRDefault="009F523B" w:rsidP="003926B6">
            <w:pPr>
              <w:pStyle w:val="TableText0"/>
              <w:keepLines/>
              <w:jc w:val="center"/>
            </w:pPr>
            <w:r w:rsidRPr="00F9636F">
              <w:t>142 (60.4%)</w:t>
            </w:r>
          </w:p>
        </w:tc>
        <w:tc>
          <w:tcPr>
            <w:tcW w:w="2268" w:type="dxa"/>
          </w:tcPr>
          <w:p w14:paraId="0B94FFFB" w14:textId="77777777" w:rsidR="009F523B" w:rsidRPr="00F9636F" w:rsidRDefault="009F523B" w:rsidP="003926B6">
            <w:pPr>
              <w:pStyle w:val="TableText0"/>
              <w:keepLines/>
              <w:jc w:val="center"/>
            </w:pPr>
            <w:r w:rsidRPr="00F9636F">
              <w:t>69 (59.0%)</w:t>
            </w:r>
          </w:p>
        </w:tc>
      </w:tr>
      <w:tr w:rsidR="009F523B" w14:paraId="625AE95C" w14:textId="77777777" w:rsidTr="00FF7F5B">
        <w:tc>
          <w:tcPr>
            <w:tcW w:w="3823" w:type="dxa"/>
          </w:tcPr>
          <w:p w14:paraId="4CC05540" w14:textId="0CA7B0B4" w:rsidR="009F523B" w:rsidRPr="00F9636F" w:rsidRDefault="009F523B" w:rsidP="003926B6">
            <w:pPr>
              <w:pStyle w:val="TableText0"/>
              <w:keepLines/>
            </w:pPr>
            <w:r w:rsidRPr="00F9636F">
              <w:t>H</w:t>
            </w:r>
            <w:r w:rsidR="00167F2A">
              <w:t>a</w:t>
            </w:r>
            <w:r w:rsidRPr="00F9636F">
              <w:t>em</w:t>
            </w:r>
            <w:r w:rsidR="00E23729">
              <w:t>at</w:t>
            </w:r>
            <w:r w:rsidRPr="00F9636F">
              <w:t xml:space="preserve">opoietic </w:t>
            </w:r>
            <w:r w:rsidR="00167F2A">
              <w:t>s</w:t>
            </w:r>
            <w:r w:rsidRPr="00F9636F">
              <w:t xml:space="preserve">tem </w:t>
            </w:r>
            <w:r w:rsidR="00167F2A">
              <w:t>c</w:t>
            </w:r>
            <w:r w:rsidRPr="00F9636F">
              <w:t xml:space="preserve">ell </w:t>
            </w:r>
            <w:r w:rsidR="00167F2A">
              <w:t>t</w:t>
            </w:r>
            <w:r w:rsidRPr="00F9636F">
              <w:t>ransplant</w:t>
            </w:r>
            <w:r w:rsidR="00590DDE">
              <w:rPr>
                <w:vertAlign w:val="superscript"/>
              </w:rPr>
              <w:t>a</w:t>
            </w:r>
          </w:p>
        </w:tc>
        <w:tc>
          <w:tcPr>
            <w:tcW w:w="2268" w:type="dxa"/>
          </w:tcPr>
          <w:p w14:paraId="09934368" w14:textId="77777777" w:rsidR="009F523B" w:rsidRPr="00F9636F" w:rsidRDefault="009F523B" w:rsidP="003926B6">
            <w:pPr>
              <w:pStyle w:val="TableText0"/>
              <w:keepLines/>
              <w:jc w:val="center"/>
            </w:pPr>
            <w:r w:rsidRPr="00F9636F">
              <w:t>93 (39.6%)</w:t>
            </w:r>
          </w:p>
        </w:tc>
        <w:tc>
          <w:tcPr>
            <w:tcW w:w="2268" w:type="dxa"/>
          </w:tcPr>
          <w:p w14:paraId="718DA75F" w14:textId="77777777" w:rsidR="009F523B" w:rsidRPr="00F9636F" w:rsidRDefault="009F523B" w:rsidP="003926B6">
            <w:pPr>
              <w:pStyle w:val="TableText0"/>
              <w:keepLines/>
              <w:jc w:val="center"/>
            </w:pPr>
            <w:r w:rsidRPr="00F9636F">
              <w:t>48 (41.0%)</w:t>
            </w:r>
          </w:p>
        </w:tc>
      </w:tr>
      <w:tr w:rsidR="009F523B" w14:paraId="0F44EE6D" w14:textId="77777777" w:rsidTr="00FF7F5B">
        <w:tc>
          <w:tcPr>
            <w:tcW w:w="3823" w:type="dxa"/>
          </w:tcPr>
          <w:p w14:paraId="54B76662" w14:textId="67AD6E58" w:rsidR="009F523B" w:rsidRPr="00F9636F" w:rsidRDefault="009F523B" w:rsidP="003926B6">
            <w:pPr>
              <w:pStyle w:val="TableText0"/>
              <w:keepLines/>
            </w:pPr>
            <w:r w:rsidRPr="00F9636F">
              <w:t>Baseline plasma CMV DNA</w:t>
            </w:r>
            <w:r w:rsidR="00590DDE">
              <w:rPr>
                <w:vertAlign w:val="superscript"/>
              </w:rPr>
              <w:t>b</w:t>
            </w:r>
            <w:r w:rsidRPr="00F9636F">
              <w:t xml:space="preserve"> IU/mL, mean (SD)</w:t>
            </w:r>
          </w:p>
        </w:tc>
        <w:tc>
          <w:tcPr>
            <w:tcW w:w="2268" w:type="dxa"/>
          </w:tcPr>
          <w:p w14:paraId="1ADF9006" w14:textId="77777777" w:rsidR="009F523B" w:rsidRPr="00F9636F" w:rsidRDefault="009F523B" w:rsidP="003926B6">
            <w:pPr>
              <w:pStyle w:val="TableText0"/>
              <w:keepLines/>
              <w:jc w:val="center"/>
            </w:pPr>
            <w:r w:rsidRPr="00F9636F">
              <w:t>52,921.6 (335,894.7)</w:t>
            </w:r>
          </w:p>
        </w:tc>
        <w:tc>
          <w:tcPr>
            <w:tcW w:w="2268" w:type="dxa"/>
          </w:tcPr>
          <w:p w14:paraId="0DA50887" w14:textId="77777777" w:rsidR="009F523B" w:rsidRPr="00F9636F" w:rsidRDefault="009F523B" w:rsidP="003926B6">
            <w:pPr>
              <w:pStyle w:val="TableText0"/>
              <w:keepLines/>
              <w:jc w:val="center"/>
            </w:pPr>
            <w:r w:rsidRPr="00F9636F">
              <w:t>88,171.8 (595,022.2)</w:t>
            </w:r>
          </w:p>
        </w:tc>
      </w:tr>
      <w:tr w:rsidR="009F523B" w14:paraId="3DF3270A" w14:textId="77777777" w:rsidTr="00FF7F5B">
        <w:tc>
          <w:tcPr>
            <w:tcW w:w="3823" w:type="dxa"/>
          </w:tcPr>
          <w:p w14:paraId="627B74BB" w14:textId="183295E7" w:rsidR="009F523B" w:rsidRPr="00F9636F" w:rsidRDefault="009F523B" w:rsidP="003926B6">
            <w:pPr>
              <w:pStyle w:val="TableText0"/>
              <w:keepLines/>
            </w:pPr>
            <w:r w:rsidRPr="00F9636F">
              <w:t>Baseline plasma CMV DNA</w:t>
            </w:r>
            <w:r w:rsidR="00590DDE">
              <w:rPr>
                <w:vertAlign w:val="superscript"/>
              </w:rPr>
              <w:t>b</w:t>
            </w:r>
            <w:r w:rsidRPr="00F9636F">
              <w:t xml:space="preserve"> IU/mL, n (%)</w:t>
            </w:r>
          </w:p>
          <w:p w14:paraId="353A1F6C" w14:textId="77777777" w:rsidR="009F523B" w:rsidRPr="00F9636F" w:rsidRDefault="009F523B" w:rsidP="003926B6">
            <w:pPr>
              <w:pStyle w:val="TableText0"/>
              <w:keepLines/>
              <w:jc w:val="right"/>
            </w:pPr>
            <w:r w:rsidRPr="00F9636F">
              <w:t>&lt;9100</w:t>
            </w:r>
          </w:p>
          <w:p w14:paraId="11D444E2" w14:textId="77777777" w:rsidR="009F523B" w:rsidRPr="00F9636F" w:rsidRDefault="009F523B" w:rsidP="003926B6">
            <w:pPr>
              <w:pStyle w:val="TableText0"/>
              <w:keepLines/>
              <w:jc w:val="right"/>
            </w:pPr>
            <w:r w:rsidRPr="00F9636F">
              <w:sym w:font="Symbol" w:char="F0B3"/>
            </w:r>
            <w:r w:rsidRPr="00F9636F">
              <w:t xml:space="preserve"> 9100 and &lt; 91,000</w:t>
            </w:r>
          </w:p>
          <w:p w14:paraId="176352FE" w14:textId="77777777" w:rsidR="009F523B" w:rsidRPr="00F9636F" w:rsidRDefault="009F523B" w:rsidP="003926B6">
            <w:pPr>
              <w:pStyle w:val="TableText0"/>
              <w:keepLines/>
              <w:jc w:val="right"/>
            </w:pPr>
            <w:r w:rsidRPr="00F9636F">
              <w:sym w:font="Symbol" w:char="F0B3"/>
            </w:r>
            <w:r w:rsidRPr="00F9636F">
              <w:t xml:space="preserve"> 91,000 </w:t>
            </w:r>
          </w:p>
        </w:tc>
        <w:tc>
          <w:tcPr>
            <w:tcW w:w="2268" w:type="dxa"/>
          </w:tcPr>
          <w:p w14:paraId="58739949" w14:textId="77777777" w:rsidR="009F523B" w:rsidRPr="00F9636F" w:rsidRDefault="009F523B" w:rsidP="003926B6">
            <w:pPr>
              <w:pStyle w:val="TableText0"/>
              <w:keepLines/>
              <w:jc w:val="center"/>
            </w:pPr>
          </w:p>
          <w:p w14:paraId="65CC7C81" w14:textId="77777777" w:rsidR="009F523B" w:rsidRPr="00F9636F" w:rsidRDefault="009F523B" w:rsidP="003926B6">
            <w:pPr>
              <w:pStyle w:val="TableText0"/>
              <w:keepLines/>
              <w:jc w:val="center"/>
            </w:pPr>
            <w:r w:rsidRPr="00F9636F">
              <w:t>108 (46.0%)</w:t>
            </w:r>
          </w:p>
          <w:p w14:paraId="70D14BC9" w14:textId="77777777" w:rsidR="009F523B" w:rsidRPr="00F9636F" w:rsidRDefault="009F523B" w:rsidP="003926B6">
            <w:pPr>
              <w:pStyle w:val="TableText0"/>
              <w:keepLines/>
              <w:jc w:val="center"/>
            </w:pPr>
            <w:r w:rsidRPr="00F9636F">
              <w:t>99 (42.1%)</w:t>
            </w:r>
          </w:p>
          <w:p w14:paraId="28553F94" w14:textId="77777777" w:rsidR="009F523B" w:rsidRPr="00F9636F" w:rsidRDefault="009F523B" w:rsidP="003926B6">
            <w:pPr>
              <w:pStyle w:val="TableText0"/>
              <w:keepLines/>
              <w:jc w:val="center"/>
            </w:pPr>
            <w:r w:rsidRPr="00F9636F">
              <w:t>28 (11.9%)</w:t>
            </w:r>
          </w:p>
        </w:tc>
        <w:tc>
          <w:tcPr>
            <w:tcW w:w="2268" w:type="dxa"/>
          </w:tcPr>
          <w:p w14:paraId="6974D745" w14:textId="77777777" w:rsidR="009F523B" w:rsidRPr="00F9636F" w:rsidRDefault="009F523B" w:rsidP="003926B6">
            <w:pPr>
              <w:pStyle w:val="TableText0"/>
              <w:keepLines/>
              <w:jc w:val="center"/>
            </w:pPr>
          </w:p>
          <w:p w14:paraId="42736F59" w14:textId="77777777" w:rsidR="009F523B" w:rsidRPr="00F9636F" w:rsidRDefault="009F523B" w:rsidP="003926B6">
            <w:pPr>
              <w:pStyle w:val="TableText0"/>
              <w:keepLines/>
              <w:jc w:val="center"/>
            </w:pPr>
            <w:r w:rsidRPr="00F9636F">
              <w:t>54 (46.2%)</w:t>
            </w:r>
          </w:p>
          <w:p w14:paraId="618377C8" w14:textId="77777777" w:rsidR="009F523B" w:rsidRPr="00F9636F" w:rsidRDefault="009F523B" w:rsidP="003926B6">
            <w:pPr>
              <w:pStyle w:val="TableText0"/>
              <w:keepLines/>
              <w:jc w:val="center"/>
            </w:pPr>
            <w:r w:rsidRPr="00F9636F">
              <w:t>49 (41.9%)</w:t>
            </w:r>
          </w:p>
          <w:p w14:paraId="0B971451" w14:textId="77777777" w:rsidR="009F523B" w:rsidRPr="00F9636F" w:rsidRDefault="009F523B" w:rsidP="003926B6">
            <w:pPr>
              <w:pStyle w:val="TableText0"/>
              <w:keepLines/>
              <w:jc w:val="center"/>
            </w:pPr>
            <w:r w:rsidRPr="00F9636F">
              <w:t>14 (12.0</w:t>
            </w:r>
            <w:r>
              <w:t>%</w:t>
            </w:r>
            <w:r w:rsidRPr="00F9636F">
              <w:t>)</w:t>
            </w:r>
          </w:p>
        </w:tc>
      </w:tr>
      <w:tr w:rsidR="009F523B" w14:paraId="18DFF995" w14:textId="77777777" w:rsidTr="00FF7F5B">
        <w:tc>
          <w:tcPr>
            <w:tcW w:w="3823" w:type="dxa"/>
          </w:tcPr>
          <w:p w14:paraId="342D8CA4" w14:textId="14C32265" w:rsidR="009F523B" w:rsidRPr="00F9636F" w:rsidRDefault="009F523B" w:rsidP="003926B6">
            <w:pPr>
              <w:pStyle w:val="TableText0"/>
              <w:keepLines/>
            </w:pPr>
            <w:r w:rsidRPr="00F9636F">
              <w:t xml:space="preserve">CMV </w:t>
            </w:r>
            <w:r w:rsidR="00167F2A">
              <w:t>c</w:t>
            </w:r>
            <w:r w:rsidRPr="00F9636F">
              <w:t xml:space="preserve">linical </w:t>
            </w:r>
            <w:r w:rsidR="00167F2A">
              <w:t>s</w:t>
            </w:r>
            <w:r w:rsidRPr="00F9636F">
              <w:t>tatus, n (%)</w:t>
            </w:r>
          </w:p>
          <w:p w14:paraId="52793988" w14:textId="54BECB33" w:rsidR="009F523B" w:rsidRPr="00F9636F" w:rsidRDefault="009F523B" w:rsidP="003926B6">
            <w:pPr>
              <w:pStyle w:val="TableText0"/>
              <w:keepLines/>
              <w:jc w:val="right"/>
            </w:pPr>
            <w:r w:rsidRPr="00F9636F">
              <w:t xml:space="preserve">CMV </w:t>
            </w:r>
            <w:r w:rsidR="00167F2A">
              <w:t>s</w:t>
            </w:r>
            <w:r w:rsidRPr="00F9636F">
              <w:t xml:space="preserve">yndrome </w:t>
            </w:r>
          </w:p>
          <w:p w14:paraId="0FA0FAF7" w14:textId="77777777" w:rsidR="009F523B" w:rsidRPr="00F9636F" w:rsidRDefault="009F523B" w:rsidP="003926B6">
            <w:pPr>
              <w:pStyle w:val="TableText0"/>
              <w:keepLines/>
              <w:jc w:val="right"/>
            </w:pPr>
            <w:r w:rsidRPr="00F9636F">
              <w:t>Tissue-invasive disease</w:t>
            </w:r>
          </w:p>
          <w:p w14:paraId="2DC88011" w14:textId="77777777" w:rsidR="009F523B" w:rsidRPr="00F9636F" w:rsidRDefault="009F523B" w:rsidP="003926B6">
            <w:pPr>
              <w:pStyle w:val="TableText0"/>
              <w:keepLines/>
              <w:jc w:val="right"/>
            </w:pPr>
            <w:r w:rsidRPr="00F9636F">
              <w:t>Asymptomatic infection</w:t>
            </w:r>
          </w:p>
        </w:tc>
        <w:tc>
          <w:tcPr>
            <w:tcW w:w="2268" w:type="dxa"/>
          </w:tcPr>
          <w:p w14:paraId="7FE5D7B3" w14:textId="77777777" w:rsidR="009F523B" w:rsidRPr="00F9636F" w:rsidRDefault="009F523B" w:rsidP="003926B6">
            <w:pPr>
              <w:pStyle w:val="TableText0"/>
              <w:keepLines/>
              <w:jc w:val="center"/>
            </w:pPr>
          </w:p>
          <w:p w14:paraId="2F90F1D4" w14:textId="77777777" w:rsidR="009F523B" w:rsidRPr="00F9636F" w:rsidRDefault="009F523B" w:rsidP="003926B6">
            <w:pPr>
              <w:pStyle w:val="TableText0"/>
              <w:keepLines/>
              <w:jc w:val="center"/>
            </w:pPr>
            <w:r w:rsidRPr="00F9636F">
              <w:t>16 (6.8%)</w:t>
            </w:r>
          </w:p>
          <w:p w14:paraId="669A18F8" w14:textId="77777777" w:rsidR="009F523B" w:rsidRPr="00F9636F" w:rsidRDefault="009F523B" w:rsidP="003926B6">
            <w:pPr>
              <w:pStyle w:val="TableText0"/>
              <w:keepLines/>
              <w:jc w:val="center"/>
            </w:pPr>
            <w:r w:rsidRPr="00F9636F">
              <w:t>18 (7.7%)</w:t>
            </w:r>
          </w:p>
          <w:p w14:paraId="40BCE2D2" w14:textId="77777777" w:rsidR="009F523B" w:rsidRPr="00F9636F" w:rsidRDefault="009F523B" w:rsidP="003926B6">
            <w:pPr>
              <w:pStyle w:val="TableText0"/>
              <w:keepLines/>
              <w:jc w:val="center"/>
            </w:pPr>
            <w:r w:rsidRPr="00F9636F">
              <w:t>201 (85.5%)</w:t>
            </w:r>
          </w:p>
        </w:tc>
        <w:tc>
          <w:tcPr>
            <w:tcW w:w="2268" w:type="dxa"/>
          </w:tcPr>
          <w:p w14:paraId="29566E61" w14:textId="77777777" w:rsidR="009F523B" w:rsidRPr="00F9636F" w:rsidRDefault="009F523B" w:rsidP="003926B6">
            <w:pPr>
              <w:pStyle w:val="TableText0"/>
              <w:keepLines/>
              <w:jc w:val="center"/>
            </w:pPr>
          </w:p>
          <w:p w14:paraId="73D53BC7" w14:textId="77777777" w:rsidR="009F523B" w:rsidRPr="00F9636F" w:rsidRDefault="009F523B" w:rsidP="003926B6">
            <w:pPr>
              <w:pStyle w:val="TableText0"/>
              <w:keepLines/>
              <w:jc w:val="center"/>
            </w:pPr>
            <w:r w:rsidRPr="00F9636F">
              <w:t>10 (8.5%)</w:t>
            </w:r>
          </w:p>
          <w:p w14:paraId="56633881" w14:textId="77777777" w:rsidR="009F523B" w:rsidRPr="00F9636F" w:rsidRDefault="009F523B" w:rsidP="003926B6">
            <w:pPr>
              <w:pStyle w:val="TableText0"/>
              <w:keepLines/>
              <w:jc w:val="center"/>
            </w:pPr>
            <w:r w:rsidRPr="00F9636F">
              <w:t>4 (3.4%)</w:t>
            </w:r>
          </w:p>
          <w:p w14:paraId="377B8667" w14:textId="77777777" w:rsidR="009F523B" w:rsidRPr="00F9636F" w:rsidRDefault="009F523B" w:rsidP="003926B6">
            <w:pPr>
              <w:pStyle w:val="TableText0"/>
              <w:keepLines/>
              <w:jc w:val="center"/>
            </w:pPr>
            <w:r w:rsidRPr="00F9636F">
              <w:t>103 (88.0%)</w:t>
            </w:r>
          </w:p>
        </w:tc>
      </w:tr>
      <w:tr w:rsidR="009F523B" w14:paraId="4E0B2591" w14:textId="77777777" w:rsidTr="00FF7F5B">
        <w:tc>
          <w:tcPr>
            <w:tcW w:w="3823" w:type="dxa"/>
          </w:tcPr>
          <w:p w14:paraId="63768CA3" w14:textId="77777777" w:rsidR="009F523B" w:rsidRDefault="009F523B" w:rsidP="003926B6">
            <w:pPr>
              <w:pStyle w:val="TableText0"/>
              <w:keepLines/>
            </w:pPr>
            <w:r w:rsidRPr="00F9636F">
              <w:t>Time from first CMV positive testing for current infection to first dose of study treatment, days</w:t>
            </w:r>
          </w:p>
          <w:p w14:paraId="55FE3C4E" w14:textId="77777777" w:rsidR="009F523B" w:rsidRDefault="009F523B" w:rsidP="003926B6">
            <w:pPr>
              <w:pStyle w:val="TableText0"/>
              <w:keepLines/>
              <w:jc w:val="right"/>
            </w:pPr>
            <w:r>
              <w:t>M</w:t>
            </w:r>
            <w:r w:rsidRPr="00F9636F">
              <w:t>ean (SD)</w:t>
            </w:r>
          </w:p>
          <w:p w14:paraId="155C562E" w14:textId="77777777" w:rsidR="009F523B" w:rsidRDefault="009F523B" w:rsidP="003926B6">
            <w:pPr>
              <w:pStyle w:val="TableText0"/>
              <w:keepLines/>
              <w:jc w:val="right"/>
            </w:pPr>
            <w:r>
              <w:t>Median</w:t>
            </w:r>
          </w:p>
          <w:p w14:paraId="1262CE06" w14:textId="77777777" w:rsidR="009F523B" w:rsidRPr="00F9636F" w:rsidRDefault="009F523B" w:rsidP="003926B6">
            <w:pPr>
              <w:pStyle w:val="TableText0"/>
              <w:keepLines/>
              <w:jc w:val="right"/>
            </w:pPr>
            <w:r>
              <w:t>Q1, Q3 (range)</w:t>
            </w:r>
          </w:p>
        </w:tc>
        <w:tc>
          <w:tcPr>
            <w:tcW w:w="2268" w:type="dxa"/>
          </w:tcPr>
          <w:p w14:paraId="73866F34" w14:textId="77777777" w:rsidR="009F523B" w:rsidRDefault="009F523B" w:rsidP="003926B6">
            <w:pPr>
              <w:pStyle w:val="TableText0"/>
              <w:keepLines/>
              <w:jc w:val="center"/>
            </w:pPr>
          </w:p>
          <w:p w14:paraId="0765127C" w14:textId="77777777" w:rsidR="009F523B" w:rsidRDefault="009F523B" w:rsidP="003926B6">
            <w:pPr>
              <w:pStyle w:val="TableText0"/>
              <w:keepLines/>
            </w:pPr>
          </w:p>
          <w:p w14:paraId="72B6C8A9" w14:textId="77777777" w:rsidR="009F523B" w:rsidRDefault="009F523B" w:rsidP="003926B6">
            <w:pPr>
              <w:pStyle w:val="TableText0"/>
              <w:keepLines/>
              <w:jc w:val="center"/>
            </w:pPr>
            <w:r w:rsidRPr="00F9636F">
              <w:t>70.5 (85.5)</w:t>
            </w:r>
          </w:p>
          <w:p w14:paraId="693D02A3" w14:textId="77777777" w:rsidR="009F523B" w:rsidRDefault="009F523B" w:rsidP="003926B6">
            <w:pPr>
              <w:pStyle w:val="TableText0"/>
              <w:keepLines/>
              <w:jc w:val="center"/>
            </w:pPr>
            <w:r>
              <w:t>38.0</w:t>
            </w:r>
          </w:p>
          <w:p w14:paraId="649B222C" w14:textId="77777777" w:rsidR="009F523B" w:rsidRPr="00F9636F" w:rsidRDefault="009F523B" w:rsidP="003926B6">
            <w:pPr>
              <w:pStyle w:val="TableText0"/>
              <w:keepLines/>
              <w:jc w:val="center"/>
            </w:pPr>
            <w:r>
              <w:t>23, 93 (3 – 716)</w:t>
            </w:r>
          </w:p>
        </w:tc>
        <w:tc>
          <w:tcPr>
            <w:tcW w:w="2268" w:type="dxa"/>
          </w:tcPr>
          <w:p w14:paraId="2E7ACE99" w14:textId="77777777" w:rsidR="009F523B" w:rsidRDefault="009F523B" w:rsidP="003926B6">
            <w:pPr>
              <w:pStyle w:val="TableText0"/>
              <w:keepLines/>
              <w:jc w:val="center"/>
            </w:pPr>
          </w:p>
          <w:p w14:paraId="38548A8A" w14:textId="77777777" w:rsidR="009F523B" w:rsidRDefault="009F523B" w:rsidP="003926B6">
            <w:pPr>
              <w:pStyle w:val="TableText0"/>
              <w:keepLines/>
              <w:jc w:val="center"/>
            </w:pPr>
          </w:p>
          <w:p w14:paraId="0AC0A63A" w14:textId="77777777" w:rsidR="009F523B" w:rsidRDefault="009F523B" w:rsidP="003926B6">
            <w:pPr>
              <w:pStyle w:val="TableText0"/>
              <w:keepLines/>
              <w:jc w:val="center"/>
            </w:pPr>
            <w:r w:rsidRPr="00F9636F">
              <w:t>63.54 (58.2)</w:t>
            </w:r>
          </w:p>
          <w:p w14:paraId="1BB5BB9D" w14:textId="77777777" w:rsidR="009F523B" w:rsidRDefault="009F523B" w:rsidP="003926B6">
            <w:pPr>
              <w:pStyle w:val="TableText0"/>
              <w:keepLines/>
              <w:jc w:val="center"/>
            </w:pPr>
            <w:r>
              <w:t>40.0</w:t>
            </w:r>
          </w:p>
          <w:p w14:paraId="25EB46E2" w14:textId="77777777" w:rsidR="009F523B" w:rsidRPr="00F9636F" w:rsidRDefault="009F523B" w:rsidP="003926B6">
            <w:pPr>
              <w:pStyle w:val="TableText0"/>
              <w:keepLines/>
              <w:jc w:val="center"/>
            </w:pPr>
            <w:r>
              <w:t>25, 79 (3 – 312)</w:t>
            </w:r>
          </w:p>
        </w:tc>
      </w:tr>
      <w:tr w:rsidR="009F523B" w14:paraId="012E0A9C" w14:textId="77777777" w:rsidTr="00590DDE">
        <w:tc>
          <w:tcPr>
            <w:tcW w:w="3823" w:type="dxa"/>
          </w:tcPr>
          <w:p w14:paraId="1CAD00DF" w14:textId="0124E554" w:rsidR="009F523B" w:rsidRPr="00F9636F" w:rsidRDefault="009F523B" w:rsidP="003926B6">
            <w:pPr>
              <w:pStyle w:val="TableText0"/>
              <w:keepLines/>
            </w:pPr>
            <w:r>
              <w:t>CMV RAS conferring resistance to ganciclovir, foscarnet or cidofovir</w:t>
            </w:r>
            <w:r w:rsidR="006071CD">
              <w:t xml:space="preserve"> at baseline</w:t>
            </w:r>
            <w:r>
              <w:t>, n (%)</w:t>
            </w:r>
          </w:p>
        </w:tc>
        <w:tc>
          <w:tcPr>
            <w:tcW w:w="2268" w:type="dxa"/>
            <w:vAlign w:val="center"/>
          </w:tcPr>
          <w:p w14:paraId="340732A5" w14:textId="77777777" w:rsidR="009F523B" w:rsidRPr="00F9636F" w:rsidRDefault="009F523B" w:rsidP="003926B6">
            <w:pPr>
              <w:pStyle w:val="TableText0"/>
              <w:keepLines/>
              <w:jc w:val="center"/>
            </w:pPr>
            <w:r>
              <w:t>121 (51.7%)</w:t>
            </w:r>
          </w:p>
        </w:tc>
        <w:tc>
          <w:tcPr>
            <w:tcW w:w="2268" w:type="dxa"/>
            <w:vAlign w:val="center"/>
          </w:tcPr>
          <w:p w14:paraId="132EB04C" w14:textId="77777777" w:rsidR="009F523B" w:rsidRPr="00F9636F" w:rsidRDefault="009F523B" w:rsidP="003926B6">
            <w:pPr>
              <w:pStyle w:val="TableText0"/>
              <w:keepLines/>
              <w:jc w:val="center"/>
            </w:pPr>
            <w:r>
              <w:t>69 (59.5%)</w:t>
            </w:r>
          </w:p>
        </w:tc>
      </w:tr>
      <w:tr w:rsidR="009F523B" w14:paraId="52C14837" w14:textId="77777777" w:rsidTr="00590DDE">
        <w:tc>
          <w:tcPr>
            <w:tcW w:w="3823" w:type="dxa"/>
          </w:tcPr>
          <w:p w14:paraId="5E59C296" w14:textId="6EE349C3" w:rsidR="009F523B" w:rsidRPr="00F9636F" w:rsidRDefault="009F523B" w:rsidP="003926B6">
            <w:pPr>
              <w:pStyle w:val="TableText0"/>
              <w:keepLines/>
            </w:pPr>
            <w:r>
              <w:t>CMV RAS conferring resistance to maribavir</w:t>
            </w:r>
            <w:r w:rsidR="006071CD">
              <w:t xml:space="preserve"> at baseline</w:t>
            </w:r>
            <w:r>
              <w:t xml:space="preserve">, </w:t>
            </w:r>
            <w:r w:rsidR="009C0308">
              <w:t xml:space="preserve">n </w:t>
            </w:r>
            <w:r>
              <w:t>(%)</w:t>
            </w:r>
          </w:p>
        </w:tc>
        <w:tc>
          <w:tcPr>
            <w:tcW w:w="2268" w:type="dxa"/>
            <w:vAlign w:val="center"/>
          </w:tcPr>
          <w:p w14:paraId="348ACC03" w14:textId="77777777" w:rsidR="009F523B" w:rsidRPr="00F9636F" w:rsidRDefault="009F523B" w:rsidP="003926B6">
            <w:pPr>
              <w:pStyle w:val="TableText0"/>
              <w:keepLines/>
              <w:jc w:val="center"/>
            </w:pPr>
            <w:r>
              <w:t>1 (0.4%)</w:t>
            </w:r>
          </w:p>
        </w:tc>
        <w:tc>
          <w:tcPr>
            <w:tcW w:w="2268" w:type="dxa"/>
            <w:vAlign w:val="center"/>
          </w:tcPr>
          <w:p w14:paraId="4BC15406" w14:textId="77777777" w:rsidR="009F523B" w:rsidRPr="00F9636F" w:rsidRDefault="009F523B" w:rsidP="003926B6">
            <w:pPr>
              <w:pStyle w:val="TableText0"/>
              <w:keepLines/>
              <w:jc w:val="center"/>
            </w:pPr>
            <w:r>
              <w:t>3 (2.6%)</w:t>
            </w:r>
          </w:p>
        </w:tc>
      </w:tr>
    </w:tbl>
    <w:p w14:paraId="5BFC3E3F" w14:textId="77777777" w:rsidR="009F523B" w:rsidRDefault="009F523B" w:rsidP="003926B6">
      <w:pPr>
        <w:pStyle w:val="TableFooter"/>
        <w:keepNext/>
        <w:keepLines/>
      </w:pPr>
      <w:r w:rsidRPr="00F9636F">
        <w:t xml:space="preserve">Source: Table 2.4.2, p63; Table 2.4.3, p65 of the submission. </w:t>
      </w:r>
    </w:p>
    <w:p w14:paraId="75E8030D" w14:textId="7A4338DF" w:rsidR="009F523B" w:rsidRPr="00F902FE" w:rsidRDefault="009F523B" w:rsidP="003926B6">
      <w:pPr>
        <w:pStyle w:val="TableFooter"/>
        <w:keepNext/>
        <w:keepLines/>
      </w:pPr>
      <w:r>
        <w:t xml:space="preserve">CMV = cytomegalovirus; IAT = </w:t>
      </w:r>
      <w:r w:rsidR="002F69B7">
        <w:t>i</w:t>
      </w:r>
      <w:r>
        <w:t xml:space="preserve">nvestigator </w:t>
      </w:r>
      <w:r w:rsidR="002F69B7">
        <w:t>assigned</w:t>
      </w:r>
      <w:r>
        <w:t xml:space="preserve"> </w:t>
      </w:r>
      <w:r w:rsidR="002F69B7">
        <w:t>t</w:t>
      </w:r>
      <w:r>
        <w:t xml:space="preserve">reatment; IU = </w:t>
      </w:r>
      <w:r w:rsidR="002F69B7">
        <w:t>i</w:t>
      </w:r>
      <w:r>
        <w:t xml:space="preserve">nternational </w:t>
      </w:r>
      <w:r w:rsidR="002F69B7">
        <w:t>u</w:t>
      </w:r>
      <w:r>
        <w:t xml:space="preserve">nits; </w:t>
      </w:r>
      <w:r w:rsidR="006071CD">
        <w:t xml:space="preserve">RAS = </w:t>
      </w:r>
      <w:r w:rsidR="002F69B7">
        <w:t>r</w:t>
      </w:r>
      <w:r w:rsidR="006071CD">
        <w:t xml:space="preserve">esistance-associated </w:t>
      </w:r>
      <w:r w:rsidR="002F69B7">
        <w:t>a</w:t>
      </w:r>
      <w:r w:rsidR="006071CD">
        <w:t xml:space="preserve">mino acid </w:t>
      </w:r>
      <w:r w:rsidR="002F69B7">
        <w:t>s</w:t>
      </w:r>
      <w:r w:rsidR="006071CD">
        <w:t xml:space="preserve">ubstitution; </w:t>
      </w:r>
      <w:r>
        <w:t xml:space="preserve">SD = standard deviation. </w:t>
      </w:r>
    </w:p>
    <w:p w14:paraId="60C9F671" w14:textId="5B71D2E0" w:rsidR="009F523B" w:rsidRDefault="00590DDE" w:rsidP="003926B6">
      <w:pPr>
        <w:pStyle w:val="TableFooter"/>
        <w:keepNext/>
        <w:keepLines/>
        <w:tabs>
          <w:tab w:val="left" w:pos="142"/>
        </w:tabs>
      </w:pPr>
      <w:r>
        <w:rPr>
          <w:vertAlign w:val="superscript"/>
        </w:rPr>
        <w:t>a</w:t>
      </w:r>
      <w:r w:rsidR="009F523B" w:rsidRPr="00226953">
        <w:t xml:space="preserve"> </w:t>
      </w:r>
      <w:r>
        <w:tab/>
      </w:r>
      <w:r w:rsidR="009F523B" w:rsidRPr="00226953">
        <w:t xml:space="preserve">92/93 patients randomised to maribavir and 48/48 randomised to IAT had received allogenic HSCT. </w:t>
      </w:r>
    </w:p>
    <w:p w14:paraId="70CB5C71" w14:textId="38B3B72A" w:rsidR="00EF7B8D" w:rsidRDefault="00590DDE" w:rsidP="00590DDE">
      <w:pPr>
        <w:pStyle w:val="TableFooter"/>
        <w:tabs>
          <w:tab w:val="left" w:pos="142"/>
        </w:tabs>
        <w:spacing w:after="120"/>
      </w:pPr>
      <w:r>
        <w:rPr>
          <w:vertAlign w:val="superscript"/>
        </w:rPr>
        <w:t>b</w:t>
      </w:r>
      <w:r w:rsidR="009F523B">
        <w:t xml:space="preserve"> </w:t>
      </w:r>
      <w:r>
        <w:tab/>
      </w:r>
      <w:r w:rsidR="009F523B">
        <w:t xml:space="preserve">Measured values for CMV DNA are </w:t>
      </w:r>
      <w:r w:rsidR="00FF7F5B" w:rsidRPr="00B20B1E">
        <w:rPr>
          <w:rFonts w:eastAsiaTheme="majorEastAsia"/>
        </w:rPr>
        <w:t xml:space="preserve">of the order of three-fold </w:t>
      </w:r>
      <w:r w:rsidR="009F523B">
        <w:t xml:space="preserve">higher in blood than in plasma. </w:t>
      </w:r>
    </w:p>
    <w:p w14:paraId="088AA989" w14:textId="6291105B" w:rsidR="009F523B" w:rsidRPr="000E0A75" w:rsidRDefault="009F523B" w:rsidP="009F523B">
      <w:pPr>
        <w:pStyle w:val="3-BodyText"/>
      </w:pPr>
      <w:r w:rsidRPr="000E0A75">
        <w:t xml:space="preserve">Baseline characteristics were similar in the maribavir and IAT groups, except that there was a higher proportion of patients aged over 65 years in the maribavir-treated group. </w:t>
      </w:r>
    </w:p>
    <w:p w14:paraId="17391C36" w14:textId="50C36589" w:rsidR="00F15370" w:rsidRPr="000E0A75" w:rsidRDefault="009F523B" w:rsidP="009C006D">
      <w:pPr>
        <w:pStyle w:val="3-BodyText"/>
      </w:pPr>
      <w:r w:rsidRPr="000E0A75">
        <w:t xml:space="preserve">A large majority of patients in the trial had asymptomatic infection, despite the infection having been present for some time at enrolment, and relatively few had high levels of CMV DNA in plasma. </w:t>
      </w:r>
    </w:p>
    <w:p w14:paraId="4A4FE085" w14:textId="1C5613CC" w:rsidR="00B60939" w:rsidRPr="00C9624D" w:rsidRDefault="00B60939" w:rsidP="00EC5836">
      <w:pPr>
        <w:pStyle w:val="4-SubsectionHeading"/>
      </w:pPr>
      <w:bookmarkStart w:id="19" w:name="_Toc22897641"/>
      <w:bookmarkStart w:id="20" w:name="_Toc145336299"/>
      <w:r w:rsidRPr="00C9624D">
        <w:t>Comparative effectiveness</w:t>
      </w:r>
      <w:bookmarkEnd w:id="19"/>
      <w:bookmarkEnd w:id="20"/>
    </w:p>
    <w:p w14:paraId="313E139B" w14:textId="25495373" w:rsidR="00B34FE2" w:rsidRPr="00EC5836" w:rsidRDefault="008B7558" w:rsidP="00EC5836">
      <w:pPr>
        <w:pStyle w:val="3-BodyText"/>
        <w:rPr>
          <w:color w:val="0066FF"/>
        </w:rPr>
      </w:pPr>
      <w:r>
        <w:t>The outcomes of the SOL</w:t>
      </w:r>
      <w:r w:rsidR="00BD5EC2">
        <w:t>S</w:t>
      </w:r>
      <w:r>
        <w:t xml:space="preserve">TICE trial are summarised in </w:t>
      </w:r>
      <w:r w:rsidR="00167F2A">
        <w:rPr>
          <w:highlight w:val="yellow"/>
        </w:rPr>
        <w:fldChar w:fldCharType="begin" w:fldLock="1"/>
      </w:r>
      <w:r w:rsidR="00167F2A">
        <w:instrText xml:space="preserve"> REF _Ref141175772 \h </w:instrText>
      </w:r>
      <w:r w:rsidR="00167F2A">
        <w:rPr>
          <w:highlight w:val="yellow"/>
        </w:rPr>
      </w:r>
      <w:r w:rsidR="00167F2A">
        <w:rPr>
          <w:highlight w:val="yellow"/>
        </w:rPr>
        <w:fldChar w:fldCharType="separate"/>
      </w:r>
      <w:r w:rsidR="0098695D">
        <w:t xml:space="preserve">Table </w:t>
      </w:r>
      <w:r w:rsidR="0098695D">
        <w:rPr>
          <w:noProof/>
        </w:rPr>
        <w:t>8</w:t>
      </w:r>
      <w:r w:rsidR="00167F2A">
        <w:rPr>
          <w:highlight w:val="yellow"/>
        </w:rPr>
        <w:fldChar w:fldCharType="end"/>
      </w:r>
      <w:r>
        <w:t>.</w:t>
      </w:r>
    </w:p>
    <w:p w14:paraId="78E42FD2" w14:textId="129B0BE7" w:rsidR="008B7558" w:rsidRPr="008B7558" w:rsidRDefault="00FD6457" w:rsidP="003926B6">
      <w:pPr>
        <w:pStyle w:val="TableFigureHeading"/>
        <w:keepLines/>
        <w:rPr>
          <w:rStyle w:val="CommentReference"/>
          <w:b/>
          <w:szCs w:val="24"/>
        </w:rPr>
      </w:pPr>
      <w:bookmarkStart w:id="21" w:name="_Ref141175772"/>
      <w:r>
        <w:lastRenderedPageBreak/>
        <w:t xml:space="preserve">Table </w:t>
      </w:r>
      <w:fldSimple w:instr=" SEQ Table \* ARABIC " w:fldLock="1">
        <w:r w:rsidR="0098695D">
          <w:rPr>
            <w:noProof/>
          </w:rPr>
          <w:t>8</w:t>
        </w:r>
      </w:fldSimple>
      <w:bookmarkEnd w:id="21"/>
      <w:r>
        <w:rPr>
          <w:noProof/>
        </w:rPr>
        <w:t xml:space="preserve">: </w:t>
      </w:r>
      <w:r w:rsidR="008B7558" w:rsidRPr="008B7558">
        <w:rPr>
          <w:rStyle w:val="CommentReference"/>
          <w:b/>
          <w:szCs w:val="24"/>
        </w:rPr>
        <w:t>Summary of outcomes in SOLSTICE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8: Summary of outcomes in SOLSTICE"/>
        <w:tblDescription w:val="Table 8: Summary of outcomes in SOLSTICE"/>
      </w:tblPr>
      <w:tblGrid>
        <w:gridCol w:w="2410"/>
        <w:gridCol w:w="1416"/>
        <w:gridCol w:w="1271"/>
        <w:gridCol w:w="2830"/>
        <w:gridCol w:w="1000"/>
      </w:tblGrid>
      <w:tr w:rsidR="00EB7874" w:rsidRPr="0042126D" w14:paraId="5AF9AA36" w14:textId="77777777" w:rsidTr="00EB7874">
        <w:trPr>
          <w:cantSplit/>
          <w:tblHeader/>
        </w:trPr>
        <w:tc>
          <w:tcPr>
            <w:tcW w:w="1350" w:type="pct"/>
            <w:vAlign w:val="center"/>
          </w:tcPr>
          <w:p w14:paraId="650B711D" w14:textId="77777777" w:rsidR="008B7558" w:rsidRPr="0042126D" w:rsidRDefault="008B7558" w:rsidP="003926B6">
            <w:pPr>
              <w:pStyle w:val="In-tableHeading"/>
              <w:keepLines/>
              <w:jc w:val="center"/>
            </w:pPr>
          </w:p>
        </w:tc>
        <w:tc>
          <w:tcPr>
            <w:tcW w:w="793" w:type="pct"/>
            <w:vAlign w:val="center"/>
          </w:tcPr>
          <w:p w14:paraId="02FF600C" w14:textId="77777777" w:rsidR="008B7558" w:rsidRPr="0042126D" w:rsidRDefault="008B7558" w:rsidP="003926B6">
            <w:pPr>
              <w:pStyle w:val="In-tableHeading"/>
              <w:keepLines/>
              <w:jc w:val="center"/>
            </w:pPr>
            <w:r w:rsidRPr="0042126D">
              <w:t>Maribavir</w:t>
            </w:r>
          </w:p>
          <w:p w14:paraId="1A145F2A" w14:textId="77777777" w:rsidR="008B7558" w:rsidRPr="0042126D" w:rsidRDefault="008B7558" w:rsidP="003926B6">
            <w:pPr>
              <w:pStyle w:val="In-tableHeading"/>
              <w:keepLines/>
              <w:jc w:val="center"/>
            </w:pPr>
            <w:r w:rsidRPr="0042126D">
              <w:t>N = 235</w:t>
            </w:r>
          </w:p>
        </w:tc>
        <w:tc>
          <w:tcPr>
            <w:tcW w:w="712" w:type="pct"/>
            <w:vAlign w:val="center"/>
          </w:tcPr>
          <w:p w14:paraId="1A938795" w14:textId="77777777" w:rsidR="008B7558" w:rsidRPr="0042126D" w:rsidRDefault="008B7558" w:rsidP="003926B6">
            <w:pPr>
              <w:pStyle w:val="In-tableHeading"/>
              <w:keepLines/>
              <w:jc w:val="center"/>
            </w:pPr>
            <w:r w:rsidRPr="0042126D">
              <w:t>IAT</w:t>
            </w:r>
          </w:p>
          <w:p w14:paraId="28C527E3" w14:textId="77777777" w:rsidR="008B7558" w:rsidRPr="0042126D" w:rsidRDefault="008B7558" w:rsidP="003926B6">
            <w:pPr>
              <w:pStyle w:val="In-tableHeading"/>
              <w:keepLines/>
              <w:jc w:val="center"/>
            </w:pPr>
            <w:r w:rsidRPr="0042126D">
              <w:t>N = 117</w:t>
            </w:r>
          </w:p>
        </w:tc>
        <w:tc>
          <w:tcPr>
            <w:tcW w:w="1585" w:type="pct"/>
            <w:vAlign w:val="center"/>
          </w:tcPr>
          <w:p w14:paraId="2E97F141" w14:textId="01E73138" w:rsidR="008B7558" w:rsidRPr="0042126D" w:rsidRDefault="008B7558" w:rsidP="003926B6">
            <w:pPr>
              <w:pStyle w:val="In-tableHeading"/>
              <w:keepLines/>
              <w:jc w:val="center"/>
            </w:pPr>
            <w:r w:rsidRPr="0042126D">
              <w:t xml:space="preserve">Adjusted </w:t>
            </w:r>
            <w:r w:rsidR="00EB7874" w:rsidRPr="0042126D">
              <w:t>d</w:t>
            </w:r>
            <w:r w:rsidRPr="0042126D">
              <w:t xml:space="preserve">ifference in </w:t>
            </w:r>
            <w:r w:rsidR="00EB7874" w:rsidRPr="0042126D">
              <w:t>p</w:t>
            </w:r>
            <w:r w:rsidRPr="0042126D">
              <w:t xml:space="preserve">roportion </w:t>
            </w:r>
            <w:r w:rsidR="00EB7874" w:rsidRPr="0042126D">
              <w:t>r</w:t>
            </w:r>
            <w:r w:rsidRPr="0042126D">
              <w:t>esponding (95% CI)</w:t>
            </w:r>
            <w:r w:rsidR="00590DDE" w:rsidRPr="0042126D">
              <w:rPr>
                <w:vertAlign w:val="superscript"/>
              </w:rPr>
              <w:t>a</w:t>
            </w:r>
          </w:p>
        </w:tc>
        <w:tc>
          <w:tcPr>
            <w:tcW w:w="560" w:type="pct"/>
            <w:vAlign w:val="center"/>
          </w:tcPr>
          <w:p w14:paraId="2161EB74" w14:textId="77777777" w:rsidR="00EB7874" w:rsidRPr="0042126D" w:rsidRDefault="008B7558" w:rsidP="003926B6">
            <w:pPr>
              <w:pStyle w:val="In-tableHeading"/>
              <w:keepLines/>
              <w:jc w:val="center"/>
            </w:pPr>
            <w:r w:rsidRPr="0042126D">
              <w:t xml:space="preserve">HR </w:t>
            </w:r>
          </w:p>
          <w:p w14:paraId="160F1086" w14:textId="1891832C" w:rsidR="008B7558" w:rsidRPr="0042126D" w:rsidRDefault="008B7558" w:rsidP="003926B6">
            <w:pPr>
              <w:pStyle w:val="In-tableHeading"/>
              <w:keepLines/>
              <w:jc w:val="center"/>
            </w:pPr>
            <w:r w:rsidRPr="0042126D">
              <w:t>(95% CI)</w:t>
            </w:r>
          </w:p>
        </w:tc>
      </w:tr>
      <w:tr w:rsidR="00EB7874" w:rsidRPr="0042126D" w14:paraId="27443BEF" w14:textId="77777777" w:rsidTr="0023156F">
        <w:trPr>
          <w:cantSplit/>
        </w:trPr>
        <w:tc>
          <w:tcPr>
            <w:tcW w:w="5000" w:type="pct"/>
            <w:gridSpan w:val="5"/>
            <w:vAlign w:val="center"/>
          </w:tcPr>
          <w:p w14:paraId="3703C909" w14:textId="33814614" w:rsidR="008B7558" w:rsidRPr="0042126D" w:rsidRDefault="008B7558" w:rsidP="003926B6">
            <w:pPr>
              <w:pStyle w:val="In-tableHeading"/>
              <w:keepLines/>
            </w:pPr>
            <w:r w:rsidRPr="0042126D">
              <w:t xml:space="preserve">CMV </w:t>
            </w:r>
            <w:r w:rsidR="003F2CC0">
              <w:t>viraemia</w:t>
            </w:r>
            <w:r w:rsidRPr="0042126D">
              <w:t xml:space="preserve"> clearance at 8 w</w:t>
            </w:r>
            <w:r w:rsidR="00FA2043">
              <w:t>ee</w:t>
            </w:r>
            <w:r w:rsidRPr="0042126D">
              <w:t>k</w:t>
            </w:r>
          </w:p>
        </w:tc>
      </w:tr>
      <w:tr w:rsidR="00EB7874" w:rsidRPr="0042126D" w14:paraId="6AC18ADB" w14:textId="77777777" w:rsidTr="00EB7874">
        <w:trPr>
          <w:cantSplit/>
        </w:trPr>
        <w:tc>
          <w:tcPr>
            <w:tcW w:w="1350" w:type="pct"/>
            <w:vAlign w:val="center"/>
          </w:tcPr>
          <w:p w14:paraId="7FBBF53F" w14:textId="77777777" w:rsidR="008B7558" w:rsidRPr="0042126D" w:rsidRDefault="008B7558" w:rsidP="003926B6">
            <w:pPr>
              <w:pStyle w:val="TableText0"/>
              <w:keepLines/>
            </w:pPr>
            <w:r w:rsidRPr="0042126D">
              <w:t xml:space="preserve"> n (%)</w:t>
            </w:r>
          </w:p>
        </w:tc>
        <w:tc>
          <w:tcPr>
            <w:tcW w:w="793" w:type="pct"/>
            <w:vAlign w:val="center"/>
          </w:tcPr>
          <w:p w14:paraId="68BC5F48" w14:textId="77777777" w:rsidR="008B7558" w:rsidRPr="0042126D" w:rsidRDefault="008B7558" w:rsidP="003926B6">
            <w:pPr>
              <w:pStyle w:val="TableText0"/>
              <w:keepLines/>
              <w:jc w:val="center"/>
            </w:pPr>
            <w:r w:rsidRPr="0042126D">
              <w:t>131 (55.7%)</w:t>
            </w:r>
          </w:p>
        </w:tc>
        <w:tc>
          <w:tcPr>
            <w:tcW w:w="712" w:type="pct"/>
            <w:vAlign w:val="center"/>
          </w:tcPr>
          <w:p w14:paraId="1DA02E7E" w14:textId="77777777" w:rsidR="008B7558" w:rsidRPr="0042126D" w:rsidRDefault="008B7558" w:rsidP="003926B6">
            <w:pPr>
              <w:pStyle w:val="TableText0"/>
              <w:keepLines/>
              <w:jc w:val="center"/>
            </w:pPr>
            <w:r w:rsidRPr="0042126D">
              <w:t>28 (23.9%)</w:t>
            </w:r>
          </w:p>
        </w:tc>
        <w:tc>
          <w:tcPr>
            <w:tcW w:w="1585" w:type="pct"/>
            <w:vAlign w:val="center"/>
          </w:tcPr>
          <w:p w14:paraId="25244961" w14:textId="77777777" w:rsidR="008B7558" w:rsidRPr="0042126D" w:rsidRDefault="008B7558" w:rsidP="003926B6">
            <w:pPr>
              <w:pStyle w:val="TableText0"/>
              <w:keepLines/>
              <w:jc w:val="center"/>
              <w:rPr>
                <w:b/>
                <w:bCs w:val="0"/>
              </w:rPr>
            </w:pPr>
            <w:r w:rsidRPr="0042126D">
              <w:rPr>
                <w:b/>
                <w:bCs w:val="0"/>
              </w:rPr>
              <w:t>32.8 (22.8, 42.7)</w:t>
            </w:r>
          </w:p>
        </w:tc>
        <w:tc>
          <w:tcPr>
            <w:tcW w:w="560" w:type="pct"/>
            <w:vAlign w:val="center"/>
          </w:tcPr>
          <w:p w14:paraId="7C1FCB27" w14:textId="77777777" w:rsidR="008B7558" w:rsidRPr="0042126D" w:rsidRDefault="008B7558" w:rsidP="003926B6">
            <w:pPr>
              <w:pStyle w:val="TableText0"/>
              <w:keepLines/>
              <w:jc w:val="center"/>
            </w:pPr>
            <w:r w:rsidRPr="0042126D">
              <w:t>NR</w:t>
            </w:r>
          </w:p>
        </w:tc>
      </w:tr>
      <w:tr w:rsidR="00EB7874" w:rsidRPr="0042126D" w14:paraId="6F8775B8" w14:textId="77777777" w:rsidTr="0023156F">
        <w:trPr>
          <w:cantSplit/>
        </w:trPr>
        <w:tc>
          <w:tcPr>
            <w:tcW w:w="5000" w:type="pct"/>
            <w:gridSpan w:val="5"/>
            <w:vAlign w:val="center"/>
          </w:tcPr>
          <w:p w14:paraId="1DF8DEC9" w14:textId="0B014FCF" w:rsidR="008B7558" w:rsidRPr="0042126D" w:rsidRDefault="008B7558" w:rsidP="003926B6">
            <w:pPr>
              <w:pStyle w:val="TableText0"/>
              <w:keepLines/>
              <w:rPr>
                <w:b/>
                <w:bCs w:val="0"/>
              </w:rPr>
            </w:pPr>
            <w:r w:rsidRPr="0042126D">
              <w:rPr>
                <w:b/>
                <w:bCs w:val="0"/>
              </w:rPr>
              <w:t xml:space="preserve">CMV </w:t>
            </w:r>
            <w:r w:rsidR="003F2CC0">
              <w:rPr>
                <w:b/>
                <w:bCs w:val="0"/>
              </w:rPr>
              <w:t>viraemia</w:t>
            </w:r>
            <w:r w:rsidRPr="0042126D">
              <w:rPr>
                <w:b/>
                <w:bCs w:val="0"/>
              </w:rPr>
              <w:t xml:space="preserve"> clearance at any time during 8 wk treatment period</w:t>
            </w:r>
          </w:p>
        </w:tc>
      </w:tr>
      <w:tr w:rsidR="00EB7874" w:rsidRPr="0042126D" w14:paraId="2C910E4E" w14:textId="77777777" w:rsidTr="00EB7874">
        <w:trPr>
          <w:cantSplit/>
        </w:trPr>
        <w:tc>
          <w:tcPr>
            <w:tcW w:w="1350" w:type="pct"/>
            <w:vAlign w:val="center"/>
          </w:tcPr>
          <w:p w14:paraId="3ABC1698" w14:textId="77777777" w:rsidR="008B7558" w:rsidRPr="0042126D" w:rsidRDefault="008B7558" w:rsidP="003926B6">
            <w:pPr>
              <w:pStyle w:val="TableText0"/>
              <w:keepLines/>
            </w:pPr>
            <w:r w:rsidRPr="0042126D">
              <w:t>n (%)</w:t>
            </w:r>
          </w:p>
        </w:tc>
        <w:tc>
          <w:tcPr>
            <w:tcW w:w="793" w:type="pct"/>
            <w:vAlign w:val="center"/>
          </w:tcPr>
          <w:p w14:paraId="5CBB9DB5" w14:textId="77777777" w:rsidR="008B7558" w:rsidRPr="0042126D" w:rsidRDefault="008B7558" w:rsidP="003926B6">
            <w:pPr>
              <w:pStyle w:val="TableText0"/>
              <w:keepLines/>
              <w:jc w:val="center"/>
            </w:pPr>
            <w:r w:rsidRPr="0042126D">
              <w:t>174 (74.0%)</w:t>
            </w:r>
          </w:p>
        </w:tc>
        <w:tc>
          <w:tcPr>
            <w:tcW w:w="712" w:type="pct"/>
            <w:vAlign w:val="center"/>
          </w:tcPr>
          <w:p w14:paraId="249E1673" w14:textId="77777777" w:rsidR="008B7558" w:rsidRPr="0042126D" w:rsidRDefault="008B7558" w:rsidP="003926B6">
            <w:pPr>
              <w:pStyle w:val="TableText0"/>
              <w:keepLines/>
              <w:jc w:val="center"/>
            </w:pPr>
            <w:r w:rsidRPr="0042126D">
              <w:t>61 (52.1%)</w:t>
            </w:r>
          </w:p>
        </w:tc>
        <w:tc>
          <w:tcPr>
            <w:tcW w:w="1585" w:type="pct"/>
            <w:vAlign w:val="center"/>
          </w:tcPr>
          <w:p w14:paraId="5FD0109E" w14:textId="77777777" w:rsidR="008B7558" w:rsidRPr="0042126D" w:rsidRDefault="008B7558" w:rsidP="003926B6">
            <w:pPr>
              <w:pStyle w:val="TableText0"/>
              <w:keepLines/>
              <w:jc w:val="center"/>
              <w:rPr>
                <w:b/>
                <w:bCs w:val="0"/>
              </w:rPr>
            </w:pPr>
            <w:r w:rsidRPr="0042126D">
              <w:rPr>
                <w:b/>
                <w:bCs w:val="0"/>
              </w:rPr>
              <w:t>23.6 (13.2, 33.9)</w:t>
            </w:r>
          </w:p>
        </w:tc>
        <w:tc>
          <w:tcPr>
            <w:tcW w:w="560" w:type="pct"/>
            <w:vAlign w:val="center"/>
          </w:tcPr>
          <w:p w14:paraId="4C1A6B3E" w14:textId="57F8CBDE" w:rsidR="008B7558" w:rsidRPr="0042126D" w:rsidRDefault="006C36CC" w:rsidP="003926B6">
            <w:pPr>
              <w:pStyle w:val="TableText0"/>
              <w:keepLines/>
              <w:jc w:val="center"/>
            </w:pPr>
            <w:r>
              <w:t>NR</w:t>
            </w:r>
          </w:p>
        </w:tc>
      </w:tr>
      <w:tr w:rsidR="00EB7874" w:rsidRPr="0042126D" w14:paraId="1AB73DEF" w14:textId="77777777" w:rsidTr="0023156F">
        <w:trPr>
          <w:cantSplit/>
        </w:trPr>
        <w:tc>
          <w:tcPr>
            <w:tcW w:w="5000" w:type="pct"/>
            <w:gridSpan w:val="5"/>
            <w:vAlign w:val="center"/>
          </w:tcPr>
          <w:p w14:paraId="53DE8593" w14:textId="782B7E63" w:rsidR="008B7558" w:rsidRPr="0042126D" w:rsidRDefault="008B7558" w:rsidP="003926B6">
            <w:pPr>
              <w:pStyle w:val="In-tableHeading"/>
              <w:keepLines/>
            </w:pPr>
            <w:r w:rsidRPr="0042126D">
              <w:t xml:space="preserve">CMV </w:t>
            </w:r>
            <w:r w:rsidR="003F2CC0">
              <w:t>viraemia</w:t>
            </w:r>
            <w:r w:rsidRPr="0042126D">
              <w:t xml:space="preserve"> clearance and symptom resolution</w:t>
            </w:r>
            <w:r w:rsidR="00DA1328" w:rsidRPr="0042126D">
              <w:t xml:space="preserve"> or no new symptoms</w:t>
            </w:r>
            <w:r w:rsidRPr="0042126D">
              <w:t xml:space="preserve"> at 8 w</w:t>
            </w:r>
            <w:r w:rsidR="00FA2043">
              <w:t>ee</w:t>
            </w:r>
            <w:r w:rsidRPr="0042126D">
              <w:t>k and 16 w</w:t>
            </w:r>
            <w:r w:rsidR="00FA2043">
              <w:t>ee</w:t>
            </w:r>
            <w:r w:rsidRPr="0042126D">
              <w:t>k</w:t>
            </w:r>
          </w:p>
        </w:tc>
      </w:tr>
      <w:tr w:rsidR="00EB7874" w:rsidRPr="0042126D" w14:paraId="738EFAF0" w14:textId="77777777" w:rsidTr="00EB7874">
        <w:trPr>
          <w:cantSplit/>
        </w:trPr>
        <w:tc>
          <w:tcPr>
            <w:tcW w:w="1350" w:type="pct"/>
            <w:vAlign w:val="center"/>
          </w:tcPr>
          <w:p w14:paraId="02CFB206" w14:textId="77777777" w:rsidR="008B7558" w:rsidRPr="0042126D" w:rsidRDefault="008B7558" w:rsidP="003926B6">
            <w:pPr>
              <w:pStyle w:val="TableText0"/>
              <w:keepLines/>
            </w:pPr>
            <w:r w:rsidRPr="0042126D">
              <w:t>n (%)</w:t>
            </w:r>
          </w:p>
        </w:tc>
        <w:tc>
          <w:tcPr>
            <w:tcW w:w="793" w:type="pct"/>
            <w:vAlign w:val="center"/>
          </w:tcPr>
          <w:p w14:paraId="74ED4C7E" w14:textId="77777777" w:rsidR="008B7558" w:rsidRPr="0042126D" w:rsidRDefault="008B7558" w:rsidP="003926B6">
            <w:pPr>
              <w:pStyle w:val="TableText0"/>
              <w:keepLines/>
              <w:jc w:val="center"/>
            </w:pPr>
            <w:r w:rsidRPr="0042126D">
              <w:t>44 (18.7%)</w:t>
            </w:r>
          </w:p>
        </w:tc>
        <w:tc>
          <w:tcPr>
            <w:tcW w:w="712" w:type="pct"/>
            <w:vAlign w:val="center"/>
          </w:tcPr>
          <w:p w14:paraId="4E9C8672" w14:textId="77777777" w:rsidR="008B7558" w:rsidRPr="0042126D" w:rsidRDefault="008B7558" w:rsidP="003926B6">
            <w:pPr>
              <w:pStyle w:val="TableText0"/>
              <w:keepLines/>
              <w:jc w:val="center"/>
            </w:pPr>
            <w:r w:rsidRPr="0042126D">
              <w:t>12 (10.3%)</w:t>
            </w:r>
          </w:p>
        </w:tc>
        <w:tc>
          <w:tcPr>
            <w:tcW w:w="1585" w:type="pct"/>
            <w:vAlign w:val="center"/>
          </w:tcPr>
          <w:p w14:paraId="65DE99CE" w14:textId="2C8466D5" w:rsidR="008B7558" w:rsidRPr="0042126D" w:rsidRDefault="00DA17B5" w:rsidP="003926B6">
            <w:pPr>
              <w:pStyle w:val="TableText0"/>
              <w:keepLines/>
              <w:jc w:val="center"/>
              <w:rPr>
                <w:b/>
                <w:bCs w:val="0"/>
              </w:rPr>
            </w:pPr>
            <w:r w:rsidRPr="0042126D">
              <w:rPr>
                <w:b/>
                <w:bCs w:val="0"/>
              </w:rPr>
              <w:t>9</w:t>
            </w:r>
            <w:r w:rsidR="008B7558" w:rsidRPr="0042126D">
              <w:rPr>
                <w:b/>
                <w:bCs w:val="0"/>
              </w:rPr>
              <w:t>.5 (</w:t>
            </w:r>
            <w:r w:rsidRPr="0042126D">
              <w:rPr>
                <w:b/>
                <w:bCs w:val="0"/>
              </w:rPr>
              <w:t>2.0</w:t>
            </w:r>
            <w:r w:rsidR="008B7558" w:rsidRPr="0042126D">
              <w:rPr>
                <w:b/>
                <w:bCs w:val="0"/>
              </w:rPr>
              <w:t>, 1</w:t>
            </w:r>
            <w:r w:rsidRPr="0042126D">
              <w:rPr>
                <w:b/>
                <w:bCs w:val="0"/>
              </w:rPr>
              <w:t>6.9)</w:t>
            </w:r>
          </w:p>
        </w:tc>
        <w:tc>
          <w:tcPr>
            <w:tcW w:w="560" w:type="pct"/>
            <w:vAlign w:val="center"/>
          </w:tcPr>
          <w:p w14:paraId="27BF5E3C" w14:textId="77777777" w:rsidR="008B7558" w:rsidRPr="0042126D" w:rsidRDefault="008B7558" w:rsidP="003926B6">
            <w:pPr>
              <w:pStyle w:val="TableText0"/>
              <w:keepLines/>
              <w:jc w:val="center"/>
            </w:pPr>
            <w:r w:rsidRPr="0042126D">
              <w:t>NR</w:t>
            </w:r>
          </w:p>
        </w:tc>
      </w:tr>
      <w:tr w:rsidR="00A9764C" w:rsidRPr="0042126D" w14:paraId="6A4A1E77" w14:textId="77777777" w:rsidTr="00293990">
        <w:trPr>
          <w:cantSplit/>
        </w:trPr>
        <w:tc>
          <w:tcPr>
            <w:tcW w:w="5000" w:type="pct"/>
            <w:gridSpan w:val="5"/>
            <w:vAlign w:val="center"/>
          </w:tcPr>
          <w:p w14:paraId="3AC7B3DF" w14:textId="635A8509" w:rsidR="00293990" w:rsidRPr="0042126D" w:rsidRDefault="001847F5" w:rsidP="003926B6">
            <w:pPr>
              <w:pStyle w:val="TableText0"/>
              <w:keepLines/>
              <w:rPr>
                <w:b/>
                <w:bCs w:val="0"/>
              </w:rPr>
            </w:pPr>
            <w:r w:rsidRPr="0042126D">
              <w:rPr>
                <w:b/>
                <w:bCs w:val="0"/>
              </w:rPr>
              <w:t>I</w:t>
            </w:r>
            <w:r w:rsidR="00293990" w:rsidRPr="0042126D">
              <w:rPr>
                <w:b/>
                <w:bCs w:val="0"/>
              </w:rPr>
              <w:t xml:space="preserve">mprovement </w:t>
            </w:r>
            <w:r w:rsidRPr="0042126D">
              <w:rPr>
                <w:b/>
                <w:bCs w:val="0"/>
              </w:rPr>
              <w:t xml:space="preserve">or resolution </w:t>
            </w:r>
            <w:r w:rsidR="00293990" w:rsidRPr="0042126D">
              <w:rPr>
                <w:b/>
                <w:bCs w:val="0"/>
              </w:rPr>
              <w:t>of symptom</w:t>
            </w:r>
            <w:r w:rsidRPr="0042126D">
              <w:rPr>
                <w:b/>
                <w:bCs w:val="0"/>
              </w:rPr>
              <w:t>s of</w:t>
            </w:r>
            <w:r w:rsidR="00293990" w:rsidRPr="0042126D">
              <w:rPr>
                <w:b/>
                <w:bCs w:val="0"/>
              </w:rPr>
              <w:t xml:space="preserve"> CMV disease </w:t>
            </w:r>
            <w:r w:rsidRPr="0042126D">
              <w:rPr>
                <w:b/>
                <w:bCs w:val="0"/>
              </w:rPr>
              <w:t xml:space="preserve">at week 8 in patients with </w:t>
            </w:r>
            <w:r w:rsidR="00DA1328" w:rsidRPr="0042126D">
              <w:rPr>
                <w:b/>
                <w:bCs w:val="0"/>
              </w:rPr>
              <w:t>symptoms</w:t>
            </w:r>
            <w:r w:rsidRPr="0042126D">
              <w:rPr>
                <w:b/>
                <w:bCs w:val="0"/>
              </w:rPr>
              <w:t xml:space="preserve"> at baseline</w:t>
            </w:r>
          </w:p>
        </w:tc>
      </w:tr>
      <w:tr w:rsidR="00A9764C" w:rsidRPr="0042126D" w14:paraId="2688D632" w14:textId="77777777" w:rsidTr="00EB7874">
        <w:trPr>
          <w:cantSplit/>
        </w:trPr>
        <w:tc>
          <w:tcPr>
            <w:tcW w:w="1350" w:type="pct"/>
            <w:vAlign w:val="center"/>
          </w:tcPr>
          <w:p w14:paraId="4A59FFBA" w14:textId="2410C692" w:rsidR="00293990" w:rsidRPr="0042126D" w:rsidRDefault="00293990" w:rsidP="003926B6">
            <w:pPr>
              <w:pStyle w:val="TableText0"/>
              <w:keepLines/>
            </w:pPr>
            <w:r w:rsidRPr="0042126D">
              <w:t>n/N (%)</w:t>
            </w:r>
          </w:p>
        </w:tc>
        <w:tc>
          <w:tcPr>
            <w:tcW w:w="793" w:type="pct"/>
            <w:vAlign w:val="center"/>
          </w:tcPr>
          <w:p w14:paraId="79B44E78" w14:textId="76C5BC59" w:rsidR="00293990" w:rsidRPr="0042126D" w:rsidRDefault="00293990" w:rsidP="003926B6">
            <w:pPr>
              <w:pStyle w:val="TableText0"/>
              <w:keepLines/>
              <w:jc w:val="center"/>
            </w:pPr>
            <w:r w:rsidRPr="0042126D">
              <w:t>16/21 (76.2%)</w:t>
            </w:r>
          </w:p>
        </w:tc>
        <w:tc>
          <w:tcPr>
            <w:tcW w:w="712" w:type="pct"/>
            <w:vAlign w:val="center"/>
          </w:tcPr>
          <w:p w14:paraId="153351E0" w14:textId="04351B86" w:rsidR="00293990" w:rsidRPr="0042126D" w:rsidRDefault="00293990" w:rsidP="003926B6">
            <w:pPr>
              <w:pStyle w:val="TableText0"/>
              <w:keepLines/>
              <w:jc w:val="center"/>
            </w:pPr>
            <w:r w:rsidRPr="0042126D">
              <w:t>5/8 (62.1%)</w:t>
            </w:r>
          </w:p>
        </w:tc>
        <w:tc>
          <w:tcPr>
            <w:tcW w:w="1585" w:type="pct"/>
            <w:vAlign w:val="center"/>
          </w:tcPr>
          <w:p w14:paraId="6CD8B0A6" w14:textId="541777EE" w:rsidR="00293990" w:rsidRPr="0042126D" w:rsidRDefault="00293990" w:rsidP="003926B6">
            <w:pPr>
              <w:pStyle w:val="TableText0"/>
              <w:keepLines/>
              <w:jc w:val="center"/>
            </w:pPr>
            <w:r w:rsidRPr="0042126D">
              <w:t>NR</w:t>
            </w:r>
          </w:p>
        </w:tc>
        <w:tc>
          <w:tcPr>
            <w:tcW w:w="560" w:type="pct"/>
            <w:vAlign w:val="center"/>
          </w:tcPr>
          <w:p w14:paraId="4FFDCBF0" w14:textId="68A6DE60" w:rsidR="00293990" w:rsidRPr="0042126D" w:rsidRDefault="00293990" w:rsidP="003926B6">
            <w:pPr>
              <w:pStyle w:val="TableText0"/>
              <w:keepLines/>
              <w:jc w:val="center"/>
            </w:pPr>
            <w:r w:rsidRPr="0042126D">
              <w:t>NR</w:t>
            </w:r>
          </w:p>
        </w:tc>
      </w:tr>
      <w:tr w:rsidR="00A9764C" w:rsidRPr="0042126D" w14:paraId="6434A0F8" w14:textId="77777777" w:rsidTr="0023156F">
        <w:trPr>
          <w:cantSplit/>
        </w:trPr>
        <w:tc>
          <w:tcPr>
            <w:tcW w:w="5000" w:type="pct"/>
            <w:gridSpan w:val="5"/>
            <w:vAlign w:val="center"/>
          </w:tcPr>
          <w:p w14:paraId="047F3DB4" w14:textId="72B9B5E2" w:rsidR="0023156F" w:rsidRPr="0042126D" w:rsidRDefault="0023156F" w:rsidP="003926B6">
            <w:pPr>
              <w:pStyle w:val="TableText0"/>
              <w:keepLines/>
              <w:rPr>
                <w:b/>
                <w:bCs w:val="0"/>
              </w:rPr>
            </w:pPr>
            <w:r w:rsidRPr="0042126D">
              <w:rPr>
                <w:b/>
                <w:bCs w:val="0"/>
              </w:rPr>
              <w:t xml:space="preserve">New onset symptomatic CMV disease </w:t>
            </w:r>
            <w:r w:rsidR="001847F5" w:rsidRPr="0042126D">
              <w:rPr>
                <w:b/>
                <w:bCs w:val="0"/>
              </w:rPr>
              <w:t xml:space="preserve">to week 20 </w:t>
            </w:r>
            <w:r w:rsidRPr="0042126D">
              <w:rPr>
                <w:b/>
                <w:bCs w:val="0"/>
              </w:rPr>
              <w:t>in patients asymptomatic at baseline</w:t>
            </w:r>
          </w:p>
        </w:tc>
      </w:tr>
      <w:tr w:rsidR="00A9764C" w:rsidRPr="0042126D" w14:paraId="418E0805" w14:textId="77777777" w:rsidTr="00EB7874">
        <w:trPr>
          <w:cantSplit/>
        </w:trPr>
        <w:tc>
          <w:tcPr>
            <w:tcW w:w="1350" w:type="pct"/>
            <w:vAlign w:val="center"/>
          </w:tcPr>
          <w:p w14:paraId="0D51E185" w14:textId="4A50FB5C" w:rsidR="0023156F" w:rsidRPr="0042126D" w:rsidRDefault="0023156F" w:rsidP="003926B6">
            <w:pPr>
              <w:pStyle w:val="TableText0"/>
              <w:keepLines/>
            </w:pPr>
            <w:r w:rsidRPr="0042126D">
              <w:t>n (%)</w:t>
            </w:r>
          </w:p>
        </w:tc>
        <w:tc>
          <w:tcPr>
            <w:tcW w:w="793" w:type="pct"/>
            <w:vAlign w:val="center"/>
          </w:tcPr>
          <w:p w14:paraId="19455D39" w14:textId="427A7FEA" w:rsidR="0023156F" w:rsidRPr="0042126D" w:rsidRDefault="0023156F" w:rsidP="003926B6">
            <w:pPr>
              <w:pStyle w:val="TableText0"/>
              <w:keepLines/>
              <w:jc w:val="center"/>
            </w:pPr>
            <w:r w:rsidRPr="0042126D">
              <w:t>14 (6.0%)</w:t>
            </w:r>
          </w:p>
        </w:tc>
        <w:tc>
          <w:tcPr>
            <w:tcW w:w="712" w:type="pct"/>
            <w:vAlign w:val="center"/>
          </w:tcPr>
          <w:p w14:paraId="15160623" w14:textId="6E8F3921" w:rsidR="0023156F" w:rsidRPr="0042126D" w:rsidRDefault="0023156F" w:rsidP="003926B6">
            <w:pPr>
              <w:pStyle w:val="TableText0"/>
              <w:keepLines/>
              <w:jc w:val="center"/>
            </w:pPr>
            <w:r w:rsidRPr="0042126D">
              <w:t>7 (6.0%)</w:t>
            </w:r>
          </w:p>
        </w:tc>
        <w:tc>
          <w:tcPr>
            <w:tcW w:w="1585" w:type="pct"/>
            <w:vAlign w:val="center"/>
          </w:tcPr>
          <w:p w14:paraId="08F6298F" w14:textId="3850EF7E" w:rsidR="0023156F" w:rsidRPr="0042126D" w:rsidRDefault="0023156F" w:rsidP="003926B6">
            <w:pPr>
              <w:pStyle w:val="TableText0"/>
              <w:keepLines/>
              <w:jc w:val="center"/>
            </w:pPr>
            <w:r w:rsidRPr="0042126D">
              <w:t>NR</w:t>
            </w:r>
          </w:p>
        </w:tc>
        <w:tc>
          <w:tcPr>
            <w:tcW w:w="560" w:type="pct"/>
            <w:vAlign w:val="center"/>
          </w:tcPr>
          <w:p w14:paraId="66A5194E" w14:textId="522F2A82" w:rsidR="0023156F" w:rsidRPr="0042126D" w:rsidRDefault="0023156F" w:rsidP="003926B6">
            <w:pPr>
              <w:pStyle w:val="TableText0"/>
              <w:keepLines/>
              <w:jc w:val="center"/>
            </w:pPr>
            <w:r w:rsidRPr="0042126D">
              <w:t>NR</w:t>
            </w:r>
          </w:p>
        </w:tc>
      </w:tr>
      <w:tr w:rsidR="00EB7874" w:rsidRPr="0042126D" w14:paraId="0C1124CB" w14:textId="77777777" w:rsidTr="0023156F">
        <w:trPr>
          <w:cantSplit/>
        </w:trPr>
        <w:tc>
          <w:tcPr>
            <w:tcW w:w="5000" w:type="pct"/>
            <w:gridSpan w:val="5"/>
            <w:vAlign w:val="center"/>
          </w:tcPr>
          <w:p w14:paraId="4F3DAC8B" w14:textId="23FB03AA" w:rsidR="008B7558" w:rsidRPr="0042126D" w:rsidRDefault="008B7558" w:rsidP="003926B6">
            <w:pPr>
              <w:pStyle w:val="TableText0"/>
              <w:keepLines/>
              <w:rPr>
                <w:b/>
                <w:bCs w:val="0"/>
              </w:rPr>
            </w:pPr>
            <w:r w:rsidRPr="0042126D">
              <w:rPr>
                <w:b/>
                <w:bCs w:val="0"/>
              </w:rPr>
              <w:t xml:space="preserve">Recurrence of CMV </w:t>
            </w:r>
            <w:r w:rsidR="003F2CC0">
              <w:rPr>
                <w:b/>
                <w:bCs w:val="0"/>
              </w:rPr>
              <w:t>viraemia</w:t>
            </w:r>
            <w:r w:rsidRPr="0042126D">
              <w:rPr>
                <w:b/>
                <w:bCs w:val="0"/>
              </w:rPr>
              <w:t xml:space="preserve"> after clearance</w:t>
            </w:r>
          </w:p>
        </w:tc>
      </w:tr>
      <w:tr w:rsidR="00EB7874" w:rsidRPr="0042126D" w14:paraId="3E975F29" w14:textId="77777777" w:rsidTr="00EB7874">
        <w:trPr>
          <w:cantSplit/>
        </w:trPr>
        <w:tc>
          <w:tcPr>
            <w:tcW w:w="1350" w:type="pct"/>
          </w:tcPr>
          <w:p w14:paraId="08BD407D" w14:textId="019D79C3" w:rsidR="008B7558" w:rsidRPr="0042126D" w:rsidRDefault="008B7558" w:rsidP="003926B6">
            <w:pPr>
              <w:pStyle w:val="TableText0"/>
              <w:keepLines/>
            </w:pPr>
            <w:r w:rsidRPr="0042126D">
              <w:t>During 8 w</w:t>
            </w:r>
            <w:r w:rsidR="00AB45F5">
              <w:t>ee</w:t>
            </w:r>
            <w:r w:rsidRPr="0042126D">
              <w:t>k treatment period, n/N (%)</w:t>
            </w:r>
            <w:r w:rsidR="00590DDE" w:rsidRPr="0042126D">
              <w:rPr>
                <w:vertAlign w:val="superscript"/>
              </w:rPr>
              <w:t>b</w:t>
            </w:r>
          </w:p>
        </w:tc>
        <w:tc>
          <w:tcPr>
            <w:tcW w:w="793" w:type="pct"/>
            <w:vAlign w:val="center"/>
          </w:tcPr>
          <w:p w14:paraId="5F5FAC7D" w14:textId="77777777" w:rsidR="008B7558" w:rsidRPr="0042126D" w:rsidRDefault="008B7558" w:rsidP="003926B6">
            <w:pPr>
              <w:pStyle w:val="TableText0"/>
              <w:keepLines/>
              <w:jc w:val="center"/>
              <w:rPr>
                <w:rFonts w:cs="Arial"/>
              </w:rPr>
            </w:pPr>
            <w:r w:rsidRPr="0042126D">
              <w:rPr>
                <w:rFonts w:cs="Arial"/>
              </w:rPr>
              <w:t>33/174 (19.0%)</w:t>
            </w:r>
          </w:p>
        </w:tc>
        <w:tc>
          <w:tcPr>
            <w:tcW w:w="712" w:type="pct"/>
            <w:vAlign w:val="center"/>
          </w:tcPr>
          <w:p w14:paraId="74691046" w14:textId="77777777" w:rsidR="008B7558" w:rsidRPr="0042126D" w:rsidRDefault="008B7558" w:rsidP="003926B6">
            <w:pPr>
              <w:pStyle w:val="TableText0"/>
              <w:keepLines/>
              <w:jc w:val="center"/>
              <w:rPr>
                <w:rFonts w:cs="Arial"/>
              </w:rPr>
            </w:pPr>
            <w:r w:rsidRPr="0042126D">
              <w:rPr>
                <w:rFonts w:cs="Arial"/>
              </w:rPr>
              <w:t>8/61 (13.1%)</w:t>
            </w:r>
          </w:p>
        </w:tc>
        <w:tc>
          <w:tcPr>
            <w:tcW w:w="1585" w:type="pct"/>
            <w:vAlign w:val="center"/>
          </w:tcPr>
          <w:p w14:paraId="7DA2379A" w14:textId="77777777" w:rsidR="008B7558" w:rsidRPr="0042126D" w:rsidRDefault="008B7558" w:rsidP="003926B6">
            <w:pPr>
              <w:pStyle w:val="TableText0"/>
              <w:keepLines/>
              <w:jc w:val="center"/>
              <w:rPr>
                <w:rFonts w:cs="Arial"/>
              </w:rPr>
            </w:pPr>
            <w:r w:rsidRPr="0042126D">
              <w:rPr>
                <w:rFonts w:cs="Arial"/>
              </w:rPr>
              <w:t>NR</w:t>
            </w:r>
          </w:p>
        </w:tc>
        <w:tc>
          <w:tcPr>
            <w:tcW w:w="560" w:type="pct"/>
            <w:vAlign w:val="center"/>
          </w:tcPr>
          <w:p w14:paraId="533BF79F" w14:textId="77777777" w:rsidR="008B7558" w:rsidRPr="0042126D" w:rsidRDefault="008B7558" w:rsidP="003926B6">
            <w:pPr>
              <w:pStyle w:val="TableText0"/>
              <w:keepLines/>
              <w:jc w:val="center"/>
              <w:rPr>
                <w:rFonts w:cs="Arial"/>
              </w:rPr>
            </w:pPr>
            <w:r w:rsidRPr="0042126D">
              <w:rPr>
                <w:rFonts w:cs="Arial"/>
              </w:rPr>
              <w:t>NR</w:t>
            </w:r>
          </w:p>
        </w:tc>
      </w:tr>
      <w:tr w:rsidR="00EB7874" w:rsidRPr="0042126D" w14:paraId="4964CBD3" w14:textId="77777777" w:rsidTr="00EB7874">
        <w:trPr>
          <w:cantSplit/>
        </w:trPr>
        <w:tc>
          <w:tcPr>
            <w:tcW w:w="1350" w:type="pct"/>
          </w:tcPr>
          <w:p w14:paraId="502A7DE9" w14:textId="2F4C2F7C" w:rsidR="008B7558" w:rsidRPr="0042126D" w:rsidRDefault="008B7558" w:rsidP="003926B6">
            <w:pPr>
              <w:pStyle w:val="TableText0"/>
              <w:keepLines/>
            </w:pPr>
            <w:r w:rsidRPr="0042126D">
              <w:t>After 8 w</w:t>
            </w:r>
            <w:r w:rsidR="00AB45F5">
              <w:t>ee</w:t>
            </w:r>
            <w:r w:rsidRPr="0042126D">
              <w:t>k treatment period, n/N (%)</w:t>
            </w:r>
            <w:r w:rsidR="00590DDE" w:rsidRPr="0042126D">
              <w:rPr>
                <w:vertAlign w:val="superscript"/>
              </w:rPr>
              <w:t>b</w:t>
            </w:r>
          </w:p>
        </w:tc>
        <w:tc>
          <w:tcPr>
            <w:tcW w:w="793" w:type="pct"/>
            <w:vAlign w:val="center"/>
          </w:tcPr>
          <w:p w14:paraId="092D4191" w14:textId="77777777" w:rsidR="008B7558" w:rsidRPr="0042126D" w:rsidRDefault="008B7558" w:rsidP="003926B6">
            <w:pPr>
              <w:pStyle w:val="TableText0"/>
              <w:keepLines/>
              <w:jc w:val="center"/>
              <w:rPr>
                <w:rFonts w:cs="Arial"/>
              </w:rPr>
            </w:pPr>
            <w:r w:rsidRPr="0042126D">
              <w:rPr>
                <w:rFonts w:cs="Arial"/>
              </w:rPr>
              <w:t>71/184 (38.6%)</w:t>
            </w:r>
          </w:p>
        </w:tc>
        <w:tc>
          <w:tcPr>
            <w:tcW w:w="712" w:type="pct"/>
            <w:vAlign w:val="center"/>
          </w:tcPr>
          <w:p w14:paraId="28391D10" w14:textId="77777777" w:rsidR="008B7558" w:rsidRPr="0042126D" w:rsidRDefault="008B7558" w:rsidP="003926B6">
            <w:pPr>
              <w:pStyle w:val="TableText0"/>
              <w:keepLines/>
              <w:jc w:val="center"/>
              <w:rPr>
                <w:rFonts w:cs="Arial"/>
              </w:rPr>
            </w:pPr>
            <w:r w:rsidRPr="0042126D">
              <w:rPr>
                <w:rFonts w:cs="Arial"/>
              </w:rPr>
              <w:t>14/65 (21.5%)</w:t>
            </w:r>
          </w:p>
        </w:tc>
        <w:tc>
          <w:tcPr>
            <w:tcW w:w="1585" w:type="pct"/>
            <w:vAlign w:val="center"/>
          </w:tcPr>
          <w:p w14:paraId="321CA9EF" w14:textId="77777777" w:rsidR="008B7558" w:rsidRPr="0042126D" w:rsidRDefault="008B7558" w:rsidP="003926B6">
            <w:pPr>
              <w:pStyle w:val="TableText0"/>
              <w:keepLines/>
              <w:jc w:val="center"/>
              <w:rPr>
                <w:rFonts w:cs="Arial"/>
              </w:rPr>
            </w:pPr>
            <w:r w:rsidRPr="0042126D">
              <w:rPr>
                <w:rFonts w:cs="Arial"/>
              </w:rPr>
              <w:t>NR</w:t>
            </w:r>
          </w:p>
        </w:tc>
        <w:tc>
          <w:tcPr>
            <w:tcW w:w="560" w:type="pct"/>
            <w:vAlign w:val="center"/>
          </w:tcPr>
          <w:p w14:paraId="10AFF55E" w14:textId="77777777" w:rsidR="008B7558" w:rsidRPr="0042126D" w:rsidRDefault="008B7558" w:rsidP="003926B6">
            <w:pPr>
              <w:pStyle w:val="TableText0"/>
              <w:keepLines/>
              <w:jc w:val="center"/>
              <w:rPr>
                <w:rFonts w:cs="Arial"/>
              </w:rPr>
            </w:pPr>
            <w:r w:rsidRPr="0042126D">
              <w:rPr>
                <w:rFonts w:cs="Arial"/>
              </w:rPr>
              <w:t>NR</w:t>
            </w:r>
          </w:p>
        </w:tc>
      </w:tr>
      <w:tr w:rsidR="00EB7874" w:rsidRPr="0042126D" w14:paraId="76D550D3" w14:textId="77777777" w:rsidTr="0023156F">
        <w:trPr>
          <w:cantSplit/>
        </w:trPr>
        <w:tc>
          <w:tcPr>
            <w:tcW w:w="5000" w:type="pct"/>
            <w:gridSpan w:val="5"/>
          </w:tcPr>
          <w:p w14:paraId="3D51667B" w14:textId="477048CA" w:rsidR="00966F4E" w:rsidRPr="0042126D" w:rsidRDefault="00966F4E" w:rsidP="003926B6">
            <w:pPr>
              <w:pStyle w:val="TableText0"/>
              <w:keepLines/>
              <w:rPr>
                <w:rFonts w:cs="Arial"/>
              </w:rPr>
            </w:pPr>
            <w:r w:rsidRPr="0042126D">
              <w:rPr>
                <w:rFonts w:cs="Arial"/>
                <w:b/>
                <w:bCs w:val="0"/>
              </w:rPr>
              <w:t xml:space="preserve">CMV </w:t>
            </w:r>
            <w:r w:rsidR="003F2CC0">
              <w:rPr>
                <w:rFonts w:cs="Arial"/>
                <w:b/>
                <w:bCs w:val="0"/>
              </w:rPr>
              <w:t>viraemia</w:t>
            </w:r>
            <w:r w:rsidRPr="0042126D">
              <w:rPr>
                <w:rFonts w:cs="Arial"/>
                <w:b/>
                <w:bCs w:val="0"/>
              </w:rPr>
              <w:t xml:space="preserve"> clearance at 8 w</w:t>
            </w:r>
            <w:r w:rsidR="00FA2043">
              <w:rPr>
                <w:rFonts w:cs="Arial"/>
                <w:b/>
                <w:bCs w:val="0"/>
              </w:rPr>
              <w:t>ee</w:t>
            </w:r>
            <w:r w:rsidRPr="0042126D">
              <w:rPr>
                <w:rFonts w:cs="Arial"/>
                <w:b/>
                <w:bCs w:val="0"/>
              </w:rPr>
              <w:t>k by baseline resistance to ganciclovir, foscarnet, or cidofovir</w:t>
            </w:r>
          </w:p>
        </w:tc>
      </w:tr>
      <w:tr w:rsidR="00EB7874" w:rsidRPr="0042126D" w14:paraId="0549AB21" w14:textId="77777777" w:rsidTr="00EB7874">
        <w:trPr>
          <w:cantSplit/>
        </w:trPr>
        <w:tc>
          <w:tcPr>
            <w:tcW w:w="1350" w:type="pct"/>
          </w:tcPr>
          <w:p w14:paraId="2AA2A976" w14:textId="4494C2A0" w:rsidR="00966F4E" w:rsidRPr="0042126D" w:rsidRDefault="00966F4E" w:rsidP="003926B6">
            <w:pPr>
              <w:pStyle w:val="TableText0"/>
              <w:keepLines/>
            </w:pPr>
            <w:r w:rsidRPr="0042126D">
              <w:t>Patients with resistant CMV responding, n/N (%)</w:t>
            </w:r>
          </w:p>
        </w:tc>
        <w:tc>
          <w:tcPr>
            <w:tcW w:w="793" w:type="pct"/>
            <w:vAlign w:val="center"/>
          </w:tcPr>
          <w:p w14:paraId="3D4BD5E1" w14:textId="19FB56BC" w:rsidR="00966F4E" w:rsidRPr="0042126D" w:rsidRDefault="00966F4E" w:rsidP="003926B6">
            <w:pPr>
              <w:pStyle w:val="TableText0"/>
              <w:keepLines/>
              <w:jc w:val="center"/>
              <w:rPr>
                <w:rFonts w:cs="Arial"/>
              </w:rPr>
            </w:pPr>
            <w:r w:rsidRPr="0042126D">
              <w:rPr>
                <w:rFonts w:cs="Arial"/>
              </w:rPr>
              <w:t>76/121 (62.8%)</w:t>
            </w:r>
          </w:p>
        </w:tc>
        <w:tc>
          <w:tcPr>
            <w:tcW w:w="712" w:type="pct"/>
            <w:vAlign w:val="center"/>
          </w:tcPr>
          <w:p w14:paraId="2158F38E" w14:textId="5A3B1F45" w:rsidR="00966F4E" w:rsidRPr="0042126D" w:rsidRDefault="00966F4E" w:rsidP="003926B6">
            <w:pPr>
              <w:pStyle w:val="TableText0"/>
              <w:keepLines/>
              <w:jc w:val="center"/>
              <w:rPr>
                <w:rFonts w:cs="Arial"/>
              </w:rPr>
            </w:pPr>
            <w:r w:rsidRPr="0042126D">
              <w:rPr>
                <w:rFonts w:cs="Arial"/>
              </w:rPr>
              <w:t>14/69 (20.3%)</w:t>
            </w:r>
          </w:p>
        </w:tc>
        <w:tc>
          <w:tcPr>
            <w:tcW w:w="1585" w:type="pct"/>
            <w:vAlign w:val="center"/>
          </w:tcPr>
          <w:p w14:paraId="6C8447C1" w14:textId="292B8404" w:rsidR="00966F4E" w:rsidRPr="0042126D" w:rsidRDefault="00966F4E" w:rsidP="003926B6">
            <w:pPr>
              <w:pStyle w:val="TableText0"/>
              <w:keepLines/>
              <w:jc w:val="center"/>
              <w:rPr>
                <w:rFonts w:cs="Arial"/>
              </w:rPr>
            </w:pPr>
            <w:r w:rsidRPr="0042126D">
              <w:rPr>
                <w:rFonts w:cs="Arial"/>
              </w:rPr>
              <w:t>NR</w:t>
            </w:r>
          </w:p>
        </w:tc>
        <w:tc>
          <w:tcPr>
            <w:tcW w:w="560" w:type="pct"/>
            <w:vAlign w:val="center"/>
          </w:tcPr>
          <w:p w14:paraId="29C1A7A8" w14:textId="05746127" w:rsidR="00966F4E" w:rsidRPr="0042126D" w:rsidRDefault="00966F4E" w:rsidP="003926B6">
            <w:pPr>
              <w:pStyle w:val="TableText0"/>
              <w:keepLines/>
              <w:jc w:val="center"/>
              <w:rPr>
                <w:rFonts w:cs="Arial"/>
              </w:rPr>
            </w:pPr>
            <w:r w:rsidRPr="0042126D">
              <w:rPr>
                <w:rFonts w:cs="Arial"/>
              </w:rPr>
              <w:t>NR</w:t>
            </w:r>
          </w:p>
        </w:tc>
      </w:tr>
      <w:tr w:rsidR="00EB7874" w:rsidRPr="0042126D" w14:paraId="1D094508" w14:textId="77777777" w:rsidTr="00EB7874">
        <w:trPr>
          <w:cantSplit/>
        </w:trPr>
        <w:tc>
          <w:tcPr>
            <w:tcW w:w="1350" w:type="pct"/>
          </w:tcPr>
          <w:p w14:paraId="6B665952" w14:textId="5CBFC485" w:rsidR="00966F4E" w:rsidRPr="0042126D" w:rsidRDefault="00966F4E" w:rsidP="003926B6">
            <w:pPr>
              <w:pStyle w:val="TableText0"/>
              <w:keepLines/>
            </w:pPr>
            <w:r w:rsidRPr="0042126D">
              <w:t>Patients without resistant CMV responding, n/N (%)</w:t>
            </w:r>
          </w:p>
        </w:tc>
        <w:tc>
          <w:tcPr>
            <w:tcW w:w="793" w:type="pct"/>
            <w:vAlign w:val="center"/>
          </w:tcPr>
          <w:p w14:paraId="507DA1FD" w14:textId="43E31ABA" w:rsidR="00966F4E" w:rsidRPr="0042126D" w:rsidRDefault="00966F4E" w:rsidP="003926B6">
            <w:pPr>
              <w:pStyle w:val="TableText0"/>
              <w:keepLines/>
              <w:jc w:val="center"/>
              <w:rPr>
                <w:rFonts w:cs="Arial"/>
              </w:rPr>
            </w:pPr>
            <w:r w:rsidRPr="0042126D">
              <w:rPr>
                <w:rFonts w:cs="Arial"/>
              </w:rPr>
              <w:t>42/96 (43.8%)</w:t>
            </w:r>
          </w:p>
        </w:tc>
        <w:tc>
          <w:tcPr>
            <w:tcW w:w="712" w:type="pct"/>
            <w:vAlign w:val="center"/>
          </w:tcPr>
          <w:p w14:paraId="7EBC42D8" w14:textId="7A85276F" w:rsidR="00966F4E" w:rsidRPr="0042126D" w:rsidRDefault="00966F4E" w:rsidP="003926B6">
            <w:pPr>
              <w:pStyle w:val="TableText0"/>
              <w:keepLines/>
              <w:jc w:val="center"/>
              <w:rPr>
                <w:rFonts w:cs="Arial"/>
              </w:rPr>
            </w:pPr>
            <w:r w:rsidRPr="0042126D">
              <w:rPr>
                <w:rFonts w:cs="Arial"/>
              </w:rPr>
              <w:t>11/34 (32.4%)</w:t>
            </w:r>
          </w:p>
        </w:tc>
        <w:tc>
          <w:tcPr>
            <w:tcW w:w="1585" w:type="pct"/>
            <w:vAlign w:val="center"/>
          </w:tcPr>
          <w:p w14:paraId="175D53CE" w14:textId="6146D3AB" w:rsidR="00966F4E" w:rsidRPr="0042126D" w:rsidRDefault="00966F4E" w:rsidP="003926B6">
            <w:pPr>
              <w:pStyle w:val="TableText0"/>
              <w:keepLines/>
              <w:jc w:val="center"/>
              <w:rPr>
                <w:rFonts w:cs="Arial"/>
              </w:rPr>
            </w:pPr>
            <w:r w:rsidRPr="0042126D">
              <w:rPr>
                <w:rFonts w:cs="Arial"/>
              </w:rPr>
              <w:t>NR</w:t>
            </w:r>
          </w:p>
        </w:tc>
        <w:tc>
          <w:tcPr>
            <w:tcW w:w="560" w:type="pct"/>
            <w:vAlign w:val="center"/>
          </w:tcPr>
          <w:p w14:paraId="7264B88F" w14:textId="75333B2F" w:rsidR="00966F4E" w:rsidRPr="0042126D" w:rsidRDefault="00966F4E" w:rsidP="003926B6">
            <w:pPr>
              <w:pStyle w:val="TableText0"/>
              <w:keepLines/>
              <w:jc w:val="center"/>
              <w:rPr>
                <w:rFonts w:cs="Arial"/>
              </w:rPr>
            </w:pPr>
            <w:r w:rsidRPr="0042126D">
              <w:rPr>
                <w:rFonts w:cs="Arial"/>
              </w:rPr>
              <w:t>NR</w:t>
            </w:r>
          </w:p>
        </w:tc>
      </w:tr>
      <w:tr w:rsidR="00EB7874" w:rsidRPr="0042126D" w14:paraId="2DC6E83B" w14:textId="77777777" w:rsidTr="0023156F">
        <w:trPr>
          <w:cantSplit/>
        </w:trPr>
        <w:tc>
          <w:tcPr>
            <w:tcW w:w="5000" w:type="pct"/>
            <w:gridSpan w:val="5"/>
          </w:tcPr>
          <w:p w14:paraId="4F2DDEBD" w14:textId="21B66800" w:rsidR="00966F4E" w:rsidRPr="0042126D" w:rsidRDefault="00966F4E" w:rsidP="003926B6">
            <w:pPr>
              <w:pStyle w:val="TableText0"/>
              <w:keepLines/>
              <w:rPr>
                <w:rFonts w:cs="Arial"/>
              </w:rPr>
            </w:pPr>
            <w:r w:rsidRPr="0042126D">
              <w:rPr>
                <w:rFonts w:cs="Arial"/>
                <w:b/>
                <w:bCs w:val="0"/>
              </w:rPr>
              <w:t xml:space="preserve">CMV </w:t>
            </w:r>
            <w:r w:rsidR="003F2CC0">
              <w:rPr>
                <w:rFonts w:cs="Arial"/>
                <w:b/>
                <w:bCs w:val="0"/>
              </w:rPr>
              <w:t>viraemia</w:t>
            </w:r>
            <w:r w:rsidRPr="0042126D">
              <w:rPr>
                <w:rFonts w:cs="Arial"/>
                <w:b/>
                <w:bCs w:val="0"/>
              </w:rPr>
              <w:t xml:space="preserve"> clearance at 8 w</w:t>
            </w:r>
            <w:r w:rsidR="00FA2043">
              <w:rPr>
                <w:rFonts w:cs="Arial"/>
                <w:b/>
                <w:bCs w:val="0"/>
              </w:rPr>
              <w:t>ee</w:t>
            </w:r>
            <w:r w:rsidRPr="0042126D">
              <w:rPr>
                <w:rFonts w:cs="Arial"/>
                <w:b/>
                <w:bCs w:val="0"/>
              </w:rPr>
              <w:t>k when maribavir RAS developed on treatment</w:t>
            </w:r>
          </w:p>
        </w:tc>
      </w:tr>
      <w:tr w:rsidR="00EB7874" w:rsidRPr="0042126D" w14:paraId="01AD5DDD" w14:textId="77777777" w:rsidTr="00EB7874">
        <w:trPr>
          <w:cantSplit/>
        </w:trPr>
        <w:tc>
          <w:tcPr>
            <w:tcW w:w="1350" w:type="pct"/>
          </w:tcPr>
          <w:p w14:paraId="79474389" w14:textId="6A18815E" w:rsidR="00966F4E" w:rsidRPr="0042126D" w:rsidRDefault="00966F4E" w:rsidP="003926B6">
            <w:pPr>
              <w:pStyle w:val="TableText0"/>
              <w:keepLines/>
            </w:pPr>
            <w:r w:rsidRPr="0042126D">
              <w:t xml:space="preserve">Patients responding, n/N (%), </w:t>
            </w:r>
          </w:p>
        </w:tc>
        <w:tc>
          <w:tcPr>
            <w:tcW w:w="793" w:type="pct"/>
            <w:vAlign w:val="center"/>
          </w:tcPr>
          <w:p w14:paraId="3DF6D59B" w14:textId="4704B75F" w:rsidR="00966F4E" w:rsidRPr="0042126D" w:rsidRDefault="00966F4E" w:rsidP="003926B6">
            <w:pPr>
              <w:pStyle w:val="TableText0"/>
              <w:keepLines/>
              <w:jc w:val="center"/>
              <w:rPr>
                <w:rFonts w:cs="Arial"/>
              </w:rPr>
            </w:pPr>
            <w:r w:rsidRPr="0042126D">
              <w:rPr>
                <w:rFonts w:cs="Arial"/>
              </w:rPr>
              <w:t>1/42 (2.4%)</w:t>
            </w:r>
          </w:p>
        </w:tc>
        <w:tc>
          <w:tcPr>
            <w:tcW w:w="712" w:type="pct"/>
            <w:vAlign w:val="center"/>
          </w:tcPr>
          <w:p w14:paraId="416D784B" w14:textId="1AFBA4AF" w:rsidR="00966F4E" w:rsidRPr="0042126D" w:rsidRDefault="00966F4E" w:rsidP="003926B6">
            <w:pPr>
              <w:pStyle w:val="TableText0"/>
              <w:keepLines/>
              <w:jc w:val="center"/>
              <w:rPr>
                <w:rFonts w:cs="Arial"/>
              </w:rPr>
            </w:pPr>
            <w:r w:rsidRPr="0042126D">
              <w:rPr>
                <w:rFonts w:cs="Arial"/>
              </w:rPr>
              <w:t>NA</w:t>
            </w:r>
          </w:p>
        </w:tc>
        <w:tc>
          <w:tcPr>
            <w:tcW w:w="1585" w:type="pct"/>
            <w:vAlign w:val="center"/>
          </w:tcPr>
          <w:p w14:paraId="1FACBF0C" w14:textId="42E99A00" w:rsidR="00966F4E" w:rsidRPr="0042126D" w:rsidRDefault="00966F4E" w:rsidP="003926B6">
            <w:pPr>
              <w:pStyle w:val="TableText0"/>
              <w:keepLines/>
              <w:jc w:val="center"/>
              <w:rPr>
                <w:rFonts w:cs="Arial"/>
              </w:rPr>
            </w:pPr>
            <w:r w:rsidRPr="0042126D">
              <w:rPr>
                <w:rFonts w:cs="Arial"/>
              </w:rPr>
              <w:t>NA</w:t>
            </w:r>
          </w:p>
        </w:tc>
        <w:tc>
          <w:tcPr>
            <w:tcW w:w="560" w:type="pct"/>
            <w:vAlign w:val="center"/>
          </w:tcPr>
          <w:p w14:paraId="4129F51E" w14:textId="16C5D655" w:rsidR="00966F4E" w:rsidRPr="0042126D" w:rsidRDefault="00966F4E" w:rsidP="003926B6">
            <w:pPr>
              <w:pStyle w:val="TableText0"/>
              <w:keepLines/>
              <w:jc w:val="center"/>
              <w:rPr>
                <w:rFonts w:cs="Arial"/>
              </w:rPr>
            </w:pPr>
            <w:r w:rsidRPr="0042126D">
              <w:rPr>
                <w:rFonts w:cs="Arial"/>
              </w:rPr>
              <w:t>NA</w:t>
            </w:r>
          </w:p>
        </w:tc>
      </w:tr>
    </w:tbl>
    <w:p w14:paraId="3AEC2BBA" w14:textId="71E36706" w:rsidR="008B7558" w:rsidRDefault="008B7558" w:rsidP="003926B6">
      <w:pPr>
        <w:pStyle w:val="FooterTableFigure"/>
        <w:keepNext/>
        <w:keepLines/>
        <w:spacing w:after="0"/>
        <w:rPr>
          <w:rFonts w:eastAsia="Calibri"/>
        </w:rPr>
      </w:pPr>
      <w:r w:rsidRPr="00FE70C3">
        <w:rPr>
          <w:rFonts w:eastAsia="Calibri"/>
        </w:rPr>
        <w:t xml:space="preserve">Source: </w:t>
      </w:r>
      <w:r>
        <w:rPr>
          <w:rFonts w:eastAsia="Calibri"/>
        </w:rPr>
        <w:t xml:space="preserve">SOLSTICE CSR, </w:t>
      </w:r>
      <w:r w:rsidR="00DA17B5">
        <w:rPr>
          <w:rFonts w:eastAsia="Calibri"/>
        </w:rPr>
        <w:t xml:space="preserve">Table 22, p149; Table 23, p151; </w:t>
      </w:r>
      <w:r>
        <w:rPr>
          <w:rFonts w:eastAsia="Calibri"/>
        </w:rPr>
        <w:t xml:space="preserve">Table 28, p162; </w:t>
      </w:r>
      <w:r w:rsidR="001847F5">
        <w:rPr>
          <w:rFonts w:eastAsia="Calibri"/>
        </w:rPr>
        <w:t xml:space="preserve">p164; </w:t>
      </w:r>
      <w:r>
        <w:rPr>
          <w:rFonts w:eastAsia="Calibri"/>
        </w:rPr>
        <w:t>pp172-173</w:t>
      </w:r>
      <w:r w:rsidR="00966F4E">
        <w:rPr>
          <w:rFonts w:eastAsia="Calibri"/>
        </w:rPr>
        <w:t xml:space="preserve">; </w:t>
      </w:r>
      <w:r w:rsidR="0023156F">
        <w:rPr>
          <w:rFonts w:eastAsia="Calibri"/>
        </w:rPr>
        <w:t xml:space="preserve">Table 30, p165; </w:t>
      </w:r>
      <w:r w:rsidR="00966F4E">
        <w:rPr>
          <w:rFonts w:eastAsia="Calibri"/>
        </w:rPr>
        <w:t>11.1.1.1</w:t>
      </w:r>
      <w:r w:rsidR="00895F79">
        <w:rPr>
          <w:rFonts w:eastAsia="Calibri"/>
        </w:rPr>
        <w:t>.</w:t>
      </w:r>
      <w:r w:rsidR="00966F4E">
        <w:rPr>
          <w:rFonts w:eastAsia="Calibri"/>
        </w:rPr>
        <w:t xml:space="preserve">3, p157; SHP620-303 Resistance Report, Table 10, p41, Section 6.2.2.4, p48. </w:t>
      </w:r>
    </w:p>
    <w:p w14:paraId="67B507C5" w14:textId="55BDE92B" w:rsidR="00243FA5" w:rsidRDefault="00966009" w:rsidP="003926B6">
      <w:pPr>
        <w:pStyle w:val="FooterTableFigure"/>
        <w:keepNext/>
        <w:keepLines/>
      </w:pPr>
      <w:r w:rsidRPr="00EF0171">
        <w:t xml:space="preserve">CI = confidence interval; </w:t>
      </w:r>
      <w:r>
        <w:t>CMV = cytomegalovirus; HSCT = haemopoietic stem cell transplant; IAT = investigator assigned treatment; HR = hazard ratio; NA = not applicable; NR = not reported; RAS = resistance associated amino acid substitution; SOT = solid organ transplant;</w:t>
      </w:r>
      <w:r w:rsidR="00243FA5">
        <w:t xml:space="preserve"> </w:t>
      </w:r>
    </w:p>
    <w:p w14:paraId="72924D2E" w14:textId="1374C097" w:rsidR="00966009" w:rsidRDefault="00243FA5" w:rsidP="003926B6">
      <w:pPr>
        <w:pStyle w:val="FooterTableFigure"/>
        <w:keepNext/>
        <w:keepLines/>
      </w:pPr>
      <w:r>
        <w:rPr>
          <w:b/>
          <w:bCs/>
        </w:rPr>
        <w:t>b</w:t>
      </w:r>
      <w:r w:rsidR="00966009" w:rsidRPr="00B83739">
        <w:rPr>
          <w:b/>
          <w:bCs/>
        </w:rPr>
        <w:t>old</w:t>
      </w:r>
      <w:r w:rsidR="00966009" w:rsidRPr="00B83739">
        <w:t xml:space="preserve"> indicates statistically significant results.</w:t>
      </w:r>
    </w:p>
    <w:p w14:paraId="652B73CD" w14:textId="3F34DAF8" w:rsidR="008B7558" w:rsidRDefault="00590DDE" w:rsidP="003926B6">
      <w:pPr>
        <w:pStyle w:val="FooterTableFigure"/>
        <w:keepNext/>
        <w:keepLines/>
        <w:tabs>
          <w:tab w:val="left" w:pos="142"/>
        </w:tabs>
      </w:pPr>
      <w:r>
        <w:rPr>
          <w:vertAlign w:val="superscript"/>
        </w:rPr>
        <w:t>a</w:t>
      </w:r>
      <w:r w:rsidR="008B7558">
        <w:t xml:space="preserve"> </w:t>
      </w:r>
      <w:r>
        <w:tab/>
      </w:r>
      <w:r w:rsidR="008B7558">
        <w:t xml:space="preserve">Adjusted for transplant type (SOT vs HSCT) and baseline CMV load. </w:t>
      </w:r>
    </w:p>
    <w:p w14:paraId="4FB032E2" w14:textId="3F735474" w:rsidR="009F523B" w:rsidRPr="000E0A75" w:rsidRDefault="00590DDE" w:rsidP="003926B6">
      <w:pPr>
        <w:pStyle w:val="FooterTableFigure"/>
        <w:tabs>
          <w:tab w:val="left" w:pos="142"/>
        </w:tabs>
        <w:ind w:left="142" w:hanging="142"/>
      </w:pPr>
      <w:r>
        <w:rPr>
          <w:vertAlign w:val="superscript"/>
        </w:rPr>
        <w:t>b</w:t>
      </w:r>
      <w:r w:rsidR="008B7558" w:rsidRPr="007C182A">
        <w:rPr>
          <w:vertAlign w:val="superscript"/>
        </w:rPr>
        <w:t xml:space="preserve"> </w:t>
      </w:r>
      <w:r>
        <w:tab/>
      </w:r>
      <w:r w:rsidR="008B7558" w:rsidRPr="000E0A75">
        <w:t>The SOLSTICE CSR and the submission use N = 184 and 65, the numbers of patients with CMV clearance at any time up to 20 weeks, for maribavir and IAT respectively, as the denominator for both recurrence before 8 weeks and recurrence after 8 weeks (SOLSTICE CSR, p172, 179); however, the effect of using the correct denominator for recurrences before 8 weeks is minor</w:t>
      </w:r>
      <w:r w:rsidR="009F523B" w:rsidRPr="000E0A75">
        <w:t>.</w:t>
      </w:r>
    </w:p>
    <w:p w14:paraId="3741D6E0" w14:textId="742F9BAF" w:rsidR="003D4BFB" w:rsidRPr="000E0A75" w:rsidRDefault="00966F4E" w:rsidP="00FE68C9">
      <w:pPr>
        <w:pStyle w:val="3-BodyText"/>
      </w:pPr>
      <w:r w:rsidRPr="000E0A75">
        <w:t>A higher proportion of patients randomised to maribavir achieved CMV clearance at 8</w:t>
      </w:r>
      <w:r w:rsidR="003926B6">
        <w:t> </w:t>
      </w:r>
      <w:r w:rsidRPr="000E0A75">
        <w:t xml:space="preserve">weeks, and at any time within the </w:t>
      </w:r>
      <w:r w:rsidR="00463C2E" w:rsidRPr="000E0A75">
        <w:t>8-week</w:t>
      </w:r>
      <w:r w:rsidRPr="000E0A75">
        <w:t xml:space="preserve"> treatment period. The difference between maribavir and IAT </w:t>
      </w:r>
      <w:r w:rsidR="00F338C4">
        <w:t xml:space="preserve">lower </w:t>
      </w:r>
      <w:r w:rsidRPr="000E0A75">
        <w:t xml:space="preserve">in patients infected with CMV without resistance at baseline. </w:t>
      </w:r>
      <w:r w:rsidR="0042126D" w:rsidRPr="000E0A75">
        <w:t xml:space="preserve">Overall, the sensitivity of baseline resistance as a predictor of therapeutic failure among patients allocated to IAT was 80%, and the specificity was 68%. </w:t>
      </w:r>
      <w:r w:rsidR="0042126D" w:rsidRPr="00421405">
        <w:rPr>
          <w:iCs/>
        </w:rPr>
        <w:t>However, the ESC noted that information regarding resistance is unlikely to be available to inform treatment choices in clinical practice.</w:t>
      </w:r>
    </w:p>
    <w:p w14:paraId="55066B4B" w14:textId="43EFA338" w:rsidR="00E270E4" w:rsidRPr="000E0A75" w:rsidRDefault="003D4BFB" w:rsidP="00966F4E">
      <w:pPr>
        <w:pStyle w:val="3-BodyText"/>
      </w:pPr>
      <w:r w:rsidRPr="000E0A75">
        <w:t xml:space="preserve">The proportion of patients achieving CMV </w:t>
      </w:r>
      <w:r w:rsidR="003F2CC0">
        <w:t>viraemia</w:t>
      </w:r>
      <w:r w:rsidRPr="000E0A75">
        <w:t xml:space="preserve"> clearance at week 8 was 15/56 (26.8%) patients treated with ganciclovir/valganciclovir and 9/47 (19.1%</w:t>
      </w:r>
      <w:r w:rsidR="009F7871" w:rsidRPr="000E0A75">
        <w:t>)</w:t>
      </w:r>
      <w:r w:rsidRPr="000E0A75">
        <w:t xml:space="preserve"> of patients treated with foscarnet (SOLSTICE CSR, p156). Notably, none of the patients given foscarnet were infected with CMV known to be resistant to foscarnet, while 57% of patients give</w:t>
      </w:r>
      <w:r w:rsidR="00483D01" w:rsidRPr="000E0A75">
        <w:t>n</w:t>
      </w:r>
      <w:r w:rsidRPr="000E0A75">
        <w:t xml:space="preserve"> ganciclovir/valganciclovir were infected with CMV known to be resistant to ganciclovir. </w:t>
      </w:r>
    </w:p>
    <w:p w14:paraId="160F0ADC" w14:textId="48F83871" w:rsidR="00483D01" w:rsidRPr="000E0A75" w:rsidRDefault="00483D01" w:rsidP="00966F4E">
      <w:pPr>
        <w:pStyle w:val="3-BodyText"/>
      </w:pPr>
      <w:r w:rsidRPr="000E0A75">
        <w:t>Maribavir may have been less effective in patients with higher viral load</w:t>
      </w:r>
      <w:r w:rsidR="000B6ABB" w:rsidRPr="000E0A75">
        <w:t>. A</w:t>
      </w:r>
      <w:r w:rsidRPr="000E0A75">
        <w:t xml:space="preserve">mong maribavir-treated patients, CMV </w:t>
      </w:r>
      <w:r w:rsidR="003F2CC0">
        <w:t>viraemia</w:t>
      </w:r>
      <w:r w:rsidRPr="000E0A75">
        <w:t xml:space="preserve"> clearance was achieved at 8 weeks in 36/82 </w:t>
      </w:r>
      <w:r w:rsidRPr="000E0A75">
        <w:lastRenderedPageBreak/>
        <w:t>(43.9%) of subjects with high or intermediate viral load (</w:t>
      </w:r>
      <w:r w:rsidRPr="000E0A75">
        <w:sym w:font="Symbol" w:char="F0B3"/>
      </w:r>
      <w:r w:rsidRPr="000E0A75">
        <w:t xml:space="preserve"> 9100 IU/mL), and in 95/153 (62.1%) of those with low viral load (&lt; 9100 IU/mL). A much smaller difference was seen among IAT-treated patients, of whom 7/3</w:t>
      </w:r>
      <w:r w:rsidR="00510184" w:rsidRPr="000E0A75">
        <w:t>2</w:t>
      </w:r>
      <w:r w:rsidRPr="000E0A75">
        <w:t xml:space="preserve"> (21.9%) with high or intermediate viral loads and 21/85 (24.7%) with low viral loads achieved clearance (SOLSTICE CSR, p157).</w:t>
      </w:r>
    </w:p>
    <w:p w14:paraId="6D11F925" w14:textId="7703ADB6" w:rsidR="00293990" w:rsidRPr="000E0A75" w:rsidRDefault="006B66F6" w:rsidP="00966F4E">
      <w:pPr>
        <w:pStyle w:val="3-BodyText"/>
      </w:pPr>
      <w:r w:rsidRPr="000E0A75">
        <w:t xml:space="preserve">Clinical response, defined as improvement or resolution of </w:t>
      </w:r>
      <w:r w:rsidR="001847F5" w:rsidRPr="000E0A75">
        <w:t>symptoms of CMV disease</w:t>
      </w:r>
      <w:r w:rsidR="00DA1328" w:rsidRPr="000E0A75">
        <w:t xml:space="preserve"> present at baseline</w:t>
      </w:r>
      <w:r w:rsidR="001847F5" w:rsidRPr="000E0A75">
        <w:t xml:space="preserve">, </w:t>
      </w:r>
      <w:r w:rsidRPr="000E0A75">
        <w:t xml:space="preserve">may have been more frequent in maribavir-treated patients, </w:t>
      </w:r>
      <w:r w:rsidR="001847F5" w:rsidRPr="000E0A75">
        <w:t>but</w:t>
      </w:r>
      <w:r w:rsidRPr="000E0A75">
        <w:t xml:space="preserve"> a majority of patients in both treatment groups responded, and</w:t>
      </w:r>
      <w:r w:rsidR="001847F5" w:rsidRPr="000E0A75">
        <w:t xml:space="preserve"> </w:t>
      </w:r>
      <w:r w:rsidRPr="000E0A75">
        <w:t>the difference in favour of maribavir was smaller than that for virological response. T</w:t>
      </w:r>
      <w:r w:rsidR="001847F5" w:rsidRPr="000E0A75">
        <w:t xml:space="preserve">here was no </w:t>
      </w:r>
      <w:r w:rsidRPr="000E0A75">
        <w:t>difference</w:t>
      </w:r>
      <w:r w:rsidR="00B4758E" w:rsidRPr="000E0A75">
        <w:t xml:space="preserve"> between treatment groups</w:t>
      </w:r>
      <w:r w:rsidRPr="000E0A75">
        <w:t xml:space="preserve"> </w:t>
      </w:r>
      <w:r w:rsidR="00B4758E" w:rsidRPr="000E0A75">
        <w:t>in</w:t>
      </w:r>
      <w:r w:rsidRPr="000E0A75">
        <w:t xml:space="preserve"> the number of patients developing </w:t>
      </w:r>
      <w:r w:rsidR="001847F5" w:rsidRPr="000E0A75">
        <w:t xml:space="preserve">new symptomatic CMV disease. </w:t>
      </w:r>
    </w:p>
    <w:p w14:paraId="30390020" w14:textId="78B38E91" w:rsidR="00581061" w:rsidRPr="00421405" w:rsidRDefault="00E270E4" w:rsidP="00581061">
      <w:pPr>
        <w:pStyle w:val="3-BodyText"/>
        <w:rPr>
          <w:iCs/>
        </w:rPr>
      </w:pPr>
      <w:r w:rsidRPr="000E0A75">
        <w:t xml:space="preserve">Maribavir resistance </w:t>
      </w:r>
      <w:r w:rsidR="00D52569" w:rsidRPr="000E0A75">
        <w:t>developed during treatment</w:t>
      </w:r>
      <w:r w:rsidRPr="000E0A75">
        <w:t xml:space="preserve"> in 42</w:t>
      </w:r>
      <w:r w:rsidR="00D52569" w:rsidRPr="000E0A75">
        <w:t xml:space="preserve"> maribavir-treated patients</w:t>
      </w:r>
      <w:r w:rsidRPr="000E0A75">
        <w:t xml:space="preserve"> </w:t>
      </w:r>
      <w:r w:rsidR="00D52569" w:rsidRPr="000E0A75">
        <w:t>(17.9% of all patients, or 19.6% of those with both baseline and on</w:t>
      </w:r>
      <w:r w:rsidR="003D4BFB" w:rsidRPr="000E0A75">
        <w:t>-</w:t>
      </w:r>
      <w:r w:rsidR="00D52569" w:rsidRPr="000E0A75">
        <w:t>treatment viral genotyping). This was associated with treatment failure: 41/42</w:t>
      </w:r>
      <w:r w:rsidR="00022D17" w:rsidRPr="000E0A75">
        <w:t xml:space="preserve"> </w:t>
      </w:r>
      <w:r w:rsidR="00D52569" w:rsidRPr="000E0A75">
        <w:t xml:space="preserve">did not have clearance of CMV </w:t>
      </w:r>
      <w:r w:rsidR="003F2CC0">
        <w:t>viraemia</w:t>
      </w:r>
      <w:r w:rsidR="00D52569" w:rsidRPr="000E0A75">
        <w:t xml:space="preserve"> at 8 weeks, and these 41 patients were 39.4% of the 104 maribavir-treated patients who </w:t>
      </w:r>
      <w:r w:rsidRPr="000E0A75">
        <w:t xml:space="preserve">had CMV </w:t>
      </w:r>
      <w:r w:rsidR="003F2CC0">
        <w:t>viraemia</w:t>
      </w:r>
      <w:r w:rsidRPr="000E0A75">
        <w:t xml:space="preserve"> at 8 weeks</w:t>
      </w:r>
      <w:r w:rsidR="00D52569" w:rsidRPr="000E0A75">
        <w:t>.</w:t>
      </w:r>
      <w:r w:rsidR="00906521" w:rsidRPr="000E0A75">
        <w:t xml:space="preserve"> </w:t>
      </w:r>
      <w:r w:rsidR="00581061">
        <w:t xml:space="preserve">The evaluation </w:t>
      </w:r>
      <w:r w:rsidR="00581061" w:rsidRPr="00421405">
        <w:rPr>
          <w:iCs/>
        </w:rPr>
        <w:t>and the ESC considered</w:t>
      </w:r>
      <w:r w:rsidR="00581061">
        <w:t xml:space="preserve"> that i</w:t>
      </w:r>
      <w:r w:rsidR="00581061" w:rsidRPr="00581061">
        <w:t xml:space="preserve">f the same rate of development of resistance were to be seen during longer treatment durations efficacy would rapidly be lost. </w:t>
      </w:r>
      <w:r w:rsidR="00581061" w:rsidRPr="00421405">
        <w:rPr>
          <w:iCs/>
        </w:rPr>
        <w:t xml:space="preserve">The PSCR stated that one of the key benefits of maribavir is that it can successfully clear CMV </w:t>
      </w:r>
      <w:r w:rsidR="003F2CC0">
        <w:rPr>
          <w:iCs/>
        </w:rPr>
        <w:t>viraemia</w:t>
      </w:r>
      <w:r w:rsidR="00581061" w:rsidRPr="00421405">
        <w:rPr>
          <w:iCs/>
        </w:rPr>
        <w:t xml:space="preserve"> in patients who have failed conventional therapy</w:t>
      </w:r>
      <w:r w:rsidR="00224AB7" w:rsidRPr="00421405">
        <w:rPr>
          <w:iCs/>
        </w:rPr>
        <w:t xml:space="preserve"> (including those with resistance)</w:t>
      </w:r>
      <w:r w:rsidR="00581061" w:rsidRPr="00421405">
        <w:rPr>
          <w:iCs/>
        </w:rPr>
        <w:t xml:space="preserve">. The ESC noted </w:t>
      </w:r>
      <w:r w:rsidR="005B7B22" w:rsidRPr="00421405">
        <w:rPr>
          <w:iCs/>
        </w:rPr>
        <w:t>that</w:t>
      </w:r>
      <w:r w:rsidR="006714F2">
        <w:rPr>
          <w:iCs/>
        </w:rPr>
        <w:t xml:space="preserve"> </w:t>
      </w:r>
      <w:r w:rsidR="00FB5646" w:rsidRPr="00421405">
        <w:rPr>
          <w:iCs/>
        </w:rPr>
        <w:t xml:space="preserve">there </w:t>
      </w:r>
      <w:r w:rsidR="005B7B22" w:rsidRPr="00421405">
        <w:rPr>
          <w:iCs/>
        </w:rPr>
        <w:t xml:space="preserve">was </w:t>
      </w:r>
      <w:r w:rsidR="00581061" w:rsidRPr="00421405">
        <w:rPr>
          <w:iCs/>
        </w:rPr>
        <w:t xml:space="preserve">clearance of CMV </w:t>
      </w:r>
      <w:r w:rsidR="003F2CC0">
        <w:rPr>
          <w:iCs/>
        </w:rPr>
        <w:t>viraemia</w:t>
      </w:r>
      <w:r w:rsidR="00581061" w:rsidRPr="00421405">
        <w:rPr>
          <w:iCs/>
        </w:rPr>
        <w:t xml:space="preserve"> in 55.7% </w:t>
      </w:r>
      <w:r w:rsidR="005B7B22" w:rsidRPr="00421405">
        <w:rPr>
          <w:iCs/>
        </w:rPr>
        <w:t xml:space="preserve">of patients treated with maribavir </w:t>
      </w:r>
      <w:r w:rsidR="00581061" w:rsidRPr="00421405">
        <w:rPr>
          <w:iCs/>
        </w:rPr>
        <w:t xml:space="preserve">compared to 23.9% </w:t>
      </w:r>
      <w:r w:rsidR="005B7B22" w:rsidRPr="00421405">
        <w:rPr>
          <w:iCs/>
        </w:rPr>
        <w:t>of</w:t>
      </w:r>
      <w:r w:rsidR="00581061" w:rsidRPr="00421405">
        <w:rPr>
          <w:iCs/>
        </w:rPr>
        <w:t xml:space="preserve"> patients taking standard of care</w:t>
      </w:r>
      <w:r w:rsidR="005B7B22" w:rsidRPr="00421405">
        <w:rPr>
          <w:iCs/>
        </w:rPr>
        <w:t>, at week 8, suggesting that there was a higher clearance rate associated with maribavir, for the population included in SOLSTICE</w:t>
      </w:r>
      <w:r w:rsidR="00581061" w:rsidRPr="00421405">
        <w:rPr>
          <w:iCs/>
        </w:rPr>
        <w:t>.</w:t>
      </w:r>
    </w:p>
    <w:p w14:paraId="131C685E" w14:textId="20D6D0E0" w:rsidR="0045450D" w:rsidRPr="000E0A75" w:rsidRDefault="0045450D" w:rsidP="00966F4E">
      <w:pPr>
        <w:pStyle w:val="3-BodyText"/>
      </w:pPr>
      <w:r w:rsidRPr="000E0A75">
        <w:t xml:space="preserve">In terms of </w:t>
      </w:r>
      <w:r w:rsidR="00AB45F5" w:rsidRPr="000E0A75">
        <w:t>quality-of-life</w:t>
      </w:r>
      <w:r w:rsidRPr="000E0A75">
        <w:t xml:space="preserve"> outcomes, there were minimal changes in both EQ-5D-5L Index Utility scores and SF-36 during the treatment and follow-up periods, and no meaningful differences between the treatment groups (SOLSTICE CSR pp183-189). Given that most patients had asymptomatic CMV infection, and</w:t>
      </w:r>
      <w:r w:rsidR="00D96C97" w:rsidRPr="000E0A75">
        <w:t xml:space="preserve"> that CMV infection was, therefore, only a minor component of a complex and difficult illness, this </w:t>
      </w:r>
      <w:r w:rsidR="00C02E68" w:rsidRPr="000E0A75">
        <w:t>wa</w:t>
      </w:r>
      <w:r w:rsidR="00D96C97" w:rsidRPr="000E0A75">
        <w:t>s not surprising.</w:t>
      </w:r>
    </w:p>
    <w:p w14:paraId="778C4AF6" w14:textId="545A5361" w:rsidR="00471121" w:rsidRDefault="001847F5" w:rsidP="00471121">
      <w:pPr>
        <w:pStyle w:val="3-BodyText"/>
      </w:pPr>
      <w:bookmarkStart w:id="22" w:name="_Ref147823913"/>
      <w:r w:rsidRPr="00F11DD5">
        <w:t>Outcomes for patients who received foscarnet as IAT are shown in</w:t>
      </w:r>
      <w:r w:rsidR="00A9764C" w:rsidRPr="00F11DD5">
        <w:t xml:space="preserve"> </w:t>
      </w:r>
      <w:r w:rsidR="00A9764C" w:rsidRPr="00F11DD5">
        <w:fldChar w:fldCharType="begin" w:fldLock="1"/>
      </w:r>
      <w:r w:rsidR="00A9764C" w:rsidRPr="00F11DD5">
        <w:instrText xml:space="preserve"> REF _Ref144211743 \h  \* MERGEFORMAT </w:instrText>
      </w:r>
      <w:r w:rsidR="00A9764C" w:rsidRPr="00F11DD5">
        <w:fldChar w:fldCharType="separate"/>
      </w:r>
      <w:r w:rsidR="0098695D">
        <w:t xml:space="preserve">Table </w:t>
      </w:r>
      <w:r w:rsidR="0098695D">
        <w:rPr>
          <w:noProof/>
        </w:rPr>
        <w:t>9</w:t>
      </w:r>
      <w:r w:rsidR="00A9764C" w:rsidRPr="00F11DD5">
        <w:fldChar w:fldCharType="end"/>
      </w:r>
      <w:r w:rsidRPr="00F11DD5">
        <w:t xml:space="preserve">. No statistical analysis </w:t>
      </w:r>
      <w:r w:rsidR="0011256E" w:rsidRPr="00F11DD5">
        <w:t xml:space="preserve">is presented because </w:t>
      </w:r>
      <w:r w:rsidR="00DA1328" w:rsidRPr="00F11DD5">
        <w:t>this</w:t>
      </w:r>
      <w:r w:rsidR="0011256E" w:rsidRPr="00F11DD5">
        <w:t xml:space="preserve"> was not a pre-specified comparison. </w:t>
      </w:r>
      <w:bookmarkEnd w:id="22"/>
    </w:p>
    <w:p w14:paraId="06C3EB00" w14:textId="6AB9BBD4" w:rsidR="0011256E" w:rsidRDefault="0011256E" w:rsidP="00A900D2">
      <w:pPr>
        <w:pStyle w:val="TableFigureHeading"/>
        <w:keepLines/>
      </w:pPr>
      <w:bookmarkStart w:id="23" w:name="_Ref144211743"/>
      <w:r>
        <w:t xml:space="preserve">Table </w:t>
      </w:r>
      <w:fldSimple w:instr=" SEQ Table \* ARABIC " w:fldLock="1">
        <w:r w:rsidR="0098695D">
          <w:rPr>
            <w:noProof/>
          </w:rPr>
          <w:t>9</w:t>
        </w:r>
      </w:fldSimple>
      <w:bookmarkEnd w:id="23"/>
      <w:r>
        <w:t>: Outcomes for patients who received foscarnet as IAT</w:t>
      </w:r>
    </w:p>
    <w:tbl>
      <w:tblPr>
        <w:tblStyle w:val="TableGrid"/>
        <w:tblW w:w="5000" w:type="pct"/>
        <w:tblLook w:val="04A0" w:firstRow="1" w:lastRow="0" w:firstColumn="1" w:lastColumn="0" w:noHBand="0" w:noVBand="1"/>
        <w:tblCaption w:val="Table 9: Outcomes for patients who received foscarnet as IAT"/>
        <w:tblDescription w:val="Table 9: Outcomes for patients who received foscarnet as IAT"/>
      </w:tblPr>
      <w:tblGrid>
        <w:gridCol w:w="4505"/>
        <w:gridCol w:w="2223"/>
        <w:gridCol w:w="2289"/>
      </w:tblGrid>
      <w:tr w:rsidR="00B4758E" w14:paraId="5771AE1E" w14:textId="77777777" w:rsidTr="00E52BB8">
        <w:tc>
          <w:tcPr>
            <w:tcW w:w="4505" w:type="dxa"/>
          </w:tcPr>
          <w:p w14:paraId="698CE0CB" w14:textId="77777777" w:rsidR="00E52BB8" w:rsidRPr="00A9764C" w:rsidRDefault="00E52BB8" w:rsidP="00A900D2">
            <w:pPr>
              <w:pStyle w:val="TableFooter"/>
              <w:keepNext/>
              <w:keepLines/>
              <w:jc w:val="left"/>
              <w:rPr>
                <w:sz w:val="20"/>
                <w:szCs w:val="20"/>
              </w:rPr>
            </w:pPr>
          </w:p>
        </w:tc>
        <w:tc>
          <w:tcPr>
            <w:tcW w:w="2223" w:type="dxa"/>
          </w:tcPr>
          <w:p w14:paraId="2C2A7BD2" w14:textId="77777777" w:rsidR="00E52BB8" w:rsidRPr="00A9764C" w:rsidRDefault="00E52BB8" w:rsidP="00A900D2">
            <w:pPr>
              <w:pStyle w:val="TableText0"/>
              <w:keepLines/>
              <w:jc w:val="center"/>
              <w:rPr>
                <w:b/>
                <w:bCs w:val="0"/>
                <w:szCs w:val="20"/>
              </w:rPr>
            </w:pPr>
            <w:r w:rsidRPr="00A9764C">
              <w:rPr>
                <w:b/>
                <w:bCs w:val="0"/>
                <w:szCs w:val="20"/>
              </w:rPr>
              <w:t>Maribavir</w:t>
            </w:r>
          </w:p>
          <w:p w14:paraId="5C98C787" w14:textId="74DCDEF5" w:rsidR="00E52BB8" w:rsidRPr="00A9764C" w:rsidRDefault="00E52BB8" w:rsidP="00A900D2">
            <w:pPr>
              <w:pStyle w:val="TableFooter"/>
              <w:keepNext/>
              <w:keepLines/>
              <w:jc w:val="center"/>
              <w:rPr>
                <w:sz w:val="20"/>
                <w:szCs w:val="20"/>
              </w:rPr>
            </w:pPr>
            <w:r w:rsidRPr="00A9764C">
              <w:rPr>
                <w:b/>
                <w:sz w:val="20"/>
                <w:szCs w:val="20"/>
              </w:rPr>
              <w:t>N = 235</w:t>
            </w:r>
          </w:p>
        </w:tc>
        <w:tc>
          <w:tcPr>
            <w:tcW w:w="2289" w:type="dxa"/>
          </w:tcPr>
          <w:p w14:paraId="58625BA2" w14:textId="77777777" w:rsidR="00E52BB8" w:rsidRPr="00A9764C" w:rsidRDefault="00E52BB8" w:rsidP="00A900D2">
            <w:pPr>
              <w:pStyle w:val="TableText0"/>
              <w:keepLines/>
              <w:jc w:val="center"/>
              <w:rPr>
                <w:b/>
                <w:bCs w:val="0"/>
                <w:szCs w:val="20"/>
              </w:rPr>
            </w:pPr>
            <w:r w:rsidRPr="00A9764C">
              <w:rPr>
                <w:b/>
                <w:bCs w:val="0"/>
                <w:szCs w:val="20"/>
              </w:rPr>
              <w:t>Foscarnet</w:t>
            </w:r>
          </w:p>
          <w:p w14:paraId="6C2B6294" w14:textId="50622EA4" w:rsidR="00E52BB8" w:rsidRPr="00A9764C" w:rsidRDefault="00E52BB8" w:rsidP="00A900D2">
            <w:pPr>
              <w:pStyle w:val="TableFooter"/>
              <w:keepNext/>
              <w:keepLines/>
              <w:jc w:val="center"/>
              <w:rPr>
                <w:sz w:val="20"/>
                <w:szCs w:val="20"/>
              </w:rPr>
            </w:pPr>
            <w:r w:rsidRPr="00A9764C">
              <w:rPr>
                <w:b/>
                <w:sz w:val="20"/>
                <w:szCs w:val="20"/>
              </w:rPr>
              <w:t>N = 47</w:t>
            </w:r>
          </w:p>
        </w:tc>
      </w:tr>
      <w:tr w:rsidR="00B4758E" w14:paraId="17EB19F1" w14:textId="77777777" w:rsidTr="00E52BB8">
        <w:tc>
          <w:tcPr>
            <w:tcW w:w="4505" w:type="dxa"/>
          </w:tcPr>
          <w:p w14:paraId="3F319362" w14:textId="6C7C66BA" w:rsidR="00E52BB8" w:rsidRPr="00A9764C" w:rsidRDefault="00E52BB8" w:rsidP="00A900D2">
            <w:pPr>
              <w:pStyle w:val="TableFooter"/>
              <w:keepNext/>
              <w:keepLines/>
              <w:jc w:val="left"/>
              <w:rPr>
                <w:sz w:val="20"/>
                <w:szCs w:val="20"/>
              </w:rPr>
            </w:pPr>
            <w:r w:rsidRPr="00A9764C">
              <w:rPr>
                <w:sz w:val="20"/>
                <w:szCs w:val="20"/>
              </w:rPr>
              <w:t xml:space="preserve">CMV </w:t>
            </w:r>
            <w:r w:rsidR="003F2CC0">
              <w:rPr>
                <w:sz w:val="20"/>
                <w:szCs w:val="20"/>
              </w:rPr>
              <w:t>viraemia</w:t>
            </w:r>
            <w:r w:rsidRPr="00A9764C">
              <w:rPr>
                <w:sz w:val="20"/>
                <w:szCs w:val="20"/>
              </w:rPr>
              <w:t xml:space="preserve"> clearance at 8 wk, n (%)</w:t>
            </w:r>
          </w:p>
        </w:tc>
        <w:tc>
          <w:tcPr>
            <w:tcW w:w="2223" w:type="dxa"/>
          </w:tcPr>
          <w:p w14:paraId="6BEFF250" w14:textId="631562B8" w:rsidR="00E52BB8" w:rsidRPr="00A9764C" w:rsidRDefault="00E52BB8" w:rsidP="00A900D2">
            <w:pPr>
              <w:pStyle w:val="TableFooter"/>
              <w:keepNext/>
              <w:keepLines/>
              <w:jc w:val="center"/>
              <w:rPr>
                <w:sz w:val="20"/>
                <w:szCs w:val="20"/>
              </w:rPr>
            </w:pPr>
            <w:r w:rsidRPr="00A9764C">
              <w:rPr>
                <w:sz w:val="20"/>
                <w:szCs w:val="20"/>
              </w:rPr>
              <w:t>131 (55.7%)</w:t>
            </w:r>
          </w:p>
        </w:tc>
        <w:tc>
          <w:tcPr>
            <w:tcW w:w="2289" w:type="dxa"/>
          </w:tcPr>
          <w:p w14:paraId="6F2FCD7D" w14:textId="46790C01" w:rsidR="00E52BB8" w:rsidRPr="00A9764C" w:rsidRDefault="00E52BB8" w:rsidP="00A900D2">
            <w:pPr>
              <w:pStyle w:val="TableFooter"/>
              <w:keepNext/>
              <w:keepLines/>
              <w:jc w:val="center"/>
              <w:rPr>
                <w:sz w:val="20"/>
                <w:szCs w:val="20"/>
              </w:rPr>
            </w:pPr>
            <w:r w:rsidRPr="00A9764C">
              <w:rPr>
                <w:sz w:val="20"/>
                <w:szCs w:val="20"/>
              </w:rPr>
              <w:t>9 (19.1%)</w:t>
            </w:r>
          </w:p>
        </w:tc>
      </w:tr>
      <w:tr w:rsidR="00B4758E" w14:paraId="2F463EB7" w14:textId="77777777" w:rsidTr="00E52BB8">
        <w:tc>
          <w:tcPr>
            <w:tcW w:w="4505" w:type="dxa"/>
          </w:tcPr>
          <w:p w14:paraId="314EEAD3" w14:textId="401C61D1" w:rsidR="00E52BB8" w:rsidRPr="00A9764C" w:rsidRDefault="00E52BB8" w:rsidP="00A900D2">
            <w:pPr>
              <w:pStyle w:val="TableFooter"/>
              <w:keepNext/>
              <w:keepLines/>
              <w:jc w:val="left"/>
              <w:rPr>
                <w:sz w:val="20"/>
                <w:szCs w:val="20"/>
              </w:rPr>
            </w:pPr>
            <w:r w:rsidRPr="00A9764C">
              <w:rPr>
                <w:sz w:val="20"/>
                <w:szCs w:val="20"/>
              </w:rPr>
              <w:t xml:space="preserve">CMV </w:t>
            </w:r>
            <w:r w:rsidR="003F2CC0">
              <w:rPr>
                <w:sz w:val="20"/>
                <w:szCs w:val="20"/>
              </w:rPr>
              <w:t>viraemia</w:t>
            </w:r>
            <w:r w:rsidRPr="00A9764C">
              <w:rPr>
                <w:sz w:val="20"/>
                <w:szCs w:val="20"/>
              </w:rPr>
              <w:t xml:space="preserve"> clearance </w:t>
            </w:r>
            <w:r w:rsidRPr="00421405">
              <w:rPr>
                <w:iCs/>
                <w:sz w:val="20"/>
                <w:szCs w:val="20"/>
              </w:rPr>
              <w:t>and</w:t>
            </w:r>
            <w:r w:rsidRPr="00A9764C">
              <w:rPr>
                <w:sz w:val="20"/>
                <w:szCs w:val="20"/>
              </w:rPr>
              <w:t xml:space="preserve"> symptom resolution at 8 wk </w:t>
            </w:r>
            <w:r w:rsidRPr="000E0A75">
              <w:rPr>
                <w:sz w:val="20"/>
                <w:szCs w:val="20"/>
              </w:rPr>
              <w:t xml:space="preserve">and </w:t>
            </w:r>
            <w:r w:rsidRPr="00A9764C">
              <w:rPr>
                <w:sz w:val="20"/>
                <w:szCs w:val="20"/>
              </w:rPr>
              <w:t>16 wk, n (%)</w:t>
            </w:r>
          </w:p>
        </w:tc>
        <w:tc>
          <w:tcPr>
            <w:tcW w:w="2223" w:type="dxa"/>
          </w:tcPr>
          <w:p w14:paraId="3B9363F0" w14:textId="01E25D84" w:rsidR="00E52BB8" w:rsidRPr="00A9764C" w:rsidRDefault="00E52BB8" w:rsidP="00A900D2">
            <w:pPr>
              <w:pStyle w:val="TableFooter"/>
              <w:keepNext/>
              <w:keepLines/>
              <w:jc w:val="center"/>
              <w:rPr>
                <w:sz w:val="20"/>
                <w:szCs w:val="20"/>
              </w:rPr>
            </w:pPr>
            <w:r w:rsidRPr="00A9764C">
              <w:rPr>
                <w:sz w:val="20"/>
                <w:szCs w:val="20"/>
              </w:rPr>
              <w:t>44 (18.7%)</w:t>
            </w:r>
          </w:p>
        </w:tc>
        <w:tc>
          <w:tcPr>
            <w:tcW w:w="2289" w:type="dxa"/>
          </w:tcPr>
          <w:p w14:paraId="206DCC60" w14:textId="642A536A" w:rsidR="00E52BB8" w:rsidRPr="00A9764C" w:rsidRDefault="00E52BB8" w:rsidP="00A900D2">
            <w:pPr>
              <w:pStyle w:val="TableFooter"/>
              <w:keepNext/>
              <w:keepLines/>
              <w:jc w:val="center"/>
              <w:rPr>
                <w:sz w:val="20"/>
                <w:szCs w:val="20"/>
              </w:rPr>
            </w:pPr>
            <w:r w:rsidRPr="00A9764C">
              <w:rPr>
                <w:sz w:val="20"/>
                <w:szCs w:val="20"/>
              </w:rPr>
              <w:t>4 (8.5%)</w:t>
            </w:r>
          </w:p>
        </w:tc>
      </w:tr>
      <w:tr w:rsidR="00B4758E" w14:paraId="24D07010" w14:textId="77777777" w:rsidTr="00E52BB8">
        <w:tc>
          <w:tcPr>
            <w:tcW w:w="4505" w:type="dxa"/>
          </w:tcPr>
          <w:p w14:paraId="34E0C308" w14:textId="46CEE7C5" w:rsidR="00E52BB8" w:rsidRPr="00A9764C" w:rsidRDefault="00E52BB8" w:rsidP="00A900D2">
            <w:pPr>
              <w:pStyle w:val="TableFooter"/>
              <w:keepNext/>
              <w:keepLines/>
              <w:jc w:val="left"/>
              <w:rPr>
                <w:sz w:val="20"/>
                <w:szCs w:val="20"/>
              </w:rPr>
            </w:pPr>
            <w:r w:rsidRPr="00A9764C">
              <w:rPr>
                <w:sz w:val="20"/>
                <w:szCs w:val="20"/>
              </w:rPr>
              <w:t>TEAE, n (%)</w:t>
            </w:r>
          </w:p>
        </w:tc>
        <w:tc>
          <w:tcPr>
            <w:tcW w:w="2223" w:type="dxa"/>
          </w:tcPr>
          <w:p w14:paraId="2DA6C780" w14:textId="0A9E4E61" w:rsidR="00E52BB8" w:rsidRPr="00A9764C" w:rsidRDefault="00E52BB8" w:rsidP="00A900D2">
            <w:pPr>
              <w:pStyle w:val="TableFooter"/>
              <w:keepNext/>
              <w:keepLines/>
              <w:jc w:val="center"/>
              <w:rPr>
                <w:sz w:val="20"/>
                <w:szCs w:val="20"/>
              </w:rPr>
            </w:pPr>
            <w:r w:rsidRPr="00A9764C">
              <w:rPr>
                <w:sz w:val="20"/>
                <w:szCs w:val="20"/>
              </w:rPr>
              <w:t>228 (97.4%)</w:t>
            </w:r>
          </w:p>
        </w:tc>
        <w:tc>
          <w:tcPr>
            <w:tcW w:w="2289" w:type="dxa"/>
          </w:tcPr>
          <w:p w14:paraId="724038D0" w14:textId="7631A299" w:rsidR="00E52BB8" w:rsidRPr="00A9764C" w:rsidRDefault="00E52BB8" w:rsidP="00A900D2">
            <w:pPr>
              <w:pStyle w:val="TableFooter"/>
              <w:keepNext/>
              <w:keepLines/>
              <w:jc w:val="center"/>
              <w:rPr>
                <w:sz w:val="20"/>
                <w:szCs w:val="20"/>
              </w:rPr>
            </w:pPr>
            <w:r w:rsidRPr="00A9764C">
              <w:rPr>
                <w:sz w:val="20"/>
                <w:szCs w:val="20"/>
              </w:rPr>
              <w:t>43 (91.5%)</w:t>
            </w:r>
          </w:p>
        </w:tc>
      </w:tr>
      <w:tr w:rsidR="00B4758E" w14:paraId="7ED67BAA" w14:textId="77777777" w:rsidTr="00E52BB8">
        <w:tc>
          <w:tcPr>
            <w:tcW w:w="4505" w:type="dxa"/>
          </w:tcPr>
          <w:p w14:paraId="6B67C9E3" w14:textId="6937ACBC" w:rsidR="00E52BB8" w:rsidRPr="00A9764C" w:rsidRDefault="00E52BB8" w:rsidP="00A900D2">
            <w:pPr>
              <w:pStyle w:val="TableFooter"/>
              <w:keepNext/>
              <w:keepLines/>
              <w:jc w:val="left"/>
              <w:rPr>
                <w:sz w:val="20"/>
                <w:szCs w:val="20"/>
              </w:rPr>
            </w:pPr>
            <w:r w:rsidRPr="00A9764C">
              <w:rPr>
                <w:sz w:val="20"/>
                <w:szCs w:val="20"/>
              </w:rPr>
              <w:t>TESAE, n(%)</w:t>
            </w:r>
          </w:p>
        </w:tc>
        <w:tc>
          <w:tcPr>
            <w:tcW w:w="2223" w:type="dxa"/>
          </w:tcPr>
          <w:p w14:paraId="07B8EC86" w14:textId="17EA8A61" w:rsidR="00E52BB8" w:rsidRPr="00A9764C" w:rsidRDefault="00E52BB8" w:rsidP="00A900D2">
            <w:pPr>
              <w:pStyle w:val="TableFooter"/>
              <w:keepNext/>
              <w:keepLines/>
              <w:jc w:val="center"/>
              <w:rPr>
                <w:sz w:val="20"/>
                <w:szCs w:val="20"/>
              </w:rPr>
            </w:pPr>
            <w:r w:rsidRPr="00A9764C">
              <w:rPr>
                <w:sz w:val="20"/>
                <w:szCs w:val="20"/>
              </w:rPr>
              <w:t>90 (38.5%)</w:t>
            </w:r>
          </w:p>
        </w:tc>
        <w:tc>
          <w:tcPr>
            <w:tcW w:w="2289" w:type="dxa"/>
          </w:tcPr>
          <w:p w14:paraId="5C568919" w14:textId="1BCB7C2A" w:rsidR="00E52BB8" w:rsidRPr="00A9764C" w:rsidRDefault="00E52BB8" w:rsidP="00A900D2">
            <w:pPr>
              <w:pStyle w:val="TableFooter"/>
              <w:keepNext/>
              <w:keepLines/>
              <w:jc w:val="center"/>
              <w:rPr>
                <w:sz w:val="20"/>
                <w:szCs w:val="20"/>
              </w:rPr>
            </w:pPr>
            <w:r w:rsidRPr="00A9764C">
              <w:rPr>
                <w:sz w:val="20"/>
                <w:szCs w:val="20"/>
              </w:rPr>
              <w:t>20 (42.6%)</w:t>
            </w:r>
          </w:p>
        </w:tc>
      </w:tr>
      <w:tr w:rsidR="00B4758E" w14:paraId="765557C0" w14:textId="77777777" w:rsidTr="00E52BB8">
        <w:tc>
          <w:tcPr>
            <w:tcW w:w="4505" w:type="dxa"/>
          </w:tcPr>
          <w:p w14:paraId="05532511" w14:textId="68671153" w:rsidR="00E52BB8" w:rsidRPr="00A9764C" w:rsidRDefault="00E52BB8" w:rsidP="00A900D2">
            <w:pPr>
              <w:pStyle w:val="TableFooter"/>
              <w:keepNext/>
              <w:keepLines/>
              <w:jc w:val="left"/>
              <w:rPr>
                <w:sz w:val="20"/>
                <w:szCs w:val="20"/>
              </w:rPr>
            </w:pPr>
            <w:r w:rsidRPr="00A9764C">
              <w:rPr>
                <w:sz w:val="20"/>
                <w:szCs w:val="20"/>
              </w:rPr>
              <w:t>TEAE leading to discontinuation of study treatment, n (%)</w:t>
            </w:r>
          </w:p>
        </w:tc>
        <w:tc>
          <w:tcPr>
            <w:tcW w:w="2223" w:type="dxa"/>
          </w:tcPr>
          <w:p w14:paraId="61C1BDD6" w14:textId="55109496" w:rsidR="00E52BB8" w:rsidRPr="00A9764C" w:rsidRDefault="00E52BB8" w:rsidP="00A900D2">
            <w:pPr>
              <w:pStyle w:val="TableFooter"/>
              <w:keepNext/>
              <w:keepLines/>
              <w:jc w:val="center"/>
              <w:rPr>
                <w:sz w:val="20"/>
                <w:szCs w:val="20"/>
              </w:rPr>
            </w:pPr>
            <w:r w:rsidRPr="00A9764C">
              <w:rPr>
                <w:sz w:val="20"/>
                <w:szCs w:val="20"/>
              </w:rPr>
              <w:t>31 (13.2%)</w:t>
            </w:r>
          </w:p>
        </w:tc>
        <w:tc>
          <w:tcPr>
            <w:tcW w:w="2289" w:type="dxa"/>
          </w:tcPr>
          <w:p w14:paraId="609CB194" w14:textId="78212CDC" w:rsidR="00E52BB8" w:rsidRPr="00A9764C" w:rsidRDefault="00E52BB8" w:rsidP="00A900D2">
            <w:pPr>
              <w:pStyle w:val="TableFooter"/>
              <w:keepNext/>
              <w:keepLines/>
              <w:jc w:val="center"/>
              <w:rPr>
                <w:sz w:val="20"/>
                <w:szCs w:val="20"/>
              </w:rPr>
            </w:pPr>
            <w:r w:rsidRPr="00A9764C">
              <w:rPr>
                <w:sz w:val="20"/>
                <w:szCs w:val="20"/>
              </w:rPr>
              <w:t>17 (36.2%)</w:t>
            </w:r>
          </w:p>
        </w:tc>
      </w:tr>
      <w:tr w:rsidR="00B4758E" w14:paraId="104C13BE" w14:textId="77777777" w:rsidTr="00E52BB8">
        <w:tc>
          <w:tcPr>
            <w:tcW w:w="4505" w:type="dxa"/>
          </w:tcPr>
          <w:p w14:paraId="43144A8D" w14:textId="2BC2E31E" w:rsidR="00E52BB8" w:rsidRPr="00A9764C" w:rsidRDefault="00E52BB8" w:rsidP="00A900D2">
            <w:pPr>
              <w:pStyle w:val="TableFooter"/>
              <w:keepNext/>
              <w:keepLines/>
              <w:jc w:val="left"/>
              <w:rPr>
                <w:sz w:val="20"/>
                <w:szCs w:val="20"/>
              </w:rPr>
            </w:pPr>
            <w:r w:rsidRPr="00A9764C">
              <w:rPr>
                <w:sz w:val="20"/>
                <w:szCs w:val="20"/>
              </w:rPr>
              <w:t>Death related to TEAE, n (%)</w:t>
            </w:r>
          </w:p>
        </w:tc>
        <w:tc>
          <w:tcPr>
            <w:tcW w:w="2223" w:type="dxa"/>
          </w:tcPr>
          <w:p w14:paraId="7C7CC8FA" w14:textId="6E8FBEA7" w:rsidR="00E52BB8" w:rsidRPr="00A9764C" w:rsidRDefault="00E52BB8" w:rsidP="00A900D2">
            <w:pPr>
              <w:pStyle w:val="TableFooter"/>
              <w:keepNext/>
              <w:keepLines/>
              <w:jc w:val="center"/>
              <w:rPr>
                <w:sz w:val="20"/>
                <w:szCs w:val="20"/>
              </w:rPr>
            </w:pPr>
            <w:r w:rsidRPr="00A9764C">
              <w:rPr>
                <w:sz w:val="20"/>
                <w:szCs w:val="20"/>
              </w:rPr>
              <w:t>16 (6.8%)</w:t>
            </w:r>
          </w:p>
        </w:tc>
        <w:tc>
          <w:tcPr>
            <w:tcW w:w="2289" w:type="dxa"/>
          </w:tcPr>
          <w:p w14:paraId="5A372324" w14:textId="1B91F4D2" w:rsidR="00E52BB8" w:rsidRPr="00A9764C" w:rsidRDefault="00E52BB8" w:rsidP="00A900D2">
            <w:pPr>
              <w:pStyle w:val="TableFooter"/>
              <w:keepNext/>
              <w:keepLines/>
              <w:jc w:val="center"/>
              <w:rPr>
                <w:sz w:val="20"/>
                <w:szCs w:val="20"/>
              </w:rPr>
            </w:pPr>
            <w:r w:rsidRPr="00A9764C">
              <w:rPr>
                <w:sz w:val="20"/>
                <w:szCs w:val="20"/>
              </w:rPr>
              <w:t>4 (8.5%)</w:t>
            </w:r>
          </w:p>
        </w:tc>
      </w:tr>
    </w:tbl>
    <w:p w14:paraId="1D642720" w14:textId="4087858C" w:rsidR="005B5DDD" w:rsidRDefault="00E25AAB" w:rsidP="00A900D2">
      <w:pPr>
        <w:pStyle w:val="TableFooter"/>
        <w:keepNext/>
        <w:keepLines/>
      </w:pPr>
      <w:r>
        <w:t xml:space="preserve">Source: </w:t>
      </w:r>
      <w:r w:rsidR="005B5DDD">
        <w:t xml:space="preserve">SOLSTICE CSR, p156; p166; </w:t>
      </w:r>
      <w:r>
        <w:t xml:space="preserve">Table 38, p217. </w:t>
      </w:r>
    </w:p>
    <w:p w14:paraId="6E708168" w14:textId="173EB5F7" w:rsidR="005B5DDD" w:rsidRDefault="005B5DDD" w:rsidP="00F62434">
      <w:pPr>
        <w:pStyle w:val="TableFooter"/>
        <w:keepLines/>
        <w:spacing w:after="120"/>
      </w:pPr>
      <w:r>
        <w:t xml:space="preserve">CMV = cytomegalovirus; TEAE </w:t>
      </w:r>
      <w:r w:rsidR="00A9764C">
        <w:t>=</w:t>
      </w:r>
      <w:r>
        <w:t xml:space="preserve"> treatment-emergent adverse event; TESAE = treatment-emergent severe adverse event. </w:t>
      </w:r>
    </w:p>
    <w:p w14:paraId="29B9665F" w14:textId="73DFF4A9" w:rsidR="005B5DDD" w:rsidRDefault="00BE698A" w:rsidP="009F523B">
      <w:pPr>
        <w:pStyle w:val="3-BodyText"/>
      </w:pPr>
      <w:r w:rsidRPr="00421405">
        <w:lastRenderedPageBreak/>
        <w:t xml:space="preserve">The PSCR provided a post-hoc responder analysis of the primary outcome by IAT treatment. Noting that while this was not pre-specified, the PSCR noted that it showed maribavir has a similar comparative response rate (adjusted difference in proportion responding) versus valganciclovir/ganciclovir (31.7% [18.6-44.8]) and foscarnet (36.4% [23.37-49.4]), compared with the primary comparison as a whole (32.8 % [22.8-42.7]). </w:t>
      </w:r>
      <w:r w:rsidR="005B5DDD" w:rsidRPr="000E0A75">
        <w:t xml:space="preserve">The pattern observed in the pre-specified analyses, of higher rates of CMV </w:t>
      </w:r>
      <w:r w:rsidR="003F2CC0">
        <w:t>viraemia</w:t>
      </w:r>
      <w:r w:rsidR="005B5DDD" w:rsidRPr="000E0A75">
        <w:t xml:space="preserve"> clearance and of </w:t>
      </w:r>
      <w:r w:rsidR="003F2CC0">
        <w:t>viraemia</w:t>
      </w:r>
      <w:r w:rsidR="005B5DDD" w:rsidRPr="000E0A75">
        <w:t xml:space="preserve"> clearance and symptom control in maribavir-treated patients, appear</w:t>
      </w:r>
      <w:r w:rsidR="00AB45F5">
        <w:t>ed</w:t>
      </w:r>
      <w:r w:rsidR="005B5DDD" w:rsidRPr="000E0A75">
        <w:t xml:space="preserve"> to be </w:t>
      </w:r>
      <w:r w:rsidR="00DA1328" w:rsidRPr="000E0A75">
        <w:t>repeated</w:t>
      </w:r>
      <w:r w:rsidR="005B5DDD" w:rsidRPr="000E0A75">
        <w:t xml:space="preserve"> </w:t>
      </w:r>
      <w:r w:rsidR="00DA1328" w:rsidRPr="000E0A75">
        <w:t xml:space="preserve">when the maribavir-treated group </w:t>
      </w:r>
      <w:r w:rsidR="00AB45F5">
        <w:t>wa</w:t>
      </w:r>
      <w:r w:rsidR="00DA1328" w:rsidRPr="000E0A75">
        <w:t>s compared with</w:t>
      </w:r>
      <w:r w:rsidR="005B5DDD" w:rsidRPr="000E0A75">
        <w:t xml:space="preserve"> foscarnet-treated patients. There was probably a higher rate of treatment discontinuation among foscarnet-treated patients. </w:t>
      </w:r>
    </w:p>
    <w:p w14:paraId="3B44360B" w14:textId="6657C075" w:rsidR="00572A0A" w:rsidRPr="00421405" w:rsidRDefault="00572A0A" w:rsidP="00572A0A">
      <w:pPr>
        <w:pStyle w:val="3-BodyText"/>
        <w:rPr>
          <w:snapToGrid/>
        </w:rPr>
      </w:pPr>
      <w:r w:rsidRPr="00421405">
        <w:rPr>
          <w:snapToGrid/>
        </w:rPr>
        <w:t xml:space="preserve">The ESC noted that subgroup analyses in the CSR (p156) indicated that maribavir was more effective than IAT at clearing CMV </w:t>
      </w:r>
      <w:r w:rsidR="003F2CC0">
        <w:rPr>
          <w:snapToGrid/>
        </w:rPr>
        <w:t>viraemia</w:t>
      </w:r>
      <w:r w:rsidRPr="00421405">
        <w:rPr>
          <w:snapToGrid/>
        </w:rPr>
        <w:t xml:space="preserve"> regardless of transplant type. The number (%) of subjects who achieved confirmed CMV </w:t>
      </w:r>
      <w:r w:rsidR="003F2CC0">
        <w:rPr>
          <w:snapToGrid/>
        </w:rPr>
        <w:t>viraemia</w:t>
      </w:r>
      <w:r w:rsidRPr="00421405">
        <w:rPr>
          <w:snapToGrid/>
        </w:rPr>
        <w:t xml:space="preserve"> clearance at Week 8 by transplant type was 79/142 (55.6%) for SOT and 52/93 (55.9%) for HSCT in the maribavir group and 18/69 (26.1%) for SOT and 10/48 (20.8%) for HSCT in the IAT group.</w:t>
      </w:r>
    </w:p>
    <w:p w14:paraId="4E52B8D6" w14:textId="16E1CD68" w:rsidR="00050A79" w:rsidRPr="00050A79" w:rsidRDefault="00050A79" w:rsidP="00050A79">
      <w:pPr>
        <w:pStyle w:val="3-BodyText"/>
        <w:numPr>
          <w:ilvl w:val="0"/>
          <w:numId w:val="0"/>
        </w:numPr>
        <w:rPr>
          <w:b/>
          <w:bCs/>
        </w:rPr>
      </w:pPr>
      <w:r w:rsidRPr="00050A79">
        <w:rPr>
          <w:b/>
          <w:bCs/>
        </w:rPr>
        <w:t>Additional Trials</w:t>
      </w:r>
    </w:p>
    <w:p w14:paraId="2A520DE5" w14:textId="5B45948D" w:rsidR="009F523B" w:rsidRDefault="009F523B" w:rsidP="009F523B">
      <w:pPr>
        <w:pStyle w:val="3-BodyText"/>
      </w:pPr>
      <w:r>
        <w:t xml:space="preserve">Key results of the trials excluded by the submission but considered relevant are shown in </w:t>
      </w:r>
      <w:r w:rsidR="00167F2A">
        <w:fldChar w:fldCharType="begin" w:fldLock="1"/>
      </w:r>
      <w:r w:rsidR="00167F2A">
        <w:instrText xml:space="preserve"> REF _Ref141175811 \h </w:instrText>
      </w:r>
      <w:r w:rsidR="00167F2A">
        <w:fldChar w:fldCharType="separate"/>
      </w:r>
      <w:r w:rsidR="0098695D">
        <w:t xml:space="preserve">Table </w:t>
      </w:r>
      <w:r w:rsidR="0098695D">
        <w:rPr>
          <w:noProof/>
        </w:rPr>
        <w:t>10</w:t>
      </w:r>
      <w:r w:rsidR="00167F2A">
        <w:fldChar w:fldCharType="end"/>
      </w:r>
      <w:r>
        <w:t xml:space="preserve">. </w:t>
      </w:r>
    </w:p>
    <w:p w14:paraId="1AF5B706" w14:textId="07F96699" w:rsidR="009F523B" w:rsidRPr="000E0A75" w:rsidRDefault="009F523B" w:rsidP="009F523B">
      <w:pPr>
        <w:pStyle w:val="3-BodyText"/>
      </w:pPr>
      <w:r w:rsidRPr="000E0A75">
        <w:t xml:space="preserve">The most notable </w:t>
      </w:r>
      <w:r w:rsidR="00167C8D" w:rsidRPr="000E0A75">
        <w:t>differences between these trials and SOLSTICE</w:t>
      </w:r>
      <w:r w:rsidRPr="000E0A75">
        <w:t xml:space="preserve"> </w:t>
      </w:r>
      <w:r w:rsidR="00167C8D" w:rsidRPr="000E0A75">
        <w:t>are</w:t>
      </w:r>
      <w:r w:rsidRPr="000E0A75">
        <w:t xml:space="preserve"> the exclusion of patients infected with CMV with mutations conferring resistance to ganciclovir</w:t>
      </w:r>
      <w:r w:rsidR="00167C8D" w:rsidRPr="000E0A75">
        <w:t>, and the requirement in NCT02927067 that patients were experiencing their first post-transplant CMV infection</w:t>
      </w:r>
      <w:r w:rsidR="00494FBC" w:rsidRPr="000E0A75">
        <w:t xml:space="preserve"> and had no</w:t>
      </w:r>
      <w:r w:rsidRPr="000E0A75">
        <w:t xml:space="preserve"> CMV organ disease</w:t>
      </w:r>
      <w:r w:rsidR="00494FBC" w:rsidRPr="000E0A75">
        <w:t>. T</w:t>
      </w:r>
      <w:r w:rsidRPr="000E0A75">
        <w:t>h</w:t>
      </w:r>
      <w:r w:rsidR="00494FBC" w:rsidRPr="000E0A75">
        <w:t>ese exclusion criteria</w:t>
      </w:r>
      <w:r w:rsidR="003D4BFB" w:rsidRPr="000E0A75">
        <w:t xml:space="preserve"> did not make the</w:t>
      </w:r>
      <w:r w:rsidRPr="000E0A75">
        <w:t xml:space="preserve"> population</w:t>
      </w:r>
      <w:r w:rsidR="00494FBC" w:rsidRPr="000E0A75">
        <w:t xml:space="preserve"> in NCT02927067</w:t>
      </w:r>
      <w:r w:rsidRPr="000E0A75">
        <w:t xml:space="preserve"> </w:t>
      </w:r>
      <w:r w:rsidR="003D4BFB" w:rsidRPr="000E0A75">
        <w:t>dis</w:t>
      </w:r>
      <w:r w:rsidRPr="000E0A75">
        <w:t>similar to that in SOLSTICE, in which</w:t>
      </w:r>
      <w:r w:rsidR="00494FBC" w:rsidRPr="000E0A75">
        <w:t xml:space="preserve"> 68.2% of patients were experiencing their first post-transplant CMV infection and</w:t>
      </w:r>
      <w:r w:rsidRPr="000E0A75">
        <w:t xml:space="preserve"> there were few patients with CMV organ disease</w:t>
      </w:r>
      <w:r w:rsidR="00494FBC" w:rsidRPr="000E0A75">
        <w:t xml:space="preserve"> (SOLSTICE CSR, Table 16, p136, and</w:t>
      </w:r>
      <w:r w:rsidR="000258D7" w:rsidRPr="000E0A75">
        <w:t xml:space="preserve"> </w:t>
      </w:r>
      <w:r w:rsidR="000258D7" w:rsidRPr="000E0A75">
        <w:fldChar w:fldCharType="begin" w:fldLock="1"/>
      </w:r>
      <w:r w:rsidR="000258D7" w:rsidRPr="000E0A75">
        <w:instrText xml:space="preserve"> REF _Ref141175748 \h  \* MERGEFORMAT </w:instrText>
      </w:r>
      <w:r w:rsidR="000258D7" w:rsidRPr="000E0A75">
        <w:fldChar w:fldCharType="separate"/>
      </w:r>
      <w:r w:rsidR="0098695D" w:rsidRPr="000E0A75">
        <w:t xml:space="preserve">Table </w:t>
      </w:r>
      <w:r w:rsidR="0098695D" w:rsidRPr="000E0A75">
        <w:rPr>
          <w:noProof/>
        </w:rPr>
        <w:t>7</w:t>
      </w:r>
      <w:r w:rsidR="000258D7" w:rsidRPr="000E0A75">
        <w:fldChar w:fldCharType="end"/>
      </w:r>
      <w:r w:rsidR="00494FBC" w:rsidRPr="000E0A75">
        <w:t>)</w:t>
      </w:r>
      <w:r w:rsidRPr="000E0A75">
        <w:t>.</w:t>
      </w:r>
      <w:r w:rsidR="00906521" w:rsidRPr="000E0A75">
        <w:t xml:space="preserve"> </w:t>
      </w:r>
      <w:r w:rsidR="00566436" w:rsidRPr="00421405">
        <w:t>The ESC also noted that in NCT02927067 only patients with HSCT were included (not SOT).</w:t>
      </w:r>
    </w:p>
    <w:p w14:paraId="25A4B2D1" w14:textId="72BE6441" w:rsidR="009F523B" w:rsidRPr="002D4C68" w:rsidRDefault="00FD6457" w:rsidP="009F523B">
      <w:pPr>
        <w:pStyle w:val="TableFigureHeading"/>
      </w:pPr>
      <w:bookmarkStart w:id="24" w:name="_Ref141175811"/>
      <w:r>
        <w:lastRenderedPageBreak/>
        <w:t xml:space="preserve">Table </w:t>
      </w:r>
      <w:fldSimple w:instr=" SEQ Table \* ARABIC " w:fldLock="1">
        <w:r w:rsidR="0098695D">
          <w:rPr>
            <w:noProof/>
          </w:rPr>
          <w:t>10</w:t>
        </w:r>
      </w:fldSimple>
      <w:bookmarkEnd w:id="24"/>
      <w:r>
        <w:rPr>
          <w:noProof/>
        </w:rPr>
        <w:t xml:space="preserve">: </w:t>
      </w:r>
      <w:r w:rsidR="009F523B" w:rsidRPr="002D4C68">
        <w:t xml:space="preserve">Results of </w:t>
      </w:r>
      <w:r>
        <w:t>r</w:t>
      </w:r>
      <w:r w:rsidR="009F523B" w:rsidRPr="002D4C68">
        <w:t xml:space="preserve">elevant but </w:t>
      </w:r>
      <w:r>
        <w:t>e</w:t>
      </w:r>
      <w:r w:rsidR="009F523B" w:rsidRPr="002D4C68">
        <w:t xml:space="preserve">xcluded </w:t>
      </w:r>
      <w:r>
        <w:t>t</w:t>
      </w:r>
      <w:r w:rsidR="009F523B" w:rsidRPr="002D4C68">
        <w:t xml:space="preserve">rials </w:t>
      </w:r>
    </w:p>
    <w:tbl>
      <w:tblPr>
        <w:tblStyle w:val="TableGrid"/>
        <w:tblW w:w="5000" w:type="pct"/>
        <w:tblLook w:val="04A0" w:firstRow="1" w:lastRow="0" w:firstColumn="1" w:lastColumn="0" w:noHBand="0" w:noVBand="1"/>
        <w:tblCaption w:val="Table 10: Results of relevant but excluded trials "/>
        <w:tblDescription w:val="Table 10: Results of relevant but excluded trials "/>
      </w:tblPr>
      <w:tblGrid>
        <w:gridCol w:w="3256"/>
        <w:gridCol w:w="1842"/>
        <w:gridCol w:w="1418"/>
        <w:gridCol w:w="2501"/>
      </w:tblGrid>
      <w:tr w:rsidR="00A47FCF" w:rsidRPr="000E0A75" w14:paraId="60035A75" w14:textId="77777777" w:rsidTr="00A47FCF">
        <w:tc>
          <w:tcPr>
            <w:tcW w:w="9017" w:type="dxa"/>
            <w:gridSpan w:val="4"/>
          </w:tcPr>
          <w:p w14:paraId="651A2FEA" w14:textId="77777777" w:rsidR="00A47FCF" w:rsidRPr="000E0A75" w:rsidRDefault="00A47FCF" w:rsidP="00A77D5A">
            <w:pPr>
              <w:pStyle w:val="TableText0"/>
              <w:rPr>
                <w:b/>
              </w:rPr>
            </w:pPr>
            <w:r w:rsidRPr="000E0A75">
              <w:rPr>
                <w:b/>
              </w:rPr>
              <w:t>NCT02927067</w:t>
            </w:r>
          </w:p>
          <w:p w14:paraId="38AD00C5" w14:textId="77777777" w:rsidR="00A47FCF" w:rsidRPr="000E0A75" w:rsidRDefault="00A47FCF" w:rsidP="00A77D5A">
            <w:pPr>
              <w:pStyle w:val="TableText0"/>
            </w:pPr>
            <w:r w:rsidRPr="000E0A75">
              <w:rPr>
                <w:b/>
              </w:rPr>
              <w:t>N = 553</w:t>
            </w:r>
          </w:p>
        </w:tc>
      </w:tr>
      <w:tr w:rsidR="00A47FCF" w:rsidRPr="000E0A75" w14:paraId="53FCC7DE" w14:textId="77777777" w:rsidTr="00A47FCF">
        <w:tc>
          <w:tcPr>
            <w:tcW w:w="3256" w:type="dxa"/>
          </w:tcPr>
          <w:p w14:paraId="7BB232FC" w14:textId="77777777" w:rsidR="00A47FCF" w:rsidRPr="000E0A75" w:rsidRDefault="00A47FCF" w:rsidP="00A77D5A">
            <w:pPr>
              <w:pStyle w:val="TableText0"/>
            </w:pPr>
          </w:p>
        </w:tc>
        <w:tc>
          <w:tcPr>
            <w:tcW w:w="1842" w:type="dxa"/>
          </w:tcPr>
          <w:p w14:paraId="7E5AF0BE" w14:textId="77777777" w:rsidR="00A47FCF" w:rsidRPr="000E0A75" w:rsidRDefault="00A47FCF" w:rsidP="00A77D5A">
            <w:pPr>
              <w:pStyle w:val="TableText0"/>
              <w:jc w:val="center"/>
              <w:rPr>
                <w:b/>
                <w:bCs w:val="0"/>
              </w:rPr>
            </w:pPr>
            <w:r w:rsidRPr="000E0A75">
              <w:rPr>
                <w:b/>
                <w:bCs w:val="0"/>
              </w:rPr>
              <w:t>Maribavir</w:t>
            </w:r>
          </w:p>
          <w:p w14:paraId="01D2AB54" w14:textId="77777777" w:rsidR="00A47FCF" w:rsidRPr="000E0A75" w:rsidRDefault="00A47FCF" w:rsidP="00A77D5A">
            <w:pPr>
              <w:pStyle w:val="TableText0"/>
              <w:jc w:val="center"/>
              <w:rPr>
                <w:b/>
                <w:bCs w:val="0"/>
              </w:rPr>
            </w:pPr>
            <w:r w:rsidRPr="000E0A75">
              <w:rPr>
                <w:b/>
                <w:bCs w:val="0"/>
              </w:rPr>
              <w:t>N = 276</w:t>
            </w:r>
          </w:p>
        </w:tc>
        <w:tc>
          <w:tcPr>
            <w:tcW w:w="1418" w:type="dxa"/>
          </w:tcPr>
          <w:p w14:paraId="0A036433" w14:textId="77777777" w:rsidR="00A47FCF" w:rsidRPr="000E0A75" w:rsidRDefault="00A47FCF" w:rsidP="00A77D5A">
            <w:pPr>
              <w:pStyle w:val="TableText0"/>
              <w:jc w:val="center"/>
              <w:rPr>
                <w:b/>
                <w:bCs w:val="0"/>
              </w:rPr>
            </w:pPr>
            <w:r w:rsidRPr="000E0A75">
              <w:rPr>
                <w:b/>
                <w:bCs w:val="0"/>
              </w:rPr>
              <w:t>Valganciclovir</w:t>
            </w:r>
          </w:p>
          <w:p w14:paraId="3F27B23A" w14:textId="77777777" w:rsidR="00A47FCF" w:rsidRPr="000E0A75" w:rsidRDefault="00A47FCF" w:rsidP="00A77D5A">
            <w:pPr>
              <w:pStyle w:val="TableText0"/>
              <w:jc w:val="center"/>
              <w:rPr>
                <w:b/>
                <w:bCs w:val="0"/>
              </w:rPr>
            </w:pPr>
            <w:r w:rsidRPr="000E0A75">
              <w:rPr>
                <w:b/>
                <w:bCs w:val="0"/>
              </w:rPr>
              <w:t>N = 277</w:t>
            </w:r>
          </w:p>
        </w:tc>
        <w:tc>
          <w:tcPr>
            <w:tcW w:w="2501" w:type="dxa"/>
          </w:tcPr>
          <w:p w14:paraId="70ED204B" w14:textId="77777777" w:rsidR="00A47FCF" w:rsidRPr="000E0A75" w:rsidRDefault="00A47FCF" w:rsidP="00A77D5A">
            <w:pPr>
              <w:pStyle w:val="TableText0"/>
              <w:jc w:val="center"/>
              <w:rPr>
                <w:b/>
                <w:bCs w:val="0"/>
              </w:rPr>
            </w:pPr>
            <w:r w:rsidRPr="000E0A75">
              <w:rPr>
                <w:b/>
                <w:bCs w:val="0"/>
              </w:rPr>
              <w:t>Adjusted difference (95% CI) maribavir – valganciclovir</w:t>
            </w:r>
            <w:r w:rsidRPr="000E0A75">
              <w:rPr>
                <w:b/>
                <w:bCs w:val="0"/>
                <w:vertAlign w:val="superscript"/>
              </w:rPr>
              <w:t>a</w:t>
            </w:r>
          </w:p>
        </w:tc>
      </w:tr>
      <w:tr w:rsidR="00A47FCF" w:rsidRPr="000E0A75" w14:paraId="1BD4FEC9" w14:textId="77777777" w:rsidTr="00A47FCF">
        <w:tc>
          <w:tcPr>
            <w:tcW w:w="3256" w:type="dxa"/>
          </w:tcPr>
          <w:p w14:paraId="238C7BC6" w14:textId="7C904006" w:rsidR="00A47FCF" w:rsidRPr="000E0A75" w:rsidRDefault="00A47FCF" w:rsidP="00A77D5A">
            <w:pPr>
              <w:pStyle w:val="TableText0"/>
            </w:pPr>
            <w:r w:rsidRPr="000E0A75">
              <w:t>Completed 8 w</w:t>
            </w:r>
            <w:r w:rsidR="00AB45F5">
              <w:t>ee</w:t>
            </w:r>
            <w:r w:rsidRPr="000E0A75">
              <w:t>k treatment, n (%)</w:t>
            </w:r>
          </w:p>
        </w:tc>
        <w:tc>
          <w:tcPr>
            <w:tcW w:w="1842" w:type="dxa"/>
          </w:tcPr>
          <w:p w14:paraId="5F751286" w14:textId="77777777" w:rsidR="00A47FCF" w:rsidRPr="000E0A75" w:rsidRDefault="00A47FCF" w:rsidP="00A77D5A">
            <w:pPr>
              <w:pStyle w:val="TableText0"/>
              <w:jc w:val="center"/>
            </w:pPr>
            <w:r w:rsidRPr="000E0A75">
              <w:t>179 (64.9%)</w:t>
            </w:r>
          </w:p>
        </w:tc>
        <w:tc>
          <w:tcPr>
            <w:tcW w:w="1418" w:type="dxa"/>
          </w:tcPr>
          <w:p w14:paraId="29549658" w14:textId="77777777" w:rsidR="00A47FCF" w:rsidRPr="000E0A75" w:rsidRDefault="00A47FCF" w:rsidP="00A77D5A">
            <w:pPr>
              <w:pStyle w:val="TableText0"/>
              <w:jc w:val="center"/>
            </w:pPr>
            <w:r w:rsidRPr="000E0A75">
              <w:t>140 (50.5%)</w:t>
            </w:r>
          </w:p>
        </w:tc>
        <w:tc>
          <w:tcPr>
            <w:tcW w:w="2501" w:type="dxa"/>
          </w:tcPr>
          <w:p w14:paraId="2D186485" w14:textId="77777777" w:rsidR="00A47FCF" w:rsidRPr="000E0A75" w:rsidRDefault="00A47FCF" w:rsidP="00A77D5A">
            <w:pPr>
              <w:pStyle w:val="TableText0"/>
              <w:jc w:val="center"/>
            </w:pPr>
            <w:r w:rsidRPr="000E0A75">
              <w:t>NR</w:t>
            </w:r>
          </w:p>
        </w:tc>
      </w:tr>
      <w:tr w:rsidR="00A47FCF" w:rsidRPr="000E0A75" w14:paraId="10EDF2B7" w14:textId="77777777" w:rsidTr="00A47FCF">
        <w:tc>
          <w:tcPr>
            <w:tcW w:w="3256" w:type="dxa"/>
          </w:tcPr>
          <w:p w14:paraId="553F2EE6" w14:textId="738FBCF1" w:rsidR="00A47FCF" w:rsidRPr="000E0A75" w:rsidRDefault="00A47FCF" w:rsidP="00A77D5A">
            <w:pPr>
              <w:pStyle w:val="TableText0"/>
            </w:pPr>
            <w:r w:rsidRPr="000E0A75">
              <w:t xml:space="preserve">CMV </w:t>
            </w:r>
            <w:r w:rsidR="003F2CC0">
              <w:t>viraemia</w:t>
            </w:r>
            <w:r w:rsidRPr="000E0A75">
              <w:t xml:space="preserve"> clearance at 8 w</w:t>
            </w:r>
            <w:r w:rsidR="00AB45F5">
              <w:t>ee</w:t>
            </w:r>
            <w:r w:rsidRPr="000E0A75">
              <w:t>k, n (%)</w:t>
            </w:r>
          </w:p>
        </w:tc>
        <w:tc>
          <w:tcPr>
            <w:tcW w:w="1842" w:type="dxa"/>
            <w:vAlign w:val="center"/>
          </w:tcPr>
          <w:p w14:paraId="73F70B23" w14:textId="77777777" w:rsidR="00A47FCF" w:rsidRPr="000E0A75" w:rsidRDefault="00A47FCF" w:rsidP="00A77D5A">
            <w:pPr>
              <w:pStyle w:val="TableText0"/>
              <w:jc w:val="center"/>
            </w:pPr>
            <w:r w:rsidRPr="000E0A75">
              <w:t>190 (68.8%)</w:t>
            </w:r>
          </w:p>
        </w:tc>
        <w:tc>
          <w:tcPr>
            <w:tcW w:w="1418" w:type="dxa"/>
            <w:vAlign w:val="center"/>
          </w:tcPr>
          <w:p w14:paraId="677338E5" w14:textId="77777777" w:rsidR="00A47FCF" w:rsidRPr="000E0A75" w:rsidRDefault="00A47FCF" w:rsidP="00A77D5A">
            <w:pPr>
              <w:pStyle w:val="TableText0"/>
              <w:jc w:val="center"/>
            </w:pPr>
            <w:r w:rsidRPr="000E0A75">
              <w:t>212 (76.5%)</w:t>
            </w:r>
          </w:p>
        </w:tc>
        <w:tc>
          <w:tcPr>
            <w:tcW w:w="2501" w:type="dxa"/>
            <w:vAlign w:val="center"/>
          </w:tcPr>
          <w:p w14:paraId="4A5A9AB5" w14:textId="77777777" w:rsidR="00A47FCF" w:rsidRPr="000E0A75" w:rsidRDefault="00A47FCF" w:rsidP="00A77D5A">
            <w:pPr>
              <w:pStyle w:val="TableText0"/>
              <w:jc w:val="center"/>
            </w:pPr>
            <w:r w:rsidRPr="000E0A75">
              <w:rPr>
                <w:b/>
              </w:rPr>
              <w:t>- 7.7% (-15.0, -0.36)</w:t>
            </w:r>
            <w:r w:rsidRPr="000E0A75">
              <w:rPr>
                <w:b/>
                <w:vertAlign w:val="superscript"/>
              </w:rPr>
              <w:t>c</w:t>
            </w:r>
          </w:p>
        </w:tc>
      </w:tr>
      <w:tr w:rsidR="00A47FCF" w:rsidRPr="000E0A75" w14:paraId="59E864B4" w14:textId="77777777" w:rsidTr="00A47FCF">
        <w:tc>
          <w:tcPr>
            <w:tcW w:w="3256" w:type="dxa"/>
          </w:tcPr>
          <w:p w14:paraId="13850B9C" w14:textId="77777777" w:rsidR="00A47FCF" w:rsidRPr="000E0A75" w:rsidRDefault="00A47FCF" w:rsidP="00A77D5A">
            <w:pPr>
              <w:pStyle w:val="TableText0"/>
            </w:pPr>
            <w:r w:rsidRPr="000E0A75">
              <w:t>New resistance to ganciclovir or foscarnet or cidofovir or maribavir</w:t>
            </w:r>
            <w:r w:rsidRPr="000E0A75">
              <w:rPr>
                <w:vertAlign w:val="superscript"/>
              </w:rPr>
              <w:t>b</w:t>
            </w:r>
            <w:r w:rsidRPr="000E0A75">
              <w:t>, n (%)</w:t>
            </w:r>
          </w:p>
        </w:tc>
        <w:tc>
          <w:tcPr>
            <w:tcW w:w="1842" w:type="dxa"/>
            <w:vAlign w:val="center"/>
          </w:tcPr>
          <w:p w14:paraId="721B0AD4" w14:textId="77777777" w:rsidR="00A47FCF" w:rsidRPr="000E0A75" w:rsidRDefault="00A47FCF" w:rsidP="00A77D5A">
            <w:pPr>
              <w:pStyle w:val="TableText0"/>
              <w:jc w:val="center"/>
            </w:pPr>
            <w:r w:rsidRPr="000E0A75">
              <w:t>24 (8.8%)</w:t>
            </w:r>
          </w:p>
        </w:tc>
        <w:tc>
          <w:tcPr>
            <w:tcW w:w="1418" w:type="dxa"/>
            <w:vAlign w:val="center"/>
          </w:tcPr>
          <w:p w14:paraId="127B58D6" w14:textId="77777777" w:rsidR="00A47FCF" w:rsidRPr="000E0A75" w:rsidRDefault="00A47FCF" w:rsidP="00A77D5A">
            <w:pPr>
              <w:pStyle w:val="TableText0"/>
              <w:jc w:val="center"/>
            </w:pPr>
            <w:r w:rsidRPr="000E0A75">
              <w:t>8 (2.9%)</w:t>
            </w:r>
          </w:p>
        </w:tc>
        <w:tc>
          <w:tcPr>
            <w:tcW w:w="2501" w:type="dxa"/>
            <w:vAlign w:val="center"/>
          </w:tcPr>
          <w:p w14:paraId="210BB9EC" w14:textId="77777777" w:rsidR="00A47FCF" w:rsidRPr="000E0A75" w:rsidRDefault="00A47FCF" w:rsidP="00A77D5A">
            <w:pPr>
              <w:pStyle w:val="TableText0"/>
              <w:jc w:val="center"/>
            </w:pPr>
            <w:r w:rsidRPr="000E0A75">
              <w:t>NR</w:t>
            </w:r>
          </w:p>
        </w:tc>
      </w:tr>
      <w:tr w:rsidR="00A47FCF" w:rsidRPr="000E0A75" w14:paraId="363CFBEB" w14:textId="77777777" w:rsidTr="00A47FCF">
        <w:tc>
          <w:tcPr>
            <w:tcW w:w="3256" w:type="dxa"/>
          </w:tcPr>
          <w:p w14:paraId="436C42A7" w14:textId="77777777" w:rsidR="00A47FCF" w:rsidRPr="000E0A75" w:rsidRDefault="00A47FCF" w:rsidP="00A77D5A">
            <w:pPr>
              <w:pStyle w:val="TableText0"/>
            </w:pPr>
            <w:r w:rsidRPr="000E0A75">
              <w:t>All-cause mortality, n (%)</w:t>
            </w:r>
          </w:p>
        </w:tc>
        <w:tc>
          <w:tcPr>
            <w:tcW w:w="1842" w:type="dxa"/>
            <w:vAlign w:val="center"/>
          </w:tcPr>
          <w:p w14:paraId="2B45E4C6" w14:textId="77777777" w:rsidR="00A47FCF" w:rsidRPr="000E0A75" w:rsidRDefault="00A47FCF" w:rsidP="00A77D5A">
            <w:pPr>
              <w:pStyle w:val="TableText0"/>
              <w:jc w:val="center"/>
            </w:pPr>
            <w:r w:rsidRPr="000E0A75">
              <w:t>37 (13.4%)</w:t>
            </w:r>
          </w:p>
        </w:tc>
        <w:tc>
          <w:tcPr>
            <w:tcW w:w="1418" w:type="dxa"/>
            <w:vAlign w:val="center"/>
          </w:tcPr>
          <w:p w14:paraId="33664D2F" w14:textId="77777777" w:rsidR="00A47FCF" w:rsidRPr="000E0A75" w:rsidRDefault="00A47FCF" w:rsidP="00A77D5A">
            <w:pPr>
              <w:pStyle w:val="TableText0"/>
              <w:jc w:val="center"/>
            </w:pPr>
            <w:r w:rsidRPr="000E0A75">
              <w:t>29 (10.5%)</w:t>
            </w:r>
          </w:p>
        </w:tc>
        <w:tc>
          <w:tcPr>
            <w:tcW w:w="2501" w:type="dxa"/>
            <w:vAlign w:val="center"/>
          </w:tcPr>
          <w:p w14:paraId="76ABC1F6" w14:textId="77777777" w:rsidR="00A47FCF" w:rsidRPr="000E0A75" w:rsidRDefault="00A47FCF" w:rsidP="00A77D5A">
            <w:pPr>
              <w:pStyle w:val="TableText0"/>
              <w:jc w:val="center"/>
            </w:pPr>
            <w:r w:rsidRPr="000E0A75">
              <w:t>NR</w:t>
            </w:r>
          </w:p>
        </w:tc>
      </w:tr>
      <w:tr w:rsidR="00A47FCF" w:rsidRPr="000E0A75" w14:paraId="111A3DFF" w14:textId="77777777" w:rsidTr="00A47FCF">
        <w:tc>
          <w:tcPr>
            <w:tcW w:w="9017" w:type="dxa"/>
            <w:gridSpan w:val="4"/>
            <w:vAlign w:val="center"/>
          </w:tcPr>
          <w:p w14:paraId="5C994275" w14:textId="56B5B362" w:rsidR="00A47FCF" w:rsidRPr="000E0A75" w:rsidRDefault="00A47FCF" w:rsidP="00A77D5A">
            <w:pPr>
              <w:pStyle w:val="TableText0"/>
              <w:rPr>
                <w:b/>
              </w:rPr>
            </w:pPr>
            <w:r w:rsidRPr="000E0A75">
              <w:rPr>
                <w:b/>
              </w:rPr>
              <w:t>Maertens et al, 2019</w:t>
            </w:r>
          </w:p>
          <w:p w14:paraId="7E976568" w14:textId="77777777" w:rsidR="00A47FCF" w:rsidRPr="000E0A75" w:rsidRDefault="00A47FCF" w:rsidP="00A77D5A">
            <w:pPr>
              <w:pStyle w:val="TableText0"/>
              <w:rPr>
                <w:b/>
              </w:rPr>
            </w:pPr>
            <w:r w:rsidRPr="000E0A75">
              <w:rPr>
                <w:b/>
              </w:rPr>
              <w:t>N = 161</w:t>
            </w:r>
          </w:p>
        </w:tc>
      </w:tr>
      <w:tr w:rsidR="00A47FCF" w:rsidRPr="000E0A75" w14:paraId="02BB7577" w14:textId="77777777" w:rsidTr="00A47FCF">
        <w:tc>
          <w:tcPr>
            <w:tcW w:w="3256" w:type="dxa"/>
          </w:tcPr>
          <w:p w14:paraId="36C912D0" w14:textId="77777777" w:rsidR="00A47FCF" w:rsidRPr="000E0A75" w:rsidRDefault="00A47FCF" w:rsidP="00A77D5A">
            <w:pPr>
              <w:pStyle w:val="TableText0"/>
            </w:pPr>
          </w:p>
        </w:tc>
        <w:tc>
          <w:tcPr>
            <w:tcW w:w="1842" w:type="dxa"/>
            <w:vAlign w:val="center"/>
          </w:tcPr>
          <w:p w14:paraId="5AE391B9" w14:textId="77777777" w:rsidR="00A47FCF" w:rsidRPr="000E0A75" w:rsidRDefault="00A47FCF" w:rsidP="00A77D5A">
            <w:pPr>
              <w:pStyle w:val="TableText0"/>
              <w:jc w:val="center"/>
              <w:rPr>
                <w:b/>
                <w:bCs w:val="0"/>
              </w:rPr>
            </w:pPr>
            <w:r w:rsidRPr="000E0A75">
              <w:rPr>
                <w:b/>
                <w:bCs w:val="0"/>
              </w:rPr>
              <w:t>Maribavir 400 mg bd</w:t>
            </w:r>
          </w:p>
          <w:p w14:paraId="675A5014" w14:textId="77777777" w:rsidR="00A47FCF" w:rsidRPr="000E0A75" w:rsidRDefault="00A47FCF" w:rsidP="00A77D5A">
            <w:pPr>
              <w:pStyle w:val="TableText0"/>
              <w:jc w:val="center"/>
              <w:rPr>
                <w:b/>
                <w:bCs w:val="0"/>
              </w:rPr>
            </w:pPr>
            <w:r w:rsidRPr="000E0A75">
              <w:rPr>
                <w:b/>
                <w:bCs w:val="0"/>
              </w:rPr>
              <w:t>N = 39</w:t>
            </w:r>
          </w:p>
        </w:tc>
        <w:tc>
          <w:tcPr>
            <w:tcW w:w="1418" w:type="dxa"/>
            <w:vAlign w:val="center"/>
          </w:tcPr>
          <w:p w14:paraId="0EBF025C" w14:textId="77777777" w:rsidR="00A47FCF" w:rsidRPr="000E0A75" w:rsidRDefault="00A47FCF" w:rsidP="00A77D5A">
            <w:pPr>
              <w:pStyle w:val="TableText0"/>
              <w:jc w:val="center"/>
              <w:rPr>
                <w:b/>
                <w:bCs w:val="0"/>
              </w:rPr>
            </w:pPr>
            <w:r w:rsidRPr="000E0A75">
              <w:rPr>
                <w:b/>
                <w:bCs w:val="0"/>
              </w:rPr>
              <w:t>Valganciclovir</w:t>
            </w:r>
          </w:p>
          <w:p w14:paraId="50CA36E6" w14:textId="77777777" w:rsidR="00A47FCF" w:rsidRPr="000E0A75" w:rsidRDefault="00A47FCF" w:rsidP="00A77D5A">
            <w:pPr>
              <w:pStyle w:val="TableText0"/>
              <w:jc w:val="center"/>
              <w:rPr>
                <w:b/>
                <w:bCs w:val="0"/>
              </w:rPr>
            </w:pPr>
            <w:r w:rsidRPr="000E0A75">
              <w:rPr>
                <w:b/>
                <w:bCs w:val="0"/>
              </w:rPr>
              <w:t>N = 40</w:t>
            </w:r>
          </w:p>
        </w:tc>
        <w:tc>
          <w:tcPr>
            <w:tcW w:w="2501" w:type="dxa"/>
            <w:vAlign w:val="center"/>
          </w:tcPr>
          <w:p w14:paraId="78A8E739" w14:textId="77777777" w:rsidR="00A47FCF" w:rsidRPr="000E0A75" w:rsidRDefault="00A47FCF" w:rsidP="00A77D5A">
            <w:pPr>
              <w:pStyle w:val="TableText0"/>
              <w:jc w:val="center"/>
              <w:rPr>
                <w:b/>
                <w:bCs w:val="0"/>
              </w:rPr>
            </w:pPr>
            <w:r w:rsidRPr="000E0A75">
              <w:rPr>
                <w:b/>
                <w:bCs w:val="0"/>
              </w:rPr>
              <w:t>Risk ratio (95% CI) maribavir/valganciclovir</w:t>
            </w:r>
          </w:p>
        </w:tc>
      </w:tr>
      <w:tr w:rsidR="00A47FCF" w:rsidRPr="000E0A75" w14:paraId="01431230" w14:textId="77777777" w:rsidTr="00A47FCF">
        <w:tc>
          <w:tcPr>
            <w:tcW w:w="3256" w:type="dxa"/>
          </w:tcPr>
          <w:p w14:paraId="6C95FE2A" w14:textId="168E8E75" w:rsidR="00A47FCF" w:rsidRPr="000E0A75" w:rsidRDefault="00A47FCF" w:rsidP="00A77D5A">
            <w:pPr>
              <w:pStyle w:val="TableText0"/>
            </w:pPr>
            <w:r w:rsidRPr="000E0A75">
              <w:t xml:space="preserve">CMV </w:t>
            </w:r>
            <w:r w:rsidR="003F2CC0">
              <w:t>viraemia</w:t>
            </w:r>
            <w:r w:rsidRPr="000E0A75">
              <w:t xml:space="preserve"> clearance within 3 w</w:t>
            </w:r>
            <w:r w:rsidR="00AB45F5">
              <w:t>ee</w:t>
            </w:r>
            <w:r w:rsidRPr="000E0A75">
              <w:t>k, n (%)</w:t>
            </w:r>
          </w:p>
        </w:tc>
        <w:tc>
          <w:tcPr>
            <w:tcW w:w="1842" w:type="dxa"/>
            <w:vAlign w:val="center"/>
          </w:tcPr>
          <w:p w14:paraId="51448A58" w14:textId="77777777" w:rsidR="00A47FCF" w:rsidRPr="000E0A75" w:rsidRDefault="00A47FCF" w:rsidP="00A77D5A">
            <w:pPr>
              <w:pStyle w:val="TableText0"/>
              <w:jc w:val="center"/>
            </w:pPr>
            <w:r w:rsidRPr="000E0A75">
              <w:t>26 (66.7%)</w:t>
            </w:r>
          </w:p>
        </w:tc>
        <w:tc>
          <w:tcPr>
            <w:tcW w:w="1418" w:type="dxa"/>
            <w:vAlign w:val="center"/>
          </w:tcPr>
          <w:p w14:paraId="4D7C30C1" w14:textId="77777777" w:rsidR="00A47FCF" w:rsidRPr="000E0A75" w:rsidRDefault="00A47FCF" w:rsidP="00A77D5A">
            <w:pPr>
              <w:pStyle w:val="TableText0"/>
              <w:jc w:val="center"/>
            </w:pPr>
            <w:r w:rsidRPr="000E0A75">
              <w:t>22 (55.0%)</w:t>
            </w:r>
          </w:p>
        </w:tc>
        <w:tc>
          <w:tcPr>
            <w:tcW w:w="2501" w:type="dxa"/>
            <w:vAlign w:val="center"/>
          </w:tcPr>
          <w:p w14:paraId="30672D56" w14:textId="77777777" w:rsidR="00A47FCF" w:rsidRPr="000E0A75" w:rsidRDefault="00A47FCF" w:rsidP="00A77D5A">
            <w:pPr>
              <w:pStyle w:val="TableText0"/>
              <w:jc w:val="center"/>
            </w:pPr>
            <w:r w:rsidRPr="000E0A75">
              <w:t>1.18 (0.86, 1.63)</w:t>
            </w:r>
          </w:p>
        </w:tc>
      </w:tr>
      <w:tr w:rsidR="00A47FCF" w:rsidRPr="000E0A75" w14:paraId="0E692977" w14:textId="77777777" w:rsidTr="00A47FCF">
        <w:tc>
          <w:tcPr>
            <w:tcW w:w="3256" w:type="dxa"/>
          </w:tcPr>
          <w:p w14:paraId="051D7C08" w14:textId="42DC3AAD" w:rsidR="00A47FCF" w:rsidRPr="000E0A75" w:rsidRDefault="00A47FCF" w:rsidP="00A77D5A">
            <w:pPr>
              <w:pStyle w:val="TableText0"/>
            </w:pPr>
            <w:r w:rsidRPr="000E0A75">
              <w:t xml:space="preserve">CMV </w:t>
            </w:r>
            <w:r w:rsidR="003F2CC0">
              <w:t>viraemia</w:t>
            </w:r>
            <w:r w:rsidRPr="000E0A75">
              <w:t xml:space="preserve"> clearance within 6 w</w:t>
            </w:r>
            <w:r w:rsidR="00AB45F5">
              <w:t>ee</w:t>
            </w:r>
            <w:r w:rsidRPr="000E0A75">
              <w:t>k, n (%)</w:t>
            </w:r>
          </w:p>
        </w:tc>
        <w:tc>
          <w:tcPr>
            <w:tcW w:w="1842" w:type="dxa"/>
            <w:vAlign w:val="center"/>
          </w:tcPr>
          <w:p w14:paraId="572BE20C" w14:textId="77777777" w:rsidR="00A47FCF" w:rsidRPr="000E0A75" w:rsidRDefault="00A47FCF" w:rsidP="00A77D5A">
            <w:pPr>
              <w:pStyle w:val="TableText0"/>
              <w:jc w:val="center"/>
            </w:pPr>
            <w:r w:rsidRPr="000E0A75">
              <w:t>31 (79%)</w:t>
            </w:r>
          </w:p>
        </w:tc>
        <w:tc>
          <w:tcPr>
            <w:tcW w:w="1418" w:type="dxa"/>
            <w:vAlign w:val="center"/>
          </w:tcPr>
          <w:p w14:paraId="498BD2F8" w14:textId="77777777" w:rsidR="00A47FCF" w:rsidRPr="000E0A75" w:rsidRDefault="00A47FCF" w:rsidP="00A77D5A">
            <w:pPr>
              <w:pStyle w:val="TableText0"/>
              <w:jc w:val="center"/>
            </w:pPr>
            <w:r w:rsidRPr="000E0A75">
              <w:t>26 (67%)</w:t>
            </w:r>
          </w:p>
        </w:tc>
        <w:tc>
          <w:tcPr>
            <w:tcW w:w="2501" w:type="dxa"/>
            <w:vAlign w:val="center"/>
          </w:tcPr>
          <w:p w14:paraId="142945D8" w14:textId="77777777" w:rsidR="00A47FCF" w:rsidRPr="000E0A75" w:rsidRDefault="00A47FCF" w:rsidP="00A77D5A">
            <w:pPr>
              <w:pStyle w:val="TableText0"/>
              <w:jc w:val="center"/>
            </w:pPr>
            <w:r w:rsidRPr="000E0A75">
              <w:t>1.19 (0.92, 1.55)</w:t>
            </w:r>
          </w:p>
        </w:tc>
      </w:tr>
      <w:tr w:rsidR="00A47FCF" w:rsidRPr="000E0A75" w14:paraId="3797C3E8" w14:textId="77777777" w:rsidTr="00A47FCF">
        <w:tc>
          <w:tcPr>
            <w:tcW w:w="3256" w:type="dxa"/>
          </w:tcPr>
          <w:p w14:paraId="73688455" w14:textId="77777777" w:rsidR="00A47FCF" w:rsidRPr="000E0A75" w:rsidRDefault="00A47FCF" w:rsidP="00A77D5A">
            <w:pPr>
              <w:pStyle w:val="TableText0"/>
            </w:pPr>
            <w:r w:rsidRPr="000E0A75">
              <w:t>Death, n (%)</w:t>
            </w:r>
          </w:p>
        </w:tc>
        <w:tc>
          <w:tcPr>
            <w:tcW w:w="1842" w:type="dxa"/>
            <w:vAlign w:val="center"/>
          </w:tcPr>
          <w:p w14:paraId="0BA9A35F" w14:textId="77777777" w:rsidR="00A47FCF" w:rsidRPr="000E0A75" w:rsidRDefault="00A47FCF" w:rsidP="00A77D5A">
            <w:pPr>
              <w:pStyle w:val="TableText0"/>
              <w:jc w:val="center"/>
            </w:pPr>
            <w:r w:rsidRPr="000E0A75">
              <w:t>2 (5%)</w:t>
            </w:r>
          </w:p>
        </w:tc>
        <w:tc>
          <w:tcPr>
            <w:tcW w:w="1418" w:type="dxa"/>
            <w:vAlign w:val="center"/>
          </w:tcPr>
          <w:p w14:paraId="05ED3BF9" w14:textId="77777777" w:rsidR="00A47FCF" w:rsidRPr="000E0A75" w:rsidRDefault="00A47FCF" w:rsidP="00A77D5A">
            <w:pPr>
              <w:pStyle w:val="TableText0"/>
              <w:jc w:val="center"/>
            </w:pPr>
            <w:r w:rsidRPr="000E0A75">
              <w:t>3 (8%)</w:t>
            </w:r>
          </w:p>
        </w:tc>
        <w:tc>
          <w:tcPr>
            <w:tcW w:w="2501" w:type="dxa"/>
            <w:vAlign w:val="center"/>
          </w:tcPr>
          <w:p w14:paraId="7922655E" w14:textId="77777777" w:rsidR="00A47FCF" w:rsidRPr="000E0A75" w:rsidRDefault="00A47FCF" w:rsidP="00A77D5A">
            <w:pPr>
              <w:pStyle w:val="TableText0"/>
              <w:jc w:val="center"/>
            </w:pPr>
            <w:r w:rsidRPr="000E0A75">
              <w:t>NR</w:t>
            </w:r>
          </w:p>
        </w:tc>
      </w:tr>
    </w:tbl>
    <w:p w14:paraId="111AEA57" w14:textId="049C0A77" w:rsidR="00167F2A" w:rsidRDefault="009F523B" w:rsidP="009F523B">
      <w:pPr>
        <w:pStyle w:val="TableFooter"/>
        <w:rPr>
          <w:rFonts w:asciiTheme="minorHAnsi" w:hAnsiTheme="minorHAnsi" w:cstheme="minorBidi"/>
        </w:rPr>
      </w:pPr>
      <w:r w:rsidRPr="002D4C68">
        <w:t xml:space="preserve">Source: </w:t>
      </w:r>
      <w:hyperlink r:id="rId9" w:history="1">
        <w:r w:rsidRPr="002D4C68">
          <w:rPr>
            <w:rStyle w:val="Hyperlink"/>
            <w:szCs w:val="18"/>
          </w:rPr>
          <w:t>https://clinicaltrials.gov/study/NCT02927067</w:t>
        </w:r>
      </w:hyperlink>
      <w:r w:rsidRPr="002D4C68">
        <w:t xml:space="preserve"> (accessed 15 July, 2023); </w:t>
      </w:r>
      <w:r w:rsidR="00167F2A" w:rsidRPr="000E0A75">
        <w:t xml:space="preserve">Maertens J, Cordonnier C, Jaksch P, </w:t>
      </w:r>
      <w:r w:rsidR="00167F2A" w:rsidRPr="000E0A75">
        <w:rPr>
          <w:rStyle w:val="TableFooterChar"/>
        </w:rPr>
        <w:t>Poire X</w:t>
      </w:r>
      <w:r w:rsidR="00167F2A" w:rsidRPr="000E0A75">
        <w:t xml:space="preserve"> et al. </w:t>
      </w:r>
      <w:r w:rsidR="00167F2A" w:rsidRPr="000E0A75">
        <w:rPr>
          <w:rFonts w:cstheme="minorBidi"/>
        </w:rPr>
        <w:t xml:space="preserve">Maribavir for </w:t>
      </w:r>
      <w:r w:rsidR="006C36CC" w:rsidRPr="000E0A75">
        <w:t>p</w:t>
      </w:r>
      <w:r w:rsidR="006C36CC" w:rsidRPr="000E0A75">
        <w:rPr>
          <w:rFonts w:cstheme="minorBidi"/>
        </w:rPr>
        <w:t>re-emptive</w:t>
      </w:r>
      <w:r w:rsidR="00167F2A" w:rsidRPr="000E0A75">
        <w:rPr>
          <w:rFonts w:cstheme="minorBidi"/>
        </w:rPr>
        <w:t xml:space="preserve"> </w:t>
      </w:r>
      <w:r w:rsidR="00167F2A" w:rsidRPr="000E0A75">
        <w:t>t</w:t>
      </w:r>
      <w:r w:rsidR="00167F2A" w:rsidRPr="000E0A75">
        <w:rPr>
          <w:rFonts w:cstheme="minorBidi"/>
        </w:rPr>
        <w:t xml:space="preserve">reatment of </w:t>
      </w:r>
      <w:r w:rsidR="00167F2A" w:rsidRPr="000E0A75">
        <w:t>c</w:t>
      </w:r>
      <w:r w:rsidR="00167F2A" w:rsidRPr="000E0A75">
        <w:rPr>
          <w:rFonts w:cstheme="minorBidi"/>
        </w:rPr>
        <w:t xml:space="preserve">ytomegalovirus </w:t>
      </w:r>
      <w:r w:rsidR="00167F2A" w:rsidRPr="000E0A75">
        <w:t>r</w:t>
      </w:r>
      <w:r w:rsidR="00167F2A" w:rsidRPr="000E0A75">
        <w:rPr>
          <w:rFonts w:cstheme="minorBidi"/>
        </w:rPr>
        <w:t>eactivation</w:t>
      </w:r>
      <w:r w:rsidR="00167F2A" w:rsidRPr="000E0A75">
        <w:t>. NEJM 2019; 381(12):1136-1147.</w:t>
      </w:r>
      <w:r w:rsidR="00906521">
        <w:t xml:space="preserve"> </w:t>
      </w:r>
    </w:p>
    <w:p w14:paraId="5246576E" w14:textId="0FBD03E0" w:rsidR="009F523B" w:rsidRPr="00A47FCF" w:rsidRDefault="00444F02" w:rsidP="009F523B">
      <w:pPr>
        <w:pStyle w:val="TableFooter"/>
      </w:pPr>
      <w:r>
        <w:rPr>
          <w:rFonts w:cstheme="minorBidi"/>
        </w:rPr>
        <w:t>b</w:t>
      </w:r>
      <w:r w:rsidR="00167F2A" w:rsidRPr="00A47FCF">
        <w:rPr>
          <w:rFonts w:cstheme="minorBidi"/>
        </w:rPr>
        <w:t xml:space="preserve">d = twice daily; </w:t>
      </w:r>
      <w:r w:rsidR="009F523B" w:rsidRPr="00A47FCF">
        <w:t xml:space="preserve">CI = </w:t>
      </w:r>
      <w:r w:rsidR="00167F2A" w:rsidRPr="00A47FCF">
        <w:t>c</w:t>
      </w:r>
      <w:r w:rsidR="009F523B" w:rsidRPr="00A47FCF">
        <w:t xml:space="preserve">onfidence </w:t>
      </w:r>
      <w:r w:rsidR="00167F2A" w:rsidRPr="00A47FCF">
        <w:t>i</w:t>
      </w:r>
      <w:r w:rsidR="009F523B" w:rsidRPr="00A47FCF">
        <w:t>nterval; CMV = cytomegalovirus</w:t>
      </w:r>
      <w:r w:rsidR="00A47FCF" w:rsidRPr="00A47FCF">
        <w:t xml:space="preserve">; </w:t>
      </w:r>
      <w:r>
        <w:t>NR = not reported</w:t>
      </w:r>
    </w:p>
    <w:p w14:paraId="3E8AE9CB" w14:textId="36CBA784" w:rsidR="009F523B" w:rsidRPr="002D4C68" w:rsidRDefault="004D64DF" w:rsidP="004D64DF">
      <w:pPr>
        <w:pStyle w:val="TableFooter"/>
        <w:tabs>
          <w:tab w:val="left" w:pos="142"/>
        </w:tabs>
      </w:pPr>
      <w:r>
        <w:rPr>
          <w:vertAlign w:val="superscript"/>
        </w:rPr>
        <w:t>a</w:t>
      </w:r>
      <w:r w:rsidR="009F523B" w:rsidRPr="002D4C68">
        <w:t xml:space="preserve"> </w:t>
      </w:r>
      <w:r>
        <w:tab/>
      </w:r>
      <w:r w:rsidR="009F523B" w:rsidRPr="002D4C68">
        <w:t>Adjusted for baseline plasma CMV DNA concentration and acute GVHD status.</w:t>
      </w:r>
    </w:p>
    <w:p w14:paraId="7237EA22" w14:textId="3DE63557" w:rsidR="009F523B" w:rsidRPr="002D4C68" w:rsidRDefault="004D64DF" w:rsidP="004D64DF">
      <w:pPr>
        <w:pStyle w:val="TableFooter"/>
        <w:tabs>
          <w:tab w:val="left" w:pos="142"/>
        </w:tabs>
      </w:pPr>
      <w:r>
        <w:rPr>
          <w:vertAlign w:val="superscript"/>
        </w:rPr>
        <w:t>b</w:t>
      </w:r>
      <w:r w:rsidR="009F523B" w:rsidRPr="002D4C68">
        <w:t xml:space="preserve"> </w:t>
      </w:r>
      <w:r>
        <w:tab/>
      </w:r>
      <w:r w:rsidR="009F523B" w:rsidRPr="002D4C68">
        <w:t>Up to 20 week from start of treatment.</w:t>
      </w:r>
    </w:p>
    <w:p w14:paraId="35FD4B5A" w14:textId="439921E6" w:rsidR="008B7558" w:rsidRDefault="004D64DF" w:rsidP="003926B6">
      <w:pPr>
        <w:pStyle w:val="TableFooter"/>
        <w:tabs>
          <w:tab w:val="left" w:pos="142"/>
        </w:tabs>
        <w:spacing w:after="120"/>
        <w:ind w:left="142" w:hanging="142"/>
      </w:pPr>
      <w:r>
        <w:rPr>
          <w:vertAlign w:val="superscript"/>
        </w:rPr>
        <w:t>c</w:t>
      </w:r>
      <w:r w:rsidR="009F523B" w:rsidRPr="002D4C68">
        <w:t xml:space="preserve"> </w:t>
      </w:r>
      <w:r>
        <w:tab/>
      </w:r>
      <w:r w:rsidR="009F523B" w:rsidRPr="002D4C68">
        <w:t xml:space="preserve">The trial was designed to test for non-inferiority, with a non-inferiority margin of -7%. The hypothesis of non-inferiority was therefore rejected. </w:t>
      </w:r>
    </w:p>
    <w:p w14:paraId="40A59321" w14:textId="77777777" w:rsidR="009D71F7" w:rsidRDefault="00494FBC" w:rsidP="00494FBC">
      <w:pPr>
        <w:pStyle w:val="3-BodyText"/>
      </w:pPr>
      <w:bookmarkStart w:id="25" w:name="_Ref145335677"/>
      <w:bookmarkStart w:id="26" w:name="_Toc22897642"/>
      <w:r w:rsidRPr="000E0A75">
        <w:t xml:space="preserve">Taking the trials together, and considering that NCT02927067 is much larger, and double-blind, the evidence suggests that maribavir may be inferior to valganciclovir in infections not resistant to ganciclovir. This supports the observation in SOLSTICE of a much smaller difference between the response proportions for maribavir and IAT in patients whose infection was refractory to current treatment but not resistant, than in those whose infection was refractory </w:t>
      </w:r>
      <w:r w:rsidRPr="004D05AA">
        <w:t>and</w:t>
      </w:r>
      <w:r w:rsidRPr="000E0A75">
        <w:t xml:space="preserve"> resistant.</w:t>
      </w:r>
      <w:bookmarkEnd w:id="25"/>
      <w:r w:rsidRPr="000E0A75">
        <w:t xml:space="preserve"> </w:t>
      </w:r>
    </w:p>
    <w:p w14:paraId="2B063B20" w14:textId="1C8A1E5E" w:rsidR="00494FBC" w:rsidRDefault="00494FBC" w:rsidP="00E47C82">
      <w:pPr>
        <w:pStyle w:val="3-BodyText"/>
      </w:pPr>
      <w:bookmarkStart w:id="27" w:name="_Ref145335687"/>
      <w:r w:rsidRPr="000E0A75">
        <w:t>NCT02927067 observed a higher rate of development of resistance mutations in patients treated with maribavir than in those treated with valganciclovir, as also seen in SOLSTICE.</w:t>
      </w:r>
      <w:bookmarkEnd w:id="27"/>
      <w:r w:rsidRPr="000E0A75">
        <w:t xml:space="preserve"> </w:t>
      </w:r>
    </w:p>
    <w:p w14:paraId="1C9717BC" w14:textId="79BBB1B8" w:rsidR="009D71F7" w:rsidRPr="00421405" w:rsidRDefault="009D71F7" w:rsidP="009911B7">
      <w:pPr>
        <w:pStyle w:val="3-BodyText"/>
      </w:pPr>
      <w:r w:rsidRPr="00421405">
        <w:t>The ESC considered that while the results of the excluded trials could not be ignored, patients in the SOLSTICE trial were more reflective of the requested patient population, noting that determination of genotypic resistance is not clinical practice in Australia.</w:t>
      </w:r>
    </w:p>
    <w:p w14:paraId="2DAF16D1" w14:textId="0DE87CBE" w:rsidR="00B60939" w:rsidRDefault="00B60939" w:rsidP="00E47C82">
      <w:pPr>
        <w:pStyle w:val="4-SubsectionHeading"/>
      </w:pPr>
      <w:bookmarkStart w:id="28" w:name="_Toc145336300"/>
      <w:r w:rsidRPr="00C9624D">
        <w:t>Comparative harms</w:t>
      </w:r>
      <w:bookmarkEnd w:id="26"/>
      <w:bookmarkEnd w:id="28"/>
    </w:p>
    <w:p w14:paraId="4CD8FA4E" w14:textId="6AA2B80D" w:rsidR="00E47C82" w:rsidRPr="00E47C82" w:rsidRDefault="00E47C82" w:rsidP="00A9764C">
      <w:pPr>
        <w:pStyle w:val="3-BodyText"/>
      </w:pPr>
      <w:r>
        <w:t xml:space="preserve">Key adverse events in SOLSTICE are shown in </w:t>
      </w:r>
      <w:r w:rsidR="00167F2A">
        <w:fldChar w:fldCharType="begin" w:fldLock="1"/>
      </w:r>
      <w:r w:rsidR="00167F2A">
        <w:instrText xml:space="preserve"> REF _Ref141175966 \h </w:instrText>
      </w:r>
      <w:r w:rsidR="00167F2A">
        <w:fldChar w:fldCharType="separate"/>
      </w:r>
      <w:r w:rsidR="0098695D">
        <w:t xml:space="preserve">Table </w:t>
      </w:r>
      <w:r w:rsidR="0098695D">
        <w:rPr>
          <w:noProof/>
        </w:rPr>
        <w:t>11</w:t>
      </w:r>
      <w:r w:rsidR="00167F2A">
        <w:fldChar w:fldCharType="end"/>
      </w:r>
      <w:r>
        <w:t xml:space="preserve">. </w:t>
      </w:r>
    </w:p>
    <w:p w14:paraId="310B2246" w14:textId="25581F9D" w:rsidR="00B60939" w:rsidRDefault="00FD6457" w:rsidP="00D6076E">
      <w:pPr>
        <w:pStyle w:val="TableFigureHeading"/>
        <w:rPr>
          <w:rStyle w:val="CommentReference"/>
          <w:b/>
          <w:szCs w:val="24"/>
        </w:rPr>
      </w:pPr>
      <w:bookmarkStart w:id="29" w:name="_Ref141175966"/>
      <w:r>
        <w:lastRenderedPageBreak/>
        <w:t xml:space="preserve">Table </w:t>
      </w:r>
      <w:fldSimple w:instr=" SEQ Table \* ARABIC " w:fldLock="1">
        <w:r w:rsidR="0098695D">
          <w:rPr>
            <w:noProof/>
          </w:rPr>
          <w:t>11</w:t>
        </w:r>
      </w:fldSimple>
      <w:bookmarkEnd w:id="29"/>
      <w:r>
        <w:rPr>
          <w:noProof/>
        </w:rPr>
        <w:t>:</w:t>
      </w:r>
      <w:r w:rsidR="006071CD">
        <w:rPr>
          <w:rStyle w:val="CommentReference"/>
          <w:b/>
          <w:szCs w:val="24"/>
        </w:rPr>
        <w:t xml:space="preserve"> </w:t>
      </w:r>
      <w:r w:rsidR="005D26B4" w:rsidRPr="00D86231">
        <w:rPr>
          <w:rStyle w:val="CommentReference"/>
          <w:b/>
          <w:szCs w:val="24"/>
        </w:rPr>
        <w:t xml:space="preserve">Summary of key adverse events in the </w:t>
      </w:r>
      <w:r w:rsidR="008B7558">
        <w:rPr>
          <w:rStyle w:val="CommentReference"/>
          <w:b/>
          <w:szCs w:val="24"/>
        </w:rPr>
        <w:t>SOL</w:t>
      </w:r>
      <w:r>
        <w:rPr>
          <w:rStyle w:val="CommentReference"/>
          <w:b/>
          <w:szCs w:val="24"/>
        </w:rPr>
        <w:t>S</w:t>
      </w:r>
      <w:r w:rsidR="008B7558">
        <w:rPr>
          <w:rStyle w:val="CommentReference"/>
          <w:b/>
          <w:szCs w:val="24"/>
        </w:rPr>
        <w:t>TICE trial</w:t>
      </w:r>
    </w:p>
    <w:tbl>
      <w:tblPr>
        <w:tblStyle w:val="TableGrid"/>
        <w:tblW w:w="5000" w:type="pct"/>
        <w:tblCellMar>
          <w:left w:w="28" w:type="dxa"/>
          <w:right w:w="28" w:type="dxa"/>
        </w:tblCellMar>
        <w:tblLook w:val="04A0" w:firstRow="1" w:lastRow="0" w:firstColumn="1" w:lastColumn="0" w:noHBand="0" w:noVBand="1"/>
        <w:tblCaption w:val="Table 11: Summary of key adverse events in the SOLSTICE trial"/>
        <w:tblDescription w:val="Table 11: Summary of key adverse events in the SOLSTICE trial"/>
      </w:tblPr>
      <w:tblGrid>
        <w:gridCol w:w="5503"/>
        <w:gridCol w:w="1872"/>
        <w:gridCol w:w="1642"/>
      </w:tblGrid>
      <w:tr w:rsidR="00167F2A" w:rsidRPr="00EF29BF" w14:paraId="73A854BA" w14:textId="77777777" w:rsidTr="003A60BF">
        <w:tc>
          <w:tcPr>
            <w:tcW w:w="5503" w:type="dxa"/>
            <w:vAlign w:val="center"/>
          </w:tcPr>
          <w:p w14:paraId="7E24FE32" w14:textId="77777777" w:rsidR="00167F2A" w:rsidRPr="00EF29BF" w:rsidRDefault="00167F2A" w:rsidP="00C7053A">
            <w:pPr>
              <w:pStyle w:val="TableText0"/>
              <w:ind w:right="31"/>
              <w:rPr>
                <w:b/>
                <w:bCs w:val="0"/>
              </w:rPr>
            </w:pPr>
          </w:p>
        </w:tc>
        <w:tc>
          <w:tcPr>
            <w:tcW w:w="1872" w:type="dxa"/>
            <w:vAlign w:val="center"/>
          </w:tcPr>
          <w:p w14:paraId="6C38BAB3" w14:textId="77777777" w:rsidR="00167F2A" w:rsidRPr="00EF29BF" w:rsidRDefault="00167F2A" w:rsidP="00C7053A">
            <w:pPr>
              <w:pStyle w:val="TableText0"/>
              <w:ind w:right="31"/>
              <w:jc w:val="center"/>
              <w:rPr>
                <w:b/>
                <w:bCs w:val="0"/>
              </w:rPr>
            </w:pPr>
            <w:r w:rsidRPr="00EF29BF">
              <w:rPr>
                <w:b/>
                <w:bCs w:val="0"/>
              </w:rPr>
              <w:t>Maribavir</w:t>
            </w:r>
          </w:p>
          <w:p w14:paraId="575F4C81" w14:textId="77777777" w:rsidR="00167F2A" w:rsidRPr="00EF29BF" w:rsidRDefault="00167F2A" w:rsidP="00C7053A">
            <w:pPr>
              <w:pStyle w:val="TableText0"/>
              <w:ind w:right="31"/>
              <w:jc w:val="center"/>
              <w:rPr>
                <w:b/>
                <w:bCs w:val="0"/>
              </w:rPr>
            </w:pPr>
            <w:r w:rsidRPr="00EF29BF">
              <w:rPr>
                <w:b/>
                <w:bCs w:val="0"/>
              </w:rPr>
              <w:t>N = 235</w:t>
            </w:r>
          </w:p>
        </w:tc>
        <w:tc>
          <w:tcPr>
            <w:tcW w:w="1642" w:type="dxa"/>
            <w:vAlign w:val="center"/>
          </w:tcPr>
          <w:p w14:paraId="7E06C4DB" w14:textId="77777777" w:rsidR="00167F2A" w:rsidRPr="00EF29BF" w:rsidRDefault="00167F2A" w:rsidP="00C7053A">
            <w:pPr>
              <w:pStyle w:val="TableText0"/>
              <w:ind w:right="31"/>
              <w:jc w:val="center"/>
              <w:rPr>
                <w:b/>
                <w:bCs w:val="0"/>
              </w:rPr>
            </w:pPr>
            <w:r w:rsidRPr="00EF29BF">
              <w:rPr>
                <w:b/>
                <w:bCs w:val="0"/>
              </w:rPr>
              <w:t>IAT</w:t>
            </w:r>
          </w:p>
          <w:p w14:paraId="64BAF726" w14:textId="77777777" w:rsidR="00167F2A" w:rsidRPr="00EF29BF" w:rsidRDefault="00167F2A" w:rsidP="00C7053A">
            <w:pPr>
              <w:pStyle w:val="TableText0"/>
              <w:ind w:right="31"/>
              <w:jc w:val="center"/>
              <w:rPr>
                <w:b/>
                <w:bCs w:val="0"/>
              </w:rPr>
            </w:pPr>
            <w:r w:rsidRPr="00EF29BF">
              <w:rPr>
                <w:b/>
                <w:bCs w:val="0"/>
              </w:rPr>
              <w:t>N = 117</w:t>
            </w:r>
          </w:p>
        </w:tc>
      </w:tr>
      <w:tr w:rsidR="00167F2A" w:rsidRPr="008B7558" w14:paraId="3E6087C7" w14:textId="77777777" w:rsidTr="003A60BF">
        <w:tc>
          <w:tcPr>
            <w:tcW w:w="5503" w:type="dxa"/>
            <w:vAlign w:val="center"/>
          </w:tcPr>
          <w:p w14:paraId="1BC7614D" w14:textId="3EAE4419" w:rsidR="00167F2A" w:rsidRPr="004D64DF" w:rsidRDefault="00167F2A" w:rsidP="00C7053A">
            <w:pPr>
              <w:pStyle w:val="TableText0"/>
              <w:ind w:right="31"/>
              <w:rPr>
                <w:bCs w:val="0"/>
                <w:szCs w:val="20"/>
              </w:rPr>
            </w:pPr>
            <w:r w:rsidRPr="004D64DF">
              <w:rPr>
                <w:bCs w:val="0"/>
                <w:szCs w:val="20"/>
              </w:rPr>
              <w:t>Deaths at any time</w:t>
            </w:r>
            <w:r w:rsidR="004D64DF" w:rsidRPr="004D64DF">
              <w:rPr>
                <w:bCs w:val="0"/>
                <w:szCs w:val="20"/>
                <w:vertAlign w:val="superscript"/>
              </w:rPr>
              <w:t>a</w:t>
            </w:r>
          </w:p>
        </w:tc>
        <w:tc>
          <w:tcPr>
            <w:tcW w:w="1872" w:type="dxa"/>
            <w:vAlign w:val="center"/>
          </w:tcPr>
          <w:p w14:paraId="4AEC98DE" w14:textId="77777777" w:rsidR="00167F2A" w:rsidRPr="004D64DF" w:rsidRDefault="00167F2A" w:rsidP="00C7053A">
            <w:pPr>
              <w:pStyle w:val="TableText0"/>
              <w:ind w:right="31"/>
              <w:jc w:val="center"/>
              <w:rPr>
                <w:bCs w:val="0"/>
                <w:szCs w:val="20"/>
              </w:rPr>
            </w:pPr>
            <w:r w:rsidRPr="004D64DF">
              <w:rPr>
                <w:bCs w:val="0"/>
                <w:szCs w:val="20"/>
              </w:rPr>
              <w:t>27 (11.5%)</w:t>
            </w:r>
          </w:p>
        </w:tc>
        <w:tc>
          <w:tcPr>
            <w:tcW w:w="1642" w:type="dxa"/>
            <w:vAlign w:val="center"/>
          </w:tcPr>
          <w:p w14:paraId="71B16AF1" w14:textId="77777777" w:rsidR="00167F2A" w:rsidRPr="004D64DF" w:rsidRDefault="00167F2A" w:rsidP="00C7053A">
            <w:pPr>
              <w:pStyle w:val="TableText0"/>
              <w:ind w:right="31"/>
              <w:jc w:val="center"/>
              <w:rPr>
                <w:bCs w:val="0"/>
                <w:szCs w:val="20"/>
              </w:rPr>
            </w:pPr>
            <w:r w:rsidRPr="004D64DF">
              <w:rPr>
                <w:bCs w:val="0"/>
                <w:szCs w:val="20"/>
              </w:rPr>
              <w:t>13 (11.2%)</w:t>
            </w:r>
          </w:p>
        </w:tc>
      </w:tr>
      <w:tr w:rsidR="00167F2A" w:rsidRPr="008B7558" w14:paraId="185C7C64" w14:textId="77777777" w:rsidTr="003A60BF">
        <w:tc>
          <w:tcPr>
            <w:tcW w:w="5503" w:type="dxa"/>
            <w:vAlign w:val="center"/>
          </w:tcPr>
          <w:p w14:paraId="1845AA3F" w14:textId="147B2D2B" w:rsidR="00167F2A" w:rsidRPr="004D64DF" w:rsidRDefault="00167F2A" w:rsidP="00C7053A">
            <w:pPr>
              <w:pStyle w:val="TableText0"/>
              <w:ind w:right="31"/>
              <w:rPr>
                <w:bCs w:val="0"/>
                <w:szCs w:val="20"/>
              </w:rPr>
            </w:pPr>
            <w:r w:rsidRPr="004D64DF">
              <w:rPr>
                <w:bCs w:val="0"/>
                <w:szCs w:val="20"/>
              </w:rPr>
              <w:t>Deaths during 8 w</w:t>
            </w:r>
            <w:r w:rsidR="00AB45F5">
              <w:rPr>
                <w:bCs w:val="0"/>
                <w:szCs w:val="20"/>
              </w:rPr>
              <w:t>ee</w:t>
            </w:r>
            <w:r w:rsidRPr="004D64DF">
              <w:rPr>
                <w:bCs w:val="0"/>
                <w:szCs w:val="20"/>
              </w:rPr>
              <w:t>k treatment phase</w:t>
            </w:r>
          </w:p>
        </w:tc>
        <w:tc>
          <w:tcPr>
            <w:tcW w:w="1872" w:type="dxa"/>
            <w:vAlign w:val="center"/>
          </w:tcPr>
          <w:p w14:paraId="43A0FB44" w14:textId="77777777" w:rsidR="00167F2A" w:rsidRPr="004D64DF" w:rsidRDefault="00167F2A" w:rsidP="00C7053A">
            <w:pPr>
              <w:pStyle w:val="TableText0"/>
              <w:ind w:right="31"/>
              <w:jc w:val="center"/>
              <w:rPr>
                <w:bCs w:val="0"/>
                <w:szCs w:val="20"/>
              </w:rPr>
            </w:pPr>
            <w:r w:rsidRPr="004D64DF">
              <w:rPr>
                <w:bCs w:val="0"/>
                <w:szCs w:val="20"/>
              </w:rPr>
              <w:t>14 (6.0%)</w:t>
            </w:r>
          </w:p>
        </w:tc>
        <w:tc>
          <w:tcPr>
            <w:tcW w:w="1642" w:type="dxa"/>
            <w:vAlign w:val="center"/>
          </w:tcPr>
          <w:p w14:paraId="11D44B61" w14:textId="77777777" w:rsidR="00167F2A" w:rsidRPr="004D64DF" w:rsidRDefault="00167F2A" w:rsidP="00C7053A">
            <w:pPr>
              <w:pStyle w:val="TableText0"/>
              <w:ind w:right="31"/>
              <w:jc w:val="center"/>
              <w:rPr>
                <w:bCs w:val="0"/>
                <w:szCs w:val="20"/>
              </w:rPr>
            </w:pPr>
            <w:r w:rsidRPr="004D64DF">
              <w:rPr>
                <w:bCs w:val="0"/>
                <w:szCs w:val="20"/>
              </w:rPr>
              <w:t>5 (4.3%)</w:t>
            </w:r>
          </w:p>
        </w:tc>
      </w:tr>
      <w:tr w:rsidR="00167F2A" w:rsidRPr="008B7558" w14:paraId="6FA3827E" w14:textId="77777777" w:rsidTr="003A60BF">
        <w:tc>
          <w:tcPr>
            <w:tcW w:w="5503" w:type="dxa"/>
            <w:vAlign w:val="center"/>
          </w:tcPr>
          <w:p w14:paraId="2F1CCBFD" w14:textId="77777777" w:rsidR="00167F2A" w:rsidRPr="004D64DF" w:rsidRDefault="00167F2A" w:rsidP="00C7053A">
            <w:pPr>
              <w:pStyle w:val="TableText0"/>
              <w:ind w:right="31"/>
              <w:rPr>
                <w:bCs w:val="0"/>
                <w:szCs w:val="20"/>
              </w:rPr>
            </w:pPr>
            <w:r w:rsidRPr="004D64DF">
              <w:rPr>
                <w:bCs w:val="0"/>
                <w:szCs w:val="20"/>
              </w:rPr>
              <w:t>Deaths attributed to CMV</w:t>
            </w:r>
          </w:p>
        </w:tc>
        <w:tc>
          <w:tcPr>
            <w:tcW w:w="1872" w:type="dxa"/>
            <w:vAlign w:val="center"/>
          </w:tcPr>
          <w:p w14:paraId="7ECA8392" w14:textId="77777777" w:rsidR="00167F2A" w:rsidRPr="004D64DF" w:rsidRDefault="00167F2A" w:rsidP="00C7053A">
            <w:pPr>
              <w:pStyle w:val="TableText0"/>
              <w:ind w:right="31"/>
              <w:jc w:val="center"/>
              <w:rPr>
                <w:bCs w:val="0"/>
                <w:szCs w:val="20"/>
              </w:rPr>
            </w:pPr>
            <w:r w:rsidRPr="004D64DF">
              <w:rPr>
                <w:bCs w:val="0"/>
                <w:szCs w:val="20"/>
              </w:rPr>
              <w:t>4 (1.7%)</w:t>
            </w:r>
          </w:p>
        </w:tc>
        <w:tc>
          <w:tcPr>
            <w:tcW w:w="1642" w:type="dxa"/>
            <w:vAlign w:val="center"/>
          </w:tcPr>
          <w:p w14:paraId="3A267000" w14:textId="77777777" w:rsidR="00167F2A" w:rsidRPr="004D64DF" w:rsidRDefault="00167F2A" w:rsidP="00C7053A">
            <w:pPr>
              <w:pStyle w:val="TableText0"/>
              <w:ind w:right="31"/>
              <w:jc w:val="center"/>
              <w:rPr>
                <w:bCs w:val="0"/>
                <w:szCs w:val="20"/>
              </w:rPr>
            </w:pPr>
            <w:r w:rsidRPr="004D64DF">
              <w:rPr>
                <w:bCs w:val="0"/>
                <w:szCs w:val="20"/>
              </w:rPr>
              <w:t>3 (2.6%)</w:t>
            </w:r>
          </w:p>
        </w:tc>
      </w:tr>
      <w:tr w:rsidR="00167F2A" w:rsidRPr="008B7558" w14:paraId="561DC5EF" w14:textId="77777777" w:rsidTr="003A60BF">
        <w:tc>
          <w:tcPr>
            <w:tcW w:w="5503" w:type="dxa"/>
            <w:vAlign w:val="center"/>
          </w:tcPr>
          <w:p w14:paraId="6ED21B73" w14:textId="77777777" w:rsidR="00167F2A" w:rsidRPr="004D64DF" w:rsidRDefault="00167F2A" w:rsidP="00C7053A">
            <w:pPr>
              <w:pStyle w:val="TableText0"/>
              <w:ind w:right="31"/>
              <w:rPr>
                <w:bCs w:val="0"/>
                <w:szCs w:val="20"/>
              </w:rPr>
            </w:pPr>
            <w:r w:rsidRPr="004D64DF">
              <w:rPr>
                <w:bCs w:val="0"/>
                <w:szCs w:val="20"/>
              </w:rPr>
              <w:t>TEAE, n (%)</w:t>
            </w:r>
          </w:p>
        </w:tc>
        <w:tc>
          <w:tcPr>
            <w:tcW w:w="1872" w:type="dxa"/>
            <w:vAlign w:val="center"/>
          </w:tcPr>
          <w:p w14:paraId="0D73F867" w14:textId="77777777" w:rsidR="00167F2A" w:rsidRPr="004D64DF" w:rsidRDefault="00167F2A" w:rsidP="00C7053A">
            <w:pPr>
              <w:pStyle w:val="TableText0"/>
              <w:ind w:right="31"/>
              <w:jc w:val="center"/>
              <w:rPr>
                <w:bCs w:val="0"/>
                <w:szCs w:val="20"/>
              </w:rPr>
            </w:pPr>
            <w:r w:rsidRPr="004D64DF">
              <w:rPr>
                <w:bCs w:val="0"/>
                <w:szCs w:val="20"/>
              </w:rPr>
              <w:t>228 (97.4%)</w:t>
            </w:r>
          </w:p>
        </w:tc>
        <w:tc>
          <w:tcPr>
            <w:tcW w:w="1642" w:type="dxa"/>
            <w:vAlign w:val="center"/>
          </w:tcPr>
          <w:p w14:paraId="350D3101" w14:textId="77777777" w:rsidR="00167F2A" w:rsidRPr="004D64DF" w:rsidRDefault="00167F2A" w:rsidP="00C7053A">
            <w:pPr>
              <w:pStyle w:val="TableText0"/>
              <w:ind w:right="31"/>
              <w:jc w:val="center"/>
              <w:rPr>
                <w:bCs w:val="0"/>
                <w:szCs w:val="20"/>
              </w:rPr>
            </w:pPr>
            <w:r w:rsidRPr="004D64DF">
              <w:rPr>
                <w:bCs w:val="0"/>
                <w:szCs w:val="20"/>
              </w:rPr>
              <w:t>106 (91.4%)</w:t>
            </w:r>
          </w:p>
        </w:tc>
      </w:tr>
      <w:tr w:rsidR="00167F2A" w:rsidRPr="008B7558" w14:paraId="09C7275D" w14:textId="77777777" w:rsidTr="003A60BF">
        <w:tc>
          <w:tcPr>
            <w:tcW w:w="5503" w:type="dxa"/>
            <w:vAlign w:val="center"/>
          </w:tcPr>
          <w:p w14:paraId="4F3F421B" w14:textId="77777777" w:rsidR="00167F2A" w:rsidRPr="004D64DF" w:rsidRDefault="00167F2A" w:rsidP="00C7053A">
            <w:pPr>
              <w:pStyle w:val="TableText0"/>
              <w:ind w:right="31"/>
              <w:rPr>
                <w:bCs w:val="0"/>
                <w:szCs w:val="20"/>
              </w:rPr>
            </w:pPr>
            <w:r w:rsidRPr="004D64DF">
              <w:rPr>
                <w:bCs w:val="0"/>
                <w:szCs w:val="20"/>
              </w:rPr>
              <w:t>TESAE, n (%)</w:t>
            </w:r>
          </w:p>
        </w:tc>
        <w:tc>
          <w:tcPr>
            <w:tcW w:w="1872" w:type="dxa"/>
            <w:vAlign w:val="center"/>
          </w:tcPr>
          <w:p w14:paraId="48D7EF4F" w14:textId="77777777" w:rsidR="00167F2A" w:rsidRPr="004D64DF" w:rsidRDefault="00167F2A" w:rsidP="00C7053A">
            <w:pPr>
              <w:pStyle w:val="TableText0"/>
              <w:ind w:right="31"/>
              <w:jc w:val="center"/>
              <w:rPr>
                <w:bCs w:val="0"/>
                <w:szCs w:val="20"/>
              </w:rPr>
            </w:pPr>
            <w:r w:rsidRPr="004D64DF">
              <w:rPr>
                <w:bCs w:val="0"/>
                <w:szCs w:val="20"/>
              </w:rPr>
              <w:t>90 (38.5%)</w:t>
            </w:r>
          </w:p>
        </w:tc>
        <w:tc>
          <w:tcPr>
            <w:tcW w:w="1642" w:type="dxa"/>
            <w:vAlign w:val="center"/>
          </w:tcPr>
          <w:p w14:paraId="1F0479F3" w14:textId="77777777" w:rsidR="00167F2A" w:rsidRPr="004D64DF" w:rsidRDefault="00167F2A" w:rsidP="00C7053A">
            <w:pPr>
              <w:pStyle w:val="TableText0"/>
              <w:ind w:right="31"/>
              <w:jc w:val="center"/>
              <w:rPr>
                <w:bCs w:val="0"/>
                <w:szCs w:val="20"/>
              </w:rPr>
            </w:pPr>
            <w:r w:rsidRPr="004D64DF">
              <w:rPr>
                <w:bCs w:val="0"/>
                <w:szCs w:val="20"/>
              </w:rPr>
              <w:t>43 (37.1%)</w:t>
            </w:r>
          </w:p>
        </w:tc>
      </w:tr>
      <w:tr w:rsidR="00167F2A" w:rsidRPr="008B7558" w14:paraId="23CD9FBD" w14:textId="77777777" w:rsidTr="003A60BF">
        <w:tc>
          <w:tcPr>
            <w:tcW w:w="5503" w:type="dxa"/>
            <w:vAlign w:val="center"/>
          </w:tcPr>
          <w:p w14:paraId="383DC439" w14:textId="77777777" w:rsidR="00167F2A" w:rsidRPr="004D64DF" w:rsidRDefault="00167F2A" w:rsidP="00C7053A">
            <w:pPr>
              <w:pStyle w:val="TableText0"/>
              <w:ind w:right="31"/>
              <w:rPr>
                <w:bCs w:val="0"/>
                <w:szCs w:val="20"/>
              </w:rPr>
            </w:pPr>
            <w:r w:rsidRPr="004D64DF">
              <w:rPr>
                <w:bCs w:val="0"/>
                <w:szCs w:val="20"/>
              </w:rPr>
              <w:t>Severe TEAE, n (%)</w:t>
            </w:r>
          </w:p>
        </w:tc>
        <w:tc>
          <w:tcPr>
            <w:tcW w:w="1872" w:type="dxa"/>
            <w:vAlign w:val="center"/>
          </w:tcPr>
          <w:p w14:paraId="349D8358" w14:textId="77777777" w:rsidR="00167F2A" w:rsidRPr="004D64DF" w:rsidRDefault="00167F2A" w:rsidP="00C7053A">
            <w:pPr>
              <w:pStyle w:val="TableText0"/>
              <w:ind w:right="31"/>
              <w:jc w:val="center"/>
              <w:rPr>
                <w:bCs w:val="0"/>
                <w:szCs w:val="20"/>
              </w:rPr>
            </w:pPr>
            <w:r w:rsidRPr="004D64DF">
              <w:rPr>
                <w:bCs w:val="0"/>
                <w:szCs w:val="20"/>
              </w:rPr>
              <w:t>75 (32.1%)</w:t>
            </w:r>
          </w:p>
        </w:tc>
        <w:tc>
          <w:tcPr>
            <w:tcW w:w="1642" w:type="dxa"/>
            <w:vAlign w:val="center"/>
          </w:tcPr>
          <w:p w14:paraId="19C48922" w14:textId="77777777" w:rsidR="00167F2A" w:rsidRPr="004D64DF" w:rsidRDefault="00167F2A" w:rsidP="00C7053A">
            <w:pPr>
              <w:pStyle w:val="TableText0"/>
              <w:ind w:right="31"/>
              <w:jc w:val="center"/>
              <w:rPr>
                <w:bCs w:val="0"/>
                <w:szCs w:val="20"/>
              </w:rPr>
            </w:pPr>
            <w:r w:rsidRPr="004D64DF">
              <w:rPr>
                <w:bCs w:val="0"/>
                <w:szCs w:val="20"/>
              </w:rPr>
              <w:t>44 (37.9%)</w:t>
            </w:r>
          </w:p>
        </w:tc>
      </w:tr>
      <w:tr w:rsidR="00167F2A" w:rsidRPr="008B7558" w14:paraId="1BF44235" w14:textId="77777777" w:rsidTr="003A60BF">
        <w:tc>
          <w:tcPr>
            <w:tcW w:w="5503" w:type="dxa"/>
            <w:vAlign w:val="center"/>
          </w:tcPr>
          <w:p w14:paraId="2275ECF4" w14:textId="77777777" w:rsidR="00167F2A" w:rsidRPr="004D64DF" w:rsidRDefault="00167F2A" w:rsidP="00C7053A">
            <w:pPr>
              <w:pStyle w:val="TableText0"/>
              <w:ind w:right="31"/>
              <w:rPr>
                <w:bCs w:val="0"/>
                <w:szCs w:val="20"/>
              </w:rPr>
            </w:pPr>
            <w:r w:rsidRPr="004D64DF">
              <w:rPr>
                <w:bCs w:val="0"/>
                <w:szCs w:val="20"/>
              </w:rPr>
              <w:t>TEAE or TESAE leading to discontinuation of study treatment, n (%)</w:t>
            </w:r>
          </w:p>
        </w:tc>
        <w:tc>
          <w:tcPr>
            <w:tcW w:w="1872" w:type="dxa"/>
            <w:vAlign w:val="center"/>
          </w:tcPr>
          <w:p w14:paraId="21101792" w14:textId="77777777" w:rsidR="00167F2A" w:rsidRPr="004D64DF" w:rsidRDefault="00167F2A" w:rsidP="00C7053A">
            <w:pPr>
              <w:pStyle w:val="TableText0"/>
              <w:ind w:right="31"/>
              <w:jc w:val="center"/>
              <w:rPr>
                <w:bCs w:val="0"/>
                <w:szCs w:val="20"/>
              </w:rPr>
            </w:pPr>
            <w:r w:rsidRPr="004D64DF">
              <w:rPr>
                <w:bCs w:val="0"/>
                <w:szCs w:val="20"/>
              </w:rPr>
              <w:t>51 (21.7%)</w:t>
            </w:r>
          </w:p>
        </w:tc>
        <w:tc>
          <w:tcPr>
            <w:tcW w:w="1642" w:type="dxa"/>
            <w:vAlign w:val="center"/>
          </w:tcPr>
          <w:p w14:paraId="01650818" w14:textId="77777777" w:rsidR="00167F2A" w:rsidRPr="004D64DF" w:rsidRDefault="00167F2A" w:rsidP="00C7053A">
            <w:pPr>
              <w:pStyle w:val="TableText0"/>
              <w:ind w:right="31"/>
              <w:jc w:val="center"/>
              <w:rPr>
                <w:bCs w:val="0"/>
                <w:szCs w:val="20"/>
              </w:rPr>
            </w:pPr>
            <w:r w:rsidRPr="004D64DF">
              <w:rPr>
                <w:bCs w:val="0"/>
                <w:szCs w:val="20"/>
              </w:rPr>
              <w:t>54 (46.2%)</w:t>
            </w:r>
          </w:p>
        </w:tc>
      </w:tr>
      <w:tr w:rsidR="00167F2A" w:rsidRPr="008B7558" w14:paraId="79A8D9BC" w14:textId="77777777" w:rsidTr="003A60BF">
        <w:tc>
          <w:tcPr>
            <w:tcW w:w="5503" w:type="dxa"/>
            <w:vAlign w:val="center"/>
          </w:tcPr>
          <w:p w14:paraId="049CBBA8" w14:textId="77777777" w:rsidR="00167F2A" w:rsidRPr="004D64DF" w:rsidRDefault="00167F2A" w:rsidP="00C7053A">
            <w:pPr>
              <w:pStyle w:val="TableText0"/>
              <w:ind w:right="31"/>
              <w:rPr>
                <w:bCs w:val="0"/>
                <w:szCs w:val="20"/>
              </w:rPr>
            </w:pPr>
            <w:r w:rsidRPr="004D64DF">
              <w:rPr>
                <w:bCs w:val="0"/>
                <w:szCs w:val="20"/>
              </w:rPr>
              <w:t>Infections reported as SAE, n (%)</w:t>
            </w:r>
          </w:p>
        </w:tc>
        <w:tc>
          <w:tcPr>
            <w:tcW w:w="1872" w:type="dxa"/>
            <w:vAlign w:val="center"/>
          </w:tcPr>
          <w:p w14:paraId="0BD7D731" w14:textId="77777777" w:rsidR="00167F2A" w:rsidRPr="004D64DF" w:rsidRDefault="00167F2A" w:rsidP="00C7053A">
            <w:pPr>
              <w:pStyle w:val="TableText0"/>
              <w:ind w:right="31"/>
              <w:jc w:val="center"/>
              <w:rPr>
                <w:bCs w:val="0"/>
                <w:szCs w:val="20"/>
              </w:rPr>
            </w:pPr>
            <w:r w:rsidRPr="004D64DF">
              <w:rPr>
                <w:bCs w:val="0"/>
                <w:szCs w:val="20"/>
              </w:rPr>
              <w:t>53 (22.6%)</w:t>
            </w:r>
          </w:p>
        </w:tc>
        <w:tc>
          <w:tcPr>
            <w:tcW w:w="1642" w:type="dxa"/>
            <w:vAlign w:val="center"/>
          </w:tcPr>
          <w:p w14:paraId="726722A4" w14:textId="77777777" w:rsidR="00167F2A" w:rsidRPr="004D64DF" w:rsidRDefault="00167F2A" w:rsidP="00C7053A">
            <w:pPr>
              <w:pStyle w:val="TableText0"/>
              <w:ind w:right="31"/>
              <w:jc w:val="center"/>
              <w:rPr>
                <w:bCs w:val="0"/>
                <w:szCs w:val="20"/>
              </w:rPr>
            </w:pPr>
            <w:r w:rsidRPr="004D64DF">
              <w:rPr>
                <w:bCs w:val="0"/>
                <w:szCs w:val="20"/>
              </w:rPr>
              <w:t>17 (14.7%)</w:t>
            </w:r>
          </w:p>
        </w:tc>
      </w:tr>
      <w:tr w:rsidR="00167F2A" w:rsidRPr="008B7558" w14:paraId="0AC56DC5" w14:textId="77777777" w:rsidTr="003A60BF">
        <w:tc>
          <w:tcPr>
            <w:tcW w:w="5503" w:type="dxa"/>
            <w:vAlign w:val="center"/>
          </w:tcPr>
          <w:p w14:paraId="5DB5F5F5" w14:textId="77777777" w:rsidR="00167F2A" w:rsidRPr="004D64DF" w:rsidRDefault="00167F2A" w:rsidP="00C7053A">
            <w:pPr>
              <w:pStyle w:val="TableText0"/>
              <w:ind w:right="31"/>
              <w:rPr>
                <w:bCs w:val="0"/>
                <w:szCs w:val="20"/>
              </w:rPr>
            </w:pPr>
            <w:r w:rsidRPr="004D64DF">
              <w:rPr>
                <w:bCs w:val="0"/>
                <w:szCs w:val="20"/>
              </w:rPr>
              <w:t>Infections leading to discontinuation of study treatment, n (%)</w:t>
            </w:r>
          </w:p>
        </w:tc>
        <w:tc>
          <w:tcPr>
            <w:tcW w:w="1872" w:type="dxa"/>
            <w:vAlign w:val="center"/>
          </w:tcPr>
          <w:p w14:paraId="28A9B12A" w14:textId="77777777" w:rsidR="00167F2A" w:rsidRPr="004D64DF" w:rsidRDefault="00167F2A" w:rsidP="00C7053A">
            <w:pPr>
              <w:pStyle w:val="TableText0"/>
              <w:ind w:right="31"/>
              <w:jc w:val="center"/>
              <w:rPr>
                <w:bCs w:val="0"/>
                <w:szCs w:val="20"/>
              </w:rPr>
            </w:pPr>
            <w:r w:rsidRPr="004D64DF">
              <w:rPr>
                <w:bCs w:val="0"/>
                <w:szCs w:val="20"/>
              </w:rPr>
              <w:t>17 (7.3%)</w:t>
            </w:r>
          </w:p>
        </w:tc>
        <w:tc>
          <w:tcPr>
            <w:tcW w:w="1642" w:type="dxa"/>
            <w:vAlign w:val="center"/>
          </w:tcPr>
          <w:p w14:paraId="10FE6716" w14:textId="77777777" w:rsidR="00167F2A" w:rsidRPr="004D64DF" w:rsidRDefault="00167F2A" w:rsidP="00C7053A">
            <w:pPr>
              <w:pStyle w:val="TableText0"/>
              <w:ind w:right="31"/>
              <w:jc w:val="center"/>
              <w:rPr>
                <w:bCs w:val="0"/>
                <w:szCs w:val="20"/>
              </w:rPr>
            </w:pPr>
            <w:r w:rsidRPr="004D64DF">
              <w:rPr>
                <w:bCs w:val="0"/>
                <w:szCs w:val="20"/>
              </w:rPr>
              <w:t>8 (6.9%)</w:t>
            </w:r>
          </w:p>
        </w:tc>
      </w:tr>
      <w:tr w:rsidR="00167F2A" w:rsidRPr="008B7558" w14:paraId="47FB86E7" w14:textId="77777777" w:rsidTr="003A60BF">
        <w:tc>
          <w:tcPr>
            <w:tcW w:w="5503" w:type="dxa"/>
            <w:vAlign w:val="center"/>
          </w:tcPr>
          <w:p w14:paraId="5310C993" w14:textId="77777777" w:rsidR="00167F2A" w:rsidRPr="004D64DF" w:rsidRDefault="00167F2A" w:rsidP="00C7053A">
            <w:pPr>
              <w:pStyle w:val="TableText0"/>
              <w:ind w:right="31"/>
              <w:rPr>
                <w:bCs w:val="0"/>
                <w:szCs w:val="20"/>
              </w:rPr>
            </w:pPr>
            <w:r w:rsidRPr="004D64DF">
              <w:rPr>
                <w:bCs w:val="0"/>
                <w:szCs w:val="20"/>
              </w:rPr>
              <w:t>Disturbance of taste, n (%)</w:t>
            </w:r>
          </w:p>
        </w:tc>
        <w:tc>
          <w:tcPr>
            <w:tcW w:w="1872" w:type="dxa"/>
            <w:vAlign w:val="center"/>
          </w:tcPr>
          <w:p w14:paraId="4611F048" w14:textId="77777777" w:rsidR="00167F2A" w:rsidRPr="004D64DF" w:rsidRDefault="00167F2A" w:rsidP="00C7053A">
            <w:pPr>
              <w:pStyle w:val="TableText0"/>
              <w:ind w:right="31"/>
              <w:jc w:val="center"/>
              <w:rPr>
                <w:bCs w:val="0"/>
                <w:szCs w:val="20"/>
              </w:rPr>
            </w:pPr>
            <w:r w:rsidRPr="004D64DF">
              <w:rPr>
                <w:bCs w:val="0"/>
                <w:szCs w:val="20"/>
              </w:rPr>
              <w:t>87 (37.2%)</w:t>
            </w:r>
          </w:p>
        </w:tc>
        <w:tc>
          <w:tcPr>
            <w:tcW w:w="1642" w:type="dxa"/>
            <w:vAlign w:val="center"/>
          </w:tcPr>
          <w:p w14:paraId="393BD8DE" w14:textId="77777777" w:rsidR="00167F2A" w:rsidRPr="004D64DF" w:rsidRDefault="00167F2A" w:rsidP="00C7053A">
            <w:pPr>
              <w:pStyle w:val="TableText0"/>
              <w:ind w:right="31"/>
              <w:jc w:val="center"/>
              <w:rPr>
                <w:bCs w:val="0"/>
                <w:szCs w:val="20"/>
              </w:rPr>
            </w:pPr>
            <w:r w:rsidRPr="004D64DF">
              <w:rPr>
                <w:bCs w:val="0"/>
                <w:szCs w:val="20"/>
              </w:rPr>
              <w:t>4 (3.4%)</w:t>
            </w:r>
          </w:p>
        </w:tc>
      </w:tr>
      <w:tr w:rsidR="00167F2A" w:rsidRPr="008B7558" w14:paraId="01B77900" w14:textId="77777777" w:rsidTr="003A60BF">
        <w:tc>
          <w:tcPr>
            <w:tcW w:w="5503" w:type="dxa"/>
            <w:vAlign w:val="center"/>
          </w:tcPr>
          <w:p w14:paraId="177325FC" w14:textId="77777777" w:rsidR="00167F2A" w:rsidRPr="004D64DF" w:rsidRDefault="00167F2A" w:rsidP="00C7053A">
            <w:pPr>
              <w:pStyle w:val="TableText0"/>
              <w:ind w:right="31"/>
              <w:rPr>
                <w:bCs w:val="0"/>
                <w:szCs w:val="20"/>
              </w:rPr>
            </w:pPr>
            <w:r w:rsidRPr="004D64DF">
              <w:rPr>
                <w:bCs w:val="0"/>
                <w:szCs w:val="20"/>
              </w:rPr>
              <w:t>Disturbance of taste leading to discontinuation of study treatment, n (%)</w:t>
            </w:r>
          </w:p>
        </w:tc>
        <w:tc>
          <w:tcPr>
            <w:tcW w:w="1872" w:type="dxa"/>
            <w:vAlign w:val="center"/>
          </w:tcPr>
          <w:p w14:paraId="3784F4C3" w14:textId="77777777" w:rsidR="00167F2A" w:rsidRPr="004D64DF" w:rsidRDefault="00167F2A" w:rsidP="00C7053A">
            <w:pPr>
              <w:pStyle w:val="TableText0"/>
              <w:ind w:right="31"/>
              <w:jc w:val="center"/>
              <w:rPr>
                <w:bCs w:val="0"/>
                <w:szCs w:val="20"/>
              </w:rPr>
            </w:pPr>
            <w:r w:rsidRPr="004D64DF">
              <w:rPr>
                <w:bCs w:val="0"/>
                <w:szCs w:val="20"/>
              </w:rPr>
              <w:t>2 (0.9%)</w:t>
            </w:r>
          </w:p>
        </w:tc>
        <w:tc>
          <w:tcPr>
            <w:tcW w:w="1642" w:type="dxa"/>
            <w:vAlign w:val="center"/>
          </w:tcPr>
          <w:p w14:paraId="02AEA9DF" w14:textId="77777777" w:rsidR="00167F2A" w:rsidRPr="004D64DF" w:rsidRDefault="00167F2A" w:rsidP="00C7053A">
            <w:pPr>
              <w:pStyle w:val="TableText0"/>
              <w:ind w:right="31"/>
              <w:jc w:val="center"/>
              <w:rPr>
                <w:bCs w:val="0"/>
                <w:szCs w:val="20"/>
              </w:rPr>
            </w:pPr>
            <w:r w:rsidRPr="004D64DF">
              <w:rPr>
                <w:bCs w:val="0"/>
                <w:szCs w:val="20"/>
              </w:rPr>
              <w:t>0</w:t>
            </w:r>
          </w:p>
        </w:tc>
      </w:tr>
      <w:tr w:rsidR="00167F2A" w:rsidRPr="008B7558" w14:paraId="5AC436ED" w14:textId="77777777" w:rsidTr="003A60BF">
        <w:tc>
          <w:tcPr>
            <w:tcW w:w="5503" w:type="dxa"/>
            <w:vAlign w:val="center"/>
          </w:tcPr>
          <w:p w14:paraId="76A9B630" w14:textId="77777777" w:rsidR="00167F2A" w:rsidRPr="004D64DF" w:rsidRDefault="00167F2A" w:rsidP="00C7053A">
            <w:pPr>
              <w:pStyle w:val="TableText0"/>
              <w:ind w:right="31"/>
              <w:rPr>
                <w:bCs w:val="0"/>
                <w:szCs w:val="20"/>
              </w:rPr>
            </w:pPr>
            <w:r w:rsidRPr="004D64DF">
              <w:rPr>
                <w:bCs w:val="0"/>
                <w:szCs w:val="20"/>
              </w:rPr>
              <w:t xml:space="preserve">Neutropenia, n (%) </w:t>
            </w:r>
          </w:p>
        </w:tc>
        <w:tc>
          <w:tcPr>
            <w:tcW w:w="1872" w:type="dxa"/>
            <w:vAlign w:val="center"/>
          </w:tcPr>
          <w:p w14:paraId="67BF4152" w14:textId="77777777" w:rsidR="00167F2A" w:rsidRPr="004D64DF" w:rsidRDefault="00167F2A" w:rsidP="00C7053A">
            <w:pPr>
              <w:pStyle w:val="TableText0"/>
              <w:ind w:right="31"/>
              <w:jc w:val="center"/>
              <w:rPr>
                <w:bCs w:val="0"/>
                <w:szCs w:val="20"/>
              </w:rPr>
            </w:pPr>
            <w:r w:rsidRPr="004D64DF">
              <w:rPr>
                <w:bCs w:val="0"/>
                <w:szCs w:val="20"/>
              </w:rPr>
              <w:t>22 (9.4%)</w:t>
            </w:r>
          </w:p>
        </w:tc>
        <w:tc>
          <w:tcPr>
            <w:tcW w:w="1642" w:type="dxa"/>
            <w:vAlign w:val="center"/>
          </w:tcPr>
          <w:p w14:paraId="2F39E2F2" w14:textId="77777777" w:rsidR="00167F2A" w:rsidRPr="004D64DF" w:rsidRDefault="00167F2A" w:rsidP="00C7053A">
            <w:pPr>
              <w:pStyle w:val="TableText0"/>
              <w:ind w:right="31"/>
              <w:jc w:val="center"/>
              <w:rPr>
                <w:bCs w:val="0"/>
                <w:szCs w:val="20"/>
              </w:rPr>
            </w:pPr>
            <w:r w:rsidRPr="004D64DF">
              <w:rPr>
                <w:bCs w:val="0"/>
                <w:szCs w:val="20"/>
              </w:rPr>
              <w:t>26 (22.4%)</w:t>
            </w:r>
          </w:p>
        </w:tc>
      </w:tr>
      <w:tr w:rsidR="00167F2A" w:rsidRPr="008B7558" w14:paraId="54AB3934" w14:textId="77777777" w:rsidTr="003A60BF">
        <w:tc>
          <w:tcPr>
            <w:tcW w:w="5503" w:type="dxa"/>
            <w:vAlign w:val="center"/>
          </w:tcPr>
          <w:p w14:paraId="347C1A35" w14:textId="77777777" w:rsidR="00167F2A" w:rsidRPr="004D64DF" w:rsidRDefault="00167F2A" w:rsidP="00C7053A">
            <w:pPr>
              <w:pStyle w:val="TableText0"/>
              <w:ind w:right="31"/>
              <w:rPr>
                <w:bCs w:val="0"/>
                <w:szCs w:val="20"/>
              </w:rPr>
            </w:pPr>
            <w:r w:rsidRPr="004D64DF">
              <w:rPr>
                <w:bCs w:val="0"/>
                <w:szCs w:val="20"/>
              </w:rPr>
              <w:t>Neutropenia leading to discontinuation of study treatment, n (%)</w:t>
            </w:r>
          </w:p>
        </w:tc>
        <w:tc>
          <w:tcPr>
            <w:tcW w:w="1872" w:type="dxa"/>
            <w:vAlign w:val="center"/>
          </w:tcPr>
          <w:p w14:paraId="1806439D" w14:textId="77777777" w:rsidR="00167F2A" w:rsidRPr="004D64DF" w:rsidRDefault="00167F2A" w:rsidP="00C7053A">
            <w:pPr>
              <w:pStyle w:val="TableText0"/>
              <w:ind w:right="31"/>
              <w:jc w:val="center"/>
              <w:rPr>
                <w:bCs w:val="0"/>
                <w:szCs w:val="20"/>
              </w:rPr>
            </w:pPr>
            <w:r w:rsidRPr="004D64DF">
              <w:rPr>
                <w:bCs w:val="0"/>
                <w:szCs w:val="20"/>
              </w:rPr>
              <w:t>0</w:t>
            </w:r>
          </w:p>
        </w:tc>
        <w:tc>
          <w:tcPr>
            <w:tcW w:w="1642" w:type="dxa"/>
            <w:vAlign w:val="center"/>
          </w:tcPr>
          <w:p w14:paraId="435CA824" w14:textId="77777777" w:rsidR="00167F2A" w:rsidRPr="004D64DF" w:rsidRDefault="00167F2A" w:rsidP="00C7053A">
            <w:pPr>
              <w:pStyle w:val="TableText0"/>
              <w:ind w:right="31"/>
              <w:jc w:val="center"/>
              <w:rPr>
                <w:bCs w:val="0"/>
                <w:szCs w:val="20"/>
              </w:rPr>
            </w:pPr>
            <w:r w:rsidRPr="004D64DF">
              <w:rPr>
                <w:bCs w:val="0"/>
                <w:szCs w:val="20"/>
              </w:rPr>
              <w:t>11 (9.5%)</w:t>
            </w:r>
          </w:p>
        </w:tc>
      </w:tr>
      <w:tr w:rsidR="00167F2A" w:rsidRPr="008B7558" w14:paraId="4797CD1A" w14:textId="77777777" w:rsidTr="003A60BF">
        <w:tc>
          <w:tcPr>
            <w:tcW w:w="5503" w:type="dxa"/>
            <w:vAlign w:val="center"/>
          </w:tcPr>
          <w:p w14:paraId="47BE6EB6" w14:textId="77777777" w:rsidR="00167F2A" w:rsidRPr="004D64DF" w:rsidRDefault="00167F2A" w:rsidP="00C7053A">
            <w:pPr>
              <w:pStyle w:val="TableText0"/>
              <w:ind w:right="31"/>
              <w:rPr>
                <w:bCs w:val="0"/>
                <w:szCs w:val="20"/>
              </w:rPr>
            </w:pPr>
            <w:r w:rsidRPr="004D64DF">
              <w:rPr>
                <w:bCs w:val="0"/>
                <w:szCs w:val="20"/>
              </w:rPr>
              <w:t>Febrile neutropenia, n (%)</w:t>
            </w:r>
          </w:p>
        </w:tc>
        <w:tc>
          <w:tcPr>
            <w:tcW w:w="1872" w:type="dxa"/>
            <w:vAlign w:val="center"/>
          </w:tcPr>
          <w:p w14:paraId="6FAA0864" w14:textId="77777777" w:rsidR="00167F2A" w:rsidRPr="004D64DF" w:rsidRDefault="00167F2A" w:rsidP="00C7053A">
            <w:pPr>
              <w:pStyle w:val="TableText0"/>
              <w:ind w:right="31"/>
              <w:jc w:val="center"/>
              <w:rPr>
                <w:bCs w:val="0"/>
                <w:szCs w:val="20"/>
              </w:rPr>
            </w:pPr>
            <w:r w:rsidRPr="004D64DF">
              <w:rPr>
                <w:bCs w:val="0"/>
                <w:szCs w:val="20"/>
              </w:rPr>
              <w:t>2 (0.9%)</w:t>
            </w:r>
          </w:p>
        </w:tc>
        <w:tc>
          <w:tcPr>
            <w:tcW w:w="1642" w:type="dxa"/>
            <w:vAlign w:val="center"/>
          </w:tcPr>
          <w:p w14:paraId="6910E115" w14:textId="77777777" w:rsidR="00167F2A" w:rsidRPr="004D64DF" w:rsidRDefault="00167F2A" w:rsidP="00C7053A">
            <w:pPr>
              <w:pStyle w:val="TableText0"/>
              <w:ind w:right="31"/>
              <w:jc w:val="center"/>
              <w:rPr>
                <w:bCs w:val="0"/>
                <w:szCs w:val="20"/>
              </w:rPr>
            </w:pPr>
            <w:r w:rsidRPr="004D64DF">
              <w:rPr>
                <w:bCs w:val="0"/>
                <w:szCs w:val="20"/>
              </w:rPr>
              <w:t>4 (3.4%)</w:t>
            </w:r>
          </w:p>
        </w:tc>
      </w:tr>
      <w:tr w:rsidR="00167F2A" w:rsidRPr="008B7558" w14:paraId="6A843895" w14:textId="77777777" w:rsidTr="003A60BF">
        <w:tc>
          <w:tcPr>
            <w:tcW w:w="5503" w:type="dxa"/>
            <w:vAlign w:val="center"/>
          </w:tcPr>
          <w:p w14:paraId="25A43C8F" w14:textId="77777777" w:rsidR="00167F2A" w:rsidRPr="004D64DF" w:rsidRDefault="00167F2A" w:rsidP="00C7053A">
            <w:pPr>
              <w:pStyle w:val="TableText0"/>
              <w:ind w:right="31"/>
              <w:rPr>
                <w:bCs w:val="0"/>
                <w:szCs w:val="20"/>
              </w:rPr>
            </w:pPr>
            <w:r w:rsidRPr="004D64DF">
              <w:rPr>
                <w:bCs w:val="0"/>
                <w:szCs w:val="20"/>
              </w:rPr>
              <w:t>Increased serum creatinine, n (%)</w:t>
            </w:r>
          </w:p>
        </w:tc>
        <w:tc>
          <w:tcPr>
            <w:tcW w:w="1872" w:type="dxa"/>
            <w:vAlign w:val="center"/>
          </w:tcPr>
          <w:p w14:paraId="28B3F2D2" w14:textId="77777777" w:rsidR="00167F2A" w:rsidRPr="004D64DF" w:rsidRDefault="00167F2A" w:rsidP="00C7053A">
            <w:pPr>
              <w:pStyle w:val="TableText0"/>
              <w:ind w:right="31"/>
              <w:jc w:val="center"/>
              <w:rPr>
                <w:bCs w:val="0"/>
                <w:szCs w:val="20"/>
              </w:rPr>
            </w:pPr>
            <w:r w:rsidRPr="004D64DF">
              <w:rPr>
                <w:bCs w:val="0"/>
                <w:szCs w:val="20"/>
              </w:rPr>
              <w:t>13 (5.6%)</w:t>
            </w:r>
          </w:p>
        </w:tc>
        <w:tc>
          <w:tcPr>
            <w:tcW w:w="1642" w:type="dxa"/>
            <w:vAlign w:val="center"/>
          </w:tcPr>
          <w:p w14:paraId="1A7736F6" w14:textId="77777777" w:rsidR="00167F2A" w:rsidRPr="004D64DF" w:rsidRDefault="00167F2A" w:rsidP="00C7053A">
            <w:pPr>
              <w:pStyle w:val="TableText0"/>
              <w:ind w:right="31"/>
              <w:jc w:val="center"/>
              <w:rPr>
                <w:bCs w:val="0"/>
                <w:szCs w:val="20"/>
              </w:rPr>
            </w:pPr>
            <w:r w:rsidRPr="004D64DF">
              <w:rPr>
                <w:bCs w:val="0"/>
                <w:szCs w:val="20"/>
              </w:rPr>
              <w:t>5 (4.3%)</w:t>
            </w:r>
          </w:p>
        </w:tc>
      </w:tr>
      <w:tr w:rsidR="00167F2A" w:rsidRPr="008B7558" w14:paraId="29C7B2E2" w14:textId="77777777" w:rsidTr="003A60BF">
        <w:tc>
          <w:tcPr>
            <w:tcW w:w="5503" w:type="dxa"/>
            <w:vAlign w:val="center"/>
          </w:tcPr>
          <w:p w14:paraId="6D7B9553" w14:textId="77777777" w:rsidR="00167F2A" w:rsidRPr="004D64DF" w:rsidRDefault="00167F2A" w:rsidP="00C7053A">
            <w:pPr>
              <w:pStyle w:val="TableText0"/>
              <w:ind w:right="31"/>
              <w:rPr>
                <w:bCs w:val="0"/>
                <w:szCs w:val="20"/>
              </w:rPr>
            </w:pPr>
            <w:r w:rsidRPr="004D64DF">
              <w:rPr>
                <w:bCs w:val="0"/>
                <w:szCs w:val="20"/>
              </w:rPr>
              <w:t>Acute kidney injury, n (%)</w:t>
            </w:r>
          </w:p>
        </w:tc>
        <w:tc>
          <w:tcPr>
            <w:tcW w:w="1872" w:type="dxa"/>
            <w:vAlign w:val="center"/>
          </w:tcPr>
          <w:p w14:paraId="391C9241" w14:textId="77777777" w:rsidR="00167F2A" w:rsidRPr="004D64DF" w:rsidRDefault="00167F2A" w:rsidP="00C7053A">
            <w:pPr>
              <w:pStyle w:val="TableText0"/>
              <w:ind w:right="31"/>
              <w:jc w:val="center"/>
              <w:rPr>
                <w:bCs w:val="0"/>
                <w:szCs w:val="20"/>
              </w:rPr>
            </w:pPr>
            <w:r w:rsidRPr="004D64DF">
              <w:rPr>
                <w:bCs w:val="0"/>
                <w:szCs w:val="20"/>
              </w:rPr>
              <w:t>4 (1.7%)</w:t>
            </w:r>
          </w:p>
        </w:tc>
        <w:tc>
          <w:tcPr>
            <w:tcW w:w="1642" w:type="dxa"/>
            <w:vAlign w:val="center"/>
          </w:tcPr>
          <w:p w14:paraId="1823A042" w14:textId="77777777" w:rsidR="00167F2A" w:rsidRPr="004D64DF" w:rsidRDefault="00167F2A" w:rsidP="00C7053A">
            <w:pPr>
              <w:pStyle w:val="TableText0"/>
              <w:ind w:right="31"/>
              <w:jc w:val="center"/>
              <w:rPr>
                <w:bCs w:val="0"/>
                <w:szCs w:val="20"/>
              </w:rPr>
            </w:pPr>
            <w:r w:rsidRPr="004D64DF">
              <w:rPr>
                <w:bCs w:val="0"/>
                <w:szCs w:val="20"/>
              </w:rPr>
              <w:t>9 (7.8%)</w:t>
            </w:r>
          </w:p>
        </w:tc>
      </w:tr>
      <w:tr w:rsidR="00167F2A" w:rsidRPr="008B7558" w14:paraId="0B5D6EF8" w14:textId="77777777" w:rsidTr="003A60BF">
        <w:tc>
          <w:tcPr>
            <w:tcW w:w="5503" w:type="dxa"/>
            <w:vAlign w:val="center"/>
          </w:tcPr>
          <w:p w14:paraId="6D2656B3" w14:textId="21DCB221" w:rsidR="00167F2A" w:rsidRPr="004D64DF" w:rsidRDefault="00167F2A" w:rsidP="00C7053A">
            <w:pPr>
              <w:pStyle w:val="TableText0"/>
              <w:ind w:right="31"/>
              <w:rPr>
                <w:bCs w:val="0"/>
                <w:szCs w:val="20"/>
              </w:rPr>
            </w:pPr>
            <w:r w:rsidRPr="004D64DF">
              <w:rPr>
                <w:bCs w:val="0"/>
                <w:szCs w:val="20"/>
              </w:rPr>
              <w:t>RAS developing during study conferring resistance to ganciclovir, foscarnet or cidofovir, n/N</w:t>
            </w:r>
            <w:r w:rsidR="004D64DF" w:rsidRPr="004D64DF">
              <w:rPr>
                <w:bCs w:val="0"/>
                <w:szCs w:val="20"/>
                <w:vertAlign w:val="superscript"/>
              </w:rPr>
              <w:t>b</w:t>
            </w:r>
            <w:r w:rsidRPr="004D64DF">
              <w:rPr>
                <w:bCs w:val="0"/>
                <w:szCs w:val="20"/>
              </w:rPr>
              <w:t xml:space="preserve"> (%)</w:t>
            </w:r>
          </w:p>
        </w:tc>
        <w:tc>
          <w:tcPr>
            <w:tcW w:w="1872" w:type="dxa"/>
            <w:vAlign w:val="center"/>
          </w:tcPr>
          <w:p w14:paraId="72D8FF9E" w14:textId="77777777" w:rsidR="00167F2A" w:rsidRPr="004D64DF" w:rsidRDefault="00167F2A" w:rsidP="00C7053A">
            <w:pPr>
              <w:pStyle w:val="TableText0"/>
              <w:ind w:right="31"/>
              <w:jc w:val="center"/>
              <w:rPr>
                <w:bCs w:val="0"/>
                <w:szCs w:val="20"/>
              </w:rPr>
            </w:pPr>
            <w:r w:rsidRPr="004D64DF">
              <w:rPr>
                <w:bCs w:val="0"/>
                <w:szCs w:val="20"/>
              </w:rPr>
              <w:t>28/217 (12.9%)</w:t>
            </w:r>
          </w:p>
        </w:tc>
        <w:tc>
          <w:tcPr>
            <w:tcW w:w="1642" w:type="dxa"/>
            <w:vAlign w:val="center"/>
          </w:tcPr>
          <w:p w14:paraId="09D35480" w14:textId="77777777" w:rsidR="00167F2A" w:rsidRPr="004D64DF" w:rsidRDefault="00167F2A" w:rsidP="00C7053A">
            <w:pPr>
              <w:pStyle w:val="TableText0"/>
              <w:ind w:right="31"/>
              <w:jc w:val="center"/>
              <w:rPr>
                <w:bCs w:val="0"/>
                <w:szCs w:val="20"/>
              </w:rPr>
            </w:pPr>
            <w:r w:rsidRPr="004D64DF">
              <w:rPr>
                <w:bCs w:val="0"/>
                <w:szCs w:val="20"/>
              </w:rPr>
              <w:t>5/103 (4.9%)</w:t>
            </w:r>
          </w:p>
        </w:tc>
      </w:tr>
      <w:tr w:rsidR="00167F2A" w:rsidRPr="008B7558" w14:paraId="43411A14" w14:textId="77777777" w:rsidTr="003A60BF">
        <w:tc>
          <w:tcPr>
            <w:tcW w:w="5503" w:type="dxa"/>
            <w:vAlign w:val="center"/>
          </w:tcPr>
          <w:p w14:paraId="1A76E9FA" w14:textId="03E8533A" w:rsidR="00167F2A" w:rsidRPr="004D64DF" w:rsidRDefault="00167F2A" w:rsidP="00C7053A">
            <w:pPr>
              <w:pStyle w:val="TableText0"/>
              <w:ind w:right="31"/>
              <w:rPr>
                <w:bCs w:val="0"/>
                <w:szCs w:val="20"/>
              </w:rPr>
            </w:pPr>
            <w:r w:rsidRPr="004D64DF">
              <w:rPr>
                <w:bCs w:val="0"/>
                <w:szCs w:val="20"/>
              </w:rPr>
              <w:t>RAS developing during study conferring resistance to maribavir, n/N</w:t>
            </w:r>
            <w:r w:rsidR="004D64DF" w:rsidRPr="004D64DF">
              <w:rPr>
                <w:bCs w:val="0"/>
                <w:szCs w:val="20"/>
                <w:vertAlign w:val="superscript"/>
              </w:rPr>
              <w:t>b</w:t>
            </w:r>
            <w:r w:rsidRPr="004D64DF">
              <w:rPr>
                <w:bCs w:val="0"/>
                <w:szCs w:val="20"/>
              </w:rPr>
              <w:t xml:space="preserve"> (%)</w:t>
            </w:r>
          </w:p>
        </w:tc>
        <w:tc>
          <w:tcPr>
            <w:tcW w:w="1872" w:type="dxa"/>
            <w:vAlign w:val="center"/>
          </w:tcPr>
          <w:p w14:paraId="5EFAD30A" w14:textId="77777777" w:rsidR="00167F2A" w:rsidRPr="004D64DF" w:rsidRDefault="00167F2A" w:rsidP="00C7053A">
            <w:pPr>
              <w:pStyle w:val="TableText0"/>
              <w:ind w:right="31"/>
              <w:jc w:val="center"/>
              <w:rPr>
                <w:bCs w:val="0"/>
                <w:szCs w:val="20"/>
              </w:rPr>
            </w:pPr>
            <w:r w:rsidRPr="004D64DF">
              <w:rPr>
                <w:bCs w:val="0"/>
                <w:szCs w:val="20"/>
              </w:rPr>
              <w:t>42/217 (19.6%)</w:t>
            </w:r>
          </w:p>
        </w:tc>
        <w:tc>
          <w:tcPr>
            <w:tcW w:w="1642" w:type="dxa"/>
            <w:vAlign w:val="center"/>
          </w:tcPr>
          <w:p w14:paraId="577F21D0" w14:textId="77777777" w:rsidR="00167F2A" w:rsidRPr="004D64DF" w:rsidRDefault="00167F2A" w:rsidP="00C7053A">
            <w:pPr>
              <w:pStyle w:val="TableText0"/>
              <w:ind w:right="31"/>
              <w:jc w:val="center"/>
              <w:rPr>
                <w:bCs w:val="0"/>
                <w:szCs w:val="20"/>
              </w:rPr>
            </w:pPr>
            <w:r w:rsidRPr="004D64DF">
              <w:rPr>
                <w:bCs w:val="0"/>
                <w:szCs w:val="20"/>
              </w:rPr>
              <w:t>0</w:t>
            </w:r>
          </w:p>
        </w:tc>
      </w:tr>
    </w:tbl>
    <w:p w14:paraId="118EA727" w14:textId="2EFDB9FE" w:rsidR="008B7558" w:rsidRPr="008B7558" w:rsidRDefault="008B7558" w:rsidP="008B7558">
      <w:pPr>
        <w:pStyle w:val="TableFooter"/>
        <w:rPr>
          <w:rFonts w:eastAsiaTheme="majorEastAsia"/>
        </w:rPr>
      </w:pPr>
      <w:r w:rsidRPr="008B7558">
        <w:rPr>
          <w:rFonts w:eastAsiaTheme="majorEastAsia"/>
        </w:rPr>
        <w:t>Source: SOLSTICE CSR</w:t>
      </w:r>
      <w:r w:rsidR="00E5003C">
        <w:rPr>
          <w:rFonts w:eastAsiaTheme="majorEastAsia"/>
        </w:rPr>
        <w:t>:</w:t>
      </w:r>
      <w:r w:rsidRPr="008B7558">
        <w:rPr>
          <w:rFonts w:eastAsiaTheme="majorEastAsia"/>
        </w:rPr>
        <w:t xml:space="preserve"> </w:t>
      </w:r>
      <w:r w:rsidR="00E5003C">
        <w:rPr>
          <w:rFonts w:eastAsiaTheme="majorEastAsia"/>
        </w:rPr>
        <w:t xml:space="preserve">Table 40, p224; Table 41, p227; </w:t>
      </w:r>
      <w:r w:rsidRPr="008B7558">
        <w:rPr>
          <w:rFonts w:eastAsiaTheme="majorEastAsia"/>
        </w:rPr>
        <w:t xml:space="preserve">Table 42, pp229-230; p231; </w:t>
      </w:r>
      <w:r w:rsidR="00E5003C">
        <w:rPr>
          <w:rFonts w:eastAsiaTheme="majorEastAsia"/>
        </w:rPr>
        <w:t xml:space="preserve">Submission: </w:t>
      </w:r>
      <w:r w:rsidRPr="008B7558">
        <w:rPr>
          <w:rFonts w:eastAsiaTheme="majorEastAsia"/>
        </w:rPr>
        <w:t xml:space="preserve">Table 2.5.5, p79, Table 2.5.11, p85, Table 2.5.12, pp87-88, Table 2.5.15, pp90-91. </w:t>
      </w:r>
    </w:p>
    <w:p w14:paraId="3273BE6E" w14:textId="1EC2B746" w:rsidR="008B7558" w:rsidRPr="008B7558" w:rsidRDefault="008B7558" w:rsidP="008B7558">
      <w:pPr>
        <w:pStyle w:val="TableFooter"/>
        <w:rPr>
          <w:rFonts w:eastAsiaTheme="majorEastAsia"/>
        </w:rPr>
      </w:pPr>
      <w:r w:rsidRPr="008B7558">
        <w:rPr>
          <w:rFonts w:eastAsiaTheme="majorEastAsia"/>
        </w:rPr>
        <w:t xml:space="preserve">CMV = cytomegalovirus; IAT = </w:t>
      </w:r>
      <w:r w:rsidR="00FD6457">
        <w:rPr>
          <w:rFonts w:eastAsiaTheme="majorEastAsia"/>
        </w:rPr>
        <w:t>i</w:t>
      </w:r>
      <w:r w:rsidRPr="008B7558">
        <w:rPr>
          <w:rFonts w:eastAsiaTheme="majorEastAsia"/>
        </w:rPr>
        <w:t xml:space="preserve">nvestigator </w:t>
      </w:r>
      <w:r w:rsidR="00167F2A">
        <w:rPr>
          <w:rFonts w:eastAsiaTheme="majorEastAsia"/>
        </w:rPr>
        <w:t>assigned</w:t>
      </w:r>
      <w:r w:rsidRPr="008B7558">
        <w:rPr>
          <w:rFonts w:eastAsiaTheme="majorEastAsia"/>
        </w:rPr>
        <w:t xml:space="preserve"> </w:t>
      </w:r>
      <w:r w:rsidR="00FD6457">
        <w:rPr>
          <w:rFonts w:eastAsiaTheme="majorEastAsia"/>
        </w:rPr>
        <w:t>t</w:t>
      </w:r>
      <w:r w:rsidRPr="008B7558">
        <w:rPr>
          <w:rFonts w:eastAsiaTheme="majorEastAsia"/>
        </w:rPr>
        <w:t xml:space="preserve">reatment; RAS = </w:t>
      </w:r>
      <w:r w:rsidR="00FD6457">
        <w:rPr>
          <w:rFonts w:eastAsiaTheme="majorEastAsia"/>
        </w:rPr>
        <w:t>r</w:t>
      </w:r>
      <w:r w:rsidRPr="008B7558">
        <w:rPr>
          <w:rFonts w:eastAsiaTheme="majorEastAsia"/>
        </w:rPr>
        <w:t xml:space="preserve">esistance-associated </w:t>
      </w:r>
      <w:r w:rsidR="00167F2A">
        <w:rPr>
          <w:rFonts w:eastAsiaTheme="majorEastAsia"/>
        </w:rPr>
        <w:t>a</w:t>
      </w:r>
      <w:r w:rsidRPr="008B7558">
        <w:rPr>
          <w:rFonts w:eastAsiaTheme="majorEastAsia"/>
        </w:rPr>
        <w:t xml:space="preserve">mino acid </w:t>
      </w:r>
      <w:r w:rsidR="00167F2A">
        <w:rPr>
          <w:rFonts w:eastAsiaTheme="majorEastAsia"/>
        </w:rPr>
        <w:t>s</w:t>
      </w:r>
      <w:r w:rsidRPr="008B7558">
        <w:rPr>
          <w:rFonts w:eastAsiaTheme="majorEastAsia"/>
        </w:rPr>
        <w:t xml:space="preserve">ubstitution; TEAE = </w:t>
      </w:r>
      <w:r w:rsidR="00FD6457">
        <w:rPr>
          <w:rFonts w:eastAsiaTheme="majorEastAsia"/>
        </w:rPr>
        <w:t>t</w:t>
      </w:r>
      <w:r w:rsidRPr="008B7558">
        <w:rPr>
          <w:rFonts w:eastAsiaTheme="majorEastAsia"/>
        </w:rPr>
        <w:t>reatment-</w:t>
      </w:r>
      <w:r w:rsidR="00FD6457">
        <w:rPr>
          <w:rFonts w:eastAsiaTheme="majorEastAsia"/>
        </w:rPr>
        <w:t>e</w:t>
      </w:r>
      <w:r w:rsidRPr="008B7558">
        <w:rPr>
          <w:rFonts w:eastAsiaTheme="majorEastAsia"/>
        </w:rPr>
        <w:t xml:space="preserve">mergent </w:t>
      </w:r>
      <w:r w:rsidR="00FD6457">
        <w:rPr>
          <w:rFonts w:eastAsiaTheme="majorEastAsia"/>
        </w:rPr>
        <w:t>a</w:t>
      </w:r>
      <w:r w:rsidRPr="008B7558">
        <w:rPr>
          <w:rFonts w:eastAsiaTheme="majorEastAsia"/>
        </w:rPr>
        <w:t xml:space="preserve">dverse </w:t>
      </w:r>
      <w:r w:rsidR="00FD6457">
        <w:rPr>
          <w:rFonts w:eastAsiaTheme="majorEastAsia"/>
        </w:rPr>
        <w:t>ev</w:t>
      </w:r>
      <w:r w:rsidRPr="008B7558">
        <w:rPr>
          <w:rFonts w:eastAsiaTheme="majorEastAsia"/>
        </w:rPr>
        <w:t xml:space="preserve">ent; TESAE = </w:t>
      </w:r>
      <w:r w:rsidR="00FD6457">
        <w:rPr>
          <w:rFonts w:eastAsiaTheme="majorEastAsia"/>
        </w:rPr>
        <w:t>t</w:t>
      </w:r>
      <w:r w:rsidRPr="008B7558">
        <w:rPr>
          <w:rFonts w:eastAsiaTheme="majorEastAsia"/>
        </w:rPr>
        <w:t>reatment-</w:t>
      </w:r>
      <w:r w:rsidR="00FD6457">
        <w:rPr>
          <w:rFonts w:eastAsiaTheme="majorEastAsia"/>
        </w:rPr>
        <w:t>e</w:t>
      </w:r>
      <w:r w:rsidRPr="008B7558">
        <w:rPr>
          <w:rFonts w:eastAsiaTheme="majorEastAsia"/>
        </w:rPr>
        <w:t xml:space="preserve">mergent </w:t>
      </w:r>
      <w:r w:rsidR="00372763">
        <w:rPr>
          <w:rFonts w:eastAsiaTheme="majorEastAsia"/>
        </w:rPr>
        <w:t>s</w:t>
      </w:r>
      <w:r w:rsidRPr="008B7558">
        <w:rPr>
          <w:rFonts w:eastAsiaTheme="majorEastAsia"/>
        </w:rPr>
        <w:t>e</w:t>
      </w:r>
      <w:r w:rsidR="00372763">
        <w:rPr>
          <w:rFonts w:eastAsiaTheme="majorEastAsia"/>
        </w:rPr>
        <w:t>rious</w:t>
      </w:r>
      <w:r w:rsidRPr="008B7558">
        <w:rPr>
          <w:rFonts w:eastAsiaTheme="majorEastAsia"/>
        </w:rPr>
        <w:t xml:space="preserve"> </w:t>
      </w:r>
      <w:r w:rsidR="00372763">
        <w:rPr>
          <w:rFonts w:eastAsiaTheme="majorEastAsia"/>
        </w:rPr>
        <w:t>a</w:t>
      </w:r>
      <w:r w:rsidRPr="008B7558">
        <w:rPr>
          <w:rFonts w:eastAsiaTheme="majorEastAsia"/>
        </w:rPr>
        <w:t xml:space="preserve">dverse </w:t>
      </w:r>
      <w:r w:rsidR="00372763">
        <w:rPr>
          <w:rFonts w:eastAsiaTheme="majorEastAsia"/>
        </w:rPr>
        <w:t>e</w:t>
      </w:r>
      <w:r w:rsidRPr="008B7558">
        <w:rPr>
          <w:rFonts w:eastAsiaTheme="majorEastAsia"/>
        </w:rPr>
        <w:t xml:space="preserve">vent </w:t>
      </w:r>
    </w:p>
    <w:p w14:paraId="2C15AC17" w14:textId="007D05F4" w:rsidR="006071CD" w:rsidRDefault="004D64DF" w:rsidP="004D64DF">
      <w:pPr>
        <w:pStyle w:val="TableFooter"/>
        <w:tabs>
          <w:tab w:val="left" w:pos="142"/>
        </w:tabs>
        <w:ind w:left="142" w:hanging="142"/>
        <w:rPr>
          <w:rFonts w:eastAsiaTheme="majorEastAsia"/>
        </w:rPr>
      </w:pPr>
      <w:r>
        <w:rPr>
          <w:rFonts w:eastAsiaTheme="majorEastAsia"/>
          <w:vertAlign w:val="superscript"/>
        </w:rPr>
        <w:t>a</w:t>
      </w:r>
      <w:r w:rsidR="008B7558" w:rsidRPr="008B7558">
        <w:rPr>
          <w:rFonts w:eastAsiaTheme="majorEastAsia"/>
        </w:rPr>
        <w:t xml:space="preserve"> </w:t>
      </w:r>
      <w:r>
        <w:rPr>
          <w:rFonts w:eastAsiaTheme="majorEastAsia"/>
        </w:rPr>
        <w:tab/>
      </w:r>
      <w:r w:rsidR="008B7558" w:rsidRPr="008B7558">
        <w:rPr>
          <w:rFonts w:eastAsiaTheme="majorEastAsia"/>
        </w:rPr>
        <w:t xml:space="preserve">Including </w:t>
      </w:r>
      <w:r w:rsidR="009C0308">
        <w:rPr>
          <w:rFonts w:eastAsiaTheme="majorEastAsia"/>
        </w:rPr>
        <w:t>two deaths in each group</w:t>
      </w:r>
      <w:r w:rsidR="008B7558" w:rsidRPr="008B7558">
        <w:rPr>
          <w:rFonts w:eastAsiaTheme="majorEastAsia"/>
        </w:rPr>
        <w:t xml:space="preserve"> occurring after completion of </w:t>
      </w:r>
      <w:r w:rsidR="00480F40" w:rsidRPr="008B7558">
        <w:rPr>
          <w:rFonts w:eastAsiaTheme="majorEastAsia"/>
        </w:rPr>
        <w:t>20-week</w:t>
      </w:r>
      <w:r w:rsidR="008B7558" w:rsidRPr="008B7558">
        <w:rPr>
          <w:rFonts w:eastAsiaTheme="majorEastAsia"/>
        </w:rPr>
        <w:t xml:space="preserve"> treatment + follow-up period</w:t>
      </w:r>
      <w:r w:rsidR="00510184">
        <w:rPr>
          <w:rFonts w:eastAsiaTheme="majorEastAsia"/>
        </w:rPr>
        <w:t xml:space="preserve"> but due to events beginning before 20 weeks</w:t>
      </w:r>
      <w:r w:rsidR="008B7558" w:rsidRPr="008B7558">
        <w:rPr>
          <w:rFonts w:eastAsiaTheme="majorEastAsia"/>
        </w:rPr>
        <w:t>.</w:t>
      </w:r>
    </w:p>
    <w:p w14:paraId="7DDAA481" w14:textId="173766FF" w:rsidR="00E47C82" w:rsidRDefault="004D64DF" w:rsidP="003926B6">
      <w:pPr>
        <w:pStyle w:val="TableFooter"/>
        <w:tabs>
          <w:tab w:val="left" w:pos="142"/>
        </w:tabs>
        <w:spacing w:after="120"/>
        <w:rPr>
          <w:rFonts w:eastAsiaTheme="majorEastAsia"/>
        </w:rPr>
      </w:pPr>
      <w:r>
        <w:rPr>
          <w:vertAlign w:val="superscript"/>
        </w:rPr>
        <w:t>b</w:t>
      </w:r>
      <w:r w:rsidR="006071CD">
        <w:t xml:space="preserve"> </w:t>
      </w:r>
      <w:r>
        <w:tab/>
      </w:r>
      <w:r w:rsidR="006071CD">
        <w:t>N = number of patients with baseline and post-baseline viral genotype.</w:t>
      </w:r>
      <w:r w:rsidR="008B7558" w:rsidRPr="008B7558">
        <w:rPr>
          <w:rFonts w:eastAsiaTheme="majorEastAsia"/>
        </w:rPr>
        <w:t xml:space="preserve"> </w:t>
      </w:r>
    </w:p>
    <w:p w14:paraId="5982D3BC" w14:textId="036BFDA9" w:rsidR="006071CD" w:rsidRPr="009C006D" w:rsidRDefault="006071CD" w:rsidP="006071CD">
      <w:pPr>
        <w:pStyle w:val="3-BodyText"/>
        <w:rPr>
          <w:rFonts w:eastAsiaTheme="majorEastAsia"/>
        </w:rPr>
      </w:pPr>
      <w:r>
        <w:t xml:space="preserve">The overall rates of </w:t>
      </w:r>
      <w:r w:rsidR="00945F8A">
        <w:t xml:space="preserve">most </w:t>
      </w:r>
      <w:r>
        <w:t xml:space="preserve">adverse events, and the numbers of deaths, were similar in maribavir and IAT groups. </w:t>
      </w:r>
      <w:r w:rsidR="004415F4">
        <w:t>Serious adverse events (</w:t>
      </w:r>
      <w:r>
        <w:t>SAEs</w:t>
      </w:r>
      <w:r w:rsidR="004415F4">
        <w:t>)</w:t>
      </w:r>
      <w:r>
        <w:t xml:space="preserve"> of infection may have been more common in maribavir-treated patients; the SOLSTICE CSR attributes this to</w:t>
      </w:r>
      <w:r w:rsidRPr="00662FC4">
        <w:t xml:space="preserve"> </w:t>
      </w:r>
      <w:r>
        <w:t>“</w:t>
      </w:r>
      <w:r w:rsidRPr="00662FC4">
        <w:t>longer exposure to maribavir, which allowed more time for infections to develop in this immunocompromised population</w:t>
      </w:r>
      <w:r>
        <w:t>” (SOLSTICE CSR, p18)</w:t>
      </w:r>
      <w:r w:rsidRPr="00662FC4">
        <w:t xml:space="preserve">. </w:t>
      </w:r>
      <w:r>
        <w:t xml:space="preserve">Disturbance of taste (“dysgeusia”) was common in patients treated with maribavir, as previously reported, but rarely required discontinuation of treatment. </w:t>
      </w:r>
      <w:r w:rsidR="005C1AE8">
        <w:t>Neutropenia</w:t>
      </w:r>
      <w:r>
        <w:t xml:space="preserve"> was less common in maribavir-treated patients, also as previously reported, and was a common cause of treatment discontinuation in IAT-treated patients. </w:t>
      </w:r>
    </w:p>
    <w:p w14:paraId="0C1DE6D5" w14:textId="0999F979" w:rsidR="00326F1F" w:rsidRPr="00326F1F" w:rsidRDefault="006071CD" w:rsidP="00326F1F">
      <w:pPr>
        <w:pStyle w:val="3-BodyText"/>
      </w:pPr>
      <w:r>
        <w:t xml:space="preserve">New resistance mutations to maribavir were common (19.6%) in CMV from maribavir-treated patients, but were not seen in IAT treated patients. New mutations conferring resistance to ganciclovir, foscarnet or cidofovir were also more common in maribavir-treated patients (12.9%) than in IAT-treated patients (4.9%). </w:t>
      </w:r>
      <w:r w:rsidR="00DA1328">
        <w:t>There were 28 mutations identified; m</w:t>
      </w:r>
      <w:r>
        <w:t>ost (19/28) were in the UL97 gene, and conferred resistance to maribavir and ganciclovir (16/</w:t>
      </w:r>
      <w:r w:rsidR="00DA1328">
        <w:t>19</w:t>
      </w:r>
      <w:r>
        <w:t>), or to ganciclovir alone (3/</w:t>
      </w:r>
      <w:r w:rsidR="00DA1328">
        <w:t>19</w:t>
      </w:r>
      <w:r>
        <w:t>).</w:t>
      </w:r>
      <w:r w:rsidR="00906521">
        <w:t xml:space="preserve"> </w:t>
      </w:r>
      <w:r>
        <w:t xml:space="preserve">However, 9/28 </w:t>
      </w:r>
      <w:r w:rsidR="005214AC">
        <w:t>were</w:t>
      </w:r>
      <w:r>
        <w:t xml:space="preserve"> in UL54; 5/</w:t>
      </w:r>
      <w:r w:rsidR="00DA1328">
        <w:t>9</w:t>
      </w:r>
      <w:r>
        <w:t xml:space="preserve"> conferred resistance to ganciclovir and cidofovir, </w:t>
      </w:r>
      <w:r w:rsidR="005214AC">
        <w:t>2</w:t>
      </w:r>
      <w:r w:rsidR="00DA1328">
        <w:t>/9</w:t>
      </w:r>
      <w:r>
        <w:t xml:space="preserve"> conferred resistance to foscarnet, and 2/</w:t>
      </w:r>
      <w:r w:rsidR="00DA1328">
        <w:t>9</w:t>
      </w:r>
      <w:r>
        <w:t xml:space="preserve"> to all three drugs. None of the patients whose CMV developed resistance to cidofovir while they were receiving maribavir had received cidofovir previously, and only one of the patients whose CMV developed foscarnet resistance </w:t>
      </w:r>
      <w:r>
        <w:lastRenderedPageBreak/>
        <w:t>while they were receiving maribavir had received foscarnet previously (SHP620-303 Resistance Report, Table 13, p44).</w:t>
      </w:r>
      <w:bookmarkStart w:id="30" w:name="_Toc22897643"/>
      <w:r w:rsidR="00326F1F">
        <w:t xml:space="preserve"> The Pre-PBAC response noted that r</w:t>
      </w:r>
      <w:r w:rsidR="00326F1F" w:rsidRPr="00326F1F">
        <w:t>eplication of CMV in the presence of antiviral therapy, subtherapeutic dosing and limited host immunity are known risk factors for the development of antiviral drug resistance in post-transplant CMV. The longer average time on treatment for maribavir (mean exposure 52.5 vs 36.0 days</w:t>
      </w:r>
      <w:r w:rsidR="00326F1F">
        <w:t>)</w:t>
      </w:r>
      <w:r w:rsidR="00326F1F" w:rsidRPr="00326F1F">
        <w:t xml:space="preserve"> likely contributed to a higher rate of resistance detection when compared to the IAT</w:t>
      </w:r>
      <w:r w:rsidR="00AA4124">
        <w:t>. The Pre-PBAC response also note that</w:t>
      </w:r>
      <w:r w:rsidR="00326F1F" w:rsidRPr="00326F1F">
        <w:t xml:space="preserve"> 58% (30/52) of patients with emergent maribavir drug related mutations reported viraemia clearance with alternative treatments. </w:t>
      </w:r>
    </w:p>
    <w:p w14:paraId="19C6FCA1" w14:textId="7FB6AE66" w:rsidR="00E410A2" w:rsidRPr="00C36938" w:rsidRDefault="007F1017" w:rsidP="00C36938">
      <w:pPr>
        <w:pStyle w:val="4-SubsectionHeading"/>
      </w:pPr>
      <w:bookmarkStart w:id="31" w:name="_Toc145336301"/>
      <w:r w:rsidRPr="00E410A2">
        <w:t>Benefits/harms</w:t>
      </w:r>
      <w:bookmarkEnd w:id="30"/>
      <w:bookmarkEnd w:id="31"/>
    </w:p>
    <w:p w14:paraId="4B274ADA" w14:textId="13ADE05E" w:rsidR="00E410A2" w:rsidRPr="004D05AA" w:rsidRDefault="00E410A2" w:rsidP="00E410A2">
      <w:pPr>
        <w:pStyle w:val="3-BodyText"/>
      </w:pPr>
      <w:r w:rsidRPr="004D05AA">
        <w:t xml:space="preserve">A benefits/harms summary is not presented as </w:t>
      </w:r>
      <w:r w:rsidR="004D3FDA" w:rsidRPr="004D05AA">
        <w:t>the comparison of maribavir with all four drugs included in the IAT arm of SOL</w:t>
      </w:r>
      <w:r w:rsidR="00D312A2" w:rsidRPr="004D05AA">
        <w:t>S</w:t>
      </w:r>
      <w:r w:rsidR="004D3FDA" w:rsidRPr="004D05AA">
        <w:t xml:space="preserve">TICE </w:t>
      </w:r>
      <w:r w:rsidR="00AB45F5">
        <w:t>wa</w:t>
      </w:r>
      <w:r w:rsidR="004D3FDA" w:rsidRPr="004D05AA">
        <w:t xml:space="preserve">s not </w:t>
      </w:r>
      <w:r w:rsidR="00965546" w:rsidRPr="004D05AA">
        <w:t>clinically</w:t>
      </w:r>
      <w:r w:rsidR="004D3FDA" w:rsidRPr="004D05AA">
        <w:t xml:space="preserve"> reasonable as they have different efficacy and safety profiles.</w:t>
      </w:r>
    </w:p>
    <w:p w14:paraId="7A1772B6" w14:textId="23BB3145" w:rsidR="00B60939" w:rsidRPr="00C9624D" w:rsidRDefault="00B60939" w:rsidP="00E9094A">
      <w:pPr>
        <w:pStyle w:val="4-SubsectionHeading"/>
      </w:pPr>
      <w:bookmarkStart w:id="32" w:name="_Toc22897644"/>
      <w:bookmarkStart w:id="33" w:name="_Toc145336302"/>
      <w:r w:rsidRPr="00C9624D">
        <w:t>Clinical claim</w:t>
      </w:r>
      <w:bookmarkEnd w:id="32"/>
      <w:bookmarkEnd w:id="33"/>
    </w:p>
    <w:p w14:paraId="54D3A82D" w14:textId="1D9C8A4B" w:rsidR="005F7588" w:rsidRPr="00421405" w:rsidRDefault="005F7588" w:rsidP="00E9094A">
      <w:pPr>
        <w:pStyle w:val="3-BodyText"/>
        <w:rPr>
          <w:rFonts w:eastAsia="Calibri"/>
        </w:rPr>
      </w:pPr>
      <w:r w:rsidRPr="005D6F6E">
        <w:rPr>
          <w:rFonts w:eastAsia="Calibri"/>
        </w:rPr>
        <w:t xml:space="preserve">The submission described </w:t>
      </w:r>
      <w:r w:rsidR="002F7035">
        <w:rPr>
          <w:rFonts w:eastAsia="Calibri"/>
        </w:rPr>
        <w:t xml:space="preserve">maribavir </w:t>
      </w:r>
      <w:r w:rsidRPr="005D6F6E">
        <w:rPr>
          <w:rFonts w:eastAsia="Calibri"/>
        </w:rPr>
        <w:t xml:space="preserve">as superior in terms of effectiveness compared to </w:t>
      </w:r>
      <w:r w:rsidR="002F7035">
        <w:rPr>
          <w:rFonts w:eastAsia="Calibri"/>
        </w:rPr>
        <w:t>standard medical management</w:t>
      </w:r>
      <w:r w:rsidRPr="005D6F6E">
        <w:rPr>
          <w:rFonts w:eastAsia="Calibri"/>
        </w:rPr>
        <w:t xml:space="preserve">. </w:t>
      </w:r>
      <w:r w:rsidR="005C6A48" w:rsidRPr="00421405">
        <w:rPr>
          <w:rFonts w:eastAsia="Calibri"/>
        </w:rPr>
        <w:t xml:space="preserve">The ESC considered </w:t>
      </w:r>
      <w:r w:rsidR="00247580" w:rsidRPr="00421405">
        <w:rPr>
          <w:rFonts w:eastAsia="Calibri"/>
        </w:rPr>
        <w:t>the clinical claim was highly uncertain</w:t>
      </w:r>
      <w:r w:rsidRPr="00421405">
        <w:rPr>
          <w:rFonts w:eastAsia="Calibri"/>
        </w:rPr>
        <w:t>.</w:t>
      </w:r>
      <w:r w:rsidR="007C70FF" w:rsidRPr="00421405">
        <w:rPr>
          <w:rFonts w:eastAsia="Calibri"/>
        </w:rPr>
        <w:t xml:space="preserve"> </w:t>
      </w:r>
      <w:r w:rsidR="0044672C" w:rsidRPr="00421405">
        <w:rPr>
          <w:rFonts w:eastAsia="Calibri"/>
        </w:rPr>
        <w:t>The ESC considered that while maribavir is likely to be more efficacious than standard of care in patients representative of those treated in the SOLSTICE trial, the development of resistance to maribavir is a significant issue</w:t>
      </w:r>
      <w:r w:rsidR="004D05D2" w:rsidRPr="00421405">
        <w:rPr>
          <w:rFonts w:eastAsia="Calibri"/>
        </w:rPr>
        <w:t>, and based on the excluded NCT0297067 trial, efficacy in patients undergoing HSCT</w:t>
      </w:r>
      <w:r w:rsidR="002251D9" w:rsidRPr="00421405">
        <w:rPr>
          <w:rFonts w:eastAsia="Calibri"/>
        </w:rPr>
        <w:t xml:space="preserve"> was uncertain</w:t>
      </w:r>
      <w:r w:rsidR="0044672C" w:rsidRPr="00421405">
        <w:rPr>
          <w:rFonts w:eastAsia="Calibri"/>
        </w:rPr>
        <w:t xml:space="preserve">. </w:t>
      </w:r>
      <w:r w:rsidR="007C70FF" w:rsidRPr="00421405">
        <w:rPr>
          <w:rFonts w:eastAsia="Calibri"/>
        </w:rPr>
        <w:t xml:space="preserve">The </w:t>
      </w:r>
      <w:r w:rsidR="0044672C" w:rsidRPr="00421405">
        <w:rPr>
          <w:rFonts w:eastAsia="Calibri"/>
        </w:rPr>
        <w:t xml:space="preserve">ESC </w:t>
      </w:r>
      <w:r w:rsidR="002251D9" w:rsidRPr="00421405">
        <w:rPr>
          <w:rFonts w:eastAsia="Calibri"/>
        </w:rPr>
        <w:t xml:space="preserve">also </w:t>
      </w:r>
      <w:r w:rsidR="0044672C" w:rsidRPr="00421405">
        <w:rPr>
          <w:rFonts w:eastAsia="Calibri"/>
        </w:rPr>
        <w:t xml:space="preserve">considered that a </w:t>
      </w:r>
      <w:r w:rsidR="007C70FF" w:rsidRPr="00421405">
        <w:rPr>
          <w:rFonts w:eastAsia="Calibri"/>
        </w:rPr>
        <w:t>key issue</w:t>
      </w:r>
      <w:r w:rsidR="00752EEB" w:rsidRPr="00421405">
        <w:rPr>
          <w:rFonts w:eastAsia="Calibri"/>
        </w:rPr>
        <w:t xml:space="preserve"> was</w:t>
      </w:r>
      <w:r w:rsidR="007C70FF" w:rsidRPr="00421405">
        <w:rPr>
          <w:rFonts w:eastAsia="Calibri"/>
        </w:rPr>
        <w:t xml:space="preserve"> </w:t>
      </w:r>
      <w:r w:rsidR="002F7035" w:rsidRPr="00421405">
        <w:rPr>
          <w:rFonts w:eastAsia="Calibri"/>
        </w:rPr>
        <w:t xml:space="preserve">the high risk of bias in the open label </w:t>
      </w:r>
      <w:r w:rsidR="004D05D2" w:rsidRPr="00421405">
        <w:rPr>
          <w:rFonts w:eastAsia="Calibri"/>
        </w:rPr>
        <w:t xml:space="preserve">SOLSTICE </w:t>
      </w:r>
      <w:r w:rsidR="002F7035" w:rsidRPr="00421405">
        <w:rPr>
          <w:rFonts w:eastAsia="Calibri"/>
        </w:rPr>
        <w:t>trial</w:t>
      </w:r>
      <w:r w:rsidR="002251D9" w:rsidRPr="00421405">
        <w:rPr>
          <w:rFonts w:eastAsia="Calibri"/>
        </w:rPr>
        <w:t>,</w:t>
      </w:r>
      <w:r w:rsidR="002F7035" w:rsidRPr="00421405">
        <w:rPr>
          <w:rFonts w:eastAsia="Calibri"/>
        </w:rPr>
        <w:t xml:space="preserve"> resulting in a likely overestimate of benefit</w:t>
      </w:r>
      <w:r w:rsidR="000C0B61" w:rsidRPr="00421405">
        <w:rPr>
          <w:rFonts w:eastAsia="Calibri"/>
        </w:rPr>
        <w:t xml:space="preserve"> for maribavir. </w:t>
      </w:r>
    </w:p>
    <w:p w14:paraId="7F613CD1" w14:textId="191EBB61" w:rsidR="005F7588" w:rsidRPr="003F2CC0" w:rsidRDefault="005F7588" w:rsidP="00397B5C">
      <w:pPr>
        <w:pStyle w:val="3-BodyText"/>
        <w:rPr>
          <w:rFonts w:eastAsia="Calibri"/>
        </w:rPr>
      </w:pPr>
      <w:r w:rsidRPr="003F2CC0">
        <w:rPr>
          <w:rFonts w:eastAsia="Calibri"/>
        </w:rPr>
        <w:t xml:space="preserve">The submission described </w:t>
      </w:r>
      <w:r w:rsidR="002F7035" w:rsidRPr="003F2CC0">
        <w:rPr>
          <w:rFonts w:eastAsia="Calibri"/>
        </w:rPr>
        <w:t>maribavir</w:t>
      </w:r>
      <w:r w:rsidRPr="003F2CC0">
        <w:rPr>
          <w:rFonts w:eastAsia="Calibri"/>
        </w:rPr>
        <w:t xml:space="preserve"> as superior in term</w:t>
      </w:r>
      <w:r w:rsidR="00156F8F" w:rsidRPr="003F2CC0">
        <w:rPr>
          <w:rFonts w:eastAsia="Calibri"/>
        </w:rPr>
        <w:t>s</w:t>
      </w:r>
      <w:r w:rsidRPr="003F2CC0">
        <w:rPr>
          <w:rFonts w:eastAsia="Calibri"/>
        </w:rPr>
        <w:t xml:space="preserve"> of safety compared to </w:t>
      </w:r>
      <w:r w:rsidR="002F7035" w:rsidRPr="003F2CC0">
        <w:rPr>
          <w:rFonts w:eastAsia="Calibri"/>
        </w:rPr>
        <w:t>standard medical management</w:t>
      </w:r>
      <w:r w:rsidRPr="003F2CC0">
        <w:rPr>
          <w:rFonts w:eastAsia="Calibri"/>
        </w:rPr>
        <w:t xml:space="preserve">. This claim was </w:t>
      </w:r>
      <w:r w:rsidR="007C70FF" w:rsidRPr="003F2CC0">
        <w:rPr>
          <w:rFonts w:eastAsia="Calibri"/>
        </w:rPr>
        <w:t xml:space="preserve">not </w:t>
      </w:r>
      <w:r w:rsidRPr="003F2CC0">
        <w:rPr>
          <w:rFonts w:eastAsia="Calibri"/>
        </w:rPr>
        <w:t>adequately supported</w:t>
      </w:r>
      <w:r w:rsidR="007C70FF" w:rsidRPr="003F2CC0">
        <w:rPr>
          <w:rFonts w:eastAsia="Calibri"/>
        </w:rPr>
        <w:t xml:space="preserve">. </w:t>
      </w:r>
      <w:r w:rsidR="002F7035" w:rsidRPr="003F2CC0">
        <w:rPr>
          <w:rFonts w:eastAsia="Calibri"/>
        </w:rPr>
        <w:t xml:space="preserve">The adverse events in </w:t>
      </w:r>
      <w:r w:rsidR="000E0558" w:rsidRPr="003F2CC0">
        <w:rPr>
          <w:rFonts w:eastAsia="Calibri"/>
        </w:rPr>
        <w:t>SOLSTICE and NCT02927067</w:t>
      </w:r>
      <w:r w:rsidR="002F7035" w:rsidRPr="003F2CC0">
        <w:rPr>
          <w:rFonts w:eastAsia="Calibri"/>
        </w:rPr>
        <w:t xml:space="preserve"> s</w:t>
      </w:r>
      <w:r w:rsidR="000E0558" w:rsidRPr="003F2CC0">
        <w:rPr>
          <w:rFonts w:eastAsia="Calibri"/>
        </w:rPr>
        <w:t>ho</w:t>
      </w:r>
      <w:r w:rsidR="004D3FDA" w:rsidRPr="003F2CC0">
        <w:rPr>
          <w:rFonts w:eastAsia="Calibri"/>
        </w:rPr>
        <w:t>wed</w:t>
      </w:r>
      <w:r w:rsidR="002F7035" w:rsidRPr="003F2CC0">
        <w:rPr>
          <w:rFonts w:eastAsia="Calibri"/>
        </w:rPr>
        <w:t xml:space="preserve"> a </w:t>
      </w:r>
      <w:r w:rsidR="00053C95" w:rsidRPr="003F2CC0">
        <w:rPr>
          <w:rFonts w:eastAsia="Calibri"/>
        </w:rPr>
        <w:t>lower</w:t>
      </w:r>
      <w:r w:rsidR="002F7035" w:rsidRPr="003F2CC0">
        <w:rPr>
          <w:rFonts w:eastAsia="Calibri"/>
        </w:rPr>
        <w:t xml:space="preserve"> rate of neutropenia</w:t>
      </w:r>
      <w:r w:rsidR="000E0558" w:rsidRPr="003F2CC0">
        <w:rPr>
          <w:rFonts w:eastAsia="Calibri"/>
        </w:rPr>
        <w:t>,</w:t>
      </w:r>
      <w:r w:rsidR="00C974ED" w:rsidRPr="003F2CC0">
        <w:rPr>
          <w:rFonts w:eastAsia="Calibri"/>
        </w:rPr>
        <w:t xml:space="preserve"> </w:t>
      </w:r>
      <w:r w:rsidR="000E0558" w:rsidRPr="003F2CC0">
        <w:rPr>
          <w:rFonts w:eastAsia="Calibri"/>
        </w:rPr>
        <w:t>and</w:t>
      </w:r>
      <w:r w:rsidR="00C974ED" w:rsidRPr="003F2CC0">
        <w:rPr>
          <w:rFonts w:eastAsia="Calibri"/>
        </w:rPr>
        <w:t xml:space="preserve"> </w:t>
      </w:r>
      <w:r w:rsidR="000E0558" w:rsidRPr="003F2CC0">
        <w:rPr>
          <w:rFonts w:eastAsia="Calibri"/>
        </w:rPr>
        <w:t>suggest a lower incidence of febrile neutropenia</w:t>
      </w:r>
      <w:r w:rsidR="00053C95" w:rsidRPr="003F2CC0">
        <w:rPr>
          <w:rFonts w:eastAsia="Calibri"/>
        </w:rPr>
        <w:t>, with maribavir</w:t>
      </w:r>
      <w:r w:rsidR="002F7035" w:rsidRPr="003F2CC0">
        <w:rPr>
          <w:rFonts w:eastAsia="Calibri"/>
        </w:rPr>
        <w:t xml:space="preserve"> </w:t>
      </w:r>
      <w:r w:rsidR="000E0558" w:rsidRPr="003F2CC0">
        <w:rPr>
          <w:rFonts w:eastAsia="Calibri"/>
        </w:rPr>
        <w:t xml:space="preserve">compared to ganciclovir/valganciclovir, </w:t>
      </w:r>
      <w:r w:rsidR="002F7035" w:rsidRPr="003F2CC0">
        <w:rPr>
          <w:rFonts w:eastAsia="Calibri"/>
        </w:rPr>
        <w:t>but the</w:t>
      </w:r>
      <w:r w:rsidR="000E0558" w:rsidRPr="003F2CC0">
        <w:rPr>
          <w:rFonts w:eastAsia="Calibri"/>
        </w:rPr>
        <w:t xml:space="preserve"> rate </w:t>
      </w:r>
      <w:r w:rsidR="006412B3" w:rsidRPr="003F2CC0">
        <w:rPr>
          <w:rFonts w:eastAsia="Calibri"/>
        </w:rPr>
        <w:t xml:space="preserve">of febrile neutropenia </w:t>
      </w:r>
      <w:r w:rsidR="000E0558" w:rsidRPr="003F2CC0">
        <w:rPr>
          <w:rFonts w:eastAsia="Calibri"/>
        </w:rPr>
        <w:t>was low and there</w:t>
      </w:r>
      <w:r w:rsidR="002F7035" w:rsidRPr="003F2CC0">
        <w:rPr>
          <w:rFonts w:eastAsia="Calibri"/>
        </w:rPr>
        <w:t xml:space="preserve"> was no evidence that </w:t>
      </w:r>
      <w:r w:rsidR="000E0558" w:rsidRPr="003F2CC0">
        <w:rPr>
          <w:rFonts w:eastAsia="Calibri"/>
        </w:rPr>
        <w:t xml:space="preserve">maribavir was superior in this regard to foscarnet. </w:t>
      </w:r>
      <w:r w:rsidR="00E5003C" w:rsidRPr="003F2CC0">
        <w:rPr>
          <w:rFonts w:eastAsia="Calibri"/>
        </w:rPr>
        <w:t>There may have been a higher rate of acute kidney injury</w:t>
      </w:r>
      <w:r w:rsidR="00C974ED" w:rsidRPr="003F2CC0">
        <w:rPr>
          <w:rFonts w:eastAsia="Calibri"/>
        </w:rPr>
        <w:t xml:space="preserve"> in IAT-treated patients, but cases were few, and confined to foscarnet-treated patients. </w:t>
      </w:r>
      <w:r w:rsidR="004D05D2" w:rsidRPr="003F2CC0">
        <w:rPr>
          <w:rFonts w:eastAsia="Calibri"/>
        </w:rPr>
        <w:t xml:space="preserve">The ESC considered that </w:t>
      </w:r>
      <w:r w:rsidR="00945F8A" w:rsidRPr="003F2CC0">
        <w:rPr>
          <w:rFonts w:eastAsia="Calibri"/>
        </w:rPr>
        <w:t xml:space="preserve">the development of resistance </w:t>
      </w:r>
      <w:r w:rsidR="004D05D2" w:rsidRPr="003F2CC0">
        <w:rPr>
          <w:rFonts w:eastAsia="Calibri"/>
        </w:rPr>
        <w:t xml:space="preserve">to maribavir </w:t>
      </w:r>
      <w:r w:rsidR="006B7633" w:rsidRPr="003F2CC0">
        <w:rPr>
          <w:rFonts w:eastAsia="Calibri"/>
        </w:rPr>
        <w:t>was an additional concern</w:t>
      </w:r>
      <w:r w:rsidR="00906521" w:rsidRPr="003F2CC0">
        <w:rPr>
          <w:rFonts w:eastAsia="Calibri"/>
        </w:rPr>
        <w:t xml:space="preserve">. </w:t>
      </w:r>
    </w:p>
    <w:p w14:paraId="4DE9EAE6" w14:textId="4B0748F0" w:rsidR="009936F0" w:rsidRPr="00CE42B4" w:rsidRDefault="009936F0" w:rsidP="009936F0">
      <w:pPr>
        <w:widowControl w:val="0"/>
        <w:numPr>
          <w:ilvl w:val="1"/>
          <w:numId w:val="1"/>
        </w:numPr>
        <w:spacing w:after="120"/>
        <w:rPr>
          <w:rFonts w:asciiTheme="minorHAnsi" w:hAnsiTheme="minorHAnsi"/>
          <w:snapToGrid w:val="0"/>
          <w:szCs w:val="20"/>
        </w:rPr>
      </w:pPr>
      <w:bookmarkStart w:id="34"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w:t>
      </w:r>
      <w:r w:rsidR="00FC3C1E">
        <w:rPr>
          <w:rFonts w:asciiTheme="minorHAnsi" w:hAnsiTheme="minorHAnsi"/>
          <w:snapToGrid w:val="0"/>
          <w:szCs w:val="20"/>
        </w:rPr>
        <w:t>superior</w:t>
      </w:r>
      <w:r w:rsidRPr="00CE42B4">
        <w:rPr>
          <w:rFonts w:asciiTheme="minorHAnsi" w:hAnsiTheme="minorHAnsi"/>
          <w:snapToGrid w:val="0"/>
          <w:szCs w:val="20"/>
        </w:rPr>
        <w:t xml:space="preserve"> comparative effectiveness was not </w:t>
      </w:r>
      <w:r w:rsidR="0077479F">
        <w:rPr>
          <w:rFonts w:asciiTheme="minorHAnsi" w:hAnsiTheme="minorHAnsi"/>
          <w:snapToGrid w:val="0"/>
          <w:szCs w:val="20"/>
        </w:rPr>
        <w:t>well-</w:t>
      </w:r>
      <w:r w:rsidRPr="00CE42B4">
        <w:rPr>
          <w:rFonts w:asciiTheme="minorHAnsi" w:hAnsiTheme="minorHAnsi"/>
          <w:snapToGrid w:val="0"/>
          <w:szCs w:val="20"/>
        </w:rPr>
        <w:t>supported by the data.</w:t>
      </w:r>
    </w:p>
    <w:p w14:paraId="21E56514" w14:textId="0633B402" w:rsidR="009936F0" w:rsidRPr="00CE42B4" w:rsidRDefault="009936F0" w:rsidP="009936F0">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 xml:space="preserve">The PBAC considered that the claim of </w:t>
      </w:r>
      <w:r w:rsidR="00FC3C1E">
        <w:rPr>
          <w:rFonts w:asciiTheme="minorHAnsi" w:hAnsiTheme="minorHAnsi"/>
          <w:snapToGrid w:val="0"/>
          <w:szCs w:val="20"/>
        </w:rPr>
        <w:t>superi</w:t>
      </w:r>
      <w:r w:rsidRPr="00CE42B4">
        <w:rPr>
          <w:rFonts w:asciiTheme="minorHAnsi" w:hAnsiTheme="minorHAnsi"/>
          <w:snapToGrid w:val="0"/>
          <w:szCs w:val="20"/>
        </w:rPr>
        <w:t>or comparative safety was not adequately supported by the data.</w:t>
      </w:r>
    </w:p>
    <w:p w14:paraId="74A1172E" w14:textId="128C170E" w:rsidR="00B60939" w:rsidRPr="00C9624D" w:rsidRDefault="00B60939" w:rsidP="00E9094A">
      <w:pPr>
        <w:pStyle w:val="4-SubsectionHeading"/>
      </w:pPr>
      <w:bookmarkStart w:id="35" w:name="_Toc22897645"/>
      <w:bookmarkStart w:id="36" w:name="_Toc145336303"/>
      <w:bookmarkEnd w:id="34"/>
      <w:r w:rsidRPr="00C9624D">
        <w:t>Economic analysis</w:t>
      </w:r>
      <w:bookmarkEnd w:id="35"/>
      <w:bookmarkEnd w:id="36"/>
      <w:r w:rsidR="00491B3A" w:rsidRPr="00C9624D">
        <w:t xml:space="preserve"> </w:t>
      </w:r>
    </w:p>
    <w:p w14:paraId="13693CCD" w14:textId="4AA8952F" w:rsidR="009A175B" w:rsidRPr="004D05AA" w:rsidRDefault="004C0546" w:rsidP="009A175B">
      <w:pPr>
        <w:pStyle w:val="3-BodyText"/>
        <w:rPr>
          <w:lang w:val="en-GB"/>
        </w:rPr>
      </w:pPr>
      <w:r>
        <w:t>The submission presented a stepped economic evaluation</w:t>
      </w:r>
      <w:r w:rsidR="00676080">
        <w:t>,</w:t>
      </w:r>
      <w:r>
        <w:t xml:space="preserve"> based </w:t>
      </w:r>
      <w:r w:rsidR="00676080">
        <w:t xml:space="preserve">on </w:t>
      </w:r>
      <w:r>
        <w:t xml:space="preserve">SOLSTICE </w:t>
      </w:r>
      <w:r w:rsidR="00676080">
        <w:t>and</w:t>
      </w:r>
      <w:r>
        <w:t xml:space="preserve"> retrospective stud</w:t>
      </w:r>
      <w:r w:rsidR="004E5752">
        <w:t>ies</w:t>
      </w:r>
      <w:r>
        <w:t xml:space="preserve"> of</w:t>
      </w:r>
      <w:r w:rsidR="004E5752">
        <w:t xml:space="preserve"> SOT and</w:t>
      </w:r>
      <w:r>
        <w:t xml:space="preserve"> HSCT patients (</w:t>
      </w:r>
      <w:r w:rsidR="00BD1214">
        <w:t xml:space="preserve">TAK620-5001 and </w:t>
      </w:r>
      <w:r w:rsidR="009A175B">
        <w:t xml:space="preserve">TAK620-5002; </w:t>
      </w:r>
      <w:r w:rsidR="00A6184C">
        <w:t xml:space="preserve">referred to as </w:t>
      </w:r>
      <w:r w:rsidR="009A175B">
        <w:t xml:space="preserve">OTUS = </w:t>
      </w:r>
      <w:r w:rsidR="009A175B" w:rsidRPr="004D05AA">
        <w:rPr>
          <w:lang w:val="en-GB"/>
        </w:rPr>
        <w:t xml:space="preserve">Outcomes, Treatment Patterns and Healthcare Resource </w:t>
      </w:r>
      <w:r w:rsidR="009A175B" w:rsidRPr="004D05AA">
        <w:rPr>
          <w:lang w:val="en-GB"/>
        </w:rPr>
        <w:lastRenderedPageBreak/>
        <w:t>Utilization Study</w:t>
      </w:r>
      <w:r w:rsidR="00A6184C" w:rsidRPr="004D05AA">
        <w:rPr>
          <w:lang w:val="en-GB"/>
        </w:rPr>
        <w:t>).</w:t>
      </w:r>
      <w:r w:rsidR="00A6184C">
        <w:rPr>
          <w:lang w:val="en-GB"/>
        </w:rPr>
        <w:t xml:space="preserve"> </w:t>
      </w:r>
      <w:r w:rsidR="00A6184C" w:rsidRPr="004D05AA">
        <w:rPr>
          <w:lang w:val="en-GB"/>
        </w:rPr>
        <w:t>C</w:t>
      </w:r>
      <w:r w:rsidR="009A175B" w:rsidRPr="004D05AA">
        <w:rPr>
          <w:lang w:val="en-GB"/>
        </w:rPr>
        <w:t>linicaltrials.gov</w:t>
      </w:r>
      <w:r w:rsidR="00A6184C" w:rsidRPr="004D05AA">
        <w:rPr>
          <w:lang w:val="en-GB"/>
        </w:rPr>
        <w:t xml:space="preserve"> does not list </w:t>
      </w:r>
      <w:r w:rsidR="001A4DC2" w:rsidRPr="004D05AA">
        <w:rPr>
          <w:lang w:val="en-GB"/>
        </w:rPr>
        <w:t>these two studies</w:t>
      </w:r>
      <w:r w:rsidR="00A6184C" w:rsidRPr="004D05AA">
        <w:rPr>
          <w:lang w:val="en-GB"/>
        </w:rPr>
        <w:t>,</w:t>
      </w:r>
      <w:r w:rsidR="001A4DC2" w:rsidRPr="004D05AA">
        <w:rPr>
          <w:lang w:val="en-GB"/>
        </w:rPr>
        <w:t xml:space="preserve"> which took place in Europe and the US </w:t>
      </w:r>
      <w:r w:rsidR="00A6184C" w:rsidRPr="004D05AA">
        <w:rPr>
          <w:lang w:val="en-GB"/>
        </w:rPr>
        <w:t>but</w:t>
      </w:r>
      <w:r w:rsidR="009A175B" w:rsidRPr="004D05AA">
        <w:rPr>
          <w:lang w:val="en-GB"/>
        </w:rPr>
        <w:t xml:space="preserve"> </w:t>
      </w:r>
      <w:r w:rsidR="00F4709B" w:rsidRPr="004D05AA">
        <w:rPr>
          <w:lang w:val="en-GB"/>
        </w:rPr>
        <w:t xml:space="preserve">does </w:t>
      </w:r>
      <w:r w:rsidR="009A175B" w:rsidRPr="004D05AA">
        <w:rPr>
          <w:lang w:val="en-GB"/>
        </w:rPr>
        <w:t xml:space="preserve">list </w:t>
      </w:r>
      <w:r w:rsidR="00A6184C" w:rsidRPr="004D05AA">
        <w:rPr>
          <w:lang w:val="en-GB"/>
        </w:rPr>
        <w:t xml:space="preserve">two </w:t>
      </w:r>
      <w:r w:rsidR="00E2659B" w:rsidRPr="004D05AA">
        <w:rPr>
          <w:lang w:val="en-GB"/>
        </w:rPr>
        <w:t xml:space="preserve">corresponding retrospective </w:t>
      </w:r>
      <w:r w:rsidR="0064310A" w:rsidRPr="004D05AA">
        <w:rPr>
          <w:lang w:val="en-GB"/>
        </w:rPr>
        <w:t xml:space="preserve">OTUS </w:t>
      </w:r>
      <w:r w:rsidR="00A6184C" w:rsidRPr="004D05AA">
        <w:rPr>
          <w:lang w:val="en-GB"/>
        </w:rPr>
        <w:t>studies</w:t>
      </w:r>
      <w:r w:rsidR="001A4DC2" w:rsidRPr="004D05AA">
        <w:rPr>
          <w:lang w:val="en-GB"/>
        </w:rPr>
        <w:t xml:space="preserve"> which are currently recruiting, and are located in Europe and Canada.</w:t>
      </w:r>
      <w:r w:rsidR="00A6184C" w:rsidRPr="004D05AA">
        <w:rPr>
          <w:lang w:val="en-GB"/>
        </w:rPr>
        <w:t xml:space="preserve"> </w:t>
      </w:r>
    </w:p>
    <w:p w14:paraId="65180F34" w14:textId="6BFB0292" w:rsidR="007C2294" w:rsidRPr="004D05AA" w:rsidRDefault="001A4DC2" w:rsidP="009A175B">
      <w:pPr>
        <w:pStyle w:val="3-BodyText"/>
        <w:rPr>
          <w:lang w:val="en-GB"/>
        </w:rPr>
      </w:pPr>
      <w:r w:rsidRPr="004D05AA">
        <w:rPr>
          <w:lang w:val="en-GB"/>
        </w:rPr>
        <w:t>The OTUS studies</w:t>
      </w:r>
      <w:r w:rsidR="00B17A7D" w:rsidRPr="004D05AA">
        <w:rPr>
          <w:lang w:val="en-GB"/>
        </w:rPr>
        <w:t xml:space="preserve"> </w:t>
      </w:r>
      <w:r w:rsidR="003064BF" w:rsidRPr="004D05AA">
        <w:rPr>
          <w:lang w:val="en-GB"/>
        </w:rPr>
        <w:t>we</w:t>
      </w:r>
      <w:r w:rsidR="008C7B73" w:rsidRPr="004D05AA">
        <w:rPr>
          <w:lang w:val="en-GB"/>
        </w:rPr>
        <w:t>re</w:t>
      </w:r>
      <w:r w:rsidR="00F4709B" w:rsidRPr="004D05AA">
        <w:rPr>
          <w:lang w:val="en-GB"/>
        </w:rPr>
        <w:t xml:space="preserve"> retrospective review</w:t>
      </w:r>
      <w:r w:rsidR="008C7B73" w:rsidRPr="004D05AA">
        <w:rPr>
          <w:lang w:val="en-GB"/>
        </w:rPr>
        <w:t>s</w:t>
      </w:r>
      <w:r w:rsidR="00F4709B" w:rsidRPr="004D05AA">
        <w:rPr>
          <w:lang w:val="en-GB"/>
        </w:rPr>
        <w:t xml:space="preserve"> of medical records and therefore </w:t>
      </w:r>
      <w:r w:rsidR="004B5D4C">
        <w:rPr>
          <w:lang w:val="en-GB"/>
        </w:rPr>
        <w:t xml:space="preserve">the results are subject to </w:t>
      </w:r>
      <w:proofErr w:type="gramStart"/>
      <w:r w:rsidR="004B5D4C">
        <w:rPr>
          <w:lang w:val="en-GB"/>
        </w:rPr>
        <w:t>a high level</w:t>
      </w:r>
      <w:proofErr w:type="gramEnd"/>
      <w:r w:rsidR="004B5D4C">
        <w:rPr>
          <w:lang w:val="en-GB"/>
        </w:rPr>
        <w:t xml:space="preserve"> of bias</w:t>
      </w:r>
      <w:r w:rsidR="00F4709B" w:rsidRPr="004D05AA">
        <w:rPr>
          <w:lang w:val="en-GB"/>
        </w:rPr>
        <w:t xml:space="preserve">. </w:t>
      </w:r>
    </w:p>
    <w:p w14:paraId="170F6BD5" w14:textId="5E6223A9" w:rsidR="004C0546" w:rsidRPr="00421405" w:rsidRDefault="004C0546" w:rsidP="004C0546">
      <w:pPr>
        <w:pStyle w:val="3-BodyText"/>
        <w:rPr>
          <w:b/>
          <w:bCs/>
          <w:iCs/>
          <w:lang w:val="en-US"/>
        </w:rPr>
      </w:pPr>
      <w:r>
        <w:t>The economic evaluation presented was a cost-utility analysis.</w:t>
      </w:r>
      <w:r w:rsidR="00906521">
        <w:t xml:space="preserve"> </w:t>
      </w:r>
      <w:r w:rsidR="002251D9" w:rsidRPr="00421405">
        <w:rPr>
          <w:rFonts w:eastAsia="Calibri"/>
          <w:iCs/>
        </w:rPr>
        <w:t xml:space="preserve">The ESC noted that efficacy </w:t>
      </w:r>
      <w:r w:rsidR="00100193" w:rsidRPr="00421405">
        <w:rPr>
          <w:rFonts w:eastAsia="Calibri"/>
          <w:iCs/>
        </w:rPr>
        <w:t>may have been</w:t>
      </w:r>
      <w:r w:rsidR="002251D9" w:rsidRPr="00421405">
        <w:rPr>
          <w:rFonts w:eastAsia="Calibri"/>
          <w:iCs/>
        </w:rPr>
        <w:t xml:space="preserve"> short-lived in some patients</w:t>
      </w:r>
      <w:r w:rsidR="00100193" w:rsidRPr="00421405">
        <w:rPr>
          <w:rFonts w:eastAsia="Calibri"/>
          <w:iCs/>
        </w:rPr>
        <w:t xml:space="preserve"> (where resistance developed)</w:t>
      </w:r>
      <w:r w:rsidR="00337C33">
        <w:rPr>
          <w:rFonts w:eastAsia="Calibri"/>
          <w:iCs/>
        </w:rPr>
        <w:t>.</w:t>
      </w:r>
    </w:p>
    <w:p w14:paraId="04655A91" w14:textId="584636A9" w:rsidR="004C0546" w:rsidRPr="00421405" w:rsidRDefault="004C0546" w:rsidP="004C0546">
      <w:pPr>
        <w:pStyle w:val="3-BodyText"/>
        <w:rPr>
          <w:b/>
          <w:bCs/>
          <w:iCs/>
          <w:lang w:val="en-US"/>
        </w:rPr>
      </w:pPr>
      <w:bookmarkStart w:id="37" w:name="_Ref144801077"/>
      <w:r w:rsidRPr="00421405">
        <w:rPr>
          <w:iCs/>
        </w:rPr>
        <w:t>T</w:t>
      </w:r>
      <w:r w:rsidR="0077479F">
        <w:rPr>
          <w:iCs/>
        </w:rPr>
        <w:t>he evaluation considered t</w:t>
      </w:r>
      <w:r w:rsidRPr="00421405">
        <w:rPr>
          <w:iCs/>
        </w:rPr>
        <w:t xml:space="preserve">here were three </w:t>
      </w:r>
      <w:r w:rsidR="006B7633" w:rsidRPr="00421405">
        <w:rPr>
          <w:iCs/>
        </w:rPr>
        <w:t>main areas</w:t>
      </w:r>
      <w:r w:rsidRPr="00421405">
        <w:rPr>
          <w:iCs/>
        </w:rPr>
        <w:t xml:space="preserve"> </w:t>
      </w:r>
      <w:r w:rsidR="006B7633" w:rsidRPr="00421405">
        <w:rPr>
          <w:iCs/>
        </w:rPr>
        <w:t>contributing to unreliability for</w:t>
      </w:r>
      <w:r w:rsidRPr="00421405">
        <w:rPr>
          <w:iCs/>
        </w:rPr>
        <w:t xml:space="preserve"> the economic model presented by the submission:</w:t>
      </w:r>
      <w:bookmarkEnd w:id="37"/>
    </w:p>
    <w:p w14:paraId="277F7CF1" w14:textId="16909B02" w:rsidR="00E55825" w:rsidRPr="00421405" w:rsidRDefault="004C0546" w:rsidP="00574F28">
      <w:pPr>
        <w:pStyle w:val="ListParagraph"/>
        <w:numPr>
          <w:ilvl w:val="0"/>
          <w:numId w:val="14"/>
        </w:numPr>
        <w:ind w:left="993" w:hanging="284"/>
        <w:rPr>
          <w:iCs/>
        </w:rPr>
      </w:pPr>
      <w:r w:rsidRPr="00421405">
        <w:rPr>
          <w:iCs/>
        </w:rPr>
        <w:t>Clinical data: The cost-utility analysis presented by the submission was not adequately supported by the clinical evidence.</w:t>
      </w:r>
      <w:r w:rsidR="00906521" w:rsidRPr="00421405">
        <w:rPr>
          <w:iCs/>
        </w:rPr>
        <w:t xml:space="preserve"> </w:t>
      </w:r>
      <w:r w:rsidR="00AB45F5">
        <w:rPr>
          <w:iCs/>
        </w:rPr>
        <w:t xml:space="preserve">The </w:t>
      </w:r>
      <w:r w:rsidR="00100193" w:rsidRPr="00421405">
        <w:rPr>
          <w:iCs/>
        </w:rPr>
        <w:t>ESC considered t</w:t>
      </w:r>
      <w:r w:rsidRPr="00421405">
        <w:rPr>
          <w:iCs/>
        </w:rPr>
        <w:t xml:space="preserve">he claim of superior effectiveness was </w:t>
      </w:r>
      <w:r w:rsidR="00100193" w:rsidRPr="00421405">
        <w:rPr>
          <w:iCs/>
        </w:rPr>
        <w:t>highly uncertain</w:t>
      </w:r>
      <w:r w:rsidR="00091EAA" w:rsidRPr="00421405">
        <w:rPr>
          <w:iCs/>
        </w:rPr>
        <w:t xml:space="preserve">. </w:t>
      </w:r>
      <w:r w:rsidR="00E55825" w:rsidRPr="00421405">
        <w:rPr>
          <w:rFonts w:eastAsia="Calibri"/>
          <w:iCs/>
        </w:rPr>
        <w:t>Also, the clinical data w</w:t>
      </w:r>
      <w:r w:rsidR="00F70200" w:rsidRPr="00421405">
        <w:rPr>
          <w:rFonts w:eastAsia="Calibri"/>
          <w:iCs/>
        </w:rPr>
        <w:t>ere</w:t>
      </w:r>
      <w:r w:rsidR="00E55825" w:rsidRPr="00421405">
        <w:rPr>
          <w:rFonts w:eastAsia="Calibri"/>
          <w:iCs/>
        </w:rPr>
        <w:t xml:space="preserve"> not applied in a reasonable manner, as </w:t>
      </w:r>
      <w:r w:rsidR="00FC36AE" w:rsidRPr="00421405">
        <w:rPr>
          <w:rFonts w:eastAsia="Calibri"/>
          <w:iCs/>
        </w:rPr>
        <w:t xml:space="preserve">there was no evidence to support the use of week 8 clearance or mortality data out to 78 weeks in Stage 1 of the model; and the evidence used to support the 78 week duration of Stage 1 was </w:t>
      </w:r>
      <w:r w:rsidR="006B7633" w:rsidRPr="00421405">
        <w:rPr>
          <w:rFonts w:eastAsia="Calibri"/>
          <w:iCs/>
        </w:rPr>
        <w:t xml:space="preserve">based on small numbers of patients </w:t>
      </w:r>
      <w:r w:rsidR="00FC36AE" w:rsidRPr="00421405">
        <w:rPr>
          <w:rFonts w:eastAsia="Calibri"/>
          <w:iCs/>
        </w:rPr>
        <w:t>(f</w:t>
      </w:r>
      <w:r w:rsidR="007A669A" w:rsidRPr="00421405">
        <w:rPr>
          <w:rFonts w:eastAsia="Calibri"/>
          <w:iCs/>
        </w:rPr>
        <w:t xml:space="preserve">urther discussion of the 78 week duration of Stage 1 is </w:t>
      </w:r>
      <w:r w:rsidR="00FC36AE" w:rsidRPr="00421405">
        <w:rPr>
          <w:rFonts w:eastAsia="Calibri"/>
          <w:iCs/>
        </w:rPr>
        <w:t xml:space="preserve">at </w:t>
      </w:r>
      <w:r w:rsidR="005C0ACC" w:rsidRPr="00421405">
        <w:rPr>
          <w:rFonts w:eastAsia="Calibri"/>
          <w:iCs/>
        </w:rPr>
        <w:t>paragraphs</w:t>
      </w:r>
      <w:r w:rsidR="00EC65DF" w:rsidRPr="00421405">
        <w:rPr>
          <w:rFonts w:eastAsia="Calibri"/>
          <w:iCs/>
        </w:rPr>
        <w:t xml:space="preserve"> </w:t>
      </w:r>
      <w:r w:rsidR="00EC65DF" w:rsidRPr="00421405">
        <w:rPr>
          <w:rFonts w:eastAsia="Calibri"/>
          <w:iCs/>
        </w:rPr>
        <w:fldChar w:fldCharType="begin" w:fldLock="1"/>
      </w:r>
      <w:r w:rsidR="00EC65DF" w:rsidRPr="00421405">
        <w:rPr>
          <w:rFonts w:eastAsia="Calibri"/>
          <w:iCs/>
        </w:rPr>
        <w:instrText xml:space="preserve"> REF _Ref144800916 \r \h </w:instrText>
      </w:r>
      <w:r w:rsidR="004D05AA" w:rsidRPr="00421405">
        <w:rPr>
          <w:rFonts w:eastAsia="Calibri"/>
          <w:iCs/>
        </w:rPr>
        <w:instrText xml:space="preserve"> \* MERGEFORMAT </w:instrText>
      </w:r>
      <w:r w:rsidR="00EC65DF" w:rsidRPr="00421405">
        <w:rPr>
          <w:rFonts w:eastAsia="Calibri"/>
          <w:iCs/>
        </w:rPr>
      </w:r>
      <w:r w:rsidR="00EC65DF" w:rsidRPr="00421405">
        <w:rPr>
          <w:rFonts w:eastAsia="Calibri"/>
          <w:iCs/>
        </w:rPr>
        <w:fldChar w:fldCharType="separate"/>
      </w:r>
      <w:r w:rsidR="0077479F">
        <w:rPr>
          <w:rFonts w:eastAsia="Calibri"/>
          <w:iCs/>
        </w:rPr>
        <w:t>6.54</w:t>
      </w:r>
      <w:r w:rsidR="00EC65DF" w:rsidRPr="00421405">
        <w:rPr>
          <w:rFonts w:eastAsia="Calibri"/>
          <w:iCs/>
        </w:rPr>
        <w:fldChar w:fldCharType="end"/>
      </w:r>
      <w:r w:rsidR="00EC65DF" w:rsidRPr="00421405">
        <w:rPr>
          <w:rFonts w:eastAsia="Calibri"/>
          <w:iCs/>
        </w:rPr>
        <w:t xml:space="preserve"> to </w:t>
      </w:r>
      <w:r w:rsidR="00EC65DF" w:rsidRPr="00421405">
        <w:rPr>
          <w:rFonts w:eastAsia="Calibri"/>
          <w:iCs/>
        </w:rPr>
        <w:fldChar w:fldCharType="begin" w:fldLock="1"/>
      </w:r>
      <w:r w:rsidR="00EC65DF" w:rsidRPr="00421405">
        <w:rPr>
          <w:rFonts w:eastAsia="Calibri"/>
          <w:iCs/>
        </w:rPr>
        <w:instrText xml:space="preserve"> REF _Ref144800923 \r \h </w:instrText>
      </w:r>
      <w:r w:rsidR="004D05AA" w:rsidRPr="00421405">
        <w:rPr>
          <w:rFonts w:eastAsia="Calibri"/>
          <w:iCs/>
        </w:rPr>
        <w:instrText xml:space="preserve"> \* MERGEFORMAT </w:instrText>
      </w:r>
      <w:r w:rsidR="00EC65DF" w:rsidRPr="00421405">
        <w:rPr>
          <w:rFonts w:eastAsia="Calibri"/>
          <w:iCs/>
        </w:rPr>
      </w:r>
      <w:r w:rsidR="00EC65DF" w:rsidRPr="00421405">
        <w:rPr>
          <w:rFonts w:eastAsia="Calibri"/>
          <w:iCs/>
        </w:rPr>
        <w:fldChar w:fldCharType="separate"/>
      </w:r>
      <w:r w:rsidR="0077479F">
        <w:rPr>
          <w:rFonts w:eastAsia="Calibri"/>
          <w:iCs/>
        </w:rPr>
        <w:t>6.56</w:t>
      </w:r>
      <w:r w:rsidR="00EC65DF" w:rsidRPr="00421405">
        <w:rPr>
          <w:rFonts w:eastAsia="Calibri"/>
          <w:iCs/>
        </w:rPr>
        <w:fldChar w:fldCharType="end"/>
      </w:r>
      <w:r w:rsidR="00FC36AE" w:rsidRPr="00421405">
        <w:rPr>
          <w:rFonts w:eastAsia="Calibri"/>
          <w:iCs/>
        </w:rPr>
        <w:t>).</w:t>
      </w:r>
    </w:p>
    <w:p w14:paraId="7E5BDBF1" w14:textId="03B51814" w:rsidR="004C0546" w:rsidRPr="00421405" w:rsidRDefault="004C0546" w:rsidP="00574F28">
      <w:pPr>
        <w:pStyle w:val="3-BodyText"/>
        <w:numPr>
          <w:ilvl w:val="0"/>
          <w:numId w:val="14"/>
        </w:numPr>
        <w:ind w:left="993" w:hanging="284"/>
        <w:rPr>
          <w:b/>
          <w:bCs/>
          <w:iCs/>
          <w:lang w:val="en-US"/>
        </w:rPr>
      </w:pPr>
      <w:r w:rsidRPr="00421405">
        <w:rPr>
          <w:iCs/>
        </w:rPr>
        <w:t>Model results were highly variable: Sensitivity analyses presented by the submission showed considerable variability in model results, from a decrease</w:t>
      </w:r>
      <w:r w:rsidR="005C1AE8" w:rsidRPr="00421405">
        <w:rPr>
          <w:iCs/>
        </w:rPr>
        <w:t xml:space="preserve"> </w:t>
      </w:r>
      <w:r w:rsidRPr="00421405">
        <w:rPr>
          <w:iCs/>
        </w:rPr>
        <w:t>of 93.6% to an increase of 300.6%, or dominance by maribavir.</w:t>
      </w:r>
      <w:r w:rsidR="00906521" w:rsidRPr="00421405">
        <w:rPr>
          <w:iCs/>
        </w:rPr>
        <w:t xml:space="preserve"> </w:t>
      </w:r>
      <w:r w:rsidRPr="00421405">
        <w:rPr>
          <w:iCs/>
        </w:rPr>
        <w:t>As the</w:t>
      </w:r>
      <w:r w:rsidR="00100193" w:rsidRPr="00421405">
        <w:rPr>
          <w:iCs/>
        </w:rPr>
        <w:t xml:space="preserve"> model</w:t>
      </w:r>
      <w:r w:rsidRPr="00421405">
        <w:rPr>
          <w:iCs/>
        </w:rPr>
        <w:t xml:space="preserve"> results </w:t>
      </w:r>
      <w:r w:rsidR="00632655" w:rsidRPr="00421405">
        <w:rPr>
          <w:iCs/>
        </w:rPr>
        <w:t>we</w:t>
      </w:r>
      <w:r w:rsidRPr="00421405">
        <w:rPr>
          <w:iCs/>
        </w:rPr>
        <w:t xml:space="preserve">re based on inadequate clinical data and </w:t>
      </w:r>
      <w:r w:rsidR="006B7633" w:rsidRPr="00421405">
        <w:rPr>
          <w:iCs/>
        </w:rPr>
        <w:t xml:space="preserve">poorly justified </w:t>
      </w:r>
      <w:r w:rsidRPr="00421405">
        <w:rPr>
          <w:iCs/>
        </w:rPr>
        <w:t xml:space="preserve">assumptions they </w:t>
      </w:r>
      <w:r w:rsidR="00DD01EB" w:rsidRPr="00421405">
        <w:rPr>
          <w:iCs/>
        </w:rPr>
        <w:t>we</w:t>
      </w:r>
      <w:r w:rsidRPr="00421405">
        <w:rPr>
          <w:iCs/>
        </w:rPr>
        <w:t>re</w:t>
      </w:r>
      <w:r w:rsidR="0037175F" w:rsidRPr="00421405">
        <w:rPr>
          <w:iCs/>
        </w:rPr>
        <w:t xml:space="preserve"> consid</w:t>
      </w:r>
      <w:r w:rsidR="007D31F9" w:rsidRPr="00421405">
        <w:rPr>
          <w:iCs/>
        </w:rPr>
        <w:t>e</w:t>
      </w:r>
      <w:r w:rsidR="0037175F" w:rsidRPr="00421405">
        <w:rPr>
          <w:iCs/>
        </w:rPr>
        <w:t xml:space="preserve">red </w:t>
      </w:r>
      <w:r w:rsidR="00100193" w:rsidRPr="00421405">
        <w:rPr>
          <w:iCs/>
        </w:rPr>
        <w:t>by the evaluation and the ESC to be of limited</w:t>
      </w:r>
      <w:r w:rsidRPr="00421405">
        <w:rPr>
          <w:iCs/>
        </w:rPr>
        <w:t xml:space="preserve"> value.</w:t>
      </w:r>
    </w:p>
    <w:p w14:paraId="2511ADCE" w14:textId="66949073" w:rsidR="004C0546" w:rsidRPr="00421405" w:rsidRDefault="005C1AE8" w:rsidP="00574F28">
      <w:pPr>
        <w:pStyle w:val="3-BodyText"/>
        <w:numPr>
          <w:ilvl w:val="0"/>
          <w:numId w:val="14"/>
        </w:numPr>
        <w:ind w:left="993" w:hanging="284"/>
        <w:rPr>
          <w:b/>
          <w:bCs/>
          <w:iCs/>
          <w:lang w:val="en-US"/>
        </w:rPr>
      </w:pPr>
      <w:r w:rsidRPr="00421405">
        <w:rPr>
          <w:iCs/>
        </w:rPr>
        <w:t xml:space="preserve">The </w:t>
      </w:r>
      <w:r w:rsidR="0037175F" w:rsidRPr="00421405">
        <w:rPr>
          <w:iCs/>
        </w:rPr>
        <w:t xml:space="preserve">presentation of the </w:t>
      </w:r>
      <w:r w:rsidRPr="00421405">
        <w:rPr>
          <w:iCs/>
        </w:rPr>
        <w:t>m</w:t>
      </w:r>
      <w:r w:rsidR="004C0546" w:rsidRPr="00421405">
        <w:rPr>
          <w:iCs/>
        </w:rPr>
        <w:t xml:space="preserve">odel was </w:t>
      </w:r>
      <w:r w:rsidR="004F77AB" w:rsidRPr="00421405">
        <w:rPr>
          <w:iCs/>
        </w:rPr>
        <w:t>unnecessarily</w:t>
      </w:r>
      <w:r w:rsidR="004C0546" w:rsidRPr="00421405">
        <w:rPr>
          <w:iCs/>
        </w:rPr>
        <w:t xml:space="preserve"> complex</w:t>
      </w:r>
      <w:r w:rsidR="00DB521E" w:rsidRPr="00421405">
        <w:rPr>
          <w:iCs/>
        </w:rPr>
        <w:t xml:space="preserve"> as</w:t>
      </w:r>
      <w:r w:rsidRPr="00421405">
        <w:rPr>
          <w:iCs/>
        </w:rPr>
        <w:t xml:space="preserve"> </w:t>
      </w:r>
      <w:r w:rsidR="00DB521E" w:rsidRPr="00421405">
        <w:rPr>
          <w:iCs/>
        </w:rPr>
        <w:t xml:space="preserve">the model </w:t>
      </w:r>
      <w:r w:rsidR="004C0546" w:rsidRPr="00421405">
        <w:rPr>
          <w:iCs/>
        </w:rPr>
        <w:t>include</w:t>
      </w:r>
      <w:r w:rsidR="00632655" w:rsidRPr="00421405">
        <w:rPr>
          <w:iCs/>
        </w:rPr>
        <w:t>d</w:t>
      </w:r>
      <w:r w:rsidR="004C0546" w:rsidRPr="00421405">
        <w:rPr>
          <w:iCs/>
        </w:rPr>
        <w:t xml:space="preserve"> over </w:t>
      </w:r>
      <w:r w:rsidR="0037175F" w:rsidRPr="00421405">
        <w:rPr>
          <w:iCs/>
        </w:rPr>
        <w:t>3</w:t>
      </w:r>
      <w:r w:rsidR="009025B8" w:rsidRPr="00421405">
        <w:rPr>
          <w:iCs/>
        </w:rPr>
        <w:t>,</w:t>
      </w:r>
      <w:r w:rsidR="0037175F" w:rsidRPr="00421405">
        <w:rPr>
          <w:iCs/>
        </w:rPr>
        <w:t xml:space="preserve">400 </w:t>
      </w:r>
      <w:r w:rsidR="004C0546" w:rsidRPr="00421405">
        <w:rPr>
          <w:iCs/>
        </w:rPr>
        <w:t>variable names.</w:t>
      </w:r>
      <w:r w:rsidR="00906521" w:rsidRPr="00421405">
        <w:rPr>
          <w:iCs/>
        </w:rPr>
        <w:t xml:space="preserve"> </w:t>
      </w:r>
      <w:r w:rsidR="008C54E6" w:rsidRPr="00421405">
        <w:rPr>
          <w:iCs/>
        </w:rPr>
        <w:t>While not all names were active in the Australian version of the model, the use of multiple names for the same variables</w:t>
      </w:r>
      <w:r w:rsidR="0077479F">
        <w:rPr>
          <w:iCs/>
        </w:rPr>
        <w:t>,</w:t>
      </w:r>
      <w:r w:rsidR="008C54E6" w:rsidRPr="00421405">
        <w:rPr>
          <w:iCs/>
        </w:rPr>
        <w:t xml:space="preserve"> made tracing events and costs difficult. </w:t>
      </w:r>
    </w:p>
    <w:p w14:paraId="73311D0E" w14:textId="3B4E5FFC" w:rsidR="000B4F9D" w:rsidRPr="00421405" w:rsidRDefault="008A1797" w:rsidP="004C0546">
      <w:pPr>
        <w:pStyle w:val="3-BodyText"/>
        <w:rPr>
          <w:iCs/>
        </w:rPr>
      </w:pPr>
      <w:r>
        <w:rPr>
          <w:iCs/>
        </w:rPr>
        <w:t>T</w:t>
      </w:r>
      <w:r w:rsidR="008C54E6" w:rsidRPr="00421405">
        <w:rPr>
          <w:iCs/>
        </w:rPr>
        <w:t xml:space="preserve">he </w:t>
      </w:r>
      <w:r w:rsidR="00100193" w:rsidRPr="00421405">
        <w:rPr>
          <w:iCs/>
        </w:rPr>
        <w:t xml:space="preserve">ESC agreed with the evaluation that the </w:t>
      </w:r>
      <w:r w:rsidR="008C54E6" w:rsidRPr="00421405">
        <w:rPr>
          <w:iCs/>
        </w:rPr>
        <w:t xml:space="preserve">model </w:t>
      </w:r>
      <w:r w:rsidR="000B4F9D" w:rsidRPr="00421405">
        <w:rPr>
          <w:iCs/>
        </w:rPr>
        <w:t>is not likely to be</w:t>
      </w:r>
      <w:r w:rsidR="008C54E6" w:rsidRPr="00421405" w:rsidDel="008C54E6">
        <w:rPr>
          <w:iCs/>
        </w:rPr>
        <w:t xml:space="preserve"> </w:t>
      </w:r>
      <w:r w:rsidR="004C0546" w:rsidRPr="00421405">
        <w:rPr>
          <w:iCs/>
        </w:rPr>
        <w:t>reliable for decision-making</w:t>
      </w:r>
      <w:r w:rsidR="00973F1D" w:rsidRPr="00421405">
        <w:rPr>
          <w:iCs/>
        </w:rPr>
        <w:t xml:space="preserve">, </w:t>
      </w:r>
      <w:r w:rsidR="0077479F">
        <w:rPr>
          <w:iCs/>
        </w:rPr>
        <w:t>as</w:t>
      </w:r>
      <w:r w:rsidR="00973F1D" w:rsidRPr="00421405">
        <w:rPr>
          <w:iCs/>
        </w:rPr>
        <w:t xml:space="preserve"> </w:t>
      </w:r>
      <w:r w:rsidR="0077479F">
        <w:rPr>
          <w:iCs/>
        </w:rPr>
        <w:t>it</w:t>
      </w:r>
      <w:r w:rsidR="00973F1D" w:rsidRPr="00421405">
        <w:rPr>
          <w:iCs/>
        </w:rPr>
        <w:t xml:space="preserve"> was informed by </w:t>
      </w:r>
      <w:r w:rsidR="00C51376" w:rsidRPr="00421405">
        <w:rPr>
          <w:iCs/>
        </w:rPr>
        <w:t xml:space="preserve">selective </w:t>
      </w:r>
      <w:r w:rsidR="00973F1D" w:rsidRPr="00421405">
        <w:rPr>
          <w:iCs/>
        </w:rPr>
        <w:t>data sources</w:t>
      </w:r>
      <w:r w:rsidR="00C51376" w:rsidRPr="00421405">
        <w:rPr>
          <w:iCs/>
        </w:rPr>
        <w:t xml:space="preserve"> and unjustified assumptions, that all </w:t>
      </w:r>
      <w:r w:rsidR="0077479F">
        <w:rPr>
          <w:iCs/>
        </w:rPr>
        <w:t>favoured</w:t>
      </w:r>
      <w:r w:rsidR="0077479F" w:rsidRPr="00421405">
        <w:rPr>
          <w:iCs/>
        </w:rPr>
        <w:t xml:space="preserve"> </w:t>
      </w:r>
      <w:r w:rsidR="00C51376" w:rsidRPr="00421405">
        <w:rPr>
          <w:iCs/>
        </w:rPr>
        <w:t>maribavir</w:t>
      </w:r>
      <w:r w:rsidR="00026D05" w:rsidRPr="00421405">
        <w:rPr>
          <w:iCs/>
        </w:rPr>
        <w:t xml:space="preserve">. </w:t>
      </w:r>
    </w:p>
    <w:p w14:paraId="7D696FEA" w14:textId="601AC449" w:rsidR="004C0546" w:rsidRPr="004C0546" w:rsidRDefault="004C0546" w:rsidP="00BD1214">
      <w:pPr>
        <w:pStyle w:val="3-BodyText"/>
        <w:keepNext/>
        <w:numPr>
          <w:ilvl w:val="0"/>
          <w:numId w:val="0"/>
        </w:numPr>
        <w:spacing w:after="0"/>
        <w:rPr>
          <w:rFonts w:ascii="Arial Narrow" w:hAnsi="Arial Narrow"/>
          <w:b/>
          <w:bCs/>
          <w:sz w:val="20"/>
          <w:szCs w:val="20"/>
        </w:rPr>
      </w:pPr>
      <w:bookmarkStart w:id="38" w:name="_Ref142408191"/>
      <w:r w:rsidRPr="004C0546">
        <w:rPr>
          <w:rFonts w:ascii="Arial Narrow" w:hAnsi="Arial Narrow"/>
          <w:b/>
          <w:bCs/>
          <w:sz w:val="20"/>
          <w:szCs w:val="20"/>
        </w:rPr>
        <w:lastRenderedPageBreak/>
        <w:t xml:space="preserve">Table </w:t>
      </w:r>
      <w:r w:rsidRPr="004C0546">
        <w:rPr>
          <w:rFonts w:ascii="Arial Narrow" w:hAnsi="Arial Narrow"/>
          <w:b/>
          <w:bCs/>
          <w:sz w:val="20"/>
          <w:szCs w:val="20"/>
        </w:rPr>
        <w:fldChar w:fldCharType="begin" w:fldLock="1"/>
      </w:r>
      <w:r w:rsidRPr="004C0546">
        <w:rPr>
          <w:rFonts w:ascii="Arial Narrow" w:hAnsi="Arial Narrow"/>
          <w:b/>
          <w:bCs/>
          <w:sz w:val="20"/>
          <w:szCs w:val="20"/>
        </w:rPr>
        <w:instrText xml:space="preserve"> SEQ Table \* ARABIC </w:instrText>
      </w:r>
      <w:r w:rsidRPr="004C0546">
        <w:rPr>
          <w:rFonts w:ascii="Arial Narrow" w:hAnsi="Arial Narrow"/>
          <w:b/>
          <w:bCs/>
          <w:sz w:val="20"/>
          <w:szCs w:val="20"/>
        </w:rPr>
        <w:fldChar w:fldCharType="separate"/>
      </w:r>
      <w:r w:rsidR="0098695D">
        <w:rPr>
          <w:rFonts w:ascii="Arial Narrow" w:hAnsi="Arial Narrow"/>
          <w:b/>
          <w:bCs/>
          <w:noProof/>
          <w:sz w:val="20"/>
          <w:szCs w:val="20"/>
        </w:rPr>
        <w:t>12</w:t>
      </w:r>
      <w:r w:rsidRPr="004C0546">
        <w:rPr>
          <w:rFonts w:ascii="Arial Narrow" w:hAnsi="Arial Narrow"/>
          <w:b/>
          <w:bCs/>
          <w:noProof/>
          <w:sz w:val="20"/>
          <w:szCs w:val="20"/>
        </w:rPr>
        <w:fldChar w:fldCharType="end"/>
      </w:r>
      <w:bookmarkEnd w:id="38"/>
      <w:r w:rsidRPr="004C0546">
        <w:rPr>
          <w:rFonts w:ascii="Arial Narrow" w:hAnsi="Arial Narrow"/>
          <w:b/>
          <w:bCs/>
          <w:sz w:val="20"/>
          <w:szCs w:val="20"/>
        </w:rPr>
        <w:t>:</w:t>
      </w:r>
      <w:r w:rsidRPr="004C0546">
        <w:rPr>
          <w:rStyle w:val="CommentReference"/>
          <w:b w:val="0"/>
          <w:bCs/>
          <w:szCs w:val="20"/>
        </w:rPr>
        <w:t xml:space="preserve"> </w:t>
      </w:r>
      <w:r w:rsidRPr="004C0546">
        <w:rPr>
          <w:rStyle w:val="CommentReference"/>
          <w:szCs w:val="20"/>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2: Summary of model structure, key inputs and rationale"/>
        <w:tblDescription w:val="Table 12: Summary of model structure, key inputs and rationale"/>
      </w:tblPr>
      <w:tblGrid>
        <w:gridCol w:w="1414"/>
        <w:gridCol w:w="7603"/>
      </w:tblGrid>
      <w:tr w:rsidR="004C0546" w:rsidRPr="00641FB3" w14:paraId="1FDC4C7E" w14:textId="77777777" w:rsidTr="00DD6AD5">
        <w:trPr>
          <w:tblHeader/>
        </w:trPr>
        <w:tc>
          <w:tcPr>
            <w:tcW w:w="784" w:type="pct"/>
            <w:shd w:val="clear" w:color="auto" w:fill="auto"/>
            <w:vAlign w:val="center"/>
          </w:tcPr>
          <w:p w14:paraId="06A328BF" w14:textId="77777777" w:rsidR="004C0546" w:rsidRPr="00641FB3" w:rsidRDefault="004C0546" w:rsidP="00BD1214">
            <w:pPr>
              <w:pStyle w:val="In-tableHeading"/>
            </w:pPr>
            <w:r w:rsidRPr="00641FB3">
              <w:t>Component</w:t>
            </w:r>
          </w:p>
        </w:tc>
        <w:tc>
          <w:tcPr>
            <w:tcW w:w="4216" w:type="pct"/>
            <w:shd w:val="clear" w:color="auto" w:fill="auto"/>
            <w:vAlign w:val="center"/>
          </w:tcPr>
          <w:p w14:paraId="3C5EE74D" w14:textId="77777777" w:rsidR="004C0546" w:rsidRPr="00641FB3" w:rsidRDefault="004C0546" w:rsidP="00BD1214">
            <w:pPr>
              <w:pStyle w:val="In-tableHeading"/>
            </w:pPr>
            <w:r w:rsidRPr="00641FB3">
              <w:t>Summary</w:t>
            </w:r>
          </w:p>
        </w:tc>
      </w:tr>
      <w:tr w:rsidR="004C0546" w:rsidRPr="00E2771E" w14:paraId="623F8F60" w14:textId="77777777" w:rsidTr="00DD6AD5">
        <w:tc>
          <w:tcPr>
            <w:tcW w:w="784" w:type="pct"/>
            <w:shd w:val="clear" w:color="auto" w:fill="auto"/>
            <w:vAlign w:val="center"/>
          </w:tcPr>
          <w:p w14:paraId="616F373E" w14:textId="77777777" w:rsidR="004C0546" w:rsidRPr="00E2771E" w:rsidRDefault="004C0546" w:rsidP="00BD1214">
            <w:pPr>
              <w:pStyle w:val="TableText0"/>
            </w:pPr>
            <w:r>
              <w:t>Treatments</w:t>
            </w:r>
          </w:p>
        </w:tc>
        <w:tc>
          <w:tcPr>
            <w:tcW w:w="4216" w:type="pct"/>
            <w:shd w:val="clear" w:color="auto" w:fill="auto"/>
            <w:vAlign w:val="center"/>
          </w:tcPr>
          <w:p w14:paraId="02A72B94" w14:textId="77777777" w:rsidR="004C0546" w:rsidRPr="00E2771E" w:rsidRDefault="004C0546" w:rsidP="00BD1214">
            <w:pPr>
              <w:pStyle w:val="TableText0"/>
            </w:pPr>
            <w:r>
              <w:t>Maribavir vs IAT (ganciclovir, valganciclovir, foscarnet, cidofovir)</w:t>
            </w:r>
          </w:p>
        </w:tc>
      </w:tr>
      <w:tr w:rsidR="004C0546" w:rsidRPr="00E2771E" w14:paraId="165EEE12" w14:textId="77777777" w:rsidTr="00DD6AD5">
        <w:tc>
          <w:tcPr>
            <w:tcW w:w="784" w:type="pct"/>
            <w:shd w:val="clear" w:color="auto" w:fill="auto"/>
            <w:vAlign w:val="center"/>
          </w:tcPr>
          <w:p w14:paraId="3B6C4213" w14:textId="77777777" w:rsidR="004C0546" w:rsidRPr="00E2771E" w:rsidRDefault="004C0546" w:rsidP="00BD1214">
            <w:pPr>
              <w:pStyle w:val="TableText0"/>
            </w:pPr>
            <w:r w:rsidRPr="00E2771E">
              <w:t>Time horizon</w:t>
            </w:r>
          </w:p>
        </w:tc>
        <w:tc>
          <w:tcPr>
            <w:tcW w:w="4216" w:type="pct"/>
            <w:shd w:val="clear" w:color="auto" w:fill="auto"/>
            <w:vAlign w:val="center"/>
          </w:tcPr>
          <w:p w14:paraId="432FA878" w14:textId="2051E062" w:rsidR="004C0546" w:rsidRPr="00E2771E" w:rsidRDefault="004C0546" w:rsidP="00BD1214">
            <w:pPr>
              <w:pStyle w:val="TableText0"/>
            </w:pPr>
            <w:r>
              <w:t>10</w:t>
            </w:r>
            <w:r w:rsidRPr="00E2771E">
              <w:t xml:space="preserve"> years in the model base case versus </w:t>
            </w:r>
            <w:r w:rsidR="005C1AE8">
              <w:t>20</w:t>
            </w:r>
            <w:r>
              <w:t xml:space="preserve"> </w:t>
            </w:r>
            <w:r w:rsidRPr="00E2771E">
              <w:t xml:space="preserve">weeks in </w:t>
            </w:r>
            <w:r>
              <w:t>SOLSTICE</w:t>
            </w:r>
          </w:p>
        </w:tc>
      </w:tr>
      <w:tr w:rsidR="004C0546" w:rsidRPr="00E2771E" w14:paraId="75B0D3C8" w14:textId="77777777" w:rsidTr="00DD6AD5">
        <w:tc>
          <w:tcPr>
            <w:tcW w:w="784" w:type="pct"/>
            <w:shd w:val="clear" w:color="auto" w:fill="auto"/>
            <w:vAlign w:val="center"/>
          </w:tcPr>
          <w:p w14:paraId="52DFE049" w14:textId="77777777" w:rsidR="004C0546" w:rsidRPr="00E2771E" w:rsidRDefault="004C0546" w:rsidP="00BD1214">
            <w:pPr>
              <w:pStyle w:val="TableText0"/>
            </w:pPr>
            <w:r w:rsidRPr="00E2771E">
              <w:t>Outcomes</w:t>
            </w:r>
          </w:p>
        </w:tc>
        <w:tc>
          <w:tcPr>
            <w:tcW w:w="4216" w:type="pct"/>
            <w:shd w:val="clear" w:color="auto" w:fill="auto"/>
            <w:vAlign w:val="center"/>
          </w:tcPr>
          <w:p w14:paraId="71AC2FC0" w14:textId="77777777" w:rsidR="004C0546" w:rsidRPr="00E2771E" w:rsidRDefault="004C0546" w:rsidP="00BD1214">
            <w:pPr>
              <w:pStyle w:val="TableText0"/>
            </w:pPr>
            <w:r>
              <w:t>QALYs and life years</w:t>
            </w:r>
          </w:p>
        </w:tc>
      </w:tr>
      <w:tr w:rsidR="004C0546" w:rsidRPr="00E2771E" w14:paraId="29AD5A3F" w14:textId="77777777" w:rsidTr="00DD6AD5">
        <w:tc>
          <w:tcPr>
            <w:tcW w:w="784" w:type="pct"/>
            <w:shd w:val="clear" w:color="auto" w:fill="auto"/>
            <w:vAlign w:val="center"/>
          </w:tcPr>
          <w:p w14:paraId="1BB9833D" w14:textId="77777777" w:rsidR="004C0546" w:rsidRPr="00E2771E" w:rsidRDefault="004C0546" w:rsidP="00BD1214">
            <w:pPr>
              <w:pStyle w:val="TableText0"/>
            </w:pPr>
            <w:r w:rsidRPr="00E2771E">
              <w:t>Methods used to generate results</w:t>
            </w:r>
          </w:p>
        </w:tc>
        <w:tc>
          <w:tcPr>
            <w:tcW w:w="4216" w:type="pct"/>
            <w:shd w:val="clear" w:color="auto" w:fill="auto"/>
            <w:vAlign w:val="center"/>
          </w:tcPr>
          <w:p w14:paraId="36EC7E12" w14:textId="77777777" w:rsidR="004C0546" w:rsidRPr="00E2771E" w:rsidRDefault="004C0546" w:rsidP="00BD1214">
            <w:pPr>
              <w:pStyle w:val="TableText0"/>
            </w:pPr>
            <w:r>
              <w:t>Markov model</w:t>
            </w:r>
          </w:p>
        </w:tc>
      </w:tr>
      <w:tr w:rsidR="004C0546" w:rsidRPr="00E2771E" w14:paraId="0C2FE5FC" w14:textId="77777777" w:rsidTr="00DD6AD5">
        <w:tc>
          <w:tcPr>
            <w:tcW w:w="784" w:type="pct"/>
            <w:shd w:val="clear" w:color="auto" w:fill="auto"/>
            <w:vAlign w:val="center"/>
          </w:tcPr>
          <w:p w14:paraId="7A6BF754" w14:textId="77777777" w:rsidR="004C0546" w:rsidRPr="00E2771E" w:rsidRDefault="004C0546" w:rsidP="00BD1214">
            <w:pPr>
              <w:pStyle w:val="TableText0"/>
            </w:pPr>
            <w:r w:rsidRPr="00E2771E">
              <w:t>Health states</w:t>
            </w:r>
          </w:p>
        </w:tc>
        <w:tc>
          <w:tcPr>
            <w:tcW w:w="4216" w:type="pct"/>
            <w:shd w:val="clear" w:color="auto" w:fill="auto"/>
            <w:vAlign w:val="center"/>
          </w:tcPr>
          <w:p w14:paraId="1AFC468E" w14:textId="77777777" w:rsidR="004C0546" w:rsidRPr="005A5AC2" w:rsidRDefault="004C0546" w:rsidP="00BD1214">
            <w:pPr>
              <w:pStyle w:val="Tabletext8pt"/>
              <w:rPr>
                <w:rFonts w:ascii="Arial Narrow" w:hAnsi="Arial Narrow"/>
                <w:sz w:val="20"/>
                <w:szCs w:val="20"/>
              </w:rPr>
            </w:pPr>
            <w:r w:rsidRPr="005A5AC2">
              <w:rPr>
                <w:rFonts w:ascii="Arial Narrow" w:hAnsi="Arial Narrow"/>
                <w:sz w:val="20"/>
                <w:szCs w:val="20"/>
              </w:rPr>
              <w:t xml:space="preserve">The model </w:t>
            </w:r>
            <w:r>
              <w:rPr>
                <w:rFonts w:ascii="Arial Narrow" w:hAnsi="Arial Narrow"/>
                <w:sz w:val="20"/>
                <w:szCs w:val="20"/>
              </w:rPr>
              <w:t>was</w:t>
            </w:r>
            <w:r w:rsidRPr="005A5AC2">
              <w:rPr>
                <w:rFonts w:ascii="Arial Narrow" w:hAnsi="Arial Narrow"/>
                <w:sz w:val="20"/>
                <w:szCs w:val="20"/>
              </w:rPr>
              <w:t xml:space="preserve"> separated into two stages: 1) 0 – 78 weeks and 2) 78 weeks to end of </w:t>
            </w:r>
            <w:r>
              <w:rPr>
                <w:rFonts w:ascii="Arial Narrow" w:hAnsi="Arial Narrow"/>
                <w:sz w:val="20"/>
                <w:szCs w:val="20"/>
              </w:rPr>
              <w:t xml:space="preserve">the </w:t>
            </w:r>
            <w:r w:rsidRPr="005A5AC2">
              <w:rPr>
                <w:rFonts w:ascii="Arial Narrow" w:hAnsi="Arial Narrow"/>
                <w:sz w:val="20"/>
                <w:szCs w:val="20"/>
              </w:rPr>
              <w:t xml:space="preserve">time horizon. </w:t>
            </w:r>
          </w:p>
          <w:p w14:paraId="7AE15F75" w14:textId="3232A6E7" w:rsidR="005C1AE8" w:rsidRDefault="004C0546" w:rsidP="00BD1214">
            <w:pPr>
              <w:pStyle w:val="Tabletext8pt"/>
              <w:rPr>
                <w:rFonts w:ascii="Arial Narrow" w:hAnsi="Arial Narrow"/>
                <w:sz w:val="20"/>
                <w:szCs w:val="20"/>
              </w:rPr>
            </w:pPr>
            <w:r w:rsidRPr="005A5AC2">
              <w:rPr>
                <w:rFonts w:ascii="Arial Narrow" w:hAnsi="Arial Narrow"/>
                <w:sz w:val="20"/>
                <w:szCs w:val="20"/>
              </w:rPr>
              <w:t>Stage 1</w:t>
            </w:r>
            <w:r>
              <w:rPr>
                <w:rFonts w:ascii="Arial Narrow" w:hAnsi="Arial Narrow"/>
                <w:sz w:val="20"/>
                <w:szCs w:val="20"/>
              </w:rPr>
              <w:t>:</w:t>
            </w:r>
            <w:r w:rsidRPr="005A5AC2">
              <w:rPr>
                <w:rFonts w:ascii="Arial Narrow" w:hAnsi="Arial Narrow"/>
                <w:sz w:val="20"/>
                <w:szCs w:val="20"/>
              </w:rPr>
              <w:t xml:space="preserve"> </w:t>
            </w:r>
            <w:r>
              <w:rPr>
                <w:rFonts w:ascii="Arial Narrow" w:hAnsi="Arial Narrow"/>
                <w:sz w:val="20"/>
                <w:szCs w:val="20"/>
              </w:rPr>
              <w:t>O</w:t>
            </w:r>
            <w:r w:rsidRPr="005A5AC2">
              <w:rPr>
                <w:rFonts w:ascii="Arial Narrow" w:hAnsi="Arial Narrow"/>
                <w:sz w:val="20"/>
                <w:szCs w:val="20"/>
              </w:rPr>
              <w:t>nset of R/R CMV and includes a three state Markov model with the states</w:t>
            </w:r>
            <w:r w:rsidR="002E61CA">
              <w:rPr>
                <w:rFonts w:ascii="Arial Narrow" w:hAnsi="Arial Narrow"/>
                <w:sz w:val="20"/>
                <w:szCs w:val="20"/>
              </w:rPr>
              <w:t>:</w:t>
            </w:r>
            <w:r w:rsidRPr="005A5AC2">
              <w:rPr>
                <w:rFonts w:ascii="Arial Narrow" w:hAnsi="Arial Narrow"/>
                <w:sz w:val="20"/>
                <w:szCs w:val="20"/>
              </w:rPr>
              <w:t xml:space="preserve"> </w:t>
            </w:r>
          </w:p>
          <w:p w14:paraId="5B2B84C9" w14:textId="0F0E2E21" w:rsidR="004C0546" w:rsidRDefault="002E61CA" w:rsidP="002E61CA">
            <w:pPr>
              <w:pStyle w:val="PBACTableText"/>
            </w:pPr>
            <w:r>
              <w:t xml:space="preserve"> i) </w:t>
            </w:r>
            <w:r w:rsidR="004C0546" w:rsidRPr="005A5AC2">
              <w:t xml:space="preserve">csCMV, </w:t>
            </w:r>
            <w:r w:rsidR="004C0546">
              <w:t xml:space="preserve">ii) </w:t>
            </w:r>
            <w:r w:rsidR="004C0546" w:rsidRPr="005A5AC2">
              <w:t xml:space="preserve">n-csCMV and </w:t>
            </w:r>
            <w:r w:rsidR="004C0546">
              <w:t>iii) dead</w:t>
            </w:r>
            <w:r w:rsidR="004C0546" w:rsidRPr="005A5AC2">
              <w:t xml:space="preserve">. </w:t>
            </w:r>
          </w:p>
          <w:p w14:paraId="2F91ECA3" w14:textId="77777777" w:rsidR="004C0546" w:rsidRPr="00E2771E" w:rsidRDefault="004C0546" w:rsidP="00BD1214">
            <w:pPr>
              <w:pStyle w:val="TableText0"/>
            </w:pPr>
            <w:r w:rsidRPr="005A5AC2">
              <w:rPr>
                <w:bCs w:val="0"/>
                <w:szCs w:val="20"/>
              </w:rPr>
              <w:t>Stage 2</w:t>
            </w:r>
            <w:r>
              <w:rPr>
                <w:bCs w:val="0"/>
                <w:szCs w:val="20"/>
              </w:rPr>
              <w:t>:</w:t>
            </w:r>
            <w:r w:rsidRPr="005A5AC2">
              <w:rPr>
                <w:bCs w:val="0"/>
                <w:szCs w:val="20"/>
              </w:rPr>
              <w:t xml:space="preserve"> </w:t>
            </w:r>
            <w:r>
              <w:rPr>
                <w:bCs w:val="0"/>
                <w:szCs w:val="20"/>
              </w:rPr>
              <w:t>T</w:t>
            </w:r>
            <w:r w:rsidRPr="005A5AC2">
              <w:rPr>
                <w:bCs w:val="0"/>
                <w:szCs w:val="20"/>
              </w:rPr>
              <w:t>wo state Markov model with the states</w:t>
            </w:r>
            <w:r>
              <w:rPr>
                <w:bCs w:val="0"/>
                <w:szCs w:val="20"/>
              </w:rPr>
              <w:t>:</w:t>
            </w:r>
            <w:r w:rsidRPr="005A5AC2">
              <w:rPr>
                <w:bCs w:val="0"/>
                <w:szCs w:val="20"/>
              </w:rPr>
              <w:t xml:space="preserve"> </w:t>
            </w:r>
            <w:r>
              <w:rPr>
                <w:bCs w:val="0"/>
                <w:szCs w:val="20"/>
              </w:rPr>
              <w:t xml:space="preserve">i) </w:t>
            </w:r>
            <w:r w:rsidRPr="005A5AC2">
              <w:rPr>
                <w:bCs w:val="0"/>
                <w:szCs w:val="20"/>
              </w:rPr>
              <w:t xml:space="preserve">alive or </w:t>
            </w:r>
            <w:r>
              <w:rPr>
                <w:bCs w:val="0"/>
                <w:szCs w:val="20"/>
              </w:rPr>
              <w:t xml:space="preserve">ii) </w:t>
            </w:r>
            <w:r w:rsidRPr="005A5AC2">
              <w:rPr>
                <w:bCs w:val="0"/>
                <w:szCs w:val="20"/>
              </w:rPr>
              <w:t>dead.</w:t>
            </w:r>
          </w:p>
        </w:tc>
      </w:tr>
      <w:tr w:rsidR="00DD6AD5" w:rsidRPr="00E2771E" w14:paraId="42C60B50" w14:textId="77777777" w:rsidTr="00216BC8">
        <w:tc>
          <w:tcPr>
            <w:tcW w:w="784" w:type="pct"/>
            <w:shd w:val="clear" w:color="auto" w:fill="auto"/>
            <w:vAlign w:val="center"/>
          </w:tcPr>
          <w:p w14:paraId="5D34C950" w14:textId="31B25129" w:rsidR="00DD6AD5" w:rsidRPr="00DD6AD5" w:rsidRDefault="00DD6AD5" w:rsidP="00DD6AD5">
            <w:pPr>
              <w:pStyle w:val="TableText0"/>
              <w:jc w:val="right"/>
              <w:rPr>
                <w:rFonts w:eastAsia="Calibri" w:cs="Calibri"/>
                <w:bCs w:val="0"/>
                <w:szCs w:val="20"/>
                <w:lang w:eastAsia="en-US"/>
              </w:rPr>
            </w:pPr>
            <w:r w:rsidRPr="00DD6AD5">
              <w:rPr>
                <w:rFonts w:eastAsia="Calibri" w:cs="Calibri"/>
                <w:bCs w:val="0"/>
                <w:szCs w:val="20"/>
                <w:lang w:eastAsia="en-US"/>
              </w:rPr>
              <w:t>csCMV</w:t>
            </w:r>
          </w:p>
        </w:tc>
        <w:tc>
          <w:tcPr>
            <w:tcW w:w="4216" w:type="pct"/>
            <w:shd w:val="clear" w:color="auto" w:fill="auto"/>
          </w:tcPr>
          <w:p w14:paraId="4D1BF381" w14:textId="48C517D8" w:rsidR="00DD6AD5" w:rsidRPr="005A5AC2" w:rsidRDefault="00DD6AD5" w:rsidP="00DD6AD5">
            <w:pPr>
              <w:pStyle w:val="Tabletext8pt"/>
              <w:rPr>
                <w:rFonts w:ascii="Arial Narrow" w:hAnsi="Arial Narrow"/>
                <w:sz w:val="20"/>
                <w:szCs w:val="20"/>
              </w:rPr>
            </w:pPr>
            <w:r w:rsidRPr="00DD6AD5">
              <w:rPr>
                <w:rFonts w:ascii="Arial Narrow" w:hAnsi="Arial Narrow"/>
                <w:sz w:val="20"/>
                <w:szCs w:val="20"/>
              </w:rPr>
              <w:t xml:space="preserve">All patients enter the model with clinically significant R/R CMV requiring treatment. This state is occupied by patients who do not achieve CMV </w:t>
            </w:r>
            <w:r w:rsidR="003F2CC0">
              <w:rPr>
                <w:rFonts w:ascii="Arial Narrow" w:hAnsi="Arial Narrow"/>
                <w:sz w:val="20"/>
                <w:szCs w:val="20"/>
              </w:rPr>
              <w:t>viraemia</w:t>
            </w:r>
            <w:r w:rsidRPr="00DD6AD5">
              <w:rPr>
                <w:rFonts w:ascii="Arial Narrow" w:hAnsi="Arial Narrow"/>
                <w:sz w:val="20"/>
                <w:szCs w:val="20"/>
              </w:rPr>
              <w:t xml:space="preserve"> clearance (i.e., clearance defined as plasma CMV DNA concentration &lt;LLOQ) or patients who in a previous cycle occupied the n-csCMV health state but then experience a clinically significant recurrence (i.e., plasma CMV DNA concentration &gt;LLOQ which requires treatment).</w:t>
            </w:r>
          </w:p>
        </w:tc>
      </w:tr>
      <w:tr w:rsidR="00DD6AD5" w:rsidRPr="00E2771E" w14:paraId="41CD8B7A" w14:textId="77777777" w:rsidTr="00216BC8">
        <w:tc>
          <w:tcPr>
            <w:tcW w:w="784" w:type="pct"/>
            <w:shd w:val="clear" w:color="auto" w:fill="auto"/>
            <w:vAlign w:val="center"/>
          </w:tcPr>
          <w:p w14:paraId="3EDCCE56" w14:textId="5A19796B" w:rsidR="00DD6AD5" w:rsidRPr="00E2771E" w:rsidRDefault="00DD6AD5" w:rsidP="00DD6AD5">
            <w:pPr>
              <w:pStyle w:val="TableText0"/>
              <w:jc w:val="right"/>
            </w:pPr>
            <w:r>
              <w:rPr>
                <w:szCs w:val="20"/>
              </w:rPr>
              <w:t>n-csCMV</w:t>
            </w:r>
          </w:p>
        </w:tc>
        <w:tc>
          <w:tcPr>
            <w:tcW w:w="4216" w:type="pct"/>
            <w:shd w:val="clear" w:color="auto" w:fill="auto"/>
          </w:tcPr>
          <w:p w14:paraId="37E48A9D" w14:textId="1E53EF8A" w:rsidR="00DD6AD5" w:rsidRPr="005A5AC2" w:rsidRDefault="00DD6AD5" w:rsidP="00DD6AD5">
            <w:pPr>
              <w:pStyle w:val="Tabletext8pt"/>
              <w:rPr>
                <w:rFonts w:ascii="Arial Narrow" w:hAnsi="Arial Narrow"/>
                <w:sz w:val="20"/>
                <w:szCs w:val="20"/>
              </w:rPr>
            </w:pPr>
            <w:r w:rsidRPr="00003760">
              <w:rPr>
                <w:rFonts w:ascii="Arial Narrow" w:hAnsi="Arial Narrow"/>
                <w:sz w:val="20"/>
                <w:szCs w:val="20"/>
              </w:rPr>
              <w:t>Defined as patients who have plasma CMV DNA &lt;LLOQ or CMV DNA &gt;LLOQ not requiring treatment. Subjects who achieve CMV clearance or subjects who have achieved clearance and do not experience a clinically significant recurrence occupy the n-csCMV health state.</w:t>
            </w:r>
          </w:p>
        </w:tc>
      </w:tr>
      <w:tr w:rsidR="004C0546" w:rsidRPr="00E2771E" w14:paraId="4260AC33" w14:textId="77777777" w:rsidTr="00DD6AD5">
        <w:tc>
          <w:tcPr>
            <w:tcW w:w="784" w:type="pct"/>
            <w:shd w:val="clear" w:color="auto" w:fill="auto"/>
            <w:vAlign w:val="center"/>
          </w:tcPr>
          <w:p w14:paraId="2496B3F0" w14:textId="77777777" w:rsidR="004C0546" w:rsidRPr="00E2771E" w:rsidRDefault="004C0546" w:rsidP="00BD1214">
            <w:pPr>
              <w:pStyle w:val="TableText0"/>
            </w:pPr>
            <w:r w:rsidRPr="00E2771E">
              <w:t>Cycle length</w:t>
            </w:r>
          </w:p>
        </w:tc>
        <w:tc>
          <w:tcPr>
            <w:tcW w:w="4216" w:type="pct"/>
            <w:shd w:val="clear" w:color="auto" w:fill="auto"/>
            <w:vAlign w:val="center"/>
          </w:tcPr>
          <w:p w14:paraId="4481CB4A" w14:textId="77777777" w:rsidR="004C0546" w:rsidRPr="00E2771E" w:rsidRDefault="004C0546" w:rsidP="00BD1214">
            <w:pPr>
              <w:pStyle w:val="TableText0"/>
            </w:pPr>
            <w:r>
              <w:t>4 weeks for 3 years then annual cycles</w:t>
            </w:r>
          </w:p>
        </w:tc>
      </w:tr>
      <w:tr w:rsidR="004C0546" w:rsidRPr="00E2771E" w14:paraId="73026FA9" w14:textId="77777777" w:rsidTr="00DD6AD5">
        <w:tc>
          <w:tcPr>
            <w:tcW w:w="784" w:type="pct"/>
            <w:shd w:val="clear" w:color="auto" w:fill="auto"/>
            <w:vAlign w:val="center"/>
          </w:tcPr>
          <w:p w14:paraId="11BB03F6" w14:textId="77777777" w:rsidR="004C0546" w:rsidRPr="00E2771E" w:rsidRDefault="004C0546" w:rsidP="00BD1214">
            <w:pPr>
              <w:pStyle w:val="TableText0"/>
            </w:pPr>
            <w:r w:rsidRPr="00E2771E">
              <w:t>Transition probabilities</w:t>
            </w:r>
            <w:r>
              <w:t xml:space="preserve"> </w:t>
            </w:r>
          </w:p>
          <w:p w14:paraId="4E93A944" w14:textId="77777777" w:rsidR="004C0546" w:rsidRPr="00E2771E" w:rsidRDefault="004C0546" w:rsidP="00BD1214">
            <w:pPr>
              <w:pStyle w:val="TableText0"/>
            </w:pPr>
          </w:p>
        </w:tc>
        <w:tc>
          <w:tcPr>
            <w:tcW w:w="4216" w:type="pct"/>
            <w:shd w:val="clear" w:color="auto" w:fill="auto"/>
            <w:vAlign w:val="center"/>
          </w:tcPr>
          <w:p w14:paraId="11D178B0" w14:textId="77777777" w:rsidR="004C0546" w:rsidRPr="003F5E2F" w:rsidRDefault="004C0546" w:rsidP="00BD1214">
            <w:pPr>
              <w:pStyle w:val="Tabletext8pt"/>
              <w:rPr>
                <w:rFonts w:ascii="Arial Narrow" w:hAnsi="Arial Narrow"/>
                <w:sz w:val="20"/>
                <w:szCs w:val="20"/>
              </w:rPr>
            </w:pPr>
            <w:r>
              <w:rPr>
                <w:rFonts w:ascii="Arial Narrow" w:hAnsi="Arial Narrow"/>
                <w:sz w:val="20"/>
                <w:szCs w:val="20"/>
              </w:rPr>
              <w:t>Based on</w:t>
            </w:r>
            <w:r w:rsidRPr="003F5E2F">
              <w:rPr>
                <w:rFonts w:ascii="Arial Narrow" w:hAnsi="Arial Narrow"/>
                <w:sz w:val="20"/>
                <w:szCs w:val="20"/>
              </w:rPr>
              <w:t xml:space="preserve"> clearance, recurrence, and mortality</w:t>
            </w:r>
            <w:r>
              <w:rPr>
                <w:rFonts w:ascii="Arial Narrow" w:hAnsi="Arial Narrow"/>
                <w:sz w:val="20"/>
                <w:szCs w:val="20"/>
              </w:rPr>
              <w:t>:</w:t>
            </w:r>
          </w:p>
          <w:p w14:paraId="2C0FA964" w14:textId="77777777" w:rsidR="004C0546" w:rsidRPr="003F5E2F" w:rsidRDefault="004C0546" w:rsidP="00BD1214">
            <w:pPr>
              <w:pStyle w:val="Tabletext8pt"/>
              <w:rPr>
                <w:rFonts w:ascii="Arial Narrow" w:hAnsi="Arial Narrow"/>
                <w:sz w:val="20"/>
                <w:szCs w:val="20"/>
              </w:rPr>
            </w:pPr>
            <w:r w:rsidRPr="003F5E2F">
              <w:rPr>
                <w:rFonts w:ascii="Arial Narrow" w:hAnsi="Arial Narrow"/>
                <w:sz w:val="20"/>
                <w:szCs w:val="20"/>
              </w:rPr>
              <w:t>Clearance: SOLSTICE CSR</w:t>
            </w:r>
          </w:p>
          <w:p w14:paraId="6FE236AB" w14:textId="77777777" w:rsidR="004C0546" w:rsidRPr="003F5E2F" w:rsidRDefault="004C0546" w:rsidP="00BD1214">
            <w:pPr>
              <w:pStyle w:val="Tabletext8pt"/>
              <w:rPr>
                <w:rFonts w:ascii="Arial Narrow" w:hAnsi="Arial Narrow"/>
                <w:sz w:val="20"/>
                <w:szCs w:val="20"/>
              </w:rPr>
            </w:pPr>
            <w:r w:rsidRPr="003F5E2F">
              <w:rPr>
                <w:rFonts w:ascii="Arial Narrow" w:hAnsi="Arial Narrow"/>
                <w:sz w:val="20"/>
                <w:szCs w:val="20"/>
              </w:rPr>
              <w:t>Recurrence (clinically significant): SOLSTICE and OTUS</w:t>
            </w:r>
          </w:p>
          <w:p w14:paraId="54583A0D" w14:textId="77777777" w:rsidR="004C0546" w:rsidRPr="003F5E2F" w:rsidRDefault="004C0546" w:rsidP="00BD1214">
            <w:pPr>
              <w:pStyle w:val="Tabletext8pt"/>
              <w:rPr>
                <w:rFonts w:ascii="Arial Narrow" w:hAnsi="Arial Narrow"/>
                <w:sz w:val="20"/>
                <w:szCs w:val="20"/>
              </w:rPr>
            </w:pPr>
            <w:r w:rsidRPr="003F5E2F">
              <w:rPr>
                <w:rFonts w:ascii="Arial Narrow" w:hAnsi="Arial Narrow"/>
                <w:sz w:val="20"/>
                <w:szCs w:val="20"/>
              </w:rPr>
              <w:t xml:space="preserve">Mortality: Week 0 to 8 – SOLSTICE IPD analysis; </w:t>
            </w:r>
          </w:p>
          <w:p w14:paraId="57B7EF32" w14:textId="77777777" w:rsidR="004C0546" w:rsidRPr="003F5E2F" w:rsidRDefault="004C0546" w:rsidP="00BD1214">
            <w:pPr>
              <w:pStyle w:val="Tabletext8pt"/>
              <w:rPr>
                <w:rFonts w:ascii="Arial Narrow" w:hAnsi="Arial Narrow"/>
                <w:sz w:val="20"/>
                <w:szCs w:val="20"/>
              </w:rPr>
            </w:pPr>
            <w:r w:rsidRPr="003F5E2F">
              <w:rPr>
                <w:rFonts w:ascii="Arial Narrow" w:hAnsi="Arial Narrow"/>
                <w:sz w:val="20"/>
                <w:szCs w:val="20"/>
              </w:rPr>
              <w:t xml:space="preserve">Week 8 to end Stage 1 – SOLSTICE IPD analysis; </w:t>
            </w:r>
          </w:p>
          <w:p w14:paraId="46602F46" w14:textId="46E35BB2" w:rsidR="004C0546" w:rsidRPr="00E2771E" w:rsidRDefault="004C0546" w:rsidP="00BD1214">
            <w:pPr>
              <w:pStyle w:val="TableText0"/>
            </w:pPr>
            <w:r w:rsidRPr="003F5E2F">
              <w:rPr>
                <w:szCs w:val="20"/>
              </w:rPr>
              <w:t xml:space="preserve">Stage 2 (Week 78 onwards) – literature based, specific to SOT </w:t>
            </w:r>
            <w:r w:rsidR="00C51577">
              <w:rPr>
                <w:szCs w:val="20"/>
              </w:rPr>
              <w:t>(NHS Organ Donation and Transplantation Annual activity report) and</w:t>
            </w:r>
            <w:r w:rsidRPr="003F5E2F">
              <w:rPr>
                <w:szCs w:val="20"/>
              </w:rPr>
              <w:t xml:space="preserve"> HSCT</w:t>
            </w:r>
            <w:r w:rsidR="00C51577">
              <w:rPr>
                <w:szCs w:val="20"/>
              </w:rPr>
              <w:t xml:space="preserve"> (</w:t>
            </w:r>
            <w:r w:rsidR="00C51577" w:rsidRPr="004A5EA4" w:rsidDel="003C2032">
              <w:t>Haematological Malignancy Research Network</w:t>
            </w:r>
            <w:r w:rsidR="00C51577">
              <w:t>/Martin 2010)</w:t>
            </w:r>
            <w:r w:rsidRPr="003F5E2F">
              <w:rPr>
                <w:szCs w:val="20"/>
              </w:rPr>
              <w:t>.</w:t>
            </w:r>
          </w:p>
        </w:tc>
      </w:tr>
      <w:tr w:rsidR="004C0546" w:rsidRPr="00E2771E" w14:paraId="3894C58C" w14:textId="77777777" w:rsidTr="00DD6AD5">
        <w:tc>
          <w:tcPr>
            <w:tcW w:w="784" w:type="pct"/>
            <w:shd w:val="clear" w:color="auto" w:fill="auto"/>
            <w:vAlign w:val="center"/>
          </w:tcPr>
          <w:p w14:paraId="3F82A16D" w14:textId="77777777" w:rsidR="004C0546" w:rsidRPr="00E2771E" w:rsidRDefault="004C0546" w:rsidP="00BD1214">
            <w:pPr>
              <w:pStyle w:val="TableText0"/>
            </w:pPr>
            <w:r>
              <w:t>Extrapolation method</w:t>
            </w:r>
          </w:p>
        </w:tc>
        <w:tc>
          <w:tcPr>
            <w:tcW w:w="4216" w:type="pct"/>
            <w:shd w:val="clear" w:color="auto" w:fill="auto"/>
            <w:vAlign w:val="center"/>
          </w:tcPr>
          <w:p w14:paraId="1177B62E" w14:textId="3B65ECDE" w:rsidR="004C0546" w:rsidRPr="00E2771E" w:rsidRDefault="004C0546" w:rsidP="00BD1214">
            <w:pPr>
              <w:pStyle w:val="TableText0"/>
            </w:pPr>
            <w:r>
              <w:t>Clearance and recurrence were not extrapolated.</w:t>
            </w:r>
            <w:r w:rsidR="00906521">
              <w:t xml:space="preserve"> </w:t>
            </w:r>
            <w:r>
              <w:t>Mortality in Stage 2 of the model (week 78 onward) was literature based and for HSCT mortality beyond 5 years data from Martin 2010 was used and extrapolated.</w:t>
            </w:r>
            <w:r w:rsidR="00906521">
              <w:t xml:space="preserve"> </w:t>
            </w:r>
            <w:r>
              <w:t>No other mortality data was extrapolated.</w:t>
            </w:r>
          </w:p>
        </w:tc>
      </w:tr>
      <w:tr w:rsidR="004C0546" w:rsidRPr="00E2771E" w14:paraId="13CB9DED" w14:textId="77777777" w:rsidTr="00DD6AD5">
        <w:tc>
          <w:tcPr>
            <w:tcW w:w="784" w:type="pct"/>
            <w:shd w:val="clear" w:color="auto" w:fill="auto"/>
            <w:vAlign w:val="center"/>
          </w:tcPr>
          <w:p w14:paraId="3E6B6699" w14:textId="77777777" w:rsidR="004C0546" w:rsidRPr="001F4081" w:rsidRDefault="004C0546" w:rsidP="00BD1214">
            <w:pPr>
              <w:pStyle w:val="TableText0"/>
            </w:pPr>
            <w:r>
              <w:t>Health related quality of life</w:t>
            </w:r>
          </w:p>
        </w:tc>
        <w:tc>
          <w:tcPr>
            <w:tcW w:w="4216" w:type="pct"/>
            <w:shd w:val="clear" w:color="auto" w:fill="auto"/>
            <w:vAlign w:val="center"/>
          </w:tcPr>
          <w:p w14:paraId="394BD426" w14:textId="77777777" w:rsidR="004C0546" w:rsidRDefault="004C0546" w:rsidP="00BD1214">
            <w:pPr>
              <w:pStyle w:val="TableText0"/>
            </w:pPr>
            <w:r>
              <w:t>EQ-5D data from SOLSTICE; also a TTO study.</w:t>
            </w:r>
          </w:p>
          <w:p w14:paraId="2D16841B" w14:textId="77777777" w:rsidR="004C0546" w:rsidRDefault="004C0546" w:rsidP="00BD1214">
            <w:pPr>
              <w:pStyle w:val="TableText0"/>
            </w:pPr>
          </w:p>
          <w:tbl>
            <w:tblPr>
              <w:tblStyle w:val="TableGrid"/>
              <w:tblW w:w="0" w:type="auto"/>
              <w:tblLayout w:type="fixed"/>
              <w:tblLook w:val="04A0" w:firstRow="1" w:lastRow="0" w:firstColumn="1" w:lastColumn="0" w:noHBand="0" w:noVBand="1"/>
            </w:tblPr>
            <w:tblGrid>
              <w:gridCol w:w="1830"/>
              <w:gridCol w:w="1842"/>
              <w:gridCol w:w="2268"/>
            </w:tblGrid>
            <w:tr w:rsidR="004C0546" w14:paraId="45E96894" w14:textId="77777777" w:rsidTr="00F67C18">
              <w:tc>
                <w:tcPr>
                  <w:tcW w:w="1830" w:type="dxa"/>
                </w:tcPr>
                <w:p w14:paraId="53D6D287" w14:textId="77777777" w:rsidR="004C0546" w:rsidRDefault="004C0546" w:rsidP="00BD1214">
                  <w:pPr>
                    <w:pStyle w:val="TableText0"/>
                    <w:tabs>
                      <w:tab w:val="left" w:pos="155"/>
                    </w:tabs>
                  </w:pPr>
                  <w:r w:rsidRPr="00051BFF">
                    <w:rPr>
                      <w:b/>
                      <w:bCs w:val="0"/>
                    </w:rPr>
                    <w:t>Health state</w:t>
                  </w:r>
                </w:p>
              </w:tc>
              <w:tc>
                <w:tcPr>
                  <w:tcW w:w="1842" w:type="dxa"/>
                </w:tcPr>
                <w:p w14:paraId="73577342" w14:textId="77777777" w:rsidR="004C0546" w:rsidRDefault="004C0546" w:rsidP="00BD1214">
                  <w:pPr>
                    <w:pStyle w:val="TableText0"/>
                    <w:jc w:val="center"/>
                  </w:pPr>
                  <w:r>
                    <w:rPr>
                      <w:b/>
                      <w:bCs w:val="0"/>
                    </w:rPr>
                    <w:t>Maribavir and IAT</w:t>
                  </w:r>
                </w:p>
              </w:tc>
              <w:tc>
                <w:tcPr>
                  <w:tcW w:w="2268" w:type="dxa"/>
                </w:tcPr>
                <w:p w14:paraId="7CEDB298" w14:textId="77777777" w:rsidR="004C0546" w:rsidRDefault="004C0546" w:rsidP="00BD1214">
                  <w:pPr>
                    <w:pStyle w:val="TableText0"/>
                    <w:jc w:val="center"/>
                    <w:rPr>
                      <w:b/>
                      <w:bCs w:val="0"/>
                    </w:rPr>
                  </w:pPr>
                  <w:r>
                    <w:rPr>
                      <w:b/>
                      <w:bCs w:val="0"/>
                    </w:rPr>
                    <w:t>Source</w:t>
                  </w:r>
                </w:p>
              </w:tc>
            </w:tr>
            <w:tr w:rsidR="004C0546" w14:paraId="79FD6771" w14:textId="77777777" w:rsidTr="00F67C18">
              <w:tc>
                <w:tcPr>
                  <w:tcW w:w="5940" w:type="dxa"/>
                  <w:gridSpan w:val="3"/>
                </w:tcPr>
                <w:p w14:paraId="265DDD3E" w14:textId="77777777" w:rsidR="004C0546" w:rsidRDefault="004C0546" w:rsidP="00BD1214">
                  <w:pPr>
                    <w:pStyle w:val="TableText0"/>
                    <w:tabs>
                      <w:tab w:val="left" w:pos="155"/>
                    </w:tabs>
                    <w:rPr>
                      <w:b/>
                      <w:bCs w:val="0"/>
                    </w:rPr>
                  </w:pPr>
                  <w:r>
                    <w:rPr>
                      <w:b/>
                      <w:bCs w:val="0"/>
                    </w:rPr>
                    <w:t>SOT</w:t>
                  </w:r>
                </w:p>
              </w:tc>
            </w:tr>
            <w:tr w:rsidR="004C0546" w14:paraId="23FEF65E" w14:textId="77777777" w:rsidTr="00F67C18">
              <w:tc>
                <w:tcPr>
                  <w:tcW w:w="1830" w:type="dxa"/>
                </w:tcPr>
                <w:p w14:paraId="097644AD" w14:textId="77777777" w:rsidR="004C0546" w:rsidRDefault="004C0546" w:rsidP="00BD1214">
                  <w:pPr>
                    <w:pStyle w:val="TableText0"/>
                    <w:tabs>
                      <w:tab w:val="left" w:pos="155"/>
                    </w:tabs>
                  </w:pPr>
                  <w:r>
                    <w:tab/>
                  </w:r>
                  <w:r w:rsidRPr="00BA40AF">
                    <w:rPr>
                      <w:szCs w:val="20"/>
                    </w:rPr>
                    <w:t>n-csCMV</w:t>
                  </w:r>
                </w:p>
              </w:tc>
              <w:tc>
                <w:tcPr>
                  <w:tcW w:w="1842" w:type="dxa"/>
                </w:tcPr>
                <w:p w14:paraId="1935669C" w14:textId="77777777" w:rsidR="004C0546" w:rsidRDefault="004C0546" w:rsidP="00BD1214">
                  <w:pPr>
                    <w:pStyle w:val="TableText0"/>
                    <w:jc w:val="center"/>
                  </w:pPr>
                  <w:r>
                    <w:t>0.838</w:t>
                  </w:r>
                </w:p>
              </w:tc>
              <w:tc>
                <w:tcPr>
                  <w:tcW w:w="2268" w:type="dxa"/>
                </w:tcPr>
                <w:p w14:paraId="30AE2645" w14:textId="77777777" w:rsidR="004C0546" w:rsidRDefault="004C0546" w:rsidP="00BD1214">
                  <w:pPr>
                    <w:pStyle w:val="TableText0"/>
                    <w:jc w:val="center"/>
                  </w:pPr>
                  <w:r>
                    <w:t>Solstice IPD analysis</w:t>
                  </w:r>
                </w:p>
              </w:tc>
            </w:tr>
            <w:tr w:rsidR="004C0546" w14:paraId="3971DA0A" w14:textId="77777777" w:rsidTr="00F67C18">
              <w:tc>
                <w:tcPr>
                  <w:tcW w:w="1830" w:type="dxa"/>
                </w:tcPr>
                <w:p w14:paraId="073E2AB3" w14:textId="77777777" w:rsidR="004C0546" w:rsidRDefault="004C0546" w:rsidP="00BD1214">
                  <w:pPr>
                    <w:pStyle w:val="TableText0"/>
                    <w:tabs>
                      <w:tab w:val="left" w:pos="155"/>
                    </w:tabs>
                  </w:pPr>
                  <w:r>
                    <w:tab/>
                    <w:t>csCMV</w:t>
                  </w:r>
                </w:p>
              </w:tc>
              <w:tc>
                <w:tcPr>
                  <w:tcW w:w="1842" w:type="dxa"/>
                </w:tcPr>
                <w:p w14:paraId="76F8D17E" w14:textId="77777777" w:rsidR="004C0546" w:rsidRDefault="004C0546" w:rsidP="00BD1214">
                  <w:pPr>
                    <w:pStyle w:val="TableText0"/>
                    <w:jc w:val="center"/>
                  </w:pPr>
                  <w:r>
                    <w:t>0.639</w:t>
                  </w:r>
                </w:p>
              </w:tc>
              <w:tc>
                <w:tcPr>
                  <w:tcW w:w="2268" w:type="dxa"/>
                </w:tcPr>
                <w:p w14:paraId="4289BF04" w14:textId="77777777" w:rsidR="004C0546" w:rsidRDefault="004C0546" w:rsidP="00BD1214">
                  <w:pPr>
                    <w:pStyle w:val="TableText0"/>
                    <w:jc w:val="center"/>
                  </w:pPr>
                  <w:r>
                    <w:t>Solstice IPD analysis + TTO</w:t>
                  </w:r>
                </w:p>
              </w:tc>
            </w:tr>
            <w:tr w:rsidR="004C0546" w14:paraId="5E20DB4B" w14:textId="77777777" w:rsidTr="00F67C18">
              <w:tc>
                <w:tcPr>
                  <w:tcW w:w="5940" w:type="dxa"/>
                  <w:gridSpan w:val="3"/>
                </w:tcPr>
                <w:p w14:paraId="5FC68673" w14:textId="77777777" w:rsidR="004C0546" w:rsidRDefault="004C0546" w:rsidP="00BD1214">
                  <w:pPr>
                    <w:pStyle w:val="TableText0"/>
                    <w:rPr>
                      <w:b/>
                      <w:bCs w:val="0"/>
                    </w:rPr>
                  </w:pPr>
                  <w:r>
                    <w:rPr>
                      <w:b/>
                      <w:bCs w:val="0"/>
                    </w:rPr>
                    <w:t>HSCT</w:t>
                  </w:r>
                </w:p>
              </w:tc>
            </w:tr>
            <w:tr w:rsidR="004C0546" w14:paraId="69126D4A" w14:textId="77777777" w:rsidTr="00F67C18">
              <w:tc>
                <w:tcPr>
                  <w:tcW w:w="1830" w:type="dxa"/>
                </w:tcPr>
                <w:p w14:paraId="2D89AD34" w14:textId="77777777" w:rsidR="004C0546" w:rsidRDefault="004C0546" w:rsidP="00BD1214">
                  <w:pPr>
                    <w:pStyle w:val="TableText0"/>
                    <w:tabs>
                      <w:tab w:val="left" w:pos="155"/>
                    </w:tabs>
                  </w:pPr>
                  <w:r>
                    <w:tab/>
                  </w:r>
                  <w:r w:rsidRPr="00BA40AF">
                    <w:rPr>
                      <w:szCs w:val="20"/>
                    </w:rPr>
                    <w:t>n-csCMV</w:t>
                  </w:r>
                </w:p>
              </w:tc>
              <w:tc>
                <w:tcPr>
                  <w:tcW w:w="1842" w:type="dxa"/>
                </w:tcPr>
                <w:p w14:paraId="15C67F62" w14:textId="77777777" w:rsidR="004C0546" w:rsidRDefault="004C0546" w:rsidP="00BD1214">
                  <w:pPr>
                    <w:pStyle w:val="TableText0"/>
                    <w:jc w:val="center"/>
                  </w:pPr>
                  <w:r>
                    <w:t>0.694</w:t>
                  </w:r>
                </w:p>
              </w:tc>
              <w:tc>
                <w:tcPr>
                  <w:tcW w:w="2268" w:type="dxa"/>
                </w:tcPr>
                <w:p w14:paraId="7B117DC2" w14:textId="77777777" w:rsidR="004C0546" w:rsidRDefault="004C0546" w:rsidP="00BD1214">
                  <w:pPr>
                    <w:pStyle w:val="TableText0"/>
                    <w:jc w:val="center"/>
                  </w:pPr>
                  <w:r>
                    <w:t>Solstice IPD analysis</w:t>
                  </w:r>
                </w:p>
              </w:tc>
            </w:tr>
            <w:tr w:rsidR="004C0546" w14:paraId="7F992A1C" w14:textId="77777777" w:rsidTr="00F67C18">
              <w:tc>
                <w:tcPr>
                  <w:tcW w:w="1830" w:type="dxa"/>
                </w:tcPr>
                <w:p w14:paraId="02F7ACCB" w14:textId="77777777" w:rsidR="004C0546" w:rsidRDefault="004C0546" w:rsidP="00BD1214">
                  <w:pPr>
                    <w:pStyle w:val="TableText0"/>
                    <w:tabs>
                      <w:tab w:val="left" w:pos="155"/>
                    </w:tabs>
                  </w:pPr>
                  <w:r>
                    <w:tab/>
                    <w:t>csCMV</w:t>
                  </w:r>
                </w:p>
              </w:tc>
              <w:tc>
                <w:tcPr>
                  <w:tcW w:w="1842" w:type="dxa"/>
                </w:tcPr>
                <w:p w14:paraId="72AC935A" w14:textId="77777777" w:rsidR="004C0546" w:rsidRDefault="004C0546" w:rsidP="00BD1214">
                  <w:pPr>
                    <w:pStyle w:val="TableText0"/>
                    <w:jc w:val="center"/>
                  </w:pPr>
                  <w:r>
                    <w:t>0.502</w:t>
                  </w:r>
                </w:p>
              </w:tc>
              <w:tc>
                <w:tcPr>
                  <w:tcW w:w="2268" w:type="dxa"/>
                </w:tcPr>
                <w:p w14:paraId="619DD8F5" w14:textId="77777777" w:rsidR="004C0546" w:rsidRDefault="004C0546" w:rsidP="00BD1214">
                  <w:pPr>
                    <w:pStyle w:val="TableText0"/>
                    <w:jc w:val="center"/>
                  </w:pPr>
                  <w:r>
                    <w:t>Solstice IPD analysis + TTO</w:t>
                  </w:r>
                </w:p>
              </w:tc>
            </w:tr>
          </w:tbl>
          <w:p w14:paraId="31F15EB9" w14:textId="77777777" w:rsidR="004C0546" w:rsidRPr="00E2771E" w:rsidRDefault="004C0546" w:rsidP="00BD1214">
            <w:pPr>
              <w:pStyle w:val="TableText0"/>
            </w:pPr>
          </w:p>
        </w:tc>
      </w:tr>
    </w:tbl>
    <w:p w14:paraId="6EDEEFDD" w14:textId="714A1B58" w:rsidR="004C0546" w:rsidRDefault="004C0546" w:rsidP="001044AE">
      <w:pPr>
        <w:pStyle w:val="TableFooter"/>
      </w:pPr>
      <w:r w:rsidRPr="001044AE">
        <w:rPr>
          <w:snapToGrid w:val="0"/>
        </w:rPr>
        <w:t>Source: Table 3.1.1, p112</w:t>
      </w:r>
      <w:r w:rsidR="001044AE" w:rsidRPr="001044AE">
        <w:rPr>
          <w:snapToGrid w:val="0"/>
        </w:rPr>
        <w:t>, Table 3.5.3, p140; Section 3.2.2.1, p119-120 </w:t>
      </w:r>
      <w:r>
        <w:t>of the submission.</w:t>
      </w:r>
    </w:p>
    <w:p w14:paraId="363320BC" w14:textId="3E0B29A4" w:rsidR="004C0546" w:rsidRDefault="004C0546" w:rsidP="00BD1214">
      <w:pPr>
        <w:pStyle w:val="FooterTableFigure"/>
        <w:keepNext/>
      </w:pPr>
      <w:r>
        <w:t xml:space="preserve">csCMV = clinically significant cytomegalovirus; HSCT = haematopoietic stem cell transplant; HSCT = haemopoietic stem cell transplant; IAT = investigator assigned treatment; IPD = individual patient data; </w:t>
      </w:r>
      <w:r w:rsidR="00DD6AD5">
        <w:t xml:space="preserve">LLOQ = lower limit of quantification; </w:t>
      </w:r>
      <w:r>
        <w:t>n-csCMV = non-clinically significant cytomegalovirus; R/R = resistant, refractory; SOT = solid organ transplant; TTO = time trade off</w:t>
      </w:r>
    </w:p>
    <w:p w14:paraId="7E140614" w14:textId="06F1C73E" w:rsidR="000228E3" w:rsidRPr="004D05AA" w:rsidRDefault="00D1452F" w:rsidP="000228E3">
      <w:pPr>
        <w:pStyle w:val="3-BodyText"/>
      </w:pPr>
      <w:r w:rsidRPr="004D05AA">
        <w:t>The model submitted was very similar to th</w:t>
      </w:r>
      <w:r w:rsidR="00424B84" w:rsidRPr="004D05AA">
        <w:t>ose</w:t>
      </w:r>
      <w:r w:rsidRPr="004D05AA">
        <w:t xml:space="preserve"> considered by NICE in 2022 and 2023. The model assessed by NICE in 2022 was also a two-stage Markov model, although the first stage went from 0 to 52 weeks, instead of 78 weeks as in the submission’s model. NICE considered that the model </w:t>
      </w:r>
      <w:r w:rsidR="004A1672" w:rsidRPr="004D05AA">
        <w:t xml:space="preserve">assessed in 2022 </w:t>
      </w:r>
      <w:r w:rsidRPr="004D05AA">
        <w:t xml:space="preserve">was not fit for purpose. Following </w:t>
      </w:r>
      <w:r w:rsidR="006F6F1E" w:rsidRPr="004D05AA">
        <w:t>assessment</w:t>
      </w:r>
      <w:r w:rsidRPr="004D05AA">
        <w:t xml:space="preserve"> by NICE, Stage 1 in the 2022 model was lengthened to 78 weeks, and then for the 2023 model, Stage 1 was shortened to 39.2 weeks.</w:t>
      </w:r>
    </w:p>
    <w:p w14:paraId="2EF3F412" w14:textId="73B42C74" w:rsidR="00E568EB" w:rsidRPr="003B4159" w:rsidRDefault="003E614C" w:rsidP="004C0546">
      <w:pPr>
        <w:pStyle w:val="3-BodyText"/>
      </w:pPr>
      <w:bookmarkStart w:id="39" w:name="_Ref144800916"/>
      <w:r w:rsidRPr="003B4159">
        <w:lastRenderedPageBreak/>
        <w:t xml:space="preserve">The key difference </w:t>
      </w:r>
      <w:r w:rsidR="0079434E" w:rsidRPr="003B4159">
        <w:t xml:space="preserve">between the model accepted by NICE and </w:t>
      </w:r>
      <w:r w:rsidRPr="003B4159">
        <w:t xml:space="preserve">the current model is the submission’s maintenance of the </w:t>
      </w:r>
      <w:r w:rsidR="00396DF5" w:rsidRPr="003B4159">
        <w:t>78-week</w:t>
      </w:r>
      <w:r w:rsidRPr="003B4159">
        <w:t xml:space="preserve"> duration of Stage 1 of the model.</w:t>
      </w:r>
      <w:r w:rsidR="006F6F1E" w:rsidRPr="00DF40E7">
        <w:rPr>
          <w:iCs/>
        </w:rPr>
        <w:t xml:space="preserve"> </w:t>
      </w:r>
      <w:r w:rsidR="006F6F1E" w:rsidRPr="00AC0803">
        <w:t xml:space="preserve">The submission justified use of a </w:t>
      </w:r>
      <w:r w:rsidR="00396DF5" w:rsidRPr="00AC0803">
        <w:t>78-week</w:t>
      </w:r>
      <w:r w:rsidR="006F6F1E" w:rsidRPr="00AC0803">
        <w:t xml:space="preserve"> duration for Stage 1 on the basis of OTUS data.</w:t>
      </w:r>
      <w:r w:rsidRPr="00DF40E7">
        <w:rPr>
          <w:iCs/>
        </w:rPr>
        <w:t xml:space="preserve"> </w:t>
      </w:r>
      <w:r>
        <w:t xml:space="preserve">The submission </w:t>
      </w:r>
      <w:r w:rsidR="005F074F">
        <w:t>stated</w:t>
      </w:r>
      <w:r>
        <w:t xml:space="preserve"> </w:t>
      </w:r>
      <w:r w:rsidR="00346A49">
        <w:t xml:space="preserve">data from OTUS indicate patients may experience multiple recurrences, and </w:t>
      </w:r>
      <w:r>
        <w:t xml:space="preserve">under the assumption that treatment occurs for 35.98 days (average time on treatment in the IAT arm in SOLSTICE) </w:t>
      </w:r>
      <w:r w:rsidR="00346A49" w:rsidRPr="004A5EA4">
        <w:t>and the time between each recurrent episode reflects the duration of clearance, it can be inferred from the OTUS data that CMV events can recur after 155.4 weeks from the start of the index episode for SOT patients and after 77.1 weeks from the start of the index episode for HSCT patients</w:t>
      </w:r>
      <w:r w:rsidR="005F074F">
        <w:t xml:space="preserve">. The submission added that while the data from OTUS provide evidence the Stage 1 Markov model could exceed 78 weeks (i.e., 155.4 weeks for SOT), clinicians indicated treatment patterns </w:t>
      </w:r>
      <w:r w:rsidR="005F074F" w:rsidRPr="004A5EA4">
        <w:t>for patients can be highly heterogenous and would be determined on a case-by-case basis.</w:t>
      </w:r>
      <w:r w:rsidR="005F074F">
        <w:t xml:space="preserve"> The submission therefore assumed that transitioning to the Stage 2 model at 78 weeks was considered a pragmatic assumption.</w:t>
      </w:r>
      <w:r w:rsidR="00E568EB">
        <w:t xml:space="preserve"> </w:t>
      </w:r>
      <w:r w:rsidR="00E568EB" w:rsidRPr="003B4159">
        <w:t>The OTUS data for recurrence provided by the submission is provided in</w:t>
      </w:r>
      <w:r w:rsidR="005C0ACC" w:rsidRPr="003B4159">
        <w:t xml:space="preserve"> </w:t>
      </w:r>
      <w:r w:rsidR="005C0ACC" w:rsidRPr="003B4159">
        <w:fldChar w:fldCharType="begin" w:fldLock="1"/>
      </w:r>
      <w:r w:rsidR="005C0ACC" w:rsidRPr="003B4159">
        <w:instrText xml:space="preserve"> REF _Ref144445390 \h  \* MERGEFORMAT </w:instrText>
      </w:r>
      <w:r w:rsidR="005C0ACC" w:rsidRPr="003B4159">
        <w:fldChar w:fldCharType="separate"/>
      </w:r>
      <w:r w:rsidR="0098695D" w:rsidRPr="003B4159">
        <w:t>Table 13</w:t>
      </w:r>
      <w:r w:rsidR="005C0ACC" w:rsidRPr="003B4159">
        <w:fldChar w:fldCharType="end"/>
      </w:r>
      <w:r w:rsidR="00E568EB" w:rsidRPr="003B4159">
        <w:t>.</w:t>
      </w:r>
      <w:bookmarkEnd w:id="39"/>
    </w:p>
    <w:p w14:paraId="36011513" w14:textId="30073EB1" w:rsidR="005F074F" w:rsidRDefault="005F074F" w:rsidP="005F074F">
      <w:pPr>
        <w:keepNext/>
      </w:pPr>
      <w:bookmarkStart w:id="40" w:name="_Ref144445390"/>
      <w:r w:rsidRPr="00501DF7">
        <w:rPr>
          <w:rFonts w:ascii="Arial Narrow" w:hAnsi="Arial Narrow"/>
          <w:b/>
          <w:bCs/>
          <w:sz w:val="20"/>
          <w:szCs w:val="20"/>
        </w:rPr>
        <w:t xml:space="preserve">Table </w:t>
      </w:r>
      <w:r w:rsidRPr="00501DF7">
        <w:rPr>
          <w:rFonts w:ascii="Arial Narrow" w:hAnsi="Arial Narrow"/>
          <w:b/>
          <w:bCs/>
          <w:sz w:val="20"/>
          <w:szCs w:val="20"/>
        </w:rPr>
        <w:fldChar w:fldCharType="begin" w:fldLock="1"/>
      </w:r>
      <w:r w:rsidRPr="00501DF7">
        <w:rPr>
          <w:rFonts w:ascii="Arial Narrow" w:hAnsi="Arial Narrow"/>
          <w:b/>
          <w:bCs/>
          <w:sz w:val="20"/>
          <w:szCs w:val="20"/>
        </w:rPr>
        <w:instrText xml:space="preserve"> SEQ Table \* ARABIC </w:instrText>
      </w:r>
      <w:r w:rsidRPr="00501DF7">
        <w:rPr>
          <w:rFonts w:ascii="Arial Narrow" w:hAnsi="Arial Narrow"/>
          <w:b/>
          <w:bCs/>
          <w:sz w:val="20"/>
          <w:szCs w:val="20"/>
        </w:rPr>
        <w:fldChar w:fldCharType="separate"/>
      </w:r>
      <w:r w:rsidR="0098695D">
        <w:rPr>
          <w:rFonts w:ascii="Arial Narrow" w:hAnsi="Arial Narrow"/>
          <w:b/>
          <w:bCs/>
          <w:noProof/>
          <w:sz w:val="20"/>
          <w:szCs w:val="20"/>
        </w:rPr>
        <w:t>13</w:t>
      </w:r>
      <w:r w:rsidRPr="00501DF7">
        <w:rPr>
          <w:rFonts w:ascii="Arial Narrow" w:hAnsi="Arial Narrow"/>
          <w:b/>
          <w:bCs/>
          <w:noProof/>
          <w:sz w:val="20"/>
          <w:szCs w:val="20"/>
        </w:rPr>
        <w:fldChar w:fldCharType="end"/>
      </w:r>
      <w:bookmarkEnd w:id="40"/>
      <w:r w:rsidRPr="00501DF7">
        <w:rPr>
          <w:rFonts w:ascii="Arial Narrow" w:hAnsi="Arial Narrow"/>
          <w:b/>
          <w:bCs/>
          <w:sz w:val="20"/>
          <w:szCs w:val="20"/>
        </w:rPr>
        <w:t>:</w:t>
      </w:r>
      <w:r w:rsidRPr="00501DF7">
        <w:rPr>
          <w:rStyle w:val="CommentReference"/>
          <w:b w:val="0"/>
          <w:bCs/>
          <w:szCs w:val="20"/>
        </w:rPr>
        <w:t xml:space="preserve"> </w:t>
      </w:r>
      <w:r>
        <w:rPr>
          <w:rStyle w:val="CommentReference"/>
          <w:szCs w:val="24"/>
        </w:rPr>
        <w:t>Data from OTUS used to determine Stage 1 duration</w:t>
      </w:r>
    </w:p>
    <w:tbl>
      <w:tblPr>
        <w:tblStyle w:val="TableGrid"/>
        <w:tblW w:w="5006" w:type="pct"/>
        <w:tblCellMar>
          <w:left w:w="28" w:type="dxa"/>
          <w:right w:w="28" w:type="dxa"/>
        </w:tblCellMar>
        <w:tblLook w:val="04A0" w:firstRow="1" w:lastRow="0" w:firstColumn="1" w:lastColumn="0" w:noHBand="0" w:noVBand="1"/>
        <w:tblCaption w:val="Table 13: Data from OTUS used to determine Stage 1 duration"/>
        <w:tblDescription w:val="Table 13: Data from OTUS used to determine Stage 1 duration"/>
      </w:tblPr>
      <w:tblGrid>
        <w:gridCol w:w="1168"/>
        <w:gridCol w:w="1804"/>
        <w:gridCol w:w="1405"/>
        <w:gridCol w:w="1369"/>
        <w:gridCol w:w="1580"/>
        <w:gridCol w:w="1702"/>
      </w:tblGrid>
      <w:tr w:rsidR="0057515C" w:rsidRPr="00FF4DFE" w14:paraId="3A9CB979" w14:textId="77777777" w:rsidTr="005F074F">
        <w:trPr>
          <w:tblHeader/>
        </w:trPr>
        <w:tc>
          <w:tcPr>
            <w:tcW w:w="1168" w:type="dxa"/>
            <w:vMerge w:val="restart"/>
            <w:vAlign w:val="center"/>
          </w:tcPr>
          <w:p w14:paraId="2C1FE45B" w14:textId="77777777" w:rsidR="005F074F" w:rsidRDefault="005F074F" w:rsidP="005F074F">
            <w:pPr>
              <w:keepNext/>
              <w:jc w:val="left"/>
              <w:rPr>
                <w:rFonts w:ascii="Arial Narrow" w:hAnsi="Arial Narrow"/>
                <w:b/>
                <w:bCs/>
                <w:sz w:val="20"/>
                <w:szCs w:val="20"/>
              </w:rPr>
            </w:pPr>
            <w:r>
              <w:rPr>
                <w:rFonts w:ascii="Arial Narrow" w:hAnsi="Arial Narrow"/>
                <w:b/>
                <w:bCs/>
                <w:sz w:val="20"/>
                <w:szCs w:val="20"/>
              </w:rPr>
              <w:t>CMV episode</w:t>
            </w:r>
          </w:p>
        </w:tc>
        <w:tc>
          <w:tcPr>
            <w:tcW w:w="1804" w:type="dxa"/>
            <w:vMerge w:val="restart"/>
            <w:vAlign w:val="center"/>
          </w:tcPr>
          <w:p w14:paraId="5E883FD0" w14:textId="77777777" w:rsidR="005F074F" w:rsidRPr="00294243" w:rsidRDefault="005F074F" w:rsidP="005F074F">
            <w:pPr>
              <w:keepNext/>
              <w:jc w:val="center"/>
              <w:rPr>
                <w:rFonts w:ascii="Arial Narrow" w:hAnsi="Arial Narrow"/>
                <w:b/>
                <w:bCs/>
                <w:sz w:val="20"/>
                <w:szCs w:val="20"/>
              </w:rPr>
            </w:pPr>
            <w:r w:rsidRPr="00294243">
              <w:rPr>
                <w:rFonts w:ascii="Arial Narrow" w:hAnsi="Arial Narrow"/>
                <w:b/>
                <w:bCs/>
                <w:sz w:val="20"/>
                <w:szCs w:val="20"/>
              </w:rPr>
              <w:t xml:space="preserve">Recurrence </w:t>
            </w:r>
          </w:p>
          <w:p w14:paraId="2C04F6B7" w14:textId="77777777" w:rsidR="005F074F" w:rsidRPr="00294243" w:rsidRDefault="005F074F" w:rsidP="005F074F">
            <w:pPr>
              <w:keepNext/>
              <w:jc w:val="center"/>
              <w:rPr>
                <w:rFonts w:ascii="Arial Narrow" w:hAnsi="Arial Narrow"/>
                <w:b/>
                <w:bCs/>
                <w:sz w:val="20"/>
                <w:szCs w:val="20"/>
              </w:rPr>
            </w:pPr>
            <w:r w:rsidRPr="00294243">
              <w:rPr>
                <w:rFonts w:ascii="Arial Narrow" w:hAnsi="Arial Narrow"/>
                <w:b/>
                <w:bCs/>
                <w:sz w:val="20"/>
                <w:szCs w:val="20"/>
              </w:rPr>
              <w:t>(patient numbers)</w:t>
            </w:r>
          </w:p>
        </w:tc>
        <w:tc>
          <w:tcPr>
            <w:tcW w:w="1405" w:type="dxa"/>
            <w:vMerge w:val="restart"/>
            <w:vAlign w:val="center"/>
          </w:tcPr>
          <w:p w14:paraId="55799063" w14:textId="77777777" w:rsidR="005F074F" w:rsidRDefault="005F074F" w:rsidP="005F074F">
            <w:pPr>
              <w:keepNext/>
              <w:jc w:val="center"/>
              <w:rPr>
                <w:rFonts w:ascii="Arial Narrow" w:hAnsi="Arial Narrow"/>
                <w:b/>
                <w:bCs/>
                <w:sz w:val="20"/>
                <w:szCs w:val="20"/>
              </w:rPr>
            </w:pPr>
            <w:r>
              <w:rPr>
                <w:rFonts w:ascii="Arial Narrow" w:hAnsi="Arial Narrow"/>
                <w:b/>
                <w:bCs/>
                <w:sz w:val="20"/>
                <w:szCs w:val="20"/>
              </w:rPr>
              <w:t>Days to start of new episode</w:t>
            </w:r>
          </w:p>
        </w:tc>
        <w:tc>
          <w:tcPr>
            <w:tcW w:w="1369" w:type="dxa"/>
            <w:vMerge w:val="restart"/>
            <w:vAlign w:val="center"/>
          </w:tcPr>
          <w:p w14:paraId="33A511DD" w14:textId="77777777" w:rsidR="005F074F" w:rsidRDefault="005F074F" w:rsidP="005F074F">
            <w:pPr>
              <w:keepNext/>
              <w:jc w:val="center"/>
              <w:rPr>
                <w:rFonts w:ascii="Arial Narrow" w:hAnsi="Arial Narrow"/>
                <w:b/>
                <w:bCs/>
                <w:sz w:val="20"/>
                <w:szCs w:val="20"/>
              </w:rPr>
            </w:pPr>
            <w:r>
              <w:rPr>
                <w:rFonts w:ascii="Arial Narrow" w:hAnsi="Arial Narrow"/>
                <w:b/>
                <w:bCs/>
                <w:sz w:val="20"/>
                <w:szCs w:val="20"/>
              </w:rPr>
              <w:t>Treatment duration (days)</w:t>
            </w:r>
          </w:p>
        </w:tc>
        <w:tc>
          <w:tcPr>
            <w:tcW w:w="3282" w:type="dxa"/>
            <w:gridSpan w:val="2"/>
            <w:vAlign w:val="center"/>
          </w:tcPr>
          <w:p w14:paraId="5EAB1457" w14:textId="77777777" w:rsidR="005F074F" w:rsidRDefault="005F074F" w:rsidP="005F074F">
            <w:pPr>
              <w:keepNext/>
              <w:jc w:val="center"/>
              <w:rPr>
                <w:rFonts w:ascii="Arial Narrow" w:hAnsi="Arial Narrow"/>
                <w:b/>
                <w:bCs/>
                <w:sz w:val="20"/>
                <w:szCs w:val="20"/>
              </w:rPr>
            </w:pPr>
            <w:r>
              <w:rPr>
                <w:rFonts w:ascii="Arial Narrow" w:hAnsi="Arial Narrow"/>
                <w:b/>
                <w:bCs/>
                <w:sz w:val="20"/>
                <w:szCs w:val="20"/>
              </w:rPr>
              <w:t>Cumulative duration since index episode</w:t>
            </w:r>
          </w:p>
        </w:tc>
      </w:tr>
      <w:tr w:rsidR="0057515C" w:rsidRPr="00FF4DFE" w14:paraId="1927A790" w14:textId="77777777" w:rsidTr="005F074F">
        <w:trPr>
          <w:tblHeader/>
        </w:trPr>
        <w:tc>
          <w:tcPr>
            <w:tcW w:w="1168" w:type="dxa"/>
            <w:vMerge/>
            <w:vAlign w:val="center"/>
          </w:tcPr>
          <w:p w14:paraId="59E0AB7D" w14:textId="77777777" w:rsidR="005F074F" w:rsidRPr="00FF4DFE" w:rsidRDefault="005F074F" w:rsidP="005F074F">
            <w:pPr>
              <w:keepNext/>
              <w:jc w:val="left"/>
              <w:rPr>
                <w:rFonts w:ascii="Arial Narrow" w:hAnsi="Arial Narrow"/>
                <w:b/>
                <w:bCs/>
                <w:sz w:val="20"/>
                <w:szCs w:val="20"/>
              </w:rPr>
            </w:pPr>
          </w:p>
        </w:tc>
        <w:tc>
          <w:tcPr>
            <w:tcW w:w="1804" w:type="dxa"/>
            <w:vMerge/>
            <w:vAlign w:val="center"/>
          </w:tcPr>
          <w:p w14:paraId="1B1FC7CF" w14:textId="77777777" w:rsidR="005F074F" w:rsidRPr="00294243" w:rsidRDefault="005F074F" w:rsidP="005F074F">
            <w:pPr>
              <w:keepNext/>
              <w:jc w:val="center"/>
              <w:rPr>
                <w:rFonts w:ascii="Arial Narrow" w:hAnsi="Arial Narrow"/>
                <w:b/>
                <w:bCs/>
                <w:sz w:val="20"/>
                <w:szCs w:val="20"/>
              </w:rPr>
            </w:pPr>
          </w:p>
        </w:tc>
        <w:tc>
          <w:tcPr>
            <w:tcW w:w="1405" w:type="dxa"/>
            <w:vMerge/>
            <w:vAlign w:val="center"/>
          </w:tcPr>
          <w:p w14:paraId="2D410B2B" w14:textId="77777777" w:rsidR="005F074F" w:rsidRPr="00FF4DFE" w:rsidRDefault="005F074F" w:rsidP="005F074F">
            <w:pPr>
              <w:keepNext/>
              <w:jc w:val="center"/>
              <w:rPr>
                <w:rFonts w:ascii="Arial Narrow" w:hAnsi="Arial Narrow"/>
                <w:b/>
                <w:bCs/>
                <w:sz w:val="20"/>
                <w:szCs w:val="20"/>
              </w:rPr>
            </w:pPr>
          </w:p>
        </w:tc>
        <w:tc>
          <w:tcPr>
            <w:tcW w:w="1369" w:type="dxa"/>
            <w:vMerge/>
            <w:vAlign w:val="center"/>
          </w:tcPr>
          <w:p w14:paraId="33564897" w14:textId="77777777" w:rsidR="005F074F" w:rsidRPr="00FF4DFE" w:rsidRDefault="005F074F" w:rsidP="005F074F">
            <w:pPr>
              <w:keepNext/>
              <w:jc w:val="center"/>
              <w:rPr>
                <w:rFonts w:ascii="Arial Narrow" w:hAnsi="Arial Narrow"/>
                <w:b/>
                <w:bCs/>
                <w:sz w:val="20"/>
                <w:szCs w:val="20"/>
              </w:rPr>
            </w:pPr>
          </w:p>
        </w:tc>
        <w:tc>
          <w:tcPr>
            <w:tcW w:w="1580" w:type="dxa"/>
            <w:vAlign w:val="center"/>
          </w:tcPr>
          <w:p w14:paraId="102B85C7" w14:textId="77777777" w:rsidR="005F074F" w:rsidRPr="00FF4DFE" w:rsidRDefault="005F074F" w:rsidP="005F074F">
            <w:pPr>
              <w:keepNext/>
              <w:jc w:val="center"/>
              <w:rPr>
                <w:rFonts w:ascii="Arial Narrow" w:hAnsi="Arial Narrow"/>
                <w:b/>
                <w:bCs/>
                <w:sz w:val="20"/>
                <w:szCs w:val="20"/>
              </w:rPr>
            </w:pPr>
            <w:r>
              <w:rPr>
                <w:rFonts w:ascii="Arial Narrow" w:hAnsi="Arial Narrow"/>
                <w:b/>
                <w:bCs/>
                <w:sz w:val="20"/>
                <w:szCs w:val="20"/>
              </w:rPr>
              <w:t>Days</w:t>
            </w:r>
          </w:p>
        </w:tc>
        <w:tc>
          <w:tcPr>
            <w:tcW w:w="1702" w:type="dxa"/>
            <w:vAlign w:val="center"/>
          </w:tcPr>
          <w:p w14:paraId="70B7CA41" w14:textId="77777777" w:rsidR="005F074F" w:rsidRPr="00FF4DFE" w:rsidRDefault="005F074F" w:rsidP="005F074F">
            <w:pPr>
              <w:keepNext/>
              <w:jc w:val="center"/>
              <w:rPr>
                <w:rFonts w:ascii="Arial Narrow" w:hAnsi="Arial Narrow"/>
                <w:b/>
                <w:bCs/>
                <w:sz w:val="20"/>
                <w:szCs w:val="20"/>
              </w:rPr>
            </w:pPr>
            <w:r>
              <w:rPr>
                <w:rFonts w:ascii="Arial Narrow" w:hAnsi="Arial Narrow"/>
                <w:b/>
                <w:bCs/>
                <w:sz w:val="20"/>
                <w:szCs w:val="20"/>
              </w:rPr>
              <w:t>Weeks</w:t>
            </w:r>
          </w:p>
        </w:tc>
      </w:tr>
      <w:tr w:rsidR="0057515C" w14:paraId="3044D6A3" w14:textId="77777777" w:rsidTr="00213DF3">
        <w:tc>
          <w:tcPr>
            <w:tcW w:w="9028" w:type="dxa"/>
            <w:gridSpan w:val="6"/>
            <w:vAlign w:val="center"/>
          </w:tcPr>
          <w:p w14:paraId="35C78AE2" w14:textId="77777777" w:rsidR="005F074F" w:rsidRPr="00294243" w:rsidRDefault="005F074F" w:rsidP="005F074F">
            <w:pPr>
              <w:keepNext/>
              <w:jc w:val="left"/>
              <w:rPr>
                <w:rFonts w:ascii="Arial Narrow" w:hAnsi="Arial Narrow"/>
                <w:b/>
                <w:bCs/>
                <w:sz w:val="20"/>
                <w:szCs w:val="20"/>
              </w:rPr>
            </w:pPr>
            <w:r w:rsidRPr="00294243">
              <w:rPr>
                <w:rFonts w:ascii="Arial Narrow" w:hAnsi="Arial Narrow"/>
                <w:b/>
                <w:bCs/>
                <w:sz w:val="20"/>
                <w:szCs w:val="20"/>
              </w:rPr>
              <w:t>SOT</w:t>
            </w:r>
          </w:p>
        </w:tc>
      </w:tr>
      <w:tr w:rsidR="0057515C" w14:paraId="4DF43319" w14:textId="77777777" w:rsidTr="00213DF3">
        <w:tc>
          <w:tcPr>
            <w:tcW w:w="1168" w:type="dxa"/>
            <w:vAlign w:val="center"/>
          </w:tcPr>
          <w:p w14:paraId="6C4DD3CC"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1 (CMV index episode)</w:t>
            </w:r>
          </w:p>
        </w:tc>
        <w:tc>
          <w:tcPr>
            <w:tcW w:w="1804" w:type="dxa"/>
            <w:vAlign w:val="center"/>
          </w:tcPr>
          <w:p w14:paraId="00C32037"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w:t>
            </w:r>
          </w:p>
        </w:tc>
        <w:tc>
          <w:tcPr>
            <w:tcW w:w="1405" w:type="dxa"/>
            <w:vAlign w:val="center"/>
          </w:tcPr>
          <w:p w14:paraId="58B78F0F"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0</w:t>
            </w:r>
          </w:p>
        </w:tc>
        <w:tc>
          <w:tcPr>
            <w:tcW w:w="1369" w:type="dxa"/>
            <w:vMerge w:val="restart"/>
            <w:vAlign w:val="center"/>
          </w:tcPr>
          <w:p w14:paraId="14F80B51"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35.98</w:t>
            </w:r>
          </w:p>
        </w:tc>
        <w:tc>
          <w:tcPr>
            <w:tcW w:w="1580" w:type="dxa"/>
            <w:vAlign w:val="center"/>
          </w:tcPr>
          <w:p w14:paraId="0AD6F1B4"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35.98</w:t>
            </w:r>
          </w:p>
        </w:tc>
        <w:tc>
          <w:tcPr>
            <w:tcW w:w="1702" w:type="dxa"/>
            <w:vAlign w:val="center"/>
          </w:tcPr>
          <w:p w14:paraId="7303409B"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5.14</w:t>
            </w:r>
          </w:p>
        </w:tc>
      </w:tr>
      <w:tr w:rsidR="0057515C" w14:paraId="596D93E9" w14:textId="77777777" w:rsidTr="00213DF3">
        <w:tc>
          <w:tcPr>
            <w:tcW w:w="1168" w:type="dxa"/>
            <w:vAlign w:val="center"/>
          </w:tcPr>
          <w:p w14:paraId="4C791C56"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2</w:t>
            </w:r>
          </w:p>
        </w:tc>
        <w:tc>
          <w:tcPr>
            <w:tcW w:w="1804" w:type="dxa"/>
            <w:vAlign w:val="center"/>
          </w:tcPr>
          <w:p w14:paraId="5D40FF2F"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1 (N=47)</w:t>
            </w:r>
          </w:p>
        </w:tc>
        <w:tc>
          <w:tcPr>
            <w:tcW w:w="1405" w:type="dxa"/>
            <w:vAlign w:val="center"/>
          </w:tcPr>
          <w:p w14:paraId="218A9627"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117.51</w:t>
            </w:r>
          </w:p>
        </w:tc>
        <w:tc>
          <w:tcPr>
            <w:tcW w:w="1369" w:type="dxa"/>
            <w:vMerge/>
            <w:vAlign w:val="center"/>
          </w:tcPr>
          <w:p w14:paraId="5CAF151B" w14:textId="77777777" w:rsidR="005F074F" w:rsidRPr="00AC1B81" w:rsidRDefault="005F074F" w:rsidP="005F074F">
            <w:pPr>
              <w:keepNext/>
              <w:jc w:val="center"/>
              <w:rPr>
                <w:rFonts w:ascii="Arial Narrow" w:hAnsi="Arial Narrow"/>
                <w:sz w:val="20"/>
                <w:szCs w:val="20"/>
              </w:rPr>
            </w:pPr>
          </w:p>
        </w:tc>
        <w:tc>
          <w:tcPr>
            <w:tcW w:w="1580" w:type="dxa"/>
            <w:vAlign w:val="center"/>
          </w:tcPr>
          <w:p w14:paraId="43C99CD4"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189.47</w:t>
            </w:r>
          </w:p>
        </w:tc>
        <w:tc>
          <w:tcPr>
            <w:tcW w:w="1702" w:type="dxa"/>
            <w:vAlign w:val="center"/>
          </w:tcPr>
          <w:p w14:paraId="289239B3"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27.07</w:t>
            </w:r>
          </w:p>
        </w:tc>
      </w:tr>
      <w:tr w:rsidR="0057515C" w14:paraId="73D8AD5A" w14:textId="77777777" w:rsidTr="00213DF3">
        <w:tc>
          <w:tcPr>
            <w:tcW w:w="1168" w:type="dxa"/>
            <w:vAlign w:val="center"/>
          </w:tcPr>
          <w:p w14:paraId="2D5D48DD"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3</w:t>
            </w:r>
          </w:p>
        </w:tc>
        <w:tc>
          <w:tcPr>
            <w:tcW w:w="1804" w:type="dxa"/>
            <w:vAlign w:val="center"/>
          </w:tcPr>
          <w:p w14:paraId="6EC10B71"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2 (N=10)</w:t>
            </w:r>
          </w:p>
        </w:tc>
        <w:tc>
          <w:tcPr>
            <w:tcW w:w="1405" w:type="dxa"/>
            <w:vAlign w:val="center"/>
          </w:tcPr>
          <w:p w14:paraId="7EE0E0FD"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99.70</w:t>
            </w:r>
          </w:p>
        </w:tc>
        <w:tc>
          <w:tcPr>
            <w:tcW w:w="1369" w:type="dxa"/>
            <w:vMerge/>
            <w:vAlign w:val="center"/>
          </w:tcPr>
          <w:p w14:paraId="14243C2E" w14:textId="77777777" w:rsidR="005F074F" w:rsidRPr="00AC1B81" w:rsidRDefault="005F074F" w:rsidP="005F074F">
            <w:pPr>
              <w:keepNext/>
              <w:jc w:val="center"/>
              <w:rPr>
                <w:rFonts w:ascii="Arial Narrow" w:hAnsi="Arial Narrow"/>
                <w:sz w:val="20"/>
                <w:szCs w:val="20"/>
              </w:rPr>
            </w:pPr>
          </w:p>
        </w:tc>
        <w:tc>
          <w:tcPr>
            <w:tcW w:w="1580" w:type="dxa"/>
            <w:vAlign w:val="center"/>
          </w:tcPr>
          <w:p w14:paraId="4D256456"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325.15</w:t>
            </w:r>
          </w:p>
        </w:tc>
        <w:tc>
          <w:tcPr>
            <w:tcW w:w="1702" w:type="dxa"/>
            <w:vAlign w:val="center"/>
          </w:tcPr>
          <w:p w14:paraId="2E8716DA"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46.45</w:t>
            </w:r>
          </w:p>
        </w:tc>
      </w:tr>
      <w:tr w:rsidR="0057515C" w14:paraId="144CEB17" w14:textId="77777777" w:rsidTr="00213DF3">
        <w:tc>
          <w:tcPr>
            <w:tcW w:w="1168" w:type="dxa"/>
            <w:vAlign w:val="center"/>
          </w:tcPr>
          <w:p w14:paraId="685650F1"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4</w:t>
            </w:r>
          </w:p>
        </w:tc>
        <w:tc>
          <w:tcPr>
            <w:tcW w:w="1804" w:type="dxa"/>
            <w:vAlign w:val="center"/>
          </w:tcPr>
          <w:p w14:paraId="526C189F"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3 (N=4)</w:t>
            </w:r>
          </w:p>
        </w:tc>
        <w:tc>
          <w:tcPr>
            <w:tcW w:w="1405" w:type="dxa"/>
            <w:vAlign w:val="center"/>
          </w:tcPr>
          <w:p w14:paraId="17F97B42"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653.50</w:t>
            </w:r>
          </w:p>
        </w:tc>
        <w:tc>
          <w:tcPr>
            <w:tcW w:w="1369" w:type="dxa"/>
            <w:vMerge/>
            <w:vAlign w:val="center"/>
          </w:tcPr>
          <w:p w14:paraId="58FA513E" w14:textId="77777777" w:rsidR="005F074F" w:rsidRPr="00AC1B81" w:rsidRDefault="005F074F" w:rsidP="005F074F">
            <w:pPr>
              <w:keepNext/>
              <w:jc w:val="center"/>
              <w:rPr>
                <w:rFonts w:ascii="Arial Narrow" w:hAnsi="Arial Narrow"/>
                <w:sz w:val="20"/>
                <w:szCs w:val="20"/>
              </w:rPr>
            </w:pPr>
          </w:p>
        </w:tc>
        <w:tc>
          <w:tcPr>
            <w:tcW w:w="1580" w:type="dxa"/>
            <w:vAlign w:val="center"/>
          </w:tcPr>
          <w:p w14:paraId="160B8F31"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1014.63</w:t>
            </w:r>
          </w:p>
        </w:tc>
        <w:tc>
          <w:tcPr>
            <w:tcW w:w="1702" w:type="dxa"/>
            <w:vAlign w:val="center"/>
          </w:tcPr>
          <w:p w14:paraId="54811235"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144.95</w:t>
            </w:r>
          </w:p>
        </w:tc>
      </w:tr>
      <w:tr w:rsidR="0057515C" w14:paraId="096836BD" w14:textId="77777777" w:rsidTr="00213DF3">
        <w:tc>
          <w:tcPr>
            <w:tcW w:w="1168" w:type="dxa"/>
            <w:vAlign w:val="center"/>
          </w:tcPr>
          <w:p w14:paraId="19F9A48A"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5</w:t>
            </w:r>
          </w:p>
        </w:tc>
        <w:tc>
          <w:tcPr>
            <w:tcW w:w="1804" w:type="dxa"/>
            <w:vAlign w:val="center"/>
          </w:tcPr>
          <w:p w14:paraId="192A0100"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4 (N=1)</w:t>
            </w:r>
          </w:p>
        </w:tc>
        <w:tc>
          <w:tcPr>
            <w:tcW w:w="1405" w:type="dxa"/>
            <w:vAlign w:val="center"/>
          </w:tcPr>
          <w:p w14:paraId="7B751FAF"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37</w:t>
            </w:r>
          </w:p>
        </w:tc>
        <w:tc>
          <w:tcPr>
            <w:tcW w:w="1369" w:type="dxa"/>
            <w:vMerge/>
            <w:vAlign w:val="center"/>
          </w:tcPr>
          <w:p w14:paraId="574D6FBD" w14:textId="77777777" w:rsidR="005F074F" w:rsidRPr="00AC1B81" w:rsidRDefault="005F074F" w:rsidP="005F074F">
            <w:pPr>
              <w:keepNext/>
              <w:jc w:val="center"/>
              <w:rPr>
                <w:rFonts w:ascii="Arial Narrow" w:hAnsi="Arial Narrow"/>
                <w:sz w:val="20"/>
                <w:szCs w:val="20"/>
              </w:rPr>
            </w:pPr>
          </w:p>
        </w:tc>
        <w:tc>
          <w:tcPr>
            <w:tcW w:w="1580" w:type="dxa"/>
            <w:vAlign w:val="center"/>
          </w:tcPr>
          <w:p w14:paraId="50C4868B"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1087.61</w:t>
            </w:r>
          </w:p>
        </w:tc>
        <w:tc>
          <w:tcPr>
            <w:tcW w:w="1702" w:type="dxa"/>
            <w:vAlign w:val="center"/>
          </w:tcPr>
          <w:p w14:paraId="1E6A5705"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155.37</w:t>
            </w:r>
          </w:p>
        </w:tc>
      </w:tr>
      <w:tr w:rsidR="0057515C" w14:paraId="2BCD0D0E" w14:textId="77777777" w:rsidTr="00213DF3">
        <w:tc>
          <w:tcPr>
            <w:tcW w:w="9028" w:type="dxa"/>
            <w:gridSpan w:val="6"/>
            <w:vAlign w:val="center"/>
          </w:tcPr>
          <w:p w14:paraId="3A252C29" w14:textId="77777777" w:rsidR="005F074F" w:rsidRPr="00294243" w:rsidRDefault="005F074F" w:rsidP="005F074F">
            <w:pPr>
              <w:keepNext/>
              <w:jc w:val="left"/>
              <w:rPr>
                <w:rFonts w:ascii="Arial Narrow" w:hAnsi="Arial Narrow"/>
                <w:b/>
                <w:bCs/>
                <w:sz w:val="20"/>
                <w:szCs w:val="20"/>
              </w:rPr>
            </w:pPr>
            <w:r w:rsidRPr="00294243">
              <w:rPr>
                <w:rFonts w:ascii="Arial Narrow" w:hAnsi="Arial Narrow"/>
                <w:b/>
                <w:bCs/>
                <w:sz w:val="20"/>
                <w:szCs w:val="20"/>
              </w:rPr>
              <w:t>HSCT</w:t>
            </w:r>
          </w:p>
        </w:tc>
      </w:tr>
      <w:tr w:rsidR="0057515C" w14:paraId="63E72222" w14:textId="77777777" w:rsidTr="00213DF3">
        <w:tc>
          <w:tcPr>
            <w:tcW w:w="1168" w:type="dxa"/>
            <w:vAlign w:val="center"/>
          </w:tcPr>
          <w:p w14:paraId="2F748FB6"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1 (CMV index episode)</w:t>
            </w:r>
          </w:p>
        </w:tc>
        <w:tc>
          <w:tcPr>
            <w:tcW w:w="1804" w:type="dxa"/>
            <w:vAlign w:val="center"/>
          </w:tcPr>
          <w:p w14:paraId="25BA0A44"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w:t>
            </w:r>
          </w:p>
        </w:tc>
        <w:tc>
          <w:tcPr>
            <w:tcW w:w="1405" w:type="dxa"/>
            <w:vAlign w:val="center"/>
          </w:tcPr>
          <w:p w14:paraId="6D28A1AD"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0</w:t>
            </w:r>
          </w:p>
        </w:tc>
        <w:tc>
          <w:tcPr>
            <w:tcW w:w="1369" w:type="dxa"/>
            <w:vMerge w:val="restart"/>
            <w:vAlign w:val="center"/>
          </w:tcPr>
          <w:p w14:paraId="4ACF54EB"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35.98</w:t>
            </w:r>
          </w:p>
        </w:tc>
        <w:tc>
          <w:tcPr>
            <w:tcW w:w="1580" w:type="dxa"/>
            <w:vAlign w:val="center"/>
          </w:tcPr>
          <w:p w14:paraId="0EF9AAF1"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35.98</w:t>
            </w:r>
          </w:p>
        </w:tc>
        <w:tc>
          <w:tcPr>
            <w:tcW w:w="1702" w:type="dxa"/>
            <w:vAlign w:val="center"/>
          </w:tcPr>
          <w:p w14:paraId="1B1FA4C9"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5.14</w:t>
            </w:r>
          </w:p>
        </w:tc>
      </w:tr>
      <w:tr w:rsidR="0057515C" w14:paraId="6E6B4833" w14:textId="77777777" w:rsidTr="00213DF3">
        <w:tc>
          <w:tcPr>
            <w:tcW w:w="1168" w:type="dxa"/>
            <w:vAlign w:val="center"/>
          </w:tcPr>
          <w:p w14:paraId="5D943075"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2</w:t>
            </w:r>
          </w:p>
        </w:tc>
        <w:tc>
          <w:tcPr>
            <w:tcW w:w="1804" w:type="dxa"/>
            <w:vAlign w:val="center"/>
          </w:tcPr>
          <w:p w14:paraId="1913D2CC"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1 (N=88)</w:t>
            </w:r>
          </w:p>
        </w:tc>
        <w:tc>
          <w:tcPr>
            <w:tcW w:w="1405" w:type="dxa"/>
            <w:vAlign w:val="center"/>
          </w:tcPr>
          <w:p w14:paraId="288A8ADE"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47.41</w:t>
            </w:r>
          </w:p>
        </w:tc>
        <w:tc>
          <w:tcPr>
            <w:tcW w:w="1369" w:type="dxa"/>
            <w:vMerge/>
            <w:vAlign w:val="center"/>
          </w:tcPr>
          <w:p w14:paraId="65FE274F" w14:textId="77777777" w:rsidR="005F074F" w:rsidRPr="00AC1B81" w:rsidRDefault="005F074F" w:rsidP="005F074F">
            <w:pPr>
              <w:keepNext/>
              <w:jc w:val="center"/>
              <w:rPr>
                <w:rFonts w:ascii="Arial Narrow" w:hAnsi="Arial Narrow"/>
                <w:sz w:val="20"/>
                <w:szCs w:val="20"/>
              </w:rPr>
            </w:pPr>
          </w:p>
        </w:tc>
        <w:tc>
          <w:tcPr>
            <w:tcW w:w="1580" w:type="dxa"/>
            <w:vAlign w:val="center"/>
          </w:tcPr>
          <w:p w14:paraId="6236F889"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119.37</w:t>
            </w:r>
          </w:p>
        </w:tc>
        <w:tc>
          <w:tcPr>
            <w:tcW w:w="1702" w:type="dxa"/>
            <w:vAlign w:val="center"/>
          </w:tcPr>
          <w:p w14:paraId="71E97CC1"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17.05</w:t>
            </w:r>
          </w:p>
        </w:tc>
      </w:tr>
      <w:tr w:rsidR="0057515C" w14:paraId="49EDC43A" w14:textId="77777777" w:rsidTr="00213DF3">
        <w:tc>
          <w:tcPr>
            <w:tcW w:w="1168" w:type="dxa"/>
            <w:vAlign w:val="center"/>
          </w:tcPr>
          <w:p w14:paraId="03DE93C5"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3</w:t>
            </w:r>
          </w:p>
        </w:tc>
        <w:tc>
          <w:tcPr>
            <w:tcW w:w="1804" w:type="dxa"/>
            <w:vAlign w:val="center"/>
          </w:tcPr>
          <w:p w14:paraId="0CD7A42B"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2 (N=34)</w:t>
            </w:r>
          </w:p>
        </w:tc>
        <w:tc>
          <w:tcPr>
            <w:tcW w:w="1405" w:type="dxa"/>
            <w:vAlign w:val="center"/>
          </w:tcPr>
          <w:p w14:paraId="47C1B08E"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45.06</w:t>
            </w:r>
          </w:p>
        </w:tc>
        <w:tc>
          <w:tcPr>
            <w:tcW w:w="1369" w:type="dxa"/>
            <w:vMerge/>
            <w:vAlign w:val="center"/>
          </w:tcPr>
          <w:p w14:paraId="6C9F147F" w14:textId="77777777" w:rsidR="005F074F" w:rsidRPr="00AC1B81" w:rsidRDefault="005F074F" w:rsidP="005F074F">
            <w:pPr>
              <w:keepNext/>
              <w:jc w:val="center"/>
              <w:rPr>
                <w:rFonts w:ascii="Arial Narrow" w:hAnsi="Arial Narrow"/>
                <w:sz w:val="20"/>
                <w:szCs w:val="20"/>
              </w:rPr>
            </w:pPr>
          </w:p>
        </w:tc>
        <w:tc>
          <w:tcPr>
            <w:tcW w:w="1580" w:type="dxa"/>
            <w:vAlign w:val="center"/>
          </w:tcPr>
          <w:p w14:paraId="2DE22EF8"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200.41</w:t>
            </w:r>
          </w:p>
        </w:tc>
        <w:tc>
          <w:tcPr>
            <w:tcW w:w="1702" w:type="dxa"/>
            <w:vAlign w:val="center"/>
          </w:tcPr>
          <w:p w14:paraId="5930AA0C"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28.63</w:t>
            </w:r>
          </w:p>
        </w:tc>
      </w:tr>
      <w:tr w:rsidR="0057515C" w14:paraId="430D3BFA" w14:textId="77777777" w:rsidTr="00213DF3">
        <w:tc>
          <w:tcPr>
            <w:tcW w:w="1168" w:type="dxa"/>
            <w:vAlign w:val="center"/>
          </w:tcPr>
          <w:p w14:paraId="685D4BB4"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4</w:t>
            </w:r>
          </w:p>
        </w:tc>
        <w:tc>
          <w:tcPr>
            <w:tcW w:w="1804" w:type="dxa"/>
            <w:vAlign w:val="center"/>
          </w:tcPr>
          <w:p w14:paraId="5E2E2A48"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3 (N=15)</w:t>
            </w:r>
          </w:p>
        </w:tc>
        <w:tc>
          <w:tcPr>
            <w:tcW w:w="1405" w:type="dxa"/>
            <w:vAlign w:val="center"/>
          </w:tcPr>
          <w:p w14:paraId="2C18E998"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21.73</w:t>
            </w:r>
          </w:p>
        </w:tc>
        <w:tc>
          <w:tcPr>
            <w:tcW w:w="1369" w:type="dxa"/>
            <w:vMerge/>
            <w:vAlign w:val="center"/>
          </w:tcPr>
          <w:p w14:paraId="52C6331A" w14:textId="77777777" w:rsidR="005F074F" w:rsidRPr="00AC1B81" w:rsidRDefault="005F074F" w:rsidP="005F074F">
            <w:pPr>
              <w:keepNext/>
              <w:jc w:val="center"/>
              <w:rPr>
                <w:rFonts w:ascii="Arial Narrow" w:hAnsi="Arial Narrow"/>
                <w:sz w:val="20"/>
                <w:szCs w:val="20"/>
              </w:rPr>
            </w:pPr>
          </w:p>
        </w:tc>
        <w:tc>
          <w:tcPr>
            <w:tcW w:w="1580" w:type="dxa"/>
            <w:vAlign w:val="center"/>
          </w:tcPr>
          <w:p w14:paraId="18A33FD8"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258.12</w:t>
            </w:r>
          </w:p>
        </w:tc>
        <w:tc>
          <w:tcPr>
            <w:tcW w:w="1702" w:type="dxa"/>
            <w:vAlign w:val="center"/>
          </w:tcPr>
          <w:p w14:paraId="49D4FB50"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36.87</w:t>
            </w:r>
          </w:p>
        </w:tc>
      </w:tr>
      <w:tr w:rsidR="0057515C" w14:paraId="2AF92FCF" w14:textId="77777777" w:rsidTr="006F6F1E">
        <w:tc>
          <w:tcPr>
            <w:tcW w:w="1168" w:type="dxa"/>
            <w:vAlign w:val="center"/>
          </w:tcPr>
          <w:p w14:paraId="1ECEB197"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5</w:t>
            </w:r>
          </w:p>
        </w:tc>
        <w:tc>
          <w:tcPr>
            <w:tcW w:w="1804" w:type="dxa"/>
            <w:vAlign w:val="center"/>
          </w:tcPr>
          <w:p w14:paraId="7A7FB58F"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4 (N=10)</w:t>
            </w:r>
          </w:p>
        </w:tc>
        <w:tc>
          <w:tcPr>
            <w:tcW w:w="1405" w:type="dxa"/>
            <w:vAlign w:val="center"/>
          </w:tcPr>
          <w:p w14:paraId="106528A3"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32.40</w:t>
            </w:r>
          </w:p>
        </w:tc>
        <w:tc>
          <w:tcPr>
            <w:tcW w:w="1369" w:type="dxa"/>
            <w:vMerge/>
            <w:vAlign w:val="center"/>
          </w:tcPr>
          <w:p w14:paraId="13D4A818" w14:textId="77777777" w:rsidR="005F074F" w:rsidRPr="00AC1B81" w:rsidRDefault="005F074F" w:rsidP="005F074F">
            <w:pPr>
              <w:keepNext/>
              <w:jc w:val="center"/>
              <w:rPr>
                <w:rFonts w:ascii="Arial Narrow" w:hAnsi="Arial Narrow"/>
                <w:sz w:val="20"/>
                <w:szCs w:val="20"/>
              </w:rPr>
            </w:pPr>
          </w:p>
        </w:tc>
        <w:tc>
          <w:tcPr>
            <w:tcW w:w="1580" w:type="dxa"/>
            <w:vAlign w:val="center"/>
          </w:tcPr>
          <w:p w14:paraId="60416101"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326.50</w:t>
            </w:r>
          </w:p>
        </w:tc>
        <w:tc>
          <w:tcPr>
            <w:tcW w:w="1702" w:type="dxa"/>
            <w:tcBorders>
              <w:bottom w:val="single" w:sz="4" w:space="0" w:color="auto"/>
            </w:tcBorders>
            <w:vAlign w:val="center"/>
          </w:tcPr>
          <w:p w14:paraId="47335DB9"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46.64</w:t>
            </w:r>
          </w:p>
        </w:tc>
      </w:tr>
      <w:tr w:rsidR="0057515C" w14:paraId="6830C780" w14:textId="77777777" w:rsidTr="006F6F1E">
        <w:tc>
          <w:tcPr>
            <w:tcW w:w="1168" w:type="dxa"/>
            <w:vAlign w:val="center"/>
          </w:tcPr>
          <w:p w14:paraId="326A8340"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6</w:t>
            </w:r>
          </w:p>
        </w:tc>
        <w:tc>
          <w:tcPr>
            <w:tcW w:w="1804" w:type="dxa"/>
            <w:vAlign w:val="center"/>
          </w:tcPr>
          <w:p w14:paraId="3B3A059E"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5 (N=4)</w:t>
            </w:r>
          </w:p>
        </w:tc>
        <w:tc>
          <w:tcPr>
            <w:tcW w:w="1405" w:type="dxa"/>
            <w:vAlign w:val="center"/>
          </w:tcPr>
          <w:p w14:paraId="3BF6504C"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130</w:t>
            </w:r>
          </w:p>
        </w:tc>
        <w:tc>
          <w:tcPr>
            <w:tcW w:w="1369" w:type="dxa"/>
            <w:vMerge/>
            <w:vAlign w:val="center"/>
          </w:tcPr>
          <w:p w14:paraId="73733B8A" w14:textId="77777777" w:rsidR="005F074F" w:rsidRPr="00AC1B81" w:rsidRDefault="005F074F" w:rsidP="005F074F">
            <w:pPr>
              <w:keepNext/>
              <w:jc w:val="center"/>
              <w:rPr>
                <w:rFonts w:ascii="Arial Narrow" w:hAnsi="Arial Narrow"/>
                <w:sz w:val="20"/>
                <w:szCs w:val="20"/>
              </w:rPr>
            </w:pPr>
          </w:p>
        </w:tc>
        <w:tc>
          <w:tcPr>
            <w:tcW w:w="1580" w:type="dxa"/>
            <w:vAlign w:val="center"/>
          </w:tcPr>
          <w:p w14:paraId="26C0055C"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492.48</w:t>
            </w:r>
          </w:p>
        </w:tc>
        <w:tc>
          <w:tcPr>
            <w:tcW w:w="1702" w:type="dxa"/>
            <w:shd w:val="clear" w:color="auto" w:fill="auto"/>
            <w:vAlign w:val="center"/>
          </w:tcPr>
          <w:p w14:paraId="2F9A6760"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70.35</w:t>
            </w:r>
          </w:p>
        </w:tc>
      </w:tr>
      <w:tr w:rsidR="0057515C" w14:paraId="06B22EE2" w14:textId="77777777" w:rsidTr="006F6F1E">
        <w:tc>
          <w:tcPr>
            <w:tcW w:w="1168" w:type="dxa"/>
            <w:vAlign w:val="center"/>
          </w:tcPr>
          <w:p w14:paraId="339D2749" w14:textId="77777777" w:rsidR="005F074F" w:rsidRPr="00FF4DFE" w:rsidRDefault="005F074F" w:rsidP="005F074F">
            <w:pPr>
              <w:keepNext/>
              <w:jc w:val="left"/>
              <w:rPr>
                <w:rFonts w:ascii="Arial Narrow" w:hAnsi="Arial Narrow"/>
                <w:sz w:val="20"/>
                <w:szCs w:val="20"/>
              </w:rPr>
            </w:pPr>
            <w:r>
              <w:rPr>
                <w:rFonts w:ascii="Arial Narrow" w:hAnsi="Arial Narrow"/>
                <w:sz w:val="20"/>
                <w:szCs w:val="20"/>
              </w:rPr>
              <w:t>7</w:t>
            </w:r>
          </w:p>
        </w:tc>
        <w:tc>
          <w:tcPr>
            <w:tcW w:w="1804" w:type="dxa"/>
            <w:vAlign w:val="center"/>
          </w:tcPr>
          <w:p w14:paraId="2EF8F609" w14:textId="77777777" w:rsidR="005F074F" w:rsidRPr="00294243" w:rsidRDefault="005F074F" w:rsidP="005F074F">
            <w:pPr>
              <w:keepNext/>
              <w:jc w:val="center"/>
              <w:rPr>
                <w:rFonts w:ascii="Arial Narrow" w:hAnsi="Arial Narrow"/>
                <w:sz w:val="20"/>
                <w:szCs w:val="20"/>
              </w:rPr>
            </w:pPr>
            <w:r w:rsidRPr="00294243">
              <w:rPr>
                <w:rFonts w:ascii="Arial Narrow" w:hAnsi="Arial Narrow"/>
                <w:sz w:val="20"/>
                <w:szCs w:val="20"/>
              </w:rPr>
              <w:t>6 (N=2)</w:t>
            </w:r>
          </w:p>
        </w:tc>
        <w:tc>
          <w:tcPr>
            <w:tcW w:w="1405" w:type="dxa"/>
            <w:vAlign w:val="center"/>
          </w:tcPr>
          <w:p w14:paraId="20037AEF"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47.50</w:t>
            </w:r>
          </w:p>
        </w:tc>
        <w:tc>
          <w:tcPr>
            <w:tcW w:w="1369" w:type="dxa"/>
            <w:vMerge/>
            <w:vAlign w:val="center"/>
          </w:tcPr>
          <w:p w14:paraId="408FD720" w14:textId="77777777" w:rsidR="005F074F" w:rsidRPr="00AC1B81" w:rsidRDefault="005F074F" w:rsidP="005F074F">
            <w:pPr>
              <w:keepNext/>
              <w:jc w:val="center"/>
              <w:rPr>
                <w:rFonts w:ascii="Arial Narrow" w:hAnsi="Arial Narrow"/>
                <w:sz w:val="20"/>
                <w:szCs w:val="20"/>
              </w:rPr>
            </w:pPr>
          </w:p>
        </w:tc>
        <w:tc>
          <w:tcPr>
            <w:tcW w:w="1580" w:type="dxa"/>
            <w:vAlign w:val="center"/>
          </w:tcPr>
          <w:p w14:paraId="693CB838"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575.96</w:t>
            </w:r>
          </w:p>
        </w:tc>
        <w:tc>
          <w:tcPr>
            <w:tcW w:w="1702" w:type="dxa"/>
            <w:shd w:val="clear" w:color="auto" w:fill="auto"/>
            <w:vAlign w:val="center"/>
          </w:tcPr>
          <w:p w14:paraId="59743520" w14:textId="77777777" w:rsidR="005F074F" w:rsidRPr="00AC1B81" w:rsidRDefault="005F074F" w:rsidP="005F074F">
            <w:pPr>
              <w:keepNext/>
              <w:jc w:val="center"/>
              <w:rPr>
                <w:rFonts w:ascii="Arial Narrow" w:hAnsi="Arial Narrow"/>
                <w:sz w:val="20"/>
                <w:szCs w:val="20"/>
              </w:rPr>
            </w:pPr>
            <w:r w:rsidRPr="00AC1B81">
              <w:rPr>
                <w:rFonts w:ascii="Arial Narrow" w:hAnsi="Arial Narrow"/>
                <w:sz w:val="20"/>
                <w:szCs w:val="20"/>
              </w:rPr>
              <w:t>82.28</w:t>
            </w:r>
          </w:p>
        </w:tc>
      </w:tr>
    </w:tbl>
    <w:p w14:paraId="70CF1B35" w14:textId="77777777" w:rsidR="005F074F" w:rsidRDefault="005F074F" w:rsidP="005F074F">
      <w:pPr>
        <w:pStyle w:val="FooterTableFigure"/>
        <w:keepNext/>
      </w:pPr>
      <w:r>
        <w:t>Source: Table 3.2.2, p117; Table 3.2.3, p118 of the submission.</w:t>
      </w:r>
    </w:p>
    <w:p w14:paraId="7FF1CD69" w14:textId="6109CEB2" w:rsidR="005F074F" w:rsidRPr="005F074F" w:rsidRDefault="005F074F" w:rsidP="00A97370">
      <w:pPr>
        <w:pStyle w:val="FooterTableFigure"/>
        <w:keepNext/>
      </w:pPr>
      <w:r>
        <w:t>CMV = cytomegalovirus; HSCT = haematopoietic stem cell transplant; SOT = solid organ transplant</w:t>
      </w:r>
    </w:p>
    <w:p w14:paraId="5077BECC" w14:textId="71B9DE1F" w:rsidR="005F074F" w:rsidRPr="003B4159" w:rsidRDefault="00294243" w:rsidP="00836816">
      <w:pPr>
        <w:pStyle w:val="3-BodyText"/>
      </w:pPr>
      <w:r>
        <w:t xml:space="preserve">The PSCR confirmed that </w:t>
      </w:r>
      <w:r w:rsidR="005E4A57" w:rsidRPr="003B4159">
        <w:t>the time period used was the duration from the start of the CMV index episode to the start of the sixth recurrence, excluding the treatment period (35.98 days or 5.14 weeks) of the sixth recurrence. Therefore, for HSCT, 82.28 weeks – 5.14 weeks = 77.1 weeks. For SOT, the duration was 150.2 weeks (155.37 weeks – 5.14 weeks = 150.2 weeks).</w:t>
      </w:r>
      <w:r w:rsidR="00ED5A03">
        <w:t xml:space="preserve"> </w:t>
      </w:r>
      <w:r w:rsidR="00ED5A03" w:rsidRPr="00421405">
        <w:t>The PSCR stated that given OTUS represents the best available data source on CMV recurrence, it would be reasonable to use this data source as the basis of Stage 1 length. </w:t>
      </w:r>
      <w:r w:rsidR="00836816" w:rsidRPr="00421405">
        <w:t>One of the key changes made to the model accepted by NICE in 2023 was the shortening of Stage 1 to 39.2 weeks from 78 weeks. A duration of 39.2 weeks was accepted by NICE because this was the time frame over which the first and second recurrences happened in OTUS and the data for this was</w:t>
      </w:r>
      <w:r w:rsidR="00A9666D" w:rsidRPr="00421405">
        <w:t xml:space="preserve"> </w:t>
      </w:r>
      <w:r w:rsidR="00A9666D" w:rsidRPr="00421405">
        <w:lastRenderedPageBreak/>
        <w:t>more</w:t>
      </w:r>
      <w:r w:rsidR="00836816" w:rsidRPr="00421405">
        <w:t xml:space="preserve"> robust. </w:t>
      </w:r>
      <w:r w:rsidR="006329F1" w:rsidRPr="00421405">
        <w:t xml:space="preserve">The ESC noted that the recurrence data used from OTUS was based on very small patient numbers, especially for </w:t>
      </w:r>
      <w:r w:rsidR="00030347">
        <w:t>third</w:t>
      </w:r>
      <w:r w:rsidR="00030347" w:rsidRPr="00421405">
        <w:t xml:space="preserve"> </w:t>
      </w:r>
      <w:r w:rsidR="006329F1" w:rsidRPr="00421405">
        <w:t xml:space="preserve">and later recurrences. </w:t>
      </w:r>
      <w:r w:rsidR="00ED5A03" w:rsidRPr="00421405">
        <w:t>The ESC considered that</w:t>
      </w:r>
      <w:r w:rsidR="006329F1" w:rsidRPr="00421405">
        <w:t xml:space="preserve"> given the small number of patients in the OTUS data it was not a reliable basis for informing the</w:t>
      </w:r>
      <w:r w:rsidR="00ED5A03" w:rsidRPr="00421405">
        <w:t xml:space="preserve"> </w:t>
      </w:r>
      <w:r w:rsidR="00DA7C02" w:rsidRPr="00421405">
        <w:t xml:space="preserve">Stage 1 </w:t>
      </w:r>
      <w:r w:rsidR="00ED5A03" w:rsidRPr="00421405">
        <w:t>model length</w:t>
      </w:r>
      <w:r w:rsidR="00836816" w:rsidRPr="00421405">
        <w:t xml:space="preserve">. When Stage 1 in the submission’s model was shortened to 39.2 weeks, the ICER increased </w:t>
      </w:r>
      <w:r w:rsidR="00836816" w:rsidRPr="009B6FEB">
        <w:t>by 128</w:t>
      </w:r>
      <w:r w:rsidR="00836816" w:rsidRPr="00421405">
        <w:t xml:space="preserve">% to </w:t>
      </w:r>
      <w:r w:rsidR="00836816" w:rsidRPr="009B6FEB">
        <w:t>$</w:t>
      </w:r>
      <w:r w:rsidR="00FC70D1">
        <w:t xml:space="preserve">115,000 to </w:t>
      </w:r>
      <w:r w:rsidR="00FC70D1" w:rsidRPr="00213799">
        <w:t>&lt;</w:t>
      </w:r>
      <w:r w:rsidR="00A73C19">
        <w:t> </w:t>
      </w:r>
      <w:r w:rsidR="00213799" w:rsidRPr="00213799">
        <w:t>$</w:t>
      </w:r>
      <w:r w:rsidR="00FC70D1" w:rsidRPr="00213799">
        <w:t>135,000</w:t>
      </w:r>
      <w:r w:rsidR="00836816" w:rsidRPr="003B4159">
        <w:t xml:space="preserve">/QALY (see </w:t>
      </w:r>
      <w:r w:rsidR="00836816" w:rsidRPr="003B4159">
        <w:fldChar w:fldCharType="begin" w:fldLock="1"/>
      </w:r>
      <w:r w:rsidR="00836816" w:rsidRPr="003B4159">
        <w:instrText xml:space="preserve"> REF _Ref144445506 \h  \* MERGEFORMAT </w:instrText>
      </w:r>
      <w:r w:rsidR="00836816" w:rsidRPr="003B4159">
        <w:fldChar w:fldCharType="separate"/>
      </w:r>
      <w:r w:rsidR="00836816" w:rsidRPr="003B4159">
        <w:t>Table 16</w:t>
      </w:r>
      <w:r w:rsidR="00836816" w:rsidRPr="003B4159">
        <w:fldChar w:fldCharType="end"/>
      </w:r>
      <w:r w:rsidR="00836816" w:rsidRPr="003B4159">
        <w:t xml:space="preserve">). </w:t>
      </w:r>
    </w:p>
    <w:p w14:paraId="3D982A9C" w14:textId="3851D776" w:rsidR="005E4A57" w:rsidRPr="003B4159" w:rsidRDefault="009B5785" w:rsidP="004C0546">
      <w:pPr>
        <w:pStyle w:val="3-BodyText"/>
      </w:pPr>
      <w:bookmarkStart w:id="41" w:name="_Ref144800923"/>
      <w:r>
        <w:t xml:space="preserve">The evaluation </w:t>
      </w:r>
      <w:r w:rsidRPr="00421405">
        <w:t>and the ESC considered that a</w:t>
      </w:r>
      <w:r w:rsidR="005E4A57" w:rsidRPr="00421405">
        <w:t>ssuming the IAT treatment duration from SOLSTICE of 35.98 days would apply across</w:t>
      </w:r>
      <w:r w:rsidR="005E4A57" w:rsidRPr="003B4159">
        <w:t xml:space="preserve"> all recurrences is not likely to represent actual treatment duration </w:t>
      </w:r>
      <w:r w:rsidR="00AC246E">
        <w:t>as</w:t>
      </w:r>
      <w:r w:rsidR="005E4A57" w:rsidRPr="003B4159">
        <w:t xml:space="preserve"> treatment duration may vary across recurrences. </w:t>
      </w:r>
      <w:bookmarkEnd w:id="41"/>
    </w:p>
    <w:p w14:paraId="63122E46" w14:textId="1DD153C8" w:rsidR="004C0546" w:rsidRDefault="002A17E8" w:rsidP="004C0546">
      <w:pPr>
        <w:pStyle w:val="3-BodyText"/>
      </w:pPr>
      <w:r w:rsidRPr="002A17E8">
        <w:fldChar w:fldCharType="begin" w:fldLock="1"/>
      </w:r>
      <w:r w:rsidRPr="002A17E8">
        <w:instrText xml:space="preserve"> REF _Ref104805122 \h </w:instrText>
      </w:r>
      <w:r>
        <w:instrText xml:space="preserve"> \* MERGEFORMAT </w:instrText>
      </w:r>
      <w:r w:rsidRPr="002A17E8">
        <w:fldChar w:fldCharType="separate"/>
      </w:r>
      <w:r w:rsidR="0098695D" w:rsidRPr="0098695D">
        <w:t>Table 14</w:t>
      </w:r>
      <w:r w:rsidRPr="002A17E8">
        <w:fldChar w:fldCharType="end"/>
      </w:r>
      <w:r>
        <w:t xml:space="preserve"> </w:t>
      </w:r>
      <w:r w:rsidR="004C0546">
        <w:t>lists the key issues with the model, with further description in the paragraphs following the table.</w:t>
      </w:r>
    </w:p>
    <w:p w14:paraId="7B0B3545" w14:textId="71A980B3" w:rsidR="004C0546" w:rsidRPr="00501DF7" w:rsidRDefault="00501DF7" w:rsidP="00501DF7">
      <w:pPr>
        <w:pStyle w:val="3-BodyText"/>
        <w:keepNext/>
        <w:numPr>
          <w:ilvl w:val="0"/>
          <w:numId w:val="0"/>
        </w:numPr>
        <w:spacing w:after="0"/>
        <w:rPr>
          <w:rFonts w:ascii="Arial Narrow" w:hAnsi="Arial Narrow"/>
          <w:b/>
          <w:bCs/>
          <w:sz w:val="20"/>
          <w:szCs w:val="20"/>
        </w:rPr>
      </w:pPr>
      <w:bookmarkStart w:id="42" w:name="_Ref104805122"/>
      <w:r w:rsidRPr="00501DF7">
        <w:rPr>
          <w:rFonts w:ascii="Arial Narrow" w:hAnsi="Arial Narrow"/>
          <w:b/>
          <w:bCs/>
          <w:sz w:val="20"/>
          <w:szCs w:val="20"/>
        </w:rPr>
        <w:t xml:space="preserve">Table </w:t>
      </w:r>
      <w:r w:rsidRPr="00501DF7">
        <w:rPr>
          <w:rFonts w:ascii="Arial Narrow" w:hAnsi="Arial Narrow"/>
          <w:b/>
          <w:bCs/>
          <w:sz w:val="20"/>
          <w:szCs w:val="20"/>
        </w:rPr>
        <w:fldChar w:fldCharType="begin" w:fldLock="1"/>
      </w:r>
      <w:r w:rsidRPr="00501DF7">
        <w:rPr>
          <w:rFonts w:ascii="Arial Narrow" w:hAnsi="Arial Narrow"/>
          <w:b/>
          <w:bCs/>
          <w:sz w:val="20"/>
          <w:szCs w:val="20"/>
        </w:rPr>
        <w:instrText xml:space="preserve"> SEQ Table \* ARABIC </w:instrText>
      </w:r>
      <w:r w:rsidRPr="00501DF7">
        <w:rPr>
          <w:rFonts w:ascii="Arial Narrow" w:hAnsi="Arial Narrow"/>
          <w:b/>
          <w:bCs/>
          <w:sz w:val="20"/>
          <w:szCs w:val="20"/>
        </w:rPr>
        <w:fldChar w:fldCharType="separate"/>
      </w:r>
      <w:r w:rsidR="0098695D">
        <w:rPr>
          <w:rFonts w:ascii="Arial Narrow" w:hAnsi="Arial Narrow"/>
          <w:b/>
          <w:bCs/>
          <w:noProof/>
          <w:sz w:val="20"/>
          <w:szCs w:val="20"/>
        </w:rPr>
        <w:t>14</w:t>
      </w:r>
      <w:r w:rsidRPr="00501DF7">
        <w:rPr>
          <w:rFonts w:ascii="Arial Narrow" w:hAnsi="Arial Narrow"/>
          <w:b/>
          <w:bCs/>
          <w:noProof/>
          <w:sz w:val="20"/>
          <w:szCs w:val="20"/>
        </w:rPr>
        <w:fldChar w:fldCharType="end"/>
      </w:r>
      <w:bookmarkEnd w:id="42"/>
      <w:r w:rsidRPr="00501DF7">
        <w:rPr>
          <w:rFonts w:ascii="Arial Narrow" w:hAnsi="Arial Narrow"/>
          <w:b/>
          <w:bCs/>
          <w:sz w:val="20"/>
          <w:szCs w:val="20"/>
        </w:rPr>
        <w:t>:</w:t>
      </w:r>
      <w:r w:rsidRPr="00501DF7">
        <w:rPr>
          <w:rStyle w:val="CommentReference"/>
          <w:b w:val="0"/>
          <w:bCs/>
          <w:szCs w:val="20"/>
        </w:rPr>
        <w:t xml:space="preserve"> </w:t>
      </w:r>
      <w:r w:rsidRPr="00501DF7">
        <w:rPr>
          <w:rStyle w:val="CommentReference"/>
          <w:szCs w:val="20"/>
        </w:rPr>
        <w:t>Key issues with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Key issues with the model"/>
        <w:tblDescription w:val="Table 14: Key issues with the model"/>
      </w:tblPr>
      <w:tblGrid>
        <w:gridCol w:w="1129"/>
        <w:gridCol w:w="4146"/>
        <w:gridCol w:w="3742"/>
      </w:tblGrid>
      <w:tr w:rsidR="00501DF7" w:rsidRPr="003B4159" w14:paraId="5EC78E34" w14:textId="77777777" w:rsidTr="006C36CC">
        <w:trPr>
          <w:tblHeader/>
        </w:trPr>
        <w:tc>
          <w:tcPr>
            <w:tcW w:w="626" w:type="pct"/>
            <w:shd w:val="clear" w:color="auto" w:fill="auto"/>
            <w:vAlign w:val="center"/>
          </w:tcPr>
          <w:p w14:paraId="20AA3FEF" w14:textId="77777777" w:rsidR="00501DF7" w:rsidRPr="003B4159" w:rsidRDefault="00501DF7" w:rsidP="00501DF7">
            <w:pPr>
              <w:pStyle w:val="In-tableHeading"/>
              <w:jc w:val="center"/>
            </w:pPr>
            <w:r w:rsidRPr="003B4159">
              <w:t>Component</w:t>
            </w:r>
          </w:p>
        </w:tc>
        <w:tc>
          <w:tcPr>
            <w:tcW w:w="2299" w:type="pct"/>
            <w:shd w:val="clear" w:color="auto" w:fill="auto"/>
            <w:vAlign w:val="center"/>
          </w:tcPr>
          <w:p w14:paraId="3E636F78" w14:textId="77777777" w:rsidR="00501DF7" w:rsidRPr="003B4159" w:rsidRDefault="00501DF7" w:rsidP="00501DF7">
            <w:pPr>
              <w:pStyle w:val="In-tableHeading"/>
              <w:jc w:val="center"/>
            </w:pPr>
            <w:r w:rsidRPr="003B4159">
              <w:t>Description</w:t>
            </w:r>
          </w:p>
        </w:tc>
        <w:tc>
          <w:tcPr>
            <w:tcW w:w="2075" w:type="pct"/>
            <w:shd w:val="clear" w:color="auto" w:fill="auto"/>
            <w:vAlign w:val="center"/>
          </w:tcPr>
          <w:p w14:paraId="07B8188D" w14:textId="77777777" w:rsidR="00501DF7" w:rsidRPr="003B4159" w:rsidRDefault="00501DF7" w:rsidP="00501DF7">
            <w:pPr>
              <w:pStyle w:val="In-tableHeading"/>
              <w:jc w:val="center"/>
            </w:pPr>
            <w:r w:rsidRPr="003B4159">
              <w:t>Impact</w:t>
            </w:r>
          </w:p>
          <w:p w14:paraId="3C92976A" w14:textId="77B7FDC4" w:rsidR="00501DF7" w:rsidRPr="003B4159" w:rsidRDefault="00501DF7" w:rsidP="00501DF7">
            <w:pPr>
              <w:pStyle w:val="In-tableHeading"/>
              <w:jc w:val="center"/>
            </w:pPr>
            <w:r w:rsidRPr="003B4159">
              <w:rPr>
                <w:rFonts w:cs="Arial"/>
                <w:szCs w:val="20"/>
              </w:rPr>
              <w:t>Base case:</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00FC70D1" w:rsidRPr="00FC70D1">
              <w:rPr>
                <w:rFonts w:cs="Arial"/>
                <w:szCs w:val="20"/>
                <w:vertAlign w:val="superscript"/>
              </w:rPr>
              <w:t>1</w:t>
            </w:r>
            <w:r w:rsidRPr="003B4159">
              <w:rPr>
                <w:rFonts w:cs="Arial"/>
                <w:szCs w:val="20"/>
              </w:rPr>
              <w:t>/QALY gained</w:t>
            </w:r>
          </w:p>
        </w:tc>
      </w:tr>
      <w:tr w:rsidR="00501DF7" w:rsidRPr="003B4159" w14:paraId="260A8BE4" w14:textId="77777777" w:rsidTr="006C36CC">
        <w:tc>
          <w:tcPr>
            <w:tcW w:w="626" w:type="pct"/>
            <w:shd w:val="clear" w:color="auto" w:fill="auto"/>
            <w:vAlign w:val="center"/>
          </w:tcPr>
          <w:p w14:paraId="28A752C9" w14:textId="77777777" w:rsidR="00501DF7" w:rsidRPr="003B4159" w:rsidRDefault="00501DF7" w:rsidP="00501DF7">
            <w:pPr>
              <w:pStyle w:val="TableText0"/>
              <w:rPr>
                <w:lang w:val="en-US"/>
              </w:rPr>
            </w:pPr>
            <w:r w:rsidRPr="003B4159">
              <w:rPr>
                <w:lang w:val="en-US"/>
              </w:rPr>
              <w:t>Stage length</w:t>
            </w:r>
          </w:p>
        </w:tc>
        <w:tc>
          <w:tcPr>
            <w:tcW w:w="2299" w:type="pct"/>
            <w:shd w:val="clear" w:color="auto" w:fill="auto"/>
            <w:vAlign w:val="center"/>
          </w:tcPr>
          <w:p w14:paraId="361FA018" w14:textId="6F4AADF5" w:rsidR="00501DF7" w:rsidRPr="003B4159" w:rsidRDefault="00AC246E" w:rsidP="00501DF7">
            <w:pPr>
              <w:pStyle w:val="TableText0"/>
              <w:rPr>
                <w:lang w:val="en-US"/>
              </w:rPr>
            </w:pPr>
            <w:r w:rsidRPr="003B4159">
              <w:rPr>
                <w:lang w:val="en-US"/>
              </w:rPr>
              <w:t xml:space="preserve">Stage 1 length of 78 weeks </w:t>
            </w:r>
            <w:r w:rsidR="000511B4" w:rsidRPr="003B4159">
              <w:rPr>
                <w:lang w:val="en-US"/>
              </w:rPr>
              <w:t xml:space="preserve">was based on recurrences in OTUS, but this data was </w:t>
            </w:r>
            <w:r w:rsidR="00AD0B59" w:rsidRPr="003B4159">
              <w:rPr>
                <w:lang w:val="en-US"/>
              </w:rPr>
              <w:t>based on</w:t>
            </w:r>
            <w:r w:rsidR="000511B4" w:rsidRPr="003B4159">
              <w:rPr>
                <w:lang w:val="en-US"/>
              </w:rPr>
              <w:t xml:space="preserve"> small patient numbers (1 for SOT; 2 for HSCT)</w:t>
            </w:r>
            <w:r w:rsidR="00501DF7" w:rsidRPr="003B4159">
              <w:rPr>
                <w:lang w:val="en-US"/>
              </w:rPr>
              <w:t xml:space="preserve"> </w:t>
            </w:r>
            <w:r w:rsidR="000511B4" w:rsidRPr="003B4159">
              <w:rPr>
                <w:lang w:val="en-US"/>
              </w:rPr>
              <w:t>and assumed treatment duration of 35.98 days for all recurrences, when treatment duration for recurrences is likely to vary.</w:t>
            </w:r>
          </w:p>
        </w:tc>
        <w:tc>
          <w:tcPr>
            <w:tcW w:w="2075" w:type="pct"/>
            <w:shd w:val="clear" w:color="auto" w:fill="auto"/>
            <w:vAlign w:val="center"/>
          </w:tcPr>
          <w:p w14:paraId="764D7F99" w14:textId="77777777" w:rsidR="00501DF7" w:rsidRPr="003B4159" w:rsidRDefault="00501DF7" w:rsidP="00501DF7">
            <w:pPr>
              <w:pStyle w:val="TableText0"/>
              <w:rPr>
                <w:lang w:val="en-US"/>
              </w:rPr>
            </w:pPr>
            <w:r w:rsidRPr="003B4159">
              <w:rPr>
                <w:lang w:val="en-US"/>
              </w:rPr>
              <w:t xml:space="preserve">High, </w:t>
            </w:r>
            <w:r w:rsidRPr="003B4159">
              <w:t>favours</w:t>
            </w:r>
            <w:r w:rsidRPr="003B4159">
              <w:rPr>
                <w:lang w:val="en-US"/>
              </w:rPr>
              <w:t xml:space="preserve"> maribavir</w:t>
            </w:r>
          </w:p>
          <w:p w14:paraId="16250A58" w14:textId="0C545969" w:rsidR="00501DF7" w:rsidRPr="003B4159" w:rsidRDefault="00501DF7" w:rsidP="00501DF7">
            <w:pPr>
              <w:pStyle w:val="TableText0"/>
              <w:rPr>
                <w:lang w:val="en-US"/>
              </w:rPr>
            </w:pPr>
            <w:r w:rsidRPr="003B4159">
              <w:rPr>
                <w:rFonts w:cs="Arial"/>
                <w:szCs w:val="20"/>
              </w:rPr>
              <w:t>Shortening the stage length</w:t>
            </w:r>
            <w:r w:rsidRPr="003B4159">
              <w:rPr>
                <w:lang w:val="en-US"/>
              </w:rPr>
              <w:t xml:space="preserve"> to 52 weeks increased the ICER to</w:t>
            </w:r>
            <w:r w:rsidR="00E038A0">
              <w:rPr>
                <w:lang w:val="en-US"/>
              </w:rPr>
              <w:t xml:space="preserve"> </w:t>
            </w:r>
            <w:r w:rsidR="00E038A0" w:rsidRPr="00566FB2">
              <w:rPr>
                <w:color w:val="000000"/>
                <w:spacing w:val="53"/>
                <w:shd w:val="solid" w:color="000000" w:fill="000000"/>
                <w:fitText w:val="330" w:id="-1032069888"/>
                <w:lang w:val="en-US"/>
                <w14:textFill>
                  <w14:solidFill>
                    <w14:srgbClr w14:val="000000">
                      <w14:alpha w14:val="100000"/>
                    </w14:srgbClr>
                  </w14:solidFill>
                </w14:textFill>
              </w:rPr>
              <w:t>|||</w:t>
            </w:r>
            <w:r w:rsidR="00E038A0" w:rsidRPr="00566FB2">
              <w:rPr>
                <w:color w:val="000000"/>
                <w:spacing w:val="1"/>
                <w:shd w:val="solid" w:color="000000" w:fill="000000"/>
                <w:fitText w:val="330" w:id="-1032069888"/>
                <w:lang w:val="en-US"/>
                <w14:textFill>
                  <w14:solidFill>
                    <w14:srgbClr w14:val="000000">
                      <w14:alpha w14:val="100000"/>
                    </w14:srgbClr>
                  </w14:solidFill>
                </w14:textFill>
              </w:rPr>
              <w:t>|</w:t>
            </w:r>
            <w:r w:rsidR="00FC70D1" w:rsidRPr="00FC70D1">
              <w:rPr>
                <w:vertAlign w:val="superscript"/>
                <w:lang w:val="en-US"/>
              </w:rPr>
              <w:t>2</w:t>
            </w:r>
            <w:r w:rsidRPr="003B4159">
              <w:rPr>
                <w:lang w:val="en-US"/>
              </w:rPr>
              <w:t>/QALY gained</w:t>
            </w:r>
            <w:r w:rsidR="00C611A6" w:rsidRPr="003B4159">
              <w:rPr>
                <w:lang w:val="en-US"/>
              </w:rPr>
              <w:t xml:space="preserve"> and shortening it to 39.2 weeks </w:t>
            </w:r>
            <w:r w:rsidR="00AC246E">
              <w:rPr>
                <w:lang w:val="en-US"/>
              </w:rPr>
              <w:t>(</w:t>
            </w:r>
            <w:r w:rsidR="00C611A6" w:rsidRPr="003B4159">
              <w:rPr>
                <w:lang w:val="en-US"/>
              </w:rPr>
              <w:t>as accepted by NICE</w:t>
            </w:r>
            <w:r w:rsidR="00AC246E">
              <w:rPr>
                <w:lang w:val="en-US"/>
              </w:rPr>
              <w:t>)</w:t>
            </w:r>
            <w:r w:rsidR="00C611A6" w:rsidRPr="003B4159">
              <w:rPr>
                <w:lang w:val="en-US"/>
              </w:rPr>
              <w:t xml:space="preserve"> increased the ICER to</w:t>
            </w:r>
            <w:r w:rsidR="00E038A0">
              <w:rPr>
                <w:lang w:val="en-US"/>
              </w:rPr>
              <w:t xml:space="preserve"> </w:t>
            </w:r>
            <w:r w:rsidR="00E038A0" w:rsidRPr="00566FB2">
              <w:rPr>
                <w:color w:val="000000"/>
                <w:spacing w:val="53"/>
                <w:shd w:val="solid" w:color="000000" w:fill="000000"/>
                <w:fitText w:val="330" w:id="-1032069887"/>
                <w:lang w:val="en-US"/>
                <w14:textFill>
                  <w14:solidFill>
                    <w14:srgbClr w14:val="000000">
                      <w14:alpha w14:val="100000"/>
                    </w14:srgbClr>
                  </w14:solidFill>
                </w14:textFill>
              </w:rPr>
              <w:t>|||</w:t>
            </w:r>
            <w:r w:rsidR="00E038A0" w:rsidRPr="00566FB2">
              <w:rPr>
                <w:color w:val="000000"/>
                <w:spacing w:val="1"/>
                <w:shd w:val="solid" w:color="000000" w:fill="000000"/>
                <w:fitText w:val="330" w:id="-1032069887"/>
                <w:lang w:val="en-US"/>
                <w14:textFill>
                  <w14:solidFill>
                    <w14:srgbClr w14:val="000000">
                      <w14:alpha w14:val="100000"/>
                    </w14:srgbClr>
                  </w14:solidFill>
                </w14:textFill>
              </w:rPr>
              <w:t>|</w:t>
            </w:r>
            <w:r w:rsidR="00FC70D1" w:rsidRPr="00FC70D1">
              <w:rPr>
                <w:vertAlign w:val="superscript"/>
                <w:lang w:val="en-US"/>
              </w:rPr>
              <w:t>4</w:t>
            </w:r>
            <w:r w:rsidR="00C611A6" w:rsidRPr="003B4159">
              <w:rPr>
                <w:lang w:val="en-US"/>
              </w:rPr>
              <w:t>/QALY</w:t>
            </w:r>
            <w:r w:rsidRPr="003B4159">
              <w:rPr>
                <w:lang w:val="en-US"/>
              </w:rPr>
              <w:t xml:space="preserve">. </w:t>
            </w:r>
          </w:p>
        </w:tc>
      </w:tr>
      <w:tr w:rsidR="00501DF7" w:rsidRPr="003B4159" w14:paraId="3BE7585F" w14:textId="77777777" w:rsidTr="006C36CC">
        <w:tc>
          <w:tcPr>
            <w:tcW w:w="626" w:type="pct"/>
            <w:shd w:val="clear" w:color="auto" w:fill="auto"/>
            <w:vAlign w:val="center"/>
          </w:tcPr>
          <w:p w14:paraId="7DA56CF6" w14:textId="0015A09C" w:rsidR="00501DF7" w:rsidRPr="003B4159" w:rsidRDefault="001E2FE3" w:rsidP="00501DF7">
            <w:pPr>
              <w:pStyle w:val="TableText0"/>
              <w:rPr>
                <w:lang w:val="en-US"/>
              </w:rPr>
            </w:pPr>
            <w:r w:rsidRPr="003B4159">
              <w:rPr>
                <w:lang w:val="en-US"/>
              </w:rPr>
              <w:t>Clinical data</w:t>
            </w:r>
          </w:p>
        </w:tc>
        <w:tc>
          <w:tcPr>
            <w:tcW w:w="2299" w:type="pct"/>
            <w:shd w:val="clear" w:color="auto" w:fill="auto"/>
            <w:vAlign w:val="center"/>
          </w:tcPr>
          <w:p w14:paraId="4E520FFA" w14:textId="4ABFFE27" w:rsidR="00501DF7" w:rsidRPr="003B4159" w:rsidRDefault="001E2FE3" w:rsidP="00501DF7">
            <w:pPr>
              <w:pStyle w:val="TableText0"/>
              <w:rPr>
                <w:lang w:val="en-US"/>
              </w:rPr>
            </w:pPr>
            <w:r w:rsidRPr="003B4159">
              <w:rPr>
                <w:lang w:val="en-US"/>
              </w:rPr>
              <w:t>Clearance and mortality data from SOLSTICE at 8 weeks were assumed to apply for 78 weeks.</w:t>
            </w:r>
          </w:p>
        </w:tc>
        <w:tc>
          <w:tcPr>
            <w:tcW w:w="2075" w:type="pct"/>
            <w:shd w:val="clear" w:color="auto" w:fill="auto"/>
            <w:vAlign w:val="center"/>
          </w:tcPr>
          <w:p w14:paraId="3D3BD857" w14:textId="77F00EA1" w:rsidR="00501DF7" w:rsidRPr="003B4159" w:rsidRDefault="001E2FE3" w:rsidP="00501DF7">
            <w:pPr>
              <w:pStyle w:val="TableText0"/>
              <w:rPr>
                <w:lang w:val="en-US"/>
              </w:rPr>
            </w:pPr>
            <w:r w:rsidRPr="003B4159">
              <w:rPr>
                <w:lang w:val="en-US"/>
              </w:rPr>
              <w:t xml:space="preserve">There was no evidence to support this, and the </w:t>
            </w:r>
            <w:r w:rsidR="00E576A5" w:rsidRPr="003B4159">
              <w:rPr>
                <w:lang w:val="en-US"/>
              </w:rPr>
              <w:t>i</w:t>
            </w:r>
            <w:r w:rsidR="00501DF7" w:rsidRPr="003B4159">
              <w:rPr>
                <w:lang w:val="en-US"/>
              </w:rPr>
              <w:t>mpact could not be assessed.</w:t>
            </w:r>
          </w:p>
        </w:tc>
      </w:tr>
      <w:tr w:rsidR="00501DF7" w:rsidRPr="003B4159" w14:paraId="3AD17E53" w14:textId="77777777" w:rsidTr="006C36CC">
        <w:tc>
          <w:tcPr>
            <w:tcW w:w="626" w:type="pct"/>
            <w:shd w:val="clear" w:color="auto" w:fill="auto"/>
            <w:vAlign w:val="center"/>
          </w:tcPr>
          <w:p w14:paraId="35361B64" w14:textId="77777777" w:rsidR="00501DF7" w:rsidRPr="003B4159" w:rsidRDefault="00501DF7" w:rsidP="00501DF7">
            <w:pPr>
              <w:pStyle w:val="TableText0"/>
              <w:rPr>
                <w:lang w:val="en-US"/>
              </w:rPr>
            </w:pPr>
            <w:r w:rsidRPr="003B4159">
              <w:rPr>
                <w:lang w:val="en-US"/>
              </w:rPr>
              <w:t>Comparator drug prices</w:t>
            </w:r>
          </w:p>
        </w:tc>
        <w:tc>
          <w:tcPr>
            <w:tcW w:w="2299" w:type="pct"/>
            <w:shd w:val="clear" w:color="auto" w:fill="auto"/>
            <w:vAlign w:val="center"/>
          </w:tcPr>
          <w:p w14:paraId="77C58DDD" w14:textId="77777777" w:rsidR="00501DF7" w:rsidRPr="003B4159" w:rsidRDefault="00501DF7" w:rsidP="00501DF7">
            <w:pPr>
              <w:pStyle w:val="TableText0"/>
              <w:rPr>
                <w:lang w:val="en-US"/>
              </w:rPr>
            </w:pPr>
            <w:r w:rsidRPr="003B4159">
              <w:rPr>
                <w:lang w:val="en-US"/>
              </w:rPr>
              <w:t>Foscarnet and cidofovir prices selected were not adequately justified.</w:t>
            </w:r>
          </w:p>
        </w:tc>
        <w:tc>
          <w:tcPr>
            <w:tcW w:w="2075" w:type="pct"/>
            <w:shd w:val="clear" w:color="auto" w:fill="auto"/>
            <w:vAlign w:val="center"/>
          </w:tcPr>
          <w:p w14:paraId="70E03C83" w14:textId="3DDE048A" w:rsidR="00501DF7" w:rsidRPr="003B4159" w:rsidRDefault="00501DF7" w:rsidP="00501DF7">
            <w:pPr>
              <w:pStyle w:val="TableText0"/>
              <w:rPr>
                <w:lang w:val="en-US"/>
              </w:rPr>
            </w:pPr>
            <w:r w:rsidRPr="003B4159">
              <w:rPr>
                <w:lang w:val="en-US"/>
              </w:rPr>
              <w:t xml:space="preserve">High, </w:t>
            </w:r>
            <w:r w:rsidRPr="003B4159">
              <w:t>favours</w:t>
            </w:r>
            <w:r w:rsidRPr="003B4159">
              <w:rPr>
                <w:lang w:val="en-US"/>
              </w:rPr>
              <w:t xml:space="preserve"> maribavir </w:t>
            </w:r>
          </w:p>
          <w:p w14:paraId="657E56B6" w14:textId="75E58603" w:rsidR="00501DF7" w:rsidRPr="003B4159" w:rsidRDefault="00501DF7" w:rsidP="00501DF7">
            <w:pPr>
              <w:pStyle w:val="TableText0"/>
              <w:rPr>
                <w:lang w:val="en-US"/>
              </w:rPr>
            </w:pPr>
            <w:r w:rsidRPr="003B4159">
              <w:rPr>
                <w:lang w:val="en-US"/>
              </w:rPr>
              <w:t xml:space="preserve">If price is dropped by </w:t>
            </w:r>
            <w:r w:rsidRPr="00F663ED">
              <w:rPr>
                <w:lang w:val="en-US"/>
              </w:rPr>
              <w:t>50</w:t>
            </w:r>
            <w:r w:rsidRPr="003B4159">
              <w:rPr>
                <w:lang w:val="en-US"/>
              </w:rPr>
              <w:t xml:space="preserve">% the ICER increased to </w:t>
            </w:r>
            <w:r w:rsidR="00E038A0" w:rsidRPr="00566FB2">
              <w:rPr>
                <w:color w:val="000000"/>
                <w:spacing w:val="53"/>
                <w:shd w:val="solid" w:color="000000" w:fill="000000"/>
                <w:fitText w:val="330" w:id="-1032069886"/>
                <w:lang w:val="en-US"/>
                <w14:textFill>
                  <w14:solidFill>
                    <w14:srgbClr w14:val="000000">
                      <w14:alpha w14:val="100000"/>
                    </w14:srgbClr>
                  </w14:solidFill>
                </w14:textFill>
              </w:rPr>
              <w:t>|||</w:t>
            </w:r>
            <w:r w:rsidR="00E038A0" w:rsidRPr="00566FB2">
              <w:rPr>
                <w:color w:val="000000"/>
                <w:spacing w:val="1"/>
                <w:shd w:val="solid" w:color="000000" w:fill="000000"/>
                <w:fitText w:val="330" w:id="-1032069886"/>
                <w:lang w:val="en-US"/>
                <w14:textFill>
                  <w14:solidFill>
                    <w14:srgbClr w14:val="000000">
                      <w14:alpha w14:val="100000"/>
                    </w14:srgbClr>
                  </w14:solidFill>
                </w14:textFill>
              </w:rPr>
              <w:t>|</w:t>
            </w:r>
            <w:r w:rsidR="00FC70D1" w:rsidRPr="00FC70D1">
              <w:rPr>
                <w:vertAlign w:val="superscript"/>
                <w:lang w:val="en-US"/>
              </w:rPr>
              <w:t>3</w:t>
            </w:r>
            <w:r w:rsidRPr="003B4159">
              <w:rPr>
                <w:lang w:val="en-US"/>
              </w:rPr>
              <w:t>.</w:t>
            </w:r>
          </w:p>
        </w:tc>
      </w:tr>
      <w:tr w:rsidR="00501DF7" w:rsidRPr="003B4159" w14:paraId="5046C467" w14:textId="77777777" w:rsidTr="006C36CC">
        <w:tc>
          <w:tcPr>
            <w:tcW w:w="626" w:type="pct"/>
            <w:shd w:val="clear" w:color="auto" w:fill="auto"/>
            <w:vAlign w:val="center"/>
          </w:tcPr>
          <w:p w14:paraId="11E819CF" w14:textId="77777777" w:rsidR="00501DF7" w:rsidRPr="003B4159" w:rsidRDefault="00501DF7" w:rsidP="00501DF7">
            <w:pPr>
              <w:pStyle w:val="TableText0"/>
              <w:rPr>
                <w:lang w:val="en-US"/>
              </w:rPr>
            </w:pPr>
            <w:r w:rsidRPr="003B4159">
              <w:rPr>
                <w:lang w:val="en-US"/>
              </w:rPr>
              <w:t>Model duration</w:t>
            </w:r>
          </w:p>
        </w:tc>
        <w:tc>
          <w:tcPr>
            <w:tcW w:w="2299" w:type="pct"/>
            <w:shd w:val="clear" w:color="auto" w:fill="auto"/>
            <w:vAlign w:val="center"/>
          </w:tcPr>
          <w:p w14:paraId="1032E402" w14:textId="4F6E2F92" w:rsidR="00501DF7" w:rsidRPr="003B4159" w:rsidRDefault="00501DF7" w:rsidP="00501DF7">
            <w:pPr>
              <w:pStyle w:val="TableText0"/>
              <w:rPr>
                <w:lang w:val="en-US"/>
              </w:rPr>
            </w:pPr>
            <w:r w:rsidRPr="003B4159">
              <w:rPr>
                <w:lang w:val="en-US"/>
              </w:rPr>
              <w:t xml:space="preserve">The submission’s </w:t>
            </w:r>
            <w:r w:rsidR="000228E3" w:rsidRPr="003B4159">
              <w:rPr>
                <w:lang w:val="en-US"/>
              </w:rPr>
              <w:t xml:space="preserve">selection </w:t>
            </w:r>
            <w:r w:rsidRPr="003B4159">
              <w:rPr>
                <w:lang w:val="en-US"/>
              </w:rPr>
              <w:t>of the 10</w:t>
            </w:r>
            <w:r w:rsidR="00D97860" w:rsidRPr="003B4159">
              <w:rPr>
                <w:lang w:val="en-US"/>
              </w:rPr>
              <w:t>-</w:t>
            </w:r>
            <w:r w:rsidRPr="003B4159">
              <w:rPr>
                <w:lang w:val="en-US"/>
              </w:rPr>
              <w:t>year time horizon was not adequately justified, particularly given no CMV events were assumed to occur following 78 weeks or 1.5 years.</w:t>
            </w:r>
          </w:p>
        </w:tc>
        <w:tc>
          <w:tcPr>
            <w:tcW w:w="2075" w:type="pct"/>
            <w:shd w:val="clear" w:color="auto" w:fill="auto"/>
            <w:vAlign w:val="center"/>
          </w:tcPr>
          <w:p w14:paraId="0B61D0FC" w14:textId="77777777" w:rsidR="00501DF7" w:rsidRPr="003B4159" w:rsidRDefault="00501DF7" w:rsidP="00501DF7">
            <w:pPr>
              <w:pStyle w:val="TableText0"/>
              <w:rPr>
                <w:lang w:val="en-US"/>
              </w:rPr>
            </w:pPr>
            <w:r w:rsidRPr="003B4159">
              <w:rPr>
                <w:lang w:val="en-US"/>
              </w:rPr>
              <w:t xml:space="preserve">High, </w:t>
            </w:r>
            <w:r w:rsidRPr="003B4159">
              <w:t>favours</w:t>
            </w:r>
            <w:r w:rsidRPr="003B4159">
              <w:rPr>
                <w:lang w:val="en-US"/>
              </w:rPr>
              <w:t xml:space="preserve"> maribavir</w:t>
            </w:r>
          </w:p>
          <w:p w14:paraId="429B0620" w14:textId="00FCD146" w:rsidR="00501DF7" w:rsidRPr="003B4159" w:rsidRDefault="00501DF7" w:rsidP="00501DF7">
            <w:pPr>
              <w:pStyle w:val="TableText0"/>
              <w:rPr>
                <w:lang w:val="en-US"/>
              </w:rPr>
            </w:pPr>
            <w:r w:rsidRPr="003B4159">
              <w:rPr>
                <w:lang w:val="en-US"/>
              </w:rPr>
              <w:t>Shortening the model to 5 years increased the ICER to</w:t>
            </w:r>
            <w:r w:rsidR="00E038A0">
              <w:rPr>
                <w:lang w:val="en-US"/>
              </w:rPr>
              <w:t xml:space="preserve"> </w:t>
            </w:r>
            <w:r w:rsidR="00E038A0" w:rsidRPr="00566FB2">
              <w:rPr>
                <w:color w:val="000000"/>
                <w:spacing w:val="53"/>
                <w:shd w:val="solid" w:color="000000" w:fill="000000"/>
                <w:fitText w:val="330" w:id="-1032069885"/>
                <w:lang w:val="en-US"/>
                <w14:textFill>
                  <w14:solidFill>
                    <w14:srgbClr w14:val="000000">
                      <w14:alpha w14:val="100000"/>
                    </w14:srgbClr>
                  </w14:solidFill>
                </w14:textFill>
              </w:rPr>
              <w:t>|||</w:t>
            </w:r>
            <w:r w:rsidR="00E038A0" w:rsidRPr="00566FB2">
              <w:rPr>
                <w:color w:val="000000"/>
                <w:spacing w:val="1"/>
                <w:shd w:val="solid" w:color="000000" w:fill="000000"/>
                <w:fitText w:val="330" w:id="-1032069885"/>
                <w:lang w:val="en-US"/>
                <w14:textFill>
                  <w14:solidFill>
                    <w14:srgbClr w14:val="000000">
                      <w14:alpha w14:val="100000"/>
                    </w14:srgbClr>
                  </w14:solidFill>
                </w14:textFill>
              </w:rPr>
              <w:t>|</w:t>
            </w:r>
            <w:r w:rsidR="00FC70D1" w:rsidRPr="00FC70D1">
              <w:rPr>
                <w:vertAlign w:val="superscript"/>
                <w:lang w:val="en-US"/>
              </w:rPr>
              <w:t>2</w:t>
            </w:r>
            <w:r w:rsidRPr="003B4159">
              <w:rPr>
                <w:lang w:val="en-US"/>
              </w:rPr>
              <w:t xml:space="preserve"> and shortening it to 2 years increased the ICER to</w:t>
            </w:r>
            <w:r w:rsidR="00E038A0">
              <w:rPr>
                <w:lang w:val="en-US"/>
              </w:rPr>
              <w:t xml:space="preserve"> </w:t>
            </w:r>
            <w:r w:rsidR="00E038A0" w:rsidRPr="00E038A0">
              <w:rPr>
                <w:color w:val="000000"/>
                <w:spacing w:val="49"/>
                <w:shd w:val="solid" w:color="000000" w:fill="000000"/>
                <w:fitText w:val="320" w:id="-1032069884"/>
                <w:lang w:val="en-US"/>
                <w14:textFill>
                  <w14:solidFill>
                    <w14:srgbClr w14:val="000000">
                      <w14:alpha w14:val="100000"/>
                    </w14:srgbClr>
                  </w14:solidFill>
                </w14:textFill>
              </w:rPr>
              <w:t>|||</w:t>
            </w:r>
            <w:r w:rsidR="00E038A0" w:rsidRPr="00E038A0">
              <w:rPr>
                <w:color w:val="000000"/>
                <w:spacing w:val="3"/>
                <w:shd w:val="solid" w:color="000000" w:fill="000000"/>
                <w:fitText w:val="320" w:id="-1032069884"/>
                <w:lang w:val="en-US"/>
                <w14:textFill>
                  <w14:solidFill>
                    <w14:srgbClr w14:val="000000">
                      <w14:alpha w14:val="100000"/>
                    </w14:srgbClr>
                  </w14:solidFill>
                </w14:textFill>
              </w:rPr>
              <w:t>|</w:t>
            </w:r>
            <w:r w:rsidR="00FC70D1" w:rsidRPr="00FC70D1">
              <w:rPr>
                <w:vertAlign w:val="superscript"/>
                <w:lang w:val="en-US"/>
              </w:rPr>
              <w:t>4</w:t>
            </w:r>
            <w:r w:rsidRPr="003B4159">
              <w:rPr>
                <w:lang w:val="en-US"/>
              </w:rPr>
              <w:t>/QALY gained.</w:t>
            </w:r>
          </w:p>
        </w:tc>
      </w:tr>
    </w:tbl>
    <w:p w14:paraId="7A881844" w14:textId="77777777" w:rsidR="00501DF7" w:rsidRDefault="00501DF7" w:rsidP="00501DF7">
      <w:pPr>
        <w:pStyle w:val="FooterTableFigure"/>
      </w:pPr>
      <w:r>
        <w:t>Source: compiled during the evaluation.</w:t>
      </w:r>
    </w:p>
    <w:p w14:paraId="62FEB42D" w14:textId="13735AF9" w:rsidR="004C0546" w:rsidRDefault="00501DF7" w:rsidP="002A17E8">
      <w:pPr>
        <w:pStyle w:val="FooterTableFigure"/>
      </w:pPr>
      <w:r>
        <w:t>CMV = cytomegalovirus; HSCT = haematopoietic stem cell transplant</w:t>
      </w:r>
    </w:p>
    <w:p w14:paraId="0CAA43F3" w14:textId="77777777" w:rsidR="00FC70D1" w:rsidRPr="00FC70D1" w:rsidRDefault="00FC70D1" w:rsidP="00FC70D1">
      <w:pPr>
        <w:pStyle w:val="FooterTableFigure"/>
        <w:rPr>
          <w:i/>
          <w:iCs/>
        </w:rPr>
      </w:pPr>
      <w:bookmarkStart w:id="43" w:name="_Hlk155084821"/>
      <w:r w:rsidRPr="00FC70D1">
        <w:rPr>
          <w:i/>
          <w:iCs/>
        </w:rPr>
        <w:t>The redacted values correspond to the following ranges:</w:t>
      </w:r>
    </w:p>
    <w:p w14:paraId="0386845B" w14:textId="0576F22D" w:rsidR="00FC70D1" w:rsidRDefault="00FC70D1" w:rsidP="00FC70D1">
      <w:pPr>
        <w:pStyle w:val="FooterTableFigure"/>
        <w:rPr>
          <w:i/>
          <w:iCs/>
        </w:rPr>
      </w:pPr>
      <w:r w:rsidRPr="00FC70D1">
        <w:rPr>
          <w:i/>
          <w:iCs/>
          <w:vertAlign w:val="superscript"/>
        </w:rPr>
        <w:t>1</w:t>
      </w:r>
      <w:r w:rsidRPr="00FC70D1">
        <w:rPr>
          <w:i/>
          <w:iCs/>
        </w:rPr>
        <w:t xml:space="preserve"> $45,000 to &lt; $55,000</w:t>
      </w:r>
    </w:p>
    <w:p w14:paraId="604F211C" w14:textId="67B222FF" w:rsidR="00FC70D1" w:rsidRPr="00FC70D1" w:rsidRDefault="00FC70D1" w:rsidP="00FC70D1">
      <w:pPr>
        <w:pStyle w:val="FooterTableFigure"/>
        <w:rPr>
          <w:i/>
          <w:iCs/>
        </w:rPr>
      </w:pPr>
      <w:r w:rsidRPr="00FC70D1">
        <w:rPr>
          <w:i/>
          <w:iCs/>
          <w:vertAlign w:val="superscript"/>
        </w:rPr>
        <w:t>2</w:t>
      </w:r>
      <w:r w:rsidR="006A3C21">
        <w:rPr>
          <w:i/>
          <w:iCs/>
          <w:vertAlign w:val="superscript"/>
        </w:rPr>
        <w:t xml:space="preserve"> </w:t>
      </w:r>
      <w:r w:rsidRPr="00FC70D1">
        <w:rPr>
          <w:i/>
          <w:iCs/>
        </w:rPr>
        <w:t>$75,000 to &lt; $95,000</w:t>
      </w:r>
    </w:p>
    <w:p w14:paraId="56B61692" w14:textId="37F572F2" w:rsidR="00FC70D1" w:rsidRPr="00FC70D1" w:rsidRDefault="00FC70D1" w:rsidP="00FC70D1">
      <w:pPr>
        <w:pStyle w:val="FooterTableFigure"/>
        <w:rPr>
          <w:i/>
          <w:iCs/>
        </w:rPr>
      </w:pPr>
      <w:r w:rsidRPr="00FC70D1">
        <w:rPr>
          <w:i/>
          <w:iCs/>
          <w:vertAlign w:val="superscript"/>
        </w:rPr>
        <w:t>3</w:t>
      </w:r>
      <w:r w:rsidR="006A3C21">
        <w:rPr>
          <w:i/>
          <w:iCs/>
          <w:vertAlign w:val="superscript"/>
        </w:rPr>
        <w:t xml:space="preserve"> </w:t>
      </w:r>
      <w:r w:rsidRPr="00FC70D1">
        <w:rPr>
          <w:i/>
          <w:iCs/>
        </w:rPr>
        <w:t xml:space="preserve">$95,000 to &lt; $115,000 </w:t>
      </w:r>
    </w:p>
    <w:p w14:paraId="4B75AD64" w14:textId="5E476D60" w:rsidR="00FC70D1" w:rsidRDefault="00FC70D1" w:rsidP="002A17E8">
      <w:pPr>
        <w:pStyle w:val="FooterTableFigure"/>
      </w:pPr>
      <w:r w:rsidRPr="00FC70D1">
        <w:rPr>
          <w:i/>
          <w:iCs/>
          <w:vertAlign w:val="superscript"/>
        </w:rPr>
        <w:t>4</w:t>
      </w:r>
      <w:r w:rsidR="006A3C21">
        <w:rPr>
          <w:i/>
          <w:iCs/>
          <w:vertAlign w:val="superscript"/>
        </w:rPr>
        <w:t xml:space="preserve"> </w:t>
      </w:r>
      <w:r w:rsidRPr="00FC70D1">
        <w:rPr>
          <w:i/>
          <w:iCs/>
        </w:rPr>
        <w:t>$115,000 to &lt; $135,000</w:t>
      </w:r>
      <w:bookmarkEnd w:id="43"/>
    </w:p>
    <w:p w14:paraId="380D6706" w14:textId="03AE17E9" w:rsidR="00E13D3E" w:rsidRPr="006B79F5" w:rsidRDefault="004B7F79" w:rsidP="003926B6">
      <w:pPr>
        <w:pStyle w:val="3-BodyText"/>
      </w:pPr>
      <w:bookmarkStart w:id="44" w:name="_Ref148041113"/>
      <w:r>
        <w:rPr>
          <w:rFonts w:eastAsia="Calibri"/>
        </w:rPr>
        <w:t>A</w:t>
      </w:r>
      <w:r w:rsidR="00E13D3E">
        <w:rPr>
          <w:rFonts w:eastAsia="Calibri"/>
        </w:rPr>
        <w:t>pplication of the clinical data in the model is provided below:</w:t>
      </w:r>
      <w:bookmarkEnd w:id="44"/>
    </w:p>
    <w:p w14:paraId="75361955" w14:textId="3389633C" w:rsidR="00E13D3E" w:rsidRPr="00EB3ECB" w:rsidRDefault="001544A6" w:rsidP="003926B6">
      <w:pPr>
        <w:pStyle w:val="ListParagraph"/>
        <w:numPr>
          <w:ilvl w:val="0"/>
          <w:numId w:val="17"/>
        </w:numPr>
        <w:ind w:left="993" w:hanging="284"/>
      </w:pPr>
      <w:r w:rsidRPr="001544A6">
        <w:rPr>
          <w:u w:val="single"/>
        </w:rPr>
        <w:t>Clearance</w:t>
      </w:r>
      <w:r>
        <w:t xml:space="preserve">: </w:t>
      </w:r>
      <w:r w:rsidR="000643B2">
        <w:t>t</w:t>
      </w:r>
      <w:r w:rsidRPr="004A5EA4">
        <w:t xml:space="preserve">he first health state transition events in the model occur at week 8 and are </w:t>
      </w:r>
      <w:r>
        <w:t>based on</w:t>
      </w:r>
      <w:r w:rsidRPr="004A5EA4">
        <w:t xml:space="preserve"> the primary endpoint value from SOLSTICE (confirmed CMV </w:t>
      </w:r>
      <w:r w:rsidR="003F2CC0">
        <w:t>viraemia</w:t>
      </w:r>
      <w:r w:rsidRPr="004A5EA4">
        <w:t xml:space="preserve"> clearance at the end of Week 8).</w:t>
      </w:r>
      <w:r>
        <w:t xml:space="preserve"> </w:t>
      </w:r>
      <w:r w:rsidRPr="004A5EA4">
        <w:t>These values were used directly to inform the transition between the csCMV and n-csCMV health state between weeks 0 to 8.</w:t>
      </w:r>
      <w:r>
        <w:t xml:space="preserve"> </w:t>
      </w:r>
      <w:r w:rsidR="00E13D3E">
        <w:t xml:space="preserve">Clearance probabilities from week 8 to week 78 were derived from the </w:t>
      </w:r>
      <w:r>
        <w:t xml:space="preserve">week 8 response for the </w:t>
      </w:r>
      <w:r w:rsidR="00E13D3E">
        <w:t xml:space="preserve">IAT arm of SOLSTICE, as patients can only receive IAT treatment from week 8 onward. </w:t>
      </w:r>
      <w:r w:rsidR="00E13D3E" w:rsidRPr="00EB3ECB">
        <w:t>The submission provided no justification or evidence supporting the use of week 8 clearance data for 78 weeks.</w:t>
      </w:r>
    </w:p>
    <w:p w14:paraId="63F0669A" w14:textId="418357C1" w:rsidR="00E13D3E" w:rsidRPr="00D1146E" w:rsidRDefault="000643B2" w:rsidP="003926B6">
      <w:pPr>
        <w:pStyle w:val="ListParagraph"/>
        <w:numPr>
          <w:ilvl w:val="0"/>
          <w:numId w:val="17"/>
        </w:numPr>
        <w:ind w:left="993" w:hanging="284"/>
      </w:pPr>
      <w:r w:rsidRPr="000643B2">
        <w:rPr>
          <w:u w:val="single"/>
        </w:rPr>
        <w:t>Recurrence:</w:t>
      </w:r>
      <w:r w:rsidRPr="00DF40E7">
        <w:rPr>
          <w:iCs/>
        </w:rPr>
        <w:t xml:space="preserve"> </w:t>
      </w:r>
      <w:r w:rsidR="008D3B2C" w:rsidRPr="00627295">
        <w:t>r</w:t>
      </w:r>
      <w:r w:rsidR="00E13D3E" w:rsidRPr="00627295">
        <w:t>ates of recurrence between week 8 and week 20 were treatment-specific and were sourced from SOLSTICE.</w:t>
      </w:r>
      <w:r w:rsidR="00D70B44" w:rsidRPr="00EB3ECB">
        <w:t xml:space="preserve"> This differed from the model accepted </w:t>
      </w:r>
      <w:r w:rsidR="00D70B44" w:rsidRPr="00EB3ECB">
        <w:lastRenderedPageBreak/>
        <w:t>by NICE, where recurrence was assumed to be treatment independent for the model duration.</w:t>
      </w:r>
      <w:r w:rsidR="00E13D3E" w:rsidRPr="00EB3ECB">
        <w:t xml:space="preserve"> Recurrence from week 21 onward was sourced from OTUS and w</w:t>
      </w:r>
      <w:r w:rsidR="002543BC" w:rsidRPr="00EB3ECB">
        <w:t>as</w:t>
      </w:r>
      <w:r w:rsidR="00E13D3E" w:rsidRPr="00EB3ECB">
        <w:t xml:space="preserve"> considered independent of treatment. </w:t>
      </w:r>
      <w:r w:rsidR="00D70B44" w:rsidRPr="00421405">
        <w:t>T</w:t>
      </w:r>
      <w:r w:rsidR="00E13D3E" w:rsidRPr="00421405">
        <w:t xml:space="preserve">he </w:t>
      </w:r>
      <w:r w:rsidR="008D3B2C" w:rsidRPr="00421405">
        <w:t>ESC considered that the</w:t>
      </w:r>
      <w:r w:rsidR="008D3B2C" w:rsidRPr="00DF40E7">
        <w:rPr>
          <w:iCs/>
        </w:rPr>
        <w:t xml:space="preserve"> </w:t>
      </w:r>
      <w:r w:rsidR="00E13D3E" w:rsidRPr="00D1146E">
        <w:t xml:space="preserve">submission did not </w:t>
      </w:r>
      <w:r w:rsidR="005C12B7" w:rsidRPr="00D1146E">
        <w:t xml:space="preserve">adequately </w:t>
      </w:r>
      <w:r w:rsidR="00E13D3E" w:rsidRPr="00D1146E">
        <w:t>justify the use of</w:t>
      </w:r>
      <w:r w:rsidR="00DF4DB5" w:rsidRPr="00D1146E">
        <w:t xml:space="preserve"> treatment-specific recurrence from SOLSTICE followed by treatment-independent recurrence from OTUS.</w:t>
      </w:r>
      <w:r w:rsidR="00E13D3E" w:rsidRPr="00D1146E">
        <w:t xml:space="preserve"> </w:t>
      </w:r>
    </w:p>
    <w:p w14:paraId="5BB5E5B2" w14:textId="79026815" w:rsidR="00E13D3E" w:rsidRPr="00EB3ECB" w:rsidRDefault="00C51577" w:rsidP="003926B6">
      <w:pPr>
        <w:pStyle w:val="ListParagraph"/>
        <w:numPr>
          <w:ilvl w:val="0"/>
          <w:numId w:val="17"/>
        </w:numPr>
        <w:ind w:left="993" w:hanging="284"/>
      </w:pPr>
      <w:r w:rsidRPr="00C51577">
        <w:rPr>
          <w:u w:val="single"/>
        </w:rPr>
        <w:t>Mortality:</w:t>
      </w:r>
      <w:r w:rsidRPr="00DF40E7">
        <w:rPr>
          <w:iCs/>
        </w:rPr>
        <w:t xml:space="preserve"> </w:t>
      </w:r>
      <w:r w:rsidR="00627295">
        <w:t>t</w:t>
      </w:r>
      <w:r w:rsidR="00E13D3E" w:rsidRPr="00EB3ECB">
        <w:t>ransition probabilities for mortality from week 8 to week 78 were based on SOLSTICE and were classified according to response (patients achieving clearance) and no response (patients not achieving clearance) at week 8</w:t>
      </w:r>
      <w:r w:rsidR="009B0386" w:rsidRPr="00EB3ECB">
        <w:t xml:space="preserve"> for each transplant type</w:t>
      </w:r>
      <w:r w:rsidR="00E13D3E" w:rsidRPr="00EB3ECB">
        <w:t xml:space="preserve">. </w:t>
      </w:r>
      <w:r w:rsidRPr="00C51577">
        <w:rPr>
          <w:rFonts w:ascii="Calibri" w:hAnsi="Calibri" w:cs="Calibri"/>
        </w:rPr>
        <w:t>T</w:t>
      </w:r>
      <w:r w:rsidR="00E13D3E" w:rsidRPr="00C51577">
        <w:rPr>
          <w:rFonts w:ascii="Calibri" w:hAnsi="Calibri" w:cs="Calibri"/>
        </w:rPr>
        <w:t xml:space="preserve">he submission provided no justification </w:t>
      </w:r>
      <w:r w:rsidR="00D1146E" w:rsidRPr="00C51577">
        <w:rPr>
          <w:rFonts w:ascii="Calibri" w:hAnsi="Calibri" w:cs="Calibri"/>
        </w:rPr>
        <w:t>for applying</w:t>
      </w:r>
      <w:r w:rsidR="00E13D3E" w:rsidRPr="00C51577">
        <w:rPr>
          <w:rFonts w:ascii="Calibri" w:hAnsi="Calibri" w:cs="Calibri"/>
        </w:rPr>
        <w:t xml:space="preserve"> data from week 8 to week 20 in SOLSTICE up to 78 weeks. Mortality from week 78 onward was based on transplant type, using</w:t>
      </w:r>
      <w:r>
        <w:rPr>
          <w:rFonts w:ascii="Calibri" w:hAnsi="Calibri" w:cs="Calibri"/>
        </w:rPr>
        <w:t xml:space="preserve"> various</w:t>
      </w:r>
      <w:r w:rsidR="00E13D3E" w:rsidRPr="00C51577">
        <w:rPr>
          <w:rFonts w:ascii="Calibri" w:hAnsi="Calibri" w:cs="Calibri"/>
        </w:rPr>
        <w:t xml:space="preserve"> literature-based data. </w:t>
      </w:r>
    </w:p>
    <w:p w14:paraId="621E1C01" w14:textId="77777777" w:rsidR="00B62D80" w:rsidRPr="00421405" w:rsidRDefault="00B62D80" w:rsidP="003926B6">
      <w:pPr>
        <w:pStyle w:val="3-BodyText"/>
        <w:numPr>
          <w:ilvl w:val="0"/>
          <w:numId w:val="0"/>
        </w:numPr>
        <w:ind w:left="720"/>
      </w:pPr>
      <w:r w:rsidRPr="00421405">
        <w:t xml:space="preserve">The ESC considered that the selective application of the different data sources to the various transition probabilities and stages of the model was poorly justified and added substantial uncertainty to the modelled outcomes. </w:t>
      </w:r>
    </w:p>
    <w:p w14:paraId="212FFC3F" w14:textId="132458AD" w:rsidR="00E13D3E" w:rsidRPr="004B7F79" w:rsidRDefault="00E13D3E" w:rsidP="004B7F79">
      <w:pPr>
        <w:pStyle w:val="3-BodyText"/>
      </w:pPr>
      <w:r w:rsidRPr="004B7F79">
        <w:t>The utility values applied in the model were sourced from EQ-5D-5L data collected in SOLSTICE</w:t>
      </w:r>
      <w:r w:rsidR="002543BC" w:rsidRPr="004B7F79">
        <w:t xml:space="preserve"> and results from a time-trade-off (TTO) study conducted in the UK</w:t>
      </w:r>
      <w:r w:rsidRPr="004B7F79">
        <w:t xml:space="preserve">. </w:t>
      </w:r>
      <w:r w:rsidR="000E6614" w:rsidRPr="004B7F79">
        <w:t>T</w:t>
      </w:r>
      <w:r w:rsidRPr="004B7F79">
        <w:t xml:space="preserve">he EQ-5D-5L responses were mapped to EQ-5D-3L responses by a crosswalk algorithm using Van Hout </w:t>
      </w:r>
      <w:r w:rsidRPr="004B7F79">
        <w:rPr>
          <w:rFonts w:eastAsiaTheme="minorHAnsi"/>
        </w:rPr>
        <w:t>2012</w:t>
      </w:r>
      <w:r w:rsidRPr="004B7F79">
        <w:t xml:space="preserve">, following NICE guidelines. The submission provided no explanation as to why Australian mapping was not used. The submission reported there was no significant effect based on treatment, but there was a statistically significant effect based on response and transplant type. Thus, the utility values applied in the model were the same for both treatment arms, and were different for SOT and HSCT patients. </w:t>
      </w:r>
      <w:r w:rsidR="006A0417" w:rsidRPr="004B7F79">
        <w:t>The TTO</w:t>
      </w:r>
      <w:r w:rsidRPr="004B7F79">
        <w:t xml:space="preserve"> study included 1,020 participants from the general public who responded to a series of vignettes. </w:t>
      </w:r>
      <w:r w:rsidR="004B7689" w:rsidRPr="004B7F79">
        <w:t>I</w:t>
      </w:r>
      <w:r w:rsidRPr="004B7F79">
        <w:t>t was unknown how many respondents contributed to each health state/response type used</w:t>
      </w:r>
      <w:r w:rsidR="004B7689" w:rsidRPr="004B7F79">
        <w:t xml:space="preserve"> in the TTO study</w:t>
      </w:r>
      <w:r w:rsidRPr="004B7F79">
        <w:t>.</w:t>
      </w:r>
    </w:p>
    <w:p w14:paraId="0D60B58B" w14:textId="3AE77198" w:rsidR="00501DF7" w:rsidRPr="00421405" w:rsidRDefault="00501DF7" w:rsidP="00501DF7">
      <w:pPr>
        <w:pStyle w:val="3-BodyText"/>
      </w:pPr>
      <w:r w:rsidRPr="00EB3ECB">
        <w:t xml:space="preserve">The model duration of 10 years was not adequately justified by the submission, which, </w:t>
      </w:r>
      <w:r w:rsidR="00594F5A" w:rsidRPr="00EB3ECB">
        <w:t>citing</w:t>
      </w:r>
      <w:r w:rsidRPr="00EB3ECB">
        <w:t xml:space="preserve"> the July 2018 and March 2019 letermovir submissions, claimed that the PBAC considered 10 years to be an appropriate time horizon in the economic evaluation of CMV treatments.</w:t>
      </w:r>
      <w:r w:rsidR="00906521" w:rsidRPr="00EB3ECB">
        <w:t xml:space="preserve"> </w:t>
      </w:r>
      <w:r w:rsidRPr="00EB3ECB">
        <w:rPr>
          <w:lang w:eastAsia="en-GB"/>
        </w:rPr>
        <w:t xml:space="preserve">The PBAC did not comment directly on the model duration for letermovir, and while ESC in July 2018 indicated that a </w:t>
      </w:r>
      <w:r w:rsidR="007B3E99" w:rsidRPr="00EB3ECB">
        <w:rPr>
          <w:lang w:eastAsia="en-GB"/>
        </w:rPr>
        <w:t>10-year</w:t>
      </w:r>
      <w:r w:rsidRPr="00EB3ECB">
        <w:rPr>
          <w:lang w:eastAsia="en-GB"/>
        </w:rPr>
        <w:t xml:space="preserve"> time horizon may be reasonable to capture the life years gained from deaths avoided due to CMV infections, there were other issues that rendered the letermovir model unreliable.</w:t>
      </w:r>
      <w:r w:rsidRPr="00EB3ECB">
        <w:t xml:space="preserve"> </w:t>
      </w:r>
      <w:r w:rsidR="001D687A" w:rsidRPr="00421405">
        <w:t>T</w:t>
      </w:r>
      <w:r w:rsidR="00F56CB4" w:rsidRPr="00421405">
        <w:t>he PSCR stated the 10-year time horizon assumption should be considered conservative in the context of other Health Technology Assessment agencies where lifetime time horizons (47 years) have been accepted for economic evaluations for maribavir in this patient population. T</w:t>
      </w:r>
      <w:r w:rsidR="001D687A" w:rsidRPr="00421405">
        <w:t xml:space="preserve">he ESC considered that that the submission’s selection of a 10-year time horizon was not adequately justified, particularly given no CMV events were assumed to occur </w:t>
      </w:r>
      <w:r w:rsidR="00A46485" w:rsidRPr="00421405">
        <w:t xml:space="preserve">after </w:t>
      </w:r>
      <w:r w:rsidR="001D687A" w:rsidRPr="00421405">
        <w:t xml:space="preserve">78 weeks. </w:t>
      </w:r>
    </w:p>
    <w:p w14:paraId="593C6786" w14:textId="5137B91E" w:rsidR="00D82CAC" w:rsidRPr="00EB3ECB" w:rsidRDefault="00D82CAC" w:rsidP="00501DF7">
      <w:pPr>
        <w:pStyle w:val="3-BodyText"/>
      </w:pPr>
      <w:r w:rsidRPr="00EB3ECB">
        <w:t>The model used a 4-week cycle for 3 years and then annual cycles for the remainder of the 10 years. T</w:t>
      </w:r>
      <w:r w:rsidR="00DF4DB5" w:rsidRPr="00EB3ECB">
        <w:t>he reason for thi</w:t>
      </w:r>
      <w:r w:rsidRPr="00EB3ECB">
        <w:t xml:space="preserve">s change in cycle duration was not discussed by the </w:t>
      </w:r>
      <w:r w:rsidRPr="00EB3ECB">
        <w:lastRenderedPageBreak/>
        <w:t>submission</w:t>
      </w:r>
      <w:r w:rsidR="000E6614">
        <w:t>.</w:t>
      </w:r>
      <w:r w:rsidRPr="00EB3ECB">
        <w:t xml:space="preserve"> The 2022 NICE document</w:t>
      </w:r>
      <w:r w:rsidRPr="00EB3ECB">
        <w:rPr>
          <w:rStyle w:val="FootnoteReference"/>
        </w:rPr>
        <w:footnoteReference w:id="6"/>
      </w:r>
      <w:r w:rsidRPr="00EB3ECB">
        <w:t xml:space="preserve"> reported this was done to allow the model to be flexible and to have the ability to include further CMV occurrences beyond 12</w:t>
      </w:r>
      <w:r w:rsidR="003926B6">
        <w:t> </w:t>
      </w:r>
      <w:r w:rsidRPr="00EB3ECB">
        <w:t>months. The impact on model results of a change in cycle length could not be assessed without considerable changes to the model, so the role of the submission’s selected change in cycle length is unknown.</w:t>
      </w:r>
    </w:p>
    <w:p w14:paraId="243A99BE" w14:textId="1F611888" w:rsidR="00C14EA3" w:rsidRPr="00421405" w:rsidRDefault="00DA7C02" w:rsidP="00501DF7">
      <w:pPr>
        <w:pStyle w:val="3-BodyText"/>
      </w:pPr>
      <w:r w:rsidRPr="00421405">
        <w:rPr>
          <w:iCs/>
        </w:rPr>
        <w:t>The ESC noted that the model relied on assumed prices for foscarnet and cidofovir, and that varying these prices had a substantial impact on the ICER.</w:t>
      </w:r>
      <w:r w:rsidRPr="00DF40E7">
        <w:t xml:space="preserve"> </w:t>
      </w:r>
      <w:r w:rsidR="00501DF7" w:rsidRPr="00EB3ECB">
        <w:t>While the submission justified the prices used for foscarnet and cidofovir on the basis that the drugs are currently funded through state-level tenders or hospital purchase, the submission did not provide any justification for the actual values applied.</w:t>
      </w:r>
      <w:r w:rsidR="00C14EA3">
        <w:t xml:space="preserve"> </w:t>
      </w:r>
      <w:r w:rsidR="00C14EA3" w:rsidRPr="00421405">
        <w:t>The PSCR stated that prices for these therapies were based on sponsor estimates</w:t>
      </w:r>
      <w:r w:rsidR="00231B41" w:rsidRPr="00421405">
        <w:t xml:space="preserve"> as the sponsor does not have visibility of the individual hospital formulary and state-level tenders</w:t>
      </w:r>
      <w:r w:rsidR="00C14EA3" w:rsidRPr="00421405">
        <w:t xml:space="preserve">. The ESC considered that this emphasises the usefulness of the sensitivity analysis that showed a potential 94% increase in the ICER when the price of these therapies was reduced </w:t>
      </w:r>
      <w:r w:rsidR="000E6614" w:rsidRPr="00421405">
        <w:t>by</w:t>
      </w:r>
      <w:r w:rsidR="00C14EA3" w:rsidRPr="00421405">
        <w:t xml:space="preserve"> </w:t>
      </w:r>
      <w:r w:rsidR="001B5D20" w:rsidRPr="00421405">
        <w:t>50%</w:t>
      </w:r>
      <w:r w:rsidR="00C14EA3" w:rsidRPr="00421405">
        <w:t>.</w:t>
      </w:r>
    </w:p>
    <w:p w14:paraId="52213FFB" w14:textId="1AB9D948" w:rsidR="00501DF7" w:rsidRPr="00421405" w:rsidRDefault="00C14EA3" w:rsidP="00501DF7">
      <w:pPr>
        <w:pStyle w:val="3-BodyText"/>
      </w:pPr>
      <w:r w:rsidRPr="00421405">
        <w:t>The PSCR stated that</w:t>
      </w:r>
      <w:r w:rsidR="00231B41" w:rsidRPr="00421405">
        <w:t xml:space="preserve"> </w:t>
      </w:r>
      <w:r w:rsidRPr="00421405">
        <w:t xml:space="preserve">the submission used PBS pricing for valganciclovir and ganciclovir as a proxy. The ESC considered this was reasonable </w:t>
      </w:r>
      <w:r w:rsidR="00C930B6" w:rsidRPr="00421405">
        <w:t>given</w:t>
      </w:r>
      <w:r w:rsidRPr="00421405">
        <w:t xml:space="preserve"> these therapies </w:t>
      </w:r>
      <w:r w:rsidR="00C930B6" w:rsidRPr="00421405">
        <w:t>are likely being used</w:t>
      </w:r>
      <w:r w:rsidRPr="00421405">
        <w:t xml:space="preserve"> off-label </w:t>
      </w:r>
      <w:r w:rsidR="00C930B6" w:rsidRPr="00421405">
        <w:t>for th</w:t>
      </w:r>
      <w:r w:rsidR="00897457" w:rsidRPr="00421405">
        <w:t>e requested</w:t>
      </w:r>
      <w:r w:rsidR="00C930B6" w:rsidRPr="00421405">
        <w:t xml:space="preserve"> patient population</w:t>
      </w:r>
      <w:r w:rsidRPr="00421405">
        <w:t xml:space="preserve"> on the PBS.</w:t>
      </w:r>
    </w:p>
    <w:p w14:paraId="60A059A5" w14:textId="46EAE9A8" w:rsidR="00501DF7" w:rsidRPr="00DF40E7" w:rsidRDefault="00501DF7" w:rsidP="00F95676">
      <w:pPr>
        <w:pStyle w:val="3-BodyText"/>
        <w:rPr>
          <w:iCs/>
        </w:rPr>
      </w:pPr>
      <w:bookmarkStart w:id="45" w:name="_Ref148041122"/>
      <w:r w:rsidRPr="00EB3ECB">
        <w:t>Overall, the model ha</w:t>
      </w:r>
      <w:r w:rsidR="007B3E99" w:rsidRPr="00EB3ECB">
        <w:t>d</w:t>
      </w:r>
      <w:r w:rsidRPr="00EB3ECB">
        <w:t xml:space="preserve"> structural issues (model duration not </w:t>
      </w:r>
      <w:r w:rsidR="00053F3A" w:rsidRPr="00EB3ECB">
        <w:t xml:space="preserve">adequately </w:t>
      </w:r>
      <w:r w:rsidRPr="00EB3ECB">
        <w:t xml:space="preserve">justified; Stage 1 length not </w:t>
      </w:r>
      <w:r w:rsidR="00847067" w:rsidRPr="00EB3ECB">
        <w:t>supported</w:t>
      </w:r>
      <w:r w:rsidRPr="00EB3ECB">
        <w:t>) and input issues (assumed response at 8 weeks will be maintained for 78 weeks without evidence for such; applied comparator drug costs that have not been justified) that render the model results unreliable.</w:t>
      </w:r>
      <w:bookmarkEnd w:id="45"/>
      <w:r w:rsidR="00F95676">
        <w:t xml:space="preserve"> </w:t>
      </w:r>
    </w:p>
    <w:p w14:paraId="7B6EC0B1" w14:textId="49811607" w:rsidR="00501DF7" w:rsidRPr="00EB3ECB" w:rsidRDefault="00E576A5" w:rsidP="00501DF7">
      <w:pPr>
        <w:pStyle w:val="3-BodyText"/>
      </w:pPr>
      <w:r w:rsidRPr="00EB3ECB">
        <w:t>T</w:t>
      </w:r>
      <w:r w:rsidR="00501DF7" w:rsidRPr="00EB3ECB">
        <w:t xml:space="preserve">he model results are provided in </w:t>
      </w:r>
      <w:r w:rsidR="002A17E8" w:rsidRPr="00EB3ECB">
        <w:rPr>
          <w:rFonts w:ascii="Calibri" w:hAnsi="Calibri" w:cs="Calibri"/>
        </w:rPr>
        <w:fldChar w:fldCharType="begin" w:fldLock="1"/>
      </w:r>
      <w:r w:rsidR="002A17E8" w:rsidRPr="00EB3ECB">
        <w:rPr>
          <w:rFonts w:ascii="Calibri" w:hAnsi="Calibri" w:cs="Calibri"/>
        </w:rPr>
        <w:instrText xml:space="preserve"> REF _Ref104805160 \h  \* MERGEFORMAT </w:instrText>
      </w:r>
      <w:r w:rsidR="002A17E8" w:rsidRPr="00EB3ECB">
        <w:rPr>
          <w:rFonts w:ascii="Calibri" w:hAnsi="Calibri" w:cs="Calibri"/>
        </w:rPr>
      </w:r>
      <w:r w:rsidR="002A17E8" w:rsidRPr="00EB3ECB">
        <w:rPr>
          <w:rFonts w:ascii="Calibri" w:hAnsi="Calibri" w:cs="Calibri"/>
        </w:rPr>
        <w:fldChar w:fldCharType="separate"/>
      </w:r>
      <w:r w:rsidR="0098695D" w:rsidRPr="00EB3ECB">
        <w:rPr>
          <w:rFonts w:ascii="Calibri" w:hAnsi="Calibri" w:cs="Calibri"/>
        </w:rPr>
        <w:t xml:space="preserve">Table </w:t>
      </w:r>
      <w:r w:rsidR="0098695D" w:rsidRPr="00EB3ECB">
        <w:rPr>
          <w:rFonts w:ascii="Calibri" w:hAnsi="Calibri" w:cs="Calibri"/>
          <w:noProof/>
        </w:rPr>
        <w:t>15</w:t>
      </w:r>
      <w:r w:rsidR="002A17E8" w:rsidRPr="00EB3ECB">
        <w:rPr>
          <w:rFonts w:ascii="Calibri" w:hAnsi="Calibri" w:cs="Calibri"/>
        </w:rPr>
        <w:fldChar w:fldCharType="end"/>
      </w:r>
      <w:r w:rsidR="00501DF7" w:rsidRPr="00EB3ECB">
        <w:rPr>
          <w:rFonts w:ascii="Calibri" w:hAnsi="Calibri" w:cs="Calibri"/>
        </w:rPr>
        <w:t>.</w:t>
      </w:r>
    </w:p>
    <w:p w14:paraId="684DC6D9" w14:textId="28D7A374" w:rsidR="004C0546" w:rsidRDefault="00501DF7" w:rsidP="003926B6">
      <w:pPr>
        <w:pStyle w:val="3-BodyText"/>
        <w:keepNext/>
        <w:keepLines/>
        <w:numPr>
          <w:ilvl w:val="0"/>
          <w:numId w:val="0"/>
        </w:numPr>
        <w:spacing w:after="0"/>
      </w:pPr>
      <w:bookmarkStart w:id="46" w:name="_Ref104805160"/>
      <w:r w:rsidRPr="00501DF7">
        <w:rPr>
          <w:rFonts w:ascii="Arial Narrow" w:hAnsi="Arial Narrow"/>
          <w:b/>
          <w:bCs/>
          <w:sz w:val="20"/>
          <w:szCs w:val="20"/>
        </w:rPr>
        <w:lastRenderedPageBreak/>
        <w:t xml:space="preserve">Table </w:t>
      </w:r>
      <w:r w:rsidRPr="00501DF7">
        <w:rPr>
          <w:rFonts w:ascii="Arial Narrow" w:hAnsi="Arial Narrow"/>
          <w:b/>
          <w:bCs/>
          <w:sz w:val="20"/>
          <w:szCs w:val="20"/>
        </w:rPr>
        <w:fldChar w:fldCharType="begin" w:fldLock="1"/>
      </w:r>
      <w:r w:rsidRPr="00501DF7">
        <w:rPr>
          <w:rFonts w:ascii="Arial Narrow" w:hAnsi="Arial Narrow"/>
          <w:b/>
          <w:bCs/>
          <w:sz w:val="20"/>
          <w:szCs w:val="20"/>
        </w:rPr>
        <w:instrText xml:space="preserve"> SEQ Table \* ARABIC </w:instrText>
      </w:r>
      <w:r w:rsidRPr="00501DF7">
        <w:rPr>
          <w:rFonts w:ascii="Arial Narrow" w:hAnsi="Arial Narrow"/>
          <w:b/>
          <w:bCs/>
          <w:sz w:val="20"/>
          <w:szCs w:val="20"/>
        </w:rPr>
        <w:fldChar w:fldCharType="separate"/>
      </w:r>
      <w:r w:rsidR="0098695D">
        <w:rPr>
          <w:rFonts w:ascii="Arial Narrow" w:hAnsi="Arial Narrow"/>
          <w:b/>
          <w:bCs/>
          <w:noProof/>
          <w:sz w:val="20"/>
          <w:szCs w:val="20"/>
        </w:rPr>
        <w:t>15</w:t>
      </w:r>
      <w:r w:rsidRPr="00501DF7">
        <w:rPr>
          <w:rFonts w:ascii="Arial Narrow" w:hAnsi="Arial Narrow"/>
          <w:b/>
          <w:bCs/>
          <w:noProof/>
          <w:sz w:val="20"/>
          <w:szCs w:val="20"/>
        </w:rPr>
        <w:fldChar w:fldCharType="end"/>
      </w:r>
      <w:bookmarkEnd w:id="46"/>
      <w:r w:rsidRPr="00501DF7">
        <w:rPr>
          <w:rFonts w:ascii="Arial Narrow" w:hAnsi="Arial Narrow"/>
          <w:b/>
          <w:bCs/>
          <w:sz w:val="20"/>
          <w:szCs w:val="20"/>
        </w:rPr>
        <w:t>:</w:t>
      </w:r>
      <w:r w:rsidRPr="00501DF7">
        <w:rPr>
          <w:rStyle w:val="CommentReference"/>
          <w:b w:val="0"/>
          <w:bCs/>
          <w:szCs w:val="20"/>
        </w:rPr>
        <w:t xml:space="preserve"> </w:t>
      </w:r>
      <w:r w:rsidRPr="00BB00B3">
        <w:rPr>
          <w:rStyle w:val="CommentReference"/>
          <w:szCs w:val="24"/>
        </w:rPr>
        <w:t>Results of the stepped economic</w:t>
      </w:r>
      <w:r>
        <w:rPr>
          <w:rStyle w:val="CommentReference"/>
          <w:szCs w:val="24"/>
        </w:rPr>
        <w:t xml:space="preser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Results of the stepped economic evaluation"/>
        <w:tblDescription w:val="Table 15: Results of the stepped economic evaluation"/>
      </w:tblPr>
      <w:tblGrid>
        <w:gridCol w:w="2757"/>
        <w:gridCol w:w="2451"/>
        <w:gridCol w:w="2298"/>
        <w:gridCol w:w="1511"/>
      </w:tblGrid>
      <w:tr w:rsidR="00501DF7" w:rsidRPr="005E6CBC" w14:paraId="0968B2DC" w14:textId="77777777" w:rsidTr="00F67C18">
        <w:trPr>
          <w:tblHeader/>
        </w:trPr>
        <w:tc>
          <w:tcPr>
            <w:tcW w:w="1529" w:type="pct"/>
            <w:vAlign w:val="center"/>
          </w:tcPr>
          <w:p w14:paraId="2E824A7F" w14:textId="77777777" w:rsidR="00501DF7" w:rsidRPr="005E6CBC" w:rsidRDefault="00501DF7" w:rsidP="003926B6">
            <w:pPr>
              <w:pStyle w:val="In-tableHeading"/>
              <w:keepLines/>
            </w:pPr>
            <w:r w:rsidRPr="005E6CBC">
              <w:t>Step and component</w:t>
            </w:r>
          </w:p>
        </w:tc>
        <w:tc>
          <w:tcPr>
            <w:tcW w:w="1359" w:type="pct"/>
            <w:vAlign w:val="center"/>
          </w:tcPr>
          <w:p w14:paraId="5770AD92" w14:textId="77777777" w:rsidR="00501DF7" w:rsidRPr="005E6CBC" w:rsidRDefault="00501DF7" w:rsidP="003926B6">
            <w:pPr>
              <w:pStyle w:val="In-tableHeading"/>
              <w:keepLines/>
              <w:jc w:val="center"/>
            </w:pPr>
            <w:r>
              <w:t>Maribavir</w:t>
            </w:r>
          </w:p>
        </w:tc>
        <w:tc>
          <w:tcPr>
            <w:tcW w:w="1274" w:type="pct"/>
            <w:vAlign w:val="center"/>
          </w:tcPr>
          <w:p w14:paraId="18BFA62A" w14:textId="77777777" w:rsidR="00501DF7" w:rsidRPr="005E6CBC" w:rsidRDefault="00501DF7" w:rsidP="003926B6">
            <w:pPr>
              <w:pStyle w:val="In-tableHeading"/>
              <w:keepLines/>
              <w:jc w:val="center"/>
            </w:pPr>
            <w:r>
              <w:t>IAT</w:t>
            </w:r>
          </w:p>
        </w:tc>
        <w:tc>
          <w:tcPr>
            <w:tcW w:w="838" w:type="pct"/>
            <w:vAlign w:val="center"/>
          </w:tcPr>
          <w:p w14:paraId="0B5650DC" w14:textId="77777777" w:rsidR="00501DF7" w:rsidRPr="005E6CBC" w:rsidRDefault="00501DF7" w:rsidP="003926B6">
            <w:pPr>
              <w:pStyle w:val="In-tableHeading"/>
              <w:keepLines/>
              <w:jc w:val="center"/>
            </w:pPr>
            <w:r w:rsidRPr="005E6CBC">
              <w:t>Increment</w:t>
            </w:r>
          </w:p>
        </w:tc>
      </w:tr>
      <w:tr w:rsidR="00501DF7" w:rsidRPr="005F622F" w14:paraId="3F28D66D" w14:textId="77777777" w:rsidTr="00F67C18">
        <w:tc>
          <w:tcPr>
            <w:tcW w:w="5000" w:type="pct"/>
            <w:gridSpan w:val="4"/>
            <w:vAlign w:val="center"/>
          </w:tcPr>
          <w:p w14:paraId="10A25879" w14:textId="77777777" w:rsidR="00501DF7" w:rsidRPr="005F622F" w:rsidRDefault="00501DF7" w:rsidP="003926B6">
            <w:pPr>
              <w:pStyle w:val="TableText0"/>
              <w:keepLines/>
              <w:rPr>
                <w:b/>
                <w:bCs w:val="0"/>
              </w:rPr>
            </w:pPr>
            <w:r w:rsidRPr="005F622F">
              <w:rPr>
                <w:b/>
                <w:bCs w:val="0"/>
              </w:rPr>
              <w:t xml:space="preserve">Step 1: </w:t>
            </w:r>
            <w:r>
              <w:rPr>
                <w:b/>
                <w:bCs w:val="0"/>
              </w:rPr>
              <w:t>T</w:t>
            </w:r>
            <w:r w:rsidRPr="005F622F">
              <w:rPr>
                <w:b/>
                <w:bCs w:val="0"/>
              </w:rPr>
              <w:t>rial-based costs and outcomes</w:t>
            </w:r>
            <w:r>
              <w:rPr>
                <w:b/>
                <w:bCs w:val="0"/>
              </w:rPr>
              <w:t xml:space="preserve"> at 8 weeks</w:t>
            </w:r>
          </w:p>
        </w:tc>
      </w:tr>
      <w:tr w:rsidR="00501DF7" w:rsidRPr="005E6CBC" w14:paraId="0D61058B" w14:textId="77777777" w:rsidTr="00F67C18">
        <w:tc>
          <w:tcPr>
            <w:tcW w:w="1529" w:type="pct"/>
            <w:vAlign w:val="center"/>
          </w:tcPr>
          <w:p w14:paraId="1CB6DD7B" w14:textId="77777777" w:rsidR="00501DF7" w:rsidRPr="00E2771E" w:rsidRDefault="00501DF7" w:rsidP="003926B6">
            <w:pPr>
              <w:pStyle w:val="TableText0"/>
              <w:keepLines/>
              <w:rPr>
                <w:rFonts w:ascii="Times" w:hAnsi="Times"/>
              </w:rPr>
            </w:pPr>
            <w:r w:rsidRPr="00E2771E">
              <w:t>Costs</w:t>
            </w:r>
          </w:p>
        </w:tc>
        <w:tc>
          <w:tcPr>
            <w:tcW w:w="1359" w:type="pct"/>
            <w:vAlign w:val="center"/>
          </w:tcPr>
          <w:p w14:paraId="2E5B6EE8" w14:textId="725AA3C3" w:rsidR="00501DF7" w:rsidRPr="005E6CBC" w:rsidRDefault="00E038A0" w:rsidP="003926B6">
            <w:pPr>
              <w:pStyle w:val="TableText0"/>
              <w:keepLines/>
              <w:jc w:val="center"/>
              <w:rPr>
                <w:rFonts w:ascii="Times" w:hAnsi="Times"/>
              </w:rPr>
            </w:pPr>
            <w:r>
              <w:t xml:space="preserve"> </w:t>
            </w:r>
            <w:r w:rsidRPr="00E038A0">
              <w:rPr>
                <w:color w:val="000000"/>
                <w:shd w:val="solid" w:color="000000" w:fill="000000"/>
                <w14:textFill>
                  <w14:solidFill>
                    <w14:srgbClr w14:val="000000">
                      <w14:alpha w14:val="100000"/>
                    </w14:srgbClr>
                  </w14:solidFill>
                </w14:textFill>
              </w:rPr>
              <w:t>|</w:t>
            </w:r>
            <w:r w:rsidR="00A1540E">
              <w:t xml:space="preserve"> </w:t>
            </w:r>
          </w:p>
        </w:tc>
        <w:tc>
          <w:tcPr>
            <w:tcW w:w="1274" w:type="pct"/>
            <w:vAlign w:val="center"/>
          </w:tcPr>
          <w:p w14:paraId="04BA8F1B" w14:textId="77777777" w:rsidR="00501DF7" w:rsidRPr="005E6CBC" w:rsidRDefault="00501DF7" w:rsidP="003926B6">
            <w:pPr>
              <w:pStyle w:val="TableText0"/>
              <w:keepLines/>
              <w:jc w:val="center"/>
              <w:rPr>
                <w:rFonts w:ascii="Times" w:hAnsi="Times"/>
              </w:rPr>
            </w:pPr>
            <w:r w:rsidRPr="005E6CBC">
              <w:t>$</w:t>
            </w:r>
            <w:r>
              <w:t>17,609</w:t>
            </w:r>
          </w:p>
        </w:tc>
        <w:tc>
          <w:tcPr>
            <w:tcW w:w="838" w:type="pct"/>
            <w:vAlign w:val="center"/>
          </w:tcPr>
          <w:p w14:paraId="0410A39A" w14:textId="6223C548" w:rsidR="00501DF7" w:rsidRPr="00A1540E" w:rsidRDefault="00E038A0" w:rsidP="003926B6">
            <w:pPr>
              <w:pStyle w:val="TableText0"/>
              <w:keepLines/>
              <w:jc w:val="center"/>
              <w:rPr>
                <w:rFonts w:ascii="Times" w:hAnsi="Times"/>
                <w:highlight w:val="darkGray"/>
              </w:rPr>
            </w:pPr>
            <w:r>
              <w:t xml:space="preserve"> </w:t>
            </w:r>
            <w:r w:rsidRPr="00E038A0">
              <w:rPr>
                <w:color w:val="000000"/>
                <w:shd w:val="solid" w:color="000000" w:fill="000000"/>
                <w14:textFill>
                  <w14:solidFill>
                    <w14:srgbClr w14:val="000000">
                      <w14:alpha w14:val="100000"/>
                    </w14:srgbClr>
                  </w14:solidFill>
                </w14:textFill>
              </w:rPr>
              <w:t>|</w:t>
            </w:r>
          </w:p>
        </w:tc>
      </w:tr>
      <w:tr w:rsidR="00501DF7" w:rsidRPr="005E6CBC" w14:paraId="3259A31A" w14:textId="77777777" w:rsidTr="00F67C18">
        <w:tc>
          <w:tcPr>
            <w:tcW w:w="1529" w:type="pct"/>
            <w:vAlign w:val="center"/>
          </w:tcPr>
          <w:p w14:paraId="5E1E5A9E" w14:textId="77777777" w:rsidR="00501DF7" w:rsidRPr="00E2771E" w:rsidRDefault="00501DF7" w:rsidP="003926B6">
            <w:pPr>
              <w:pStyle w:val="TableText0"/>
              <w:keepLines/>
              <w:rPr>
                <w:rFonts w:ascii="Times" w:hAnsi="Times"/>
              </w:rPr>
            </w:pPr>
            <w:r>
              <w:t>Responder (clearance)</w:t>
            </w:r>
          </w:p>
        </w:tc>
        <w:tc>
          <w:tcPr>
            <w:tcW w:w="1359" w:type="pct"/>
            <w:vAlign w:val="center"/>
          </w:tcPr>
          <w:p w14:paraId="4D875748" w14:textId="77777777" w:rsidR="00501DF7" w:rsidRPr="005E6CBC" w:rsidRDefault="00501DF7" w:rsidP="003926B6">
            <w:pPr>
              <w:pStyle w:val="TableText0"/>
              <w:keepLines/>
              <w:jc w:val="center"/>
              <w:rPr>
                <w:rFonts w:ascii="Times" w:hAnsi="Times"/>
              </w:rPr>
            </w:pPr>
            <w:r>
              <w:t>55.70%</w:t>
            </w:r>
          </w:p>
        </w:tc>
        <w:tc>
          <w:tcPr>
            <w:tcW w:w="1274" w:type="pct"/>
            <w:vAlign w:val="center"/>
          </w:tcPr>
          <w:p w14:paraId="5C2C56F9" w14:textId="77777777" w:rsidR="00501DF7" w:rsidRPr="005E6CBC" w:rsidRDefault="00501DF7" w:rsidP="003926B6">
            <w:pPr>
              <w:pStyle w:val="TableText0"/>
              <w:keepLines/>
              <w:jc w:val="center"/>
              <w:rPr>
                <w:rFonts w:ascii="Times" w:hAnsi="Times"/>
              </w:rPr>
            </w:pPr>
            <w:r>
              <w:t>23.90%</w:t>
            </w:r>
          </w:p>
        </w:tc>
        <w:tc>
          <w:tcPr>
            <w:tcW w:w="838" w:type="pct"/>
            <w:vAlign w:val="center"/>
          </w:tcPr>
          <w:p w14:paraId="2C1164ED" w14:textId="77777777" w:rsidR="00501DF7" w:rsidRPr="005E6CBC" w:rsidRDefault="00501DF7" w:rsidP="003926B6">
            <w:pPr>
              <w:pStyle w:val="TableText0"/>
              <w:keepLines/>
              <w:jc w:val="center"/>
            </w:pPr>
            <w:r>
              <w:t>31.80%</w:t>
            </w:r>
          </w:p>
        </w:tc>
      </w:tr>
      <w:tr w:rsidR="00501DF7" w:rsidRPr="005E6CBC" w14:paraId="40BB2D24" w14:textId="77777777" w:rsidTr="00F67C18">
        <w:tc>
          <w:tcPr>
            <w:tcW w:w="4162" w:type="pct"/>
            <w:gridSpan w:val="3"/>
            <w:vAlign w:val="center"/>
          </w:tcPr>
          <w:p w14:paraId="33D2EF78" w14:textId="77777777" w:rsidR="00501DF7" w:rsidRPr="005E6CBC" w:rsidRDefault="00501DF7" w:rsidP="003926B6">
            <w:pPr>
              <w:pStyle w:val="TableText0"/>
              <w:keepLines/>
              <w:rPr>
                <w:rFonts w:ascii="Times" w:hAnsi="Times"/>
              </w:rPr>
            </w:pPr>
            <w:r w:rsidRPr="005E6CBC">
              <w:t>Incremental cost/</w:t>
            </w:r>
            <w:r>
              <w:t>responder</w:t>
            </w:r>
          </w:p>
        </w:tc>
        <w:tc>
          <w:tcPr>
            <w:tcW w:w="838" w:type="pct"/>
            <w:vAlign w:val="center"/>
          </w:tcPr>
          <w:p w14:paraId="3E398BF6" w14:textId="32377409" w:rsidR="00501DF7" w:rsidRPr="00A1540E" w:rsidRDefault="00E038A0" w:rsidP="003926B6">
            <w:pPr>
              <w:pStyle w:val="TableText0"/>
              <w:keepLines/>
              <w:jc w:val="center"/>
              <w:rPr>
                <w:rFonts w:ascii="Times" w:hAnsi="Times"/>
              </w:rPr>
            </w:pPr>
            <w:r>
              <w:t xml:space="preserve"> </w:t>
            </w:r>
            <w:r w:rsidRPr="00E038A0">
              <w:rPr>
                <w:color w:val="000000"/>
                <w:shd w:val="solid" w:color="000000" w:fill="000000"/>
                <w14:textFill>
                  <w14:solidFill>
                    <w14:srgbClr w14:val="000000">
                      <w14:alpha w14:val="100000"/>
                    </w14:srgbClr>
                  </w14:solidFill>
                </w14:textFill>
              </w:rPr>
              <w:t>|</w:t>
            </w:r>
            <w:r w:rsidR="00A1540E">
              <w:t xml:space="preserve"> </w:t>
            </w:r>
            <w:r w:rsidR="00203F00" w:rsidRPr="00203F00">
              <w:rPr>
                <w:vertAlign w:val="superscript"/>
              </w:rPr>
              <w:t>2</w:t>
            </w:r>
          </w:p>
        </w:tc>
      </w:tr>
      <w:tr w:rsidR="00501DF7" w:rsidRPr="005E6CBC" w14:paraId="3B1A30B8" w14:textId="77777777" w:rsidTr="00F67C18">
        <w:tc>
          <w:tcPr>
            <w:tcW w:w="5000" w:type="pct"/>
            <w:gridSpan w:val="4"/>
            <w:vAlign w:val="center"/>
          </w:tcPr>
          <w:p w14:paraId="67BF9092" w14:textId="77777777" w:rsidR="00501DF7" w:rsidRPr="005E6CBC" w:rsidRDefault="00501DF7" w:rsidP="003926B6">
            <w:pPr>
              <w:pStyle w:val="In-tableHeading"/>
              <w:keepLines/>
            </w:pPr>
            <w:r w:rsidRPr="005E6CBC">
              <w:t xml:space="preserve">Step 2: </w:t>
            </w:r>
            <w:r>
              <w:t>T</w:t>
            </w:r>
            <w:r w:rsidRPr="005E6CBC">
              <w:t xml:space="preserve">ime horizon extended to </w:t>
            </w:r>
            <w:r>
              <w:t>78 weeks</w:t>
            </w:r>
          </w:p>
        </w:tc>
      </w:tr>
      <w:tr w:rsidR="00501DF7" w:rsidRPr="005E6CBC" w14:paraId="0C1D5611" w14:textId="77777777" w:rsidTr="00F67C18">
        <w:tc>
          <w:tcPr>
            <w:tcW w:w="1529" w:type="pct"/>
            <w:vAlign w:val="center"/>
          </w:tcPr>
          <w:p w14:paraId="76CBCA19" w14:textId="77777777" w:rsidR="00501DF7" w:rsidRPr="00E2771E" w:rsidRDefault="00501DF7" w:rsidP="003926B6">
            <w:pPr>
              <w:pStyle w:val="TableText0"/>
              <w:keepLines/>
              <w:rPr>
                <w:rFonts w:ascii="Times" w:hAnsi="Times"/>
              </w:rPr>
            </w:pPr>
            <w:r w:rsidRPr="00E2771E">
              <w:t>Costs</w:t>
            </w:r>
          </w:p>
        </w:tc>
        <w:tc>
          <w:tcPr>
            <w:tcW w:w="1359" w:type="pct"/>
            <w:vAlign w:val="center"/>
          </w:tcPr>
          <w:p w14:paraId="03151753" w14:textId="2B025BE5" w:rsidR="00501DF7" w:rsidRPr="005E6CBC" w:rsidRDefault="00E038A0" w:rsidP="003926B6">
            <w:pPr>
              <w:pStyle w:val="TableText0"/>
              <w:keepLines/>
              <w:jc w:val="center"/>
              <w:rPr>
                <w:rFonts w:ascii="Times" w:hAnsi="Times"/>
              </w:rPr>
            </w:pPr>
            <w:r>
              <w:t xml:space="preserve"> </w:t>
            </w:r>
            <w:r w:rsidRPr="00E038A0">
              <w:rPr>
                <w:color w:val="000000"/>
                <w:shd w:val="solid" w:color="000000" w:fill="000000"/>
                <w14:textFill>
                  <w14:solidFill>
                    <w14:srgbClr w14:val="000000">
                      <w14:alpha w14:val="100000"/>
                    </w14:srgbClr>
                  </w14:solidFill>
                </w14:textFill>
              </w:rPr>
              <w:t>|</w:t>
            </w:r>
            <w:r w:rsidR="00A1540E">
              <w:t xml:space="preserve"> </w:t>
            </w:r>
          </w:p>
        </w:tc>
        <w:tc>
          <w:tcPr>
            <w:tcW w:w="1274" w:type="pct"/>
            <w:vAlign w:val="center"/>
          </w:tcPr>
          <w:p w14:paraId="5B2C7064" w14:textId="77777777" w:rsidR="00501DF7" w:rsidRPr="005E6CBC" w:rsidRDefault="00501DF7" w:rsidP="003926B6">
            <w:pPr>
              <w:pStyle w:val="TableText0"/>
              <w:keepLines/>
              <w:jc w:val="center"/>
              <w:rPr>
                <w:rFonts w:ascii="Times" w:hAnsi="Times"/>
              </w:rPr>
            </w:pPr>
            <w:r w:rsidRPr="005E6CBC">
              <w:t>$</w:t>
            </w:r>
            <w:r>
              <w:t>81,897</w:t>
            </w:r>
          </w:p>
        </w:tc>
        <w:tc>
          <w:tcPr>
            <w:tcW w:w="838" w:type="pct"/>
            <w:vAlign w:val="center"/>
          </w:tcPr>
          <w:p w14:paraId="52E090BC" w14:textId="74607F70" w:rsidR="00501DF7" w:rsidRPr="00A1540E" w:rsidRDefault="00E038A0" w:rsidP="003926B6">
            <w:pPr>
              <w:pStyle w:val="TableText0"/>
              <w:keepLines/>
              <w:jc w:val="center"/>
              <w:rPr>
                <w:rFonts w:ascii="Times" w:hAnsi="Times"/>
                <w:highlight w:val="darkGray"/>
              </w:rPr>
            </w:pPr>
            <w:r>
              <w:t xml:space="preserve"> </w:t>
            </w:r>
            <w:r w:rsidRPr="00E038A0">
              <w:rPr>
                <w:color w:val="000000"/>
                <w:shd w:val="solid" w:color="000000" w:fill="000000"/>
                <w14:textFill>
                  <w14:solidFill>
                    <w14:srgbClr w14:val="000000">
                      <w14:alpha w14:val="100000"/>
                    </w14:srgbClr>
                  </w14:solidFill>
                </w14:textFill>
              </w:rPr>
              <w:t>|</w:t>
            </w:r>
            <w:r w:rsidR="00A1540E">
              <w:t xml:space="preserve"> </w:t>
            </w:r>
          </w:p>
        </w:tc>
      </w:tr>
      <w:tr w:rsidR="00501DF7" w:rsidRPr="005E6CBC" w14:paraId="462A2480" w14:textId="77777777" w:rsidTr="00F67C18">
        <w:tc>
          <w:tcPr>
            <w:tcW w:w="1529" w:type="pct"/>
            <w:vAlign w:val="center"/>
          </w:tcPr>
          <w:p w14:paraId="5C7B6E84" w14:textId="77777777" w:rsidR="00501DF7" w:rsidRPr="00E2771E" w:rsidRDefault="00501DF7" w:rsidP="003926B6">
            <w:pPr>
              <w:pStyle w:val="TableText0"/>
              <w:keepLines/>
              <w:rPr>
                <w:rFonts w:ascii="Times" w:hAnsi="Times"/>
              </w:rPr>
            </w:pPr>
            <w:r>
              <w:t>LY</w:t>
            </w:r>
          </w:p>
        </w:tc>
        <w:tc>
          <w:tcPr>
            <w:tcW w:w="1359" w:type="pct"/>
            <w:vAlign w:val="center"/>
          </w:tcPr>
          <w:p w14:paraId="064B9B78" w14:textId="77777777" w:rsidR="00501DF7" w:rsidRPr="005E6CBC" w:rsidRDefault="00501DF7" w:rsidP="003926B6">
            <w:pPr>
              <w:pStyle w:val="TableText0"/>
              <w:keepLines/>
              <w:jc w:val="center"/>
              <w:rPr>
                <w:rFonts w:ascii="Times" w:hAnsi="Times"/>
              </w:rPr>
            </w:pPr>
            <w:r>
              <w:t>1.18</w:t>
            </w:r>
          </w:p>
        </w:tc>
        <w:tc>
          <w:tcPr>
            <w:tcW w:w="1274" w:type="pct"/>
            <w:vAlign w:val="center"/>
          </w:tcPr>
          <w:p w14:paraId="1D97F215" w14:textId="77777777" w:rsidR="00501DF7" w:rsidRPr="005E6CBC" w:rsidRDefault="00501DF7" w:rsidP="003926B6">
            <w:pPr>
              <w:pStyle w:val="TableText0"/>
              <w:keepLines/>
              <w:jc w:val="center"/>
              <w:rPr>
                <w:rFonts w:ascii="Times" w:hAnsi="Times"/>
              </w:rPr>
            </w:pPr>
            <w:r>
              <w:t>1.16</w:t>
            </w:r>
          </w:p>
        </w:tc>
        <w:tc>
          <w:tcPr>
            <w:tcW w:w="838" w:type="pct"/>
            <w:vAlign w:val="center"/>
          </w:tcPr>
          <w:p w14:paraId="692EDEE7" w14:textId="77777777" w:rsidR="00501DF7" w:rsidRPr="005E6CBC" w:rsidRDefault="00501DF7" w:rsidP="003926B6">
            <w:pPr>
              <w:pStyle w:val="TableText0"/>
              <w:keepLines/>
              <w:jc w:val="center"/>
            </w:pPr>
            <w:r>
              <w:t>0.02</w:t>
            </w:r>
          </w:p>
        </w:tc>
      </w:tr>
      <w:tr w:rsidR="00501DF7" w:rsidRPr="005E6CBC" w14:paraId="63F992A3" w14:textId="77777777" w:rsidTr="00F67C18">
        <w:tc>
          <w:tcPr>
            <w:tcW w:w="4162" w:type="pct"/>
            <w:gridSpan w:val="3"/>
            <w:vAlign w:val="center"/>
          </w:tcPr>
          <w:p w14:paraId="59C72182" w14:textId="77777777" w:rsidR="00501DF7" w:rsidRPr="005E6CBC" w:rsidRDefault="00501DF7" w:rsidP="003926B6">
            <w:pPr>
              <w:pStyle w:val="TableText0"/>
              <w:keepLines/>
              <w:rPr>
                <w:rFonts w:ascii="Times" w:hAnsi="Times"/>
              </w:rPr>
            </w:pPr>
            <w:r w:rsidRPr="005E6CBC">
              <w:t>Incremental cost/extra LY gained</w:t>
            </w:r>
          </w:p>
        </w:tc>
        <w:tc>
          <w:tcPr>
            <w:tcW w:w="838" w:type="pct"/>
            <w:vAlign w:val="center"/>
          </w:tcPr>
          <w:p w14:paraId="475D5E5B" w14:textId="39CF992E" w:rsidR="00501DF7" w:rsidRPr="005E6CBC" w:rsidRDefault="00E038A0" w:rsidP="003926B6">
            <w:pPr>
              <w:pStyle w:val="TableText0"/>
              <w:keepLines/>
              <w:jc w:val="center"/>
              <w:rPr>
                <w:rFonts w:ascii="Times" w:hAnsi="Times"/>
              </w:rPr>
            </w:pPr>
            <w:r>
              <w:t xml:space="preserve"> </w:t>
            </w:r>
            <w:r w:rsidRPr="00E038A0">
              <w:rPr>
                <w:color w:val="000000"/>
                <w:shd w:val="solid" w:color="000000" w:fill="000000"/>
                <w14:textFill>
                  <w14:solidFill>
                    <w14:srgbClr w14:val="000000">
                      <w14:alpha w14:val="100000"/>
                    </w14:srgbClr>
                  </w14:solidFill>
                </w14:textFill>
              </w:rPr>
              <w:t>|</w:t>
            </w:r>
            <w:r w:rsidR="00BF3C69">
              <w:t xml:space="preserve"> </w:t>
            </w:r>
            <w:r w:rsidR="00203F00">
              <w:rPr>
                <w:vertAlign w:val="superscript"/>
              </w:rPr>
              <w:t>3</w:t>
            </w:r>
          </w:p>
        </w:tc>
      </w:tr>
      <w:tr w:rsidR="00501DF7" w:rsidRPr="005E6CBC" w14:paraId="30037F30" w14:textId="77777777" w:rsidTr="00F67C18">
        <w:tc>
          <w:tcPr>
            <w:tcW w:w="5000" w:type="pct"/>
            <w:gridSpan w:val="4"/>
            <w:vAlign w:val="center"/>
          </w:tcPr>
          <w:p w14:paraId="787B5F4A" w14:textId="77777777" w:rsidR="00501DF7" w:rsidRPr="005E6CBC" w:rsidRDefault="00501DF7" w:rsidP="003926B6">
            <w:pPr>
              <w:pStyle w:val="In-tableHeading"/>
              <w:keepLines/>
            </w:pPr>
            <w:r w:rsidRPr="005E6CBC">
              <w:t xml:space="preserve">Step 3: </w:t>
            </w:r>
            <w:r>
              <w:t>T</w:t>
            </w:r>
            <w:r w:rsidRPr="005E6CBC">
              <w:t>ime horizon extended to</w:t>
            </w:r>
            <w:r>
              <w:t xml:space="preserve"> 10 years</w:t>
            </w:r>
          </w:p>
        </w:tc>
      </w:tr>
      <w:tr w:rsidR="00501DF7" w:rsidRPr="005E6CBC" w14:paraId="3F68CFE8" w14:textId="77777777" w:rsidTr="00F67C18">
        <w:tc>
          <w:tcPr>
            <w:tcW w:w="1529" w:type="pct"/>
            <w:vAlign w:val="center"/>
          </w:tcPr>
          <w:p w14:paraId="11331E18" w14:textId="77777777" w:rsidR="00501DF7" w:rsidRPr="00E2771E" w:rsidRDefault="00501DF7" w:rsidP="003926B6">
            <w:pPr>
              <w:pStyle w:val="TableText0"/>
              <w:keepLines/>
              <w:rPr>
                <w:rFonts w:ascii="Times" w:hAnsi="Times"/>
              </w:rPr>
            </w:pPr>
            <w:r w:rsidRPr="00E2771E">
              <w:t>Costs</w:t>
            </w:r>
          </w:p>
        </w:tc>
        <w:tc>
          <w:tcPr>
            <w:tcW w:w="1359" w:type="pct"/>
            <w:vAlign w:val="center"/>
          </w:tcPr>
          <w:p w14:paraId="71164766" w14:textId="596DB562" w:rsidR="00501DF7" w:rsidRPr="00A1540E" w:rsidRDefault="00E038A0" w:rsidP="003926B6">
            <w:pPr>
              <w:pStyle w:val="TableText0"/>
              <w:keepLines/>
              <w:jc w:val="center"/>
              <w:rPr>
                <w:rFonts w:ascii="Times" w:hAnsi="Times"/>
                <w:highlight w:val="darkGray"/>
              </w:rPr>
            </w:pPr>
            <w:r>
              <w:t xml:space="preserve"> </w:t>
            </w:r>
            <w:r w:rsidRPr="00E038A0">
              <w:rPr>
                <w:color w:val="000000"/>
                <w:shd w:val="solid" w:color="000000" w:fill="000000"/>
                <w14:textFill>
                  <w14:solidFill>
                    <w14:srgbClr w14:val="000000">
                      <w14:alpha w14:val="100000"/>
                    </w14:srgbClr>
                  </w14:solidFill>
                </w14:textFill>
              </w:rPr>
              <w:t>|</w:t>
            </w:r>
          </w:p>
        </w:tc>
        <w:tc>
          <w:tcPr>
            <w:tcW w:w="1274" w:type="pct"/>
            <w:vAlign w:val="center"/>
          </w:tcPr>
          <w:p w14:paraId="7EBDF53C" w14:textId="77777777" w:rsidR="00501DF7" w:rsidRPr="005E6CBC" w:rsidRDefault="00501DF7" w:rsidP="003926B6">
            <w:pPr>
              <w:pStyle w:val="TableText0"/>
              <w:keepLines/>
              <w:jc w:val="center"/>
              <w:rPr>
                <w:rFonts w:ascii="Times" w:hAnsi="Times"/>
              </w:rPr>
            </w:pPr>
            <w:r w:rsidRPr="005E6CBC">
              <w:t>$</w:t>
            </w:r>
            <w:r>
              <w:t>82,886</w:t>
            </w:r>
          </w:p>
        </w:tc>
        <w:tc>
          <w:tcPr>
            <w:tcW w:w="838" w:type="pct"/>
            <w:vAlign w:val="center"/>
          </w:tcPr>
          <w:p w14:paraId="5875EF43" w14:textId="1E014D43" w:rsidR="00501DF7" w:rsidRPr="00A1540E" w:rsidRDefault="00E038A0" w:rsidP="003926B6">
            <w:pPr>
              <w:pStyle w:val="TableText0"/>
              <w:keepLines/>
              <w:jc w:val="center"/>
              <w:rPr>
                <w:rFonts w:ascii="Times" w:hAnsi="Times"/>
                <w:highlight w:val="darkGray"/>
              </w:rPr>
            </w:pPr>
            <w:r>
              <w:t xml:space="preserve"> </w:t>
            </w:r>
            <w:r w:rsidRPr="00E038A0">
              <w:rPr>
                <w:color w:val="000000"/>
                <w:shd w:val="solid" w:color="000000" w:fill="000000"/>
                <w14:textFill>
                  <w14:solidFill>
                    <w14:srgbClr w14:val="000000">
                      <w14:alpha w14:val="100000"/>
                    </w14:srgbClr>
                  </w14:solidFill>
                </w14:textFill>
              </w:rPr>
              <w:t>|</w:t>
            </w:r>
            <w:r w:rsidR="00A1540E" w:rsidRPr="00203F00">
              <w:t xml:space="preserve"> </w:t>
            </w:r>
          </w:p>
        </w:tc>
      </w:tr>
      <w:tr w:rsidR="00501DF7" w:rsidRPr="005E6CBC" w14:paraId="7AE991B6" w14:textId="77777777" w:rsidTr="00F67C18">
        <w:tc>
          <w:tcPr>
            <w:tcW w:w="1529" w:type="pct"/>
            <w:vAlign w:val="center"/>
          </w:tcPr>
          <w:p w14:paraId="32FCC6B5" w14:textId="77777777" w:rsidR="00501DF7" w:rsidRPr="00E2771E" w:rsidRDefault="00501DF7" w:rsidP="003926B6">
            <w:pPr>
              <w:pStyle w:val="TableText0"/>
              <w:keepLines/>
              <w:rPr>
                <w:rFonts w:ascii="Times" w:hAnsi="Times"/>
              </w:rPr>
            </w:pPr>
            <w:r>
              <w:t>LY</w:t>
            </w:r>
          </w:p>
        </w:tc>
        <w:tc>
          <w:tcPr>
            <w:tcW w:w="1359" w:type="pct"/>
            <w:vAlign w:val="center"/>
          </w:tcPr>
          <w:p w14:paraId="265FD5E9" w14:textId="77777777" w:rsidR="00501DF7" w:rsidRPr="005E6CBC" w:rsidRDefault="00501DF7" w:rsidP="003926B6">
            <w:pPr>
              <w:pStyle w:val="TableText0"/>
              <w:keepLines/>
              <w:jc w:val="center"/>
              <w:rPr>
                <w:rFonts w:ascii="Times" w:hAnsi="Times"/>
              </w:rPr>
            </w:pPr>
            <w:r>
              <w:t>4.69</w:t>
            </w:r>
          </w:p>
        </w:tc>
        <w:tc>
          <w:tcPr>
            <w:tcW w:w="1274" w:type="pct"/>
            <w:vAlign w:val="center"/>
          </w:tcPr>
          <w:p w14:paraId="459E2269" w14:textId="77777777" w:rsidR="00501DF7" w:rsidRPr="005E6CBC" w:rsidRDefault="00501DF7" w:rsidP="003926B6">
            <w:pPr>
              <w:pStyle w:val="TableText0"/>
              <w:keepLines/>
              <w:jc w:val="center"/>
              <w:rPr>
                <w:rFonts w:ascii="Times" w:hAnsi="Times"/>
              </w:rPr>
            </w:pPr>
            <w:r>
              <w:t>4.56</w:t>
            </w:r>
          </w:p>
        </w:tc>
        <w:tc>
          <w:tcPr>
            <w:tcW w:w="838" w:type="pct"/>
            <w:vAlign w:val="center"/>
          </w:tcPr>
          <w:p w14:paraId="5E9AFD05" w14:textId="77777777" w:rsidR="00501DF7" w:rsidRPr="005E6CBC" w:rsidRDefault="00501DF7" w:rsidP="003926B6">
            <w:pPr>
              <w:pStyle w:val="TableText0"/>
              <w:keepLines/>
              <w:jc w:val="center"/>
            </w:pPr>
            <w:r>
              <w:t>0.13</w:t>
            </w:r>
          </w:p>
        </w:tc>
      </w:tr>
      <w:tr w:rsidR="00501DF7" w:rsidRPr="005E6CBC" w14:paraId="5235E195" w14:textId="77777777" w:rsidTr="00F67C18">
        <w:tc>
          <w:tcPr>
            <w:tcW w:w="4162" w:type="pct"/>
            <w:gridSpan w:val="3"/>
            <w:vAlign w:val="center"/>
          </w:tcPr>
          <w:p w14:paraId="6D87FEB5" w14:textId="77777777" w:rsidR="00501DF7" w:rsidRPr="005E6CBC" w:rsidRDefault="00501DF7" w:rsidP="003926B6">
            <w:pPr>
              <w:pStyle w:val="TableText0"/>
              <w:keepLines/>
              <w:rPr>
                <w:rFonts w:ascii="Times" w:hAnsi="Times"/>
              </w:rPr>
            </w:pPr>
            <w:r w:rsidRPr="005E6CBC">
              <w:t>Incremental cost/extra LY gained</w:t>
            </w:r>
          </w:p>
        </w:tc>
        <w:tc>
          <w:tcPr>
            <w:tcW w:w="838" w:type="pct"/>
            <w:vAlign w:val="center"/>
          </w:tcPr>
          <w:p w14:paraId="15434EE2" w14:textId="02279B29" w:rsidR="00501DF7" w:rsidRPr="00A1540E" w:rsidRDefault="00E038A0" w:rsidP="003926B6">
            <w:pPr>
              <w:pStyle w:val="TableText0"/>
              <w:keepLines/>
              <w:jc w:val="center"/>
              <w:rPr>
                <w:rFonts w:ascii="Times" w:hAnsi="Times"/>
                <w:highlight w:val="darkGray"/>
              </w:rPr>
            </w:pPr>
            <w:r>
              <w:t xml:space="preserve"> </w:t>
            </w:r>
            <w:r w:rsidRPr="00E038A0">
              <w:rPr>
                <w:color w:val="000000"/>
                <w:shd w:val="solid" w:color="000000" w:fill="000000"/>
                <w14:textFill>
                  <w14:solidFill>
                    <w14:srgbClr w14:val="000000">
                      <w14:alpha w14:val="100000"/>
                    </w14:srgbClr>
                  </w14:solidFill>
                </w14:textFill>
              </w:rPr>
              <w:t>|</w:t>
            </w:r>
            <w:r w:rsidR="00213799" w:rsidRPr="00203F00">
              <w:rPr>
                <w:vertAlign w:val="superscript"/>
              </w:rPr>
              <w:t xml:space="preserve"> </w:t>
            </w:r>
            <w:r w:rsidR="00203F00" w:rsidRPr="00203F00">
              <w:rPr>
                <w:vertAlign w:val="superscript"/>
              </w:rPr>
              <w:t>2</w:t>
            </w:r>
          </w:p>
        </w:tc>
      </w:tr>
      <w:tr w:rsidR="00501DF7" w:rsidRPr="005E6CBC" w14:paraId="638A8CD2" w14:textId="77777777" w:rsidTr="00F67C18">
        <w:tc>
          <w:tcPr>
            <w:tcW w:w="5000" w:type="pct"/>
            <w:gridSpan w:val="4"/>
            <w:vAlign w:val="center"/>
          </w:tcPr>
          <w:p w14:paraId="781BF4C8" w14:textId="77777777" w:rsidR="00501DF7" w:rsidRPr="005E6CBC" w:rsidRDefault="00501DF7" w:rsidP="003926B6">
            <w:pPr>
              <w:pStyle w:val="In-tableHeading"/>
              <w:keepLines/>
            </w:pPr>
            <w:r w:rsidRPr="005E6CBC">
              <w:t>Step 4</w:t>
            </w:r>
            <w:r>
              <w:t>: Utility weights applied</w:t>
            </w:r>
          </w:p>
        </w:tc>
      </w:tr>
      <w:tr w:rsidR="00501DF7" w:rsidRPr="005E6CBC" w14:paraId="4A9085F0" w14:textId="77777777" w:rsidTr="00F67C18">
        <w:tc>
          <w:tcPr>
            <w:tcW w:w="1529" w:type="pct"/>
            <w:vAlign w:val="center"/>
          </w:tcPr>
          <w:p w14:paraId="55495158" w14:textId="77777777" w:rsidR="00501DF7" w:rsidRPr="00E2771E" w:rsidRDefault="00501DF7" w:rsidP="003926B6">
            <w:pPr>
              <w:pStyle w:val="TableText0"/>
              <w:keepLines/>
              <w:rPr>
                <w:rFonts w:ascii="Times" w:hAnsi="Times"/>
              </w:rPr>
            </w:pPr>
            <w:r w:rsidRPr="00E2771E">
              <w:t>Costs</w:t>
            </w:r>
          </w:p>
        </w:tc>
        <w:tc>
          <w:tcPr>
            <w:tcW w:w="1359" w:type="pct"/>
            <w:vAlign w:val="center"/>
          </w:tcPr>
          <w:p w14:paraId="78C27CE0" w14:textId="50C4343E" w:rsidR="00501DF7" w:rsidRPr="00203F00" w:rsidRDefault="00E038A0" w:rsidP="003926B6">
            <w:pPr>
              <w:pStyle w:val="TableText0"/>
              <w:keepLines/>
              <w:jc w:val="center"/>
              <w:rPr>
                <w:rFonts w:ascii="Times" w:hAnsi="Times"/>
                <w:color w:val="FF0000"/>
              </w:rPr>
            </w:pPr>
            <w:r>
              <w:t xml:space="preserve"> </w:t>
            </w:r>
            <w:r w:rsidRPr="00E038A0">
              <w:rPr>
                <w:color w:val="000000"/>
                <w:shd w:val="solid" w:color="000000" w:fill="000000"/>
                <w14:textFill>
                  <w14:solidFill>
                    <w14:srgbClr w14:val="000000">
                      <w14:alpha w14:val="100000"/>
                    </w14:srgbClr>
                  </w14:solidFill>
                </w14:textFill>
              </w:rPr>
              <w:t>|</w:t>
            </w:r>
            <w:r w:rsidR="00A1540E">
              <w:t xml:space="preserve"> </w:t>
            </w:r>
          </w:p>
        </w:tc>
        <w:tc>
          <w:tcPr>
            <w:tcW w:w="1274" w:type="pct"/>
            <w:vAlign w:val="center"/>
          </w:tcPr>
          <w:p w14:paraId="583D8A65" w14:textId="77777777" w:rsidR="00501DF7" w:rsidRPr="005E6CBC" w:rsidRDefault="00501DF7" w:rsidP="003926B6">
            <w:pPr>
              <w:pStyle w:val="TableText0"/>
              <w:keepLines/>
              <w:jc w:val="center"/>
              <w:rPr>
                <w:rFonts w:ascii="Times" w:hAnsi="Times"/>
              </w:rPr>
            </w:pPr>
            <w:r w:rsidRPr="005E6CBC">
              <w:t>$</w:t>
            </w:r>
            <w:r>
              <w:t>82,886</w:t>
            </w:r>
          </w:p>
        </w:tc>
        <w:tc>
          <w:tcPr>
            <w:tcW w:w="838" w:type="pct"/>
            <w:vAlign w:val="center"/>
          </w:tcPr>
          <w:p w14:paraId="4BF3299F" w14:textId="529E72A9" w:rsidR="00501DF7" w:rsidRPr="00A1540E" w:rsidRDefault="00E038A0" w:rsidP="003926B6">
            <w:pPr>
              <w:pStyle w:val="TableText0"/>
              <w:keepLines/>
              <w:jc w:val="center"/>
              <w:rPr>
                <w:rFonts w:ascii="Times" w:hAnsi="Times"/>
                <w:highlight w:val="darkGray"/>
              </w:rPr>
            </w:pPr>
            <w:r>
              <w:t xml:space="preserve"> </w:t>
            </w:r>
            <w:r w:rsidRPr="00E038A0">
              <w:rPr>
                <w:color w:val="000000"/>
                <w:shd w:val="solid" w:color="000000" w:fill="000000"/>
                <w14:textFill>
                  <w14:solidFill>
                    <w14:srgbClr w14:val="000000">
                      <w14:alpha w14:val="100000"/>
                    </w14:srgbClr>
                  </w14:solidFill>
                </w14:textFill>
              </w:rPr>
              <w:t>|</w:t>
            </w:r>
          </w:p>
        </w:tc>
      </w:tr>
      <w:tr w:rsidR="00501DF7" w:rsidRPr="005E6CBC" w14:paraId="04069A64" w14:textId="77777777" w:rsidTr="00444F02">
        <w:tc>
          <w:tcPr>
            <w:tcW w:w="1529" w:type="pct"/>
            <w:tcBorders>
              <w:bottom w:val="single" w:sz="4" w:space="0" w:color="auto"/>
            </w:tcBorders>
            <w:vAlign w:val="center"/>
          </w:tcPr>
          <w:p w14:paraId="256F257A" w14:textId="77777777" w:rsidR="00501DF7" w:rsidRPr="00E2771E" w:rsidRDefault="00501DF7" w:rsidP="003926B6">
            <w:pPr>
              <w:pStyle w:val="TableText0"/>
              <w:keepLines/>
              <w:rPr>
                <w:rFonts w:ascii="Times" w:hAnsi="Times"/>
              </w:rPr>
            </w:pPr>
            <w:r>
              <w:t>QALYs</w:t>
            </w:r>
          </w:p>
        </w:tc>
        <w:tc>
          <w:tcPr>
            <w:tcW w:w="1359" w:type="pct"/>
            <w:tcBorders>
              <w:bottom w:val="single" w:sz="4" w:space="0" w:color="auto"/>
            </w:tcBorders>
            <w:vAlign w:val="center"/>
          </w:tcPr>
          <w:p w14:paraId="33FD7244" w14:textId="77777777" w:rsidR="00501DF7" w:rsidRPr="005E6CBC" w:rsidRDefault="00501DF7" w:rsidP="003926B6">
            <w:pPr>
              <w:pStyle w:val="TableText0"/>
              <w:keepLines/>
              <w:jc w:val="center"/>
              <w:rPr>
                <w:rFonts w:ascii="Times" w:hAnsi="Times"/>
              </w:rPr>
            </w:pPr>
            <w:r>
              <w:t>3.52</w:t>
            </w:r>
          </w:p>
        </w:tc>
        <w:tc>
          <w:tcPr>
            <w:tcW w:w="1274" w:type="pct"/>
            <w:tcBorders>
              <w:bottom w:val="single" w:sz="4" w:space="0" w:color="auto"/>
            </w:tcBorders>
            <w:vAlign w:val="center"/>
          </w:tcPr>
          <w:p w14:paraId="1D157658" w14:textId="77777777" w:rsidR="00501DF7" w:rsidRPr="005E6CBC" w:rsidRDefault="00501DF7" w:rsidP="003926B6">
            <w:pPr>
              <w:pStyle w:val="TableText0"/>
              <w:keepLines/>
              <w:jc w:val="center"/>
              <w:rPr>
                <w:rFonts w:ascii="Times" w:hAnsi="Times"/>
              </w:rPr>
            </w:pPr>
            <w:r>
              <w:t>3.39</w:t>
            </w:r>
          </w:p>
        </w:tc>
        <w:tc>
          <w:tcPr>
            <w:tcW w:w="838" w:type="pct"/>
            <w:tcBorders>
              <w:bottom w:val="single" w:sz="4" w:space="0" w:color="auto"/>
            </w:tcBorders>
            <w:vAlign w:val="center"/>
          </w:tcPr>
          <w:p w14:paraId="5B69C710" w14:textId="77777777" w:rsidR="00501DF7" w:rsidRPr="005E6CBC" w:rsidRDefault="00501DF7" w:rsidP="003926B6">
            <w:pPr>
              <w:pStyle w:val="TableText0"/>
              <w:keepLines/>
              <w:jc w:val="center"/>
            </w:pPr>
            <w:r>
              <w:t>0.13</w:t>
            </w:r>
          </w:p>
        </w:tc>
      </w:tr>
      <w:tr w:rsidR="00501DF7" w:rsidRPr="000653B5" w14:paraId="56DF3371" w14:textId="77777777" w:rsidTr="00F67C18">
        <w:tc>
          <w:tcPr>
            <w:tcW w:w="4162" w:type="pct"/>
            <w:gridSpan w:val="3"/>
            <w:vAlign w:val="center"/>
          </w:tcPr>
          <w:p w14:paraId="0C5D9F2F" w14:textId="77777777" w:rsidR="00501DF7" w:rsidRPr="000653B5" w:rsidRDefault="00501DF7" w:rsidP="003926B6">
            <w:pPr>
              <w:pStyle w:val="TableText0"/>
              <w:keepLines/>
              <w:rPr>
                <w:rFonts w:ascii="Times" w:hAnsi="Times"/>
                <w:b/>
              </w:rPr>
            </w:pPr>
            <w:r w:rsidRPr="000653B5">
              <w:rPr>
                <w:b/>
              </w:rPr>
              <w:t>Incremental cost/extra QALY gained (base case)</w:t>
            </w:r>
          </w:p>
        </w:tc>
        <w:tc>
          <w:tcPr>
            <w:tcW w:w="838" w:type="pct"/>
            <w:vAlign w:val="center"/>
          </w:tcPr>
          <w:p w14:paraId="7EB09208" w14:textId="0164B052" w:rsidR="00501DF7" w:rsidRPr="000653B5" w:rsidRDefault="00E038A0" w:rsidP="003926B6">
            <w:pPr>
              <w:pStyle w:val="TableText0"/>
              <w:keepLines/>
              <w:jc w:val="center"/>
              <w:rPr>
                <w:rFonts w:ascii="Times" w:hAnsi="Times"/>
                <w:b/>
              </w:rPr>
            </w:pPr>
            <w:r>
              <w:rPr>
                <w:b/>
              </w:rPr>
              <w:t xml:space="preserve"> </w:t>
            </w:r>
            <w:r w:rsidRPr="00E038A0">
              <w:rPr>
                <w:b/>
                <w:color w:val="000000"/>
                <w:shd w:val="solid" w:color="000000" w:fill="000000"/>
                <w14:textFill>
                  <w14:solidFill>
                    <w14:srgbClr w14:val="000000">
                      <w14:alpha w14:val="100000"/>
                    </w14:srgbClr>
                  </w14:solidFill>
                </w14:textFill>
              </w:rPr>
              <w:t>|</w:t>
            </w:r>
            <w:r w:rsidR="00A1540E">
              <w:rPr>
                <w:b/>
              </w:rPr>
              <w:t xml:space="preserve"> </w:t>
            </w:r>
            <w:r w:rsidR="00203F00">
              <w:rPr>
                <w:b/>
                <w:vertAlign w:val="superscript"/>
              </w:rPr>
              <w:t>1</w:t>
            </w:r>
          </w:p>
        </w:tc>
      </w:tr>
    </w:tbl>
    <w:p w14:paraId="3C708133" w14:textId="77777777" w:rsidR="00501DF7" w:rsidRDefault="00501DF7" w:rsidP="003926B6">
      <w:pPr>
        <w:pStyle w:val="FooterTableFigure"/>
        <w:keepNext/>
        <w:keepLines/>
      </w:pPr>
      <w:r>
        <w:t>Source: Table 3.8.1, p151 of the submission.</w:t>
      </w:r>
    </w:p>
    <w:p w14:paraId="60CFE6F9" w14:textId="53707C8A" w:rsidR="00501DF7" w:rsidRDefault="00501DF7" w:rsidP="003926B6">
      <w:pPr>
        <w:pStyle w:val="FooterTableFigure"/>
        <w:widowControl w:val="0"/>
      </w:pPr>
      <w:r>
        <w:t>IAT = investigator assigned treatment; LY = life year; QALY = quality adjusted life year</w:t>
      </w:r>
    </w:p>
    <w:p w14:paraId="113B787E" w14:textId="77777777" w:rsidR="00BF3C69" w:rsidRPr="00BF3C69" w:rsidRDefault="00BF3C69" w:rsidP="00BF3C69">
      <w:pPr>
        <w:pStyle w:val="FooterTableFigure"/>
        <w:widowControl w:val="0"/>
        <w:rPr>
          <w:i/>
        </w:rPr>
      </w:pPr>
      <w:r w:rsidRPr="00BF3C69">
        <w:rPr>
          <w:i/>
        </w:rPr>
        <w:t xml:space="preserve">The redacted values correspond to the following ranges: </w:t>
      </w:r>
    </w:p>
    <w:p w14:paraId="097ECE21" w14:textId="52CBF6DF" w:rsidR="00A1540E" w:rsidRPr="00A1540E" w:rsidRDefault="00203F00" w:rsidP="00A1540E">
      <w:pPr>
        <w:pStyle w:val="FooterTableFigure"/>
        <w:widowControl w:val="0"/>
        <w:rPr>
          <w:i/>
        </w:rPr>
      </w:pPr>
      <w:r w:rsidRPr="00203F00">
        <w:rPr>
          <w:i/>
          <w:vertAlign w:val="superscript"/>
        </w:rPr>
        <w:t>1</w:t>
      </w:r>
      <w:r w:rsidR="00BF3C69" w:rsidRPr="00203F00">
        <w:rPr>
          <w:i/>
          <w:vertAlign w:val="superscript"/>
        </w:rPr>
        <w:t xml:space="preserve"> </w:t>
      </w:r>
      <w:r w:rsidR="00A1540E" w:rsidRPr="00A1540E">
        <w:rPr>
          <w:i/>
        </w:rPr>
        <w:t>$45,000 to &lt; $55,000</w:t>
      </w:r>
    </w:p>
    <w:p w14:paraId="60B66D87" w14:textId="6FFCBD4D" w:rsidR="00A1540E" w:rsidRPr="00A1540E" w:rsidRDefault="00203F00" w:rsidP="00A1540E">
      <w:pPr>
        <w:pStyle w:val="FooterTableFigure"/>
        <w:widowControl w:val="0"/>
        <w:rPr>
          <w:i/>
        </w:rPr>
      </w:pPr>
      <w:r w:rsidRPr="00203F00">
        <w:rPr>
          <w:i/>
          <w:vertAlign w:val="superscript"/>
        </w:rPr>
        <w:t>2</w:t>
      </w:r>
      <w:r w:rsidR="00BF3C69" w:rsidRPr="00BF3C69">
        <w:rPr>
          <w:i/>
        </w:rPr>
        <w:t xml:space="preserve"> </w:t>
      </w:r>
      <w:r w:rsidR="00A1540E" w:rsidRPr="00A1540E">
        <w:rPr>
          <w:i/>
        </w:rPr>
        <w:t xml:space="preserve">$55,000 to &lt; $75,000 </w:t>
      </w:r>
    </w:p>
    <w:p w14:paraId="1800ACEB" w14:textId="28525825" w:rsidR="00BA54D0" w:rsidRDefault="00203F00" w:rsidP="003926B6">
      <w:pPr>
        <w:pStyle w:val="FooterTableFigure"/>
        <w:widowControl w:val="0"/>
      </w:pPr>
      <w:r w:rsidRPr="00203F00">
        <w:rPr>
          <w:i/>
          <w:vertAlign w:val="superscript"/>
        </w:rPr>
        <w:t>3</w:t>
      </w:r>
      <w:r w:rsidR="00BF3C69" w:rsidRPr="00BF3C69">
        <w:rPr>
          <w:i/>
        </w:rPr>
        <w:t xml:space="preserve"> </w:t>
      </w:r>
      <w:r w:rsidR="00A1540E" w:rsidRPr="00A1540E">
        <w:rPr>
          <w:i/>
        </w:rPr>
        <w:t>$255,000 to &lt; $355,000</w:t>
      </w:r>
    </w:p>
    <w:p w14:paraId="5FE1BF67" w14:textId="7E15D0AA" w:rsidR="00053F3A" w:rsidRPr="00EB3ECB" w:rsidRDefault="003F23BA" w:rsidP="004C0546">
      <w:pPr>
        <w:pStyle w:val="3-BodyText"/>
      </w:pPr>
      <w:r>
        <w:t>S</w:t>
      </w:r>
      <w:r w:rsidR="00501DF7" w:rsidRPr="00EB3ECB">
        <w:t>ensitivity analyses showed the model results were highly variable</w:t>
      </w:r>
      <w:r>
        <w:t xml:space="preserve">. </w:t>
      </w:r>
      <w:r w:rsidR="00053F3A" w:rsidRPr="00EB3ECB">
        <w:t xml:space="preserve">A summary of key sensitivity analyses </w:t>
      </w:r>
      <w:r w:rsidR="00EB01D5" w:rsidRPr="00EB3ECB">
        <w:t>is</w:t>
      </w:r>
      <w:r w:rsidR="00053F3A" w:rsidRPr="00EB3ECB">
        <w:t xml:space="preserve"> provided in</w:t>
      </w:r>
      <w:r w:rsidR="005C0ACC" w:rsidRPr="00EB3ECB">
        <w:t xml:space="preserve"> </w:t>
      </w:r>
      <w:r w:rsidR="005C0ACC" w:rsidRPr="00EB3ECB">
        <w:fldChar w:fldCharType="begin" w:fldLock="1"/>
      </w:r>
      <w:r w:rsidR="005C0ACC" w:rsidRPr="00EB3ECB">
        <w:instrText xml:space="preserve"> REF _Ref144445506 \h  \* MERGEFORMAT </w:instrText>
      </w:r>
      <w:r w:rsidR="005C0ACC" w:rsidRPr="00EB3ECB">
        <w:fldChar w:fldCharType="separate"/>
      </w:r>
      <w:r w:rsidR="0098695D" w:rsidRPr="00EB3ECB">
        <w:t>Table 16</w:t>
      </w:r>
      <w:r w:rsidR="005C0ACC" w:rsidRPr="00EB3ECB">
        <w:fldChar w:fldCharType="end"/>
      </w:r>
      <w:r w:rsidR="000B10B2" w:rsidRPr="00EB3ECB">
        <w:t>.</w:t>
      </w:r>
    </w:p>
    <w:p w14:paraId="58E86CEE" w14:textId="5113E104" w:rsidR="00053F3A" w:rsidRDefault="00053F3A" w:rsidP="00053F3A">
      <w:pPr>
        <w:keepNext/>
      </w:pPr>
      <w:bookmarkStart w:id="47" w:name="_Ref144445506"/>
      <w:r w:rsidRPr="00501DF7">
        <w:rPr>
          <w:rFonts w:ascii="Arial Narrow" w:hAnsi="Arial Narrow"/>
          <w:b/>
          <w:bCs/>
          <w:sz w:val="20"/>
          <w:szCs w:val="20"/>
        </w:rPr>
        <w:lastRenderedPageBreak/>
        <w:t xml:space="preserve">Table </w:t>
      </w:r>
      <w:r w:rsidRPr="00501DF7">
        <w:rPr>
          <w:rFonts w:ascii="Arial Narrow" w:hAnsi="Arial Narrow"/>
          <w:b/>
          <w:bCs/>
          <w:sz w:val="20"/>
          <w:szCs w:val="20"/>
        </w:rPr>
        <w:fldChar w:fldCharType="begin" w:fldLock="1"/>
      </w:r>
      <w:r w:rsidRPr="00501DF7">
        <w:rPr>
          <w:rFonts w:ascii="Arial Narrow" w:hAnsi="Arial Narrow"/>
          <w:b/>
          <w:bCs/>
          <w:sz w:val="20"/>
          <w:szCs w:val="20"/>
        </w:rPr>
        <w:instrText xml:space="preserve"> SEQ Table \* ARABIC </w:instrText>
      </w:r>
      <w:r w:rsidRPr="00501DF7">
        <w:rPr>
          <w:rFonts w:ascii="Arial Narrow" w:hAnsi="Arial Narrow"/>
          <w:b/>
          <w:bCs/>
          <w:sz w:val="20"/>
          <w:szCs w:val="20"/>
        </w:rPr>
        <w:fldChar w:fldCharType="separate"/>
      </w:r>
      <w:r w:rsidR="0098695D">
        <w:rPr>
          <w:rFonts w:ascii="Arial Narrow" w:hAnsi="Arial Narrow"/>
          <w:b/>
          <w:bCs/>
          <w:noProof/>
          <w:sz w:val="20"/>
          <w:szCs w:val="20"/>
        </w:rPr>
        <w:t>16</w:t>
      </w:r>
      <w:r w:rsidRPr="00501DF7">
        <w:rPr>
          <w:rFonts w:ascii="Arial Narrow" w:hAnsi="Arial Narrow"/>
          <w:b/>
          <w:bCs/>
          <w:noProof/>
          <w:sz w:val="20"/>
          <w:szCs w:val="20"/>
        </w:rPr>
        <w:fldChar w:fldCharType="end"/>
      </w:r>
      <w:bookmarkEnd w:id="47"/>
      <w:r w:rsidRPr="00501DF7">
        <w:rPr>
          <w:rFonts w:ascii="Arial Narrow" w:hAnsi="Arial Narrow"/>
          <w:b/>
          <w:bCs/>
          <w:sz w:val="20"/>
          <w:szCs w:val="20"/>
        </w:rPr>
        <w:t>:</w:t>
      </w:r>
      <w:r w:rsidRPr="00501DF7">
        <w:rPr>
          <w:rStyle w:val="CommentReference"/>
          <w:b w:val="0"/>
          <w:bCs/>
          <w:szCs w:val="20"/>
        </w:rPr>
        <w:t xml:space="preserve"> </w:t>
      </w:r>
      <w:r w:rsidRPr="00BB00B3">
        <w:rPr>
          <w:rStyle w:val="CommentReference"/>
          <w:szCs w:val="24"/>
        </w:rPr>
        <w:t>Results</w:t>
      </w:r>
      <w:r>
        <w:rPr>
          <w:rStyle w:val="CommentReference"/>
          <w:szCs w:val="24"/>
        </w:rPr>
        <w:t xml:space="preserve"> of sensitivity analyses –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Results of sensitivity analyses – economic model"/>
        <w:tblDescription w:val="Table 16: Results of sensitivity analyses – economic model"/>
      </w:tblPr>
      <w:tblGrid>
        <w:gridCol w:w="3347"/>
        <w:gridCol w:w="1544"/>
        <w:gridCol w:w="1653"/>
        <w:gridCol w:w="1028"/>
        <w:gridCol w:w="1445"/>
      </w:tblGrid>
      <w:tr w:rsidR="003A7A89" w:rsidRPr="00EB3ECB" w14:paraId="517D8CB9" w14:textId="77777777" w:rsidTr="00053F3A">
        <w:trPr>
          <w:cantSplit/>
          <w:tblHeader/>
        </w:trPr>
        <w:tc>
          <w:tcPr>
            <w:tcW w:w="3347" w:type="dxa"/>
            <w:vAlign w:val="center"/>
          </w:tcPr>
          <w:p w14:paraId="2EE51A86" w14:textId="77777777" w:rsidR="00053F3A" w:rsidRPr="00EB3ECB" w:rsidRDefault="00053F3A" w:rsidP="00053F3A">
            <w:pPr>
              <w:pStyle w:val="Tabletext"/>
              <w:keepNext/>
              <w:tabs>
                <w:tab w:val="left" w:pos="142"/>
              </w:tabs>
              <w:rPr>
                <w:b/>
              </w:rPr>
            </w:pPr>
            <w:r w:rsidRPr="00EB3ECB">
              <w:rPr>
                <w:b/>
              </w:rPr>
              <w:t>Analyses</w:t>
            </w:r>
          </w:p>
        </w:tc>
        <w:tc>
          <w:tcPr>
            <w:tcW w:w="1544" w:type="dxa"/>
            <w:vAlign w:val="center"/>
          </w:tcPr>
          <w:p w14:paraId="263752CF" w14:textId="31A087FF" w:rsidR="00571B3F" w:rsidRPr="00EB3ECB" w:rsidRDefault="00053F3A" w:rsidP="00571B3F">
            <w:pPr>
              <w:pStyle w:val="Tabletext"/>
              <w:keepNext/>
              <w:jc w:val="center"/>
              <w:rPr>
                <w:b/>
              </w:rPr>
            </w:pPr>
            <w:r w:rsidRPr="00EB3ECB">
              <w:rPr>
                <w:b/>
              </w:rPr>
              <w:t>Incremental cost</w:t>
            </w:r>
            <w:r w:rsidR="00571B3F">
              <w:rPr>
                <w:b/>
              </w:rPr>
              <w:t xml:space="preserve"> ($)</w:t>
            </w:r>
          </w:p>
        </w:tc>
        <w:tc>
          <w:tcPr>
            <w:tcW w:w="1653" w:type="dxa"/>
            <w:vAlign w:val="center"/>
          </w:tcPr>
          <w:p w14:paraId="337097A8" w14:textId="77777777" w:rsidR="00053F3A" w:rsidRPr="00EB3ECB" w:rsidRDefault="00053F3A" w:rsidP="00053F3A">
            <w:pPr>
              <w:pStyle w:val="Tabletext"/>
              <w:keepNext/>
              <w:jc w:val="center"/>
              <w:rPr>
                <w:b/>
              </w:rPr>
            </w:pPr>
            <w:r w:rsidRPr="00EB3ECB">
              <w:rPr>
                <w:b/>
              </w:rPr>
              <w:t>Incremental QALY</w:t>
            </w:r>
          </w:p>
        </w:tc>
        <w:tc>
          <w:tcPr>
            <w:tcW w:w="1028" w:type="dxa"/>
            <w:vAlign w:val="center"/>
          </w:tcPr>
          <w:p w14:paraId="0176D450" w14:textId="77777777" w:rsidR="00053F3A" w:rsidRPr="00EB3ECB" w:rsidRDefault="00053F3A" w:rsidP="00053F3A">
            <w:pPr>
              <w:pStyle w:val="Tabletext"/>
              <w:keepNext/>
              <w:jc w:val="center"/>
              <w:rPr>
                <w:b/>
              </w:rPr>
            </w:pPr>
            <w:r w:rsidRPr="00EB3ECB">
              <w:rPr>
                <w:b/>
              </w:rPr>
              <w:t>ICER</w:t>
            </w:r>
          </w:p>
        </w:tc>
        <w:tc>
          <w:tcPr>
            <w:tcW w:w="1445" w:type="dxa"/>
            <w:vAlign w:val="center"/>
          </w:tcPr>
          <w:p w14:paraId="46BBB117" w14:textId="77777777" w:rsidR="00053F3A" w:rsidRPr="00EB3ECB" w:rsidRDefault="00053F3A" w:rsidP="00053F3A">
            <w:pPr>
              <w:pStyle w:val="Tabletext"/>
              <w:keepNext/>
              <w:jc w:val="center"/>
              <w:rPr>
                <w:b/>
              </w:rPr>
            </w:pPr>
            <w:r w:rsidRPr="00EB3ECB">
              <w:rPr>
                <w:b/>
              </w:rPr>
              <w:t>% change ICER</w:t>
            </w:r>
          </w:p>
        </w:tc>
      </w:tr>
      <w:tr w:rsidR="003A7A89" w:rsidRPr="00EB3ECB" w14:paraId="02EB5DFC" w14:textId="77777777" w:rsidTr="00053F3A">
        <w:trPr>
          <w:cantSplit/>
          <w:tblHeader/>
        </w:trPr>
        <w:tc>
          <w:tcPr>
            <w:tcW w:w="3347" w:type="dxa"/>
            <w:vAlign w:val="center"/>
          </w:tcPr>
          <w:p w14:paraId="07CE33B9" w14:textId="77777777" w:rsidR="00053F3A" w:rsidRPr="00EB3ECB" w:rsidRDefault="00053F3A" w:rsidP="00053F3A">
            <w:pPr>
              <w:pStyle w:val="Tabletext"/>
              <w:keepNext/>
              <w:tabs>
                <w:tab w:val="left" w:pos="142"/>
              </w:tabs>
              <w:rPr>
                <w:b/>
              </w:rPr>
            </w:pPr>
            <w:r w:rsidRPr="00EB3ECB">
              <w:rPr>
                <w:b/>
              </w:rPr>
              <w:t>Base case</w:t>
            </w:r>
          </w:p>
        </w:tc>
        <w:tc>
          <w:tcPr>
            <w:tcW w:w="1544" w:type="dxa"/>
            <w:vAlign w:val="center"/>
          </w:tcPr>
          <w:p w14:paraId="0CA2F52F" w14:textId="2CA4F7CD" w:rsidR="00053F3A" w:rsidRPr="00EB3ECB" w:rsidRDefault="00E038A0" w:rsidP="00053F3A">
            <w:pPr>
              <w:pStyle w:val="Tabletext"/>
              <w:keepNext/>
              <w:jc w:val="center"/>
              <w:rPr>
                <w:b/>
                <w:bCs/>
              </w:rPr>
            </w:pPr>
            <w:r>
              <w:rPr>
                <w:b/>
                <w:bCs/>
              </w:rPr>
              <w:t xml:space="preserve"> </w:t>
            </w:r>
            <w:r w:rsidRPr="00E038A0">
              <w:rPr>
                <w:b/>
                <w:bCs/>
                <w:color w:val="000000"/>
                <w:shd w:val="solid" w:color="000000" w:fill="000000"/>
                <w14:textFill>
                  <w14:solidFill>
                    <w14:srgbClr w14:val="000000">
                      <w14:alpha w14:val="100000"/>
                    </w14:srgbClr>
                  </w14:solidFill>
                </w14:textFill>
              </w:rPr>
              <w:t>|</w:t>
            </w:r>
            <w:r w:rsidR="000E6E41">
              <w:rPr>
                <w:b/>
                <w:bCs/>
              </w:rPr>
              <w:t xml:space="preserve"> </w:t>
            </w:r>
          </w:p>
        </w:tc>
        <w:tc>
          <w:tcPr>
            <w:tcW w:w="1653" w:type="dxa"/>
            <w:vAlign w:val="center"/>
          </w:tcPr>
          <w:p w14:paraId="62A4CFA8" w14:textId="77777777" w:rsidR="00053F3A" w:rsidRPr="00EB3ECB" w:rsidRDefault="00053F3A" w:rsidP="00053F3A">
            <w:pPr>
              <w:pStyle w:val="Tabletext"/>
              <w:keepNext/>
              <w:jc w:val="center"/>
              <w:rPr>
                <w:b/>
              </w:rPr>
            </w:pPr>
            <w:r w:rsidRPr="00EB3ECB">
              <w:rPr>
                <w:rFonts w:cs="Arial"/>
                <w:b/>
                <w:szCs w:val="20"/>
              </w:rPr>
              <w:t>0.13</w:t>
            </w:r>
          </w:p>
        </w:tc>
        <w:tc>
          <w:tcPr>
            <w:tcW w:w="1028" w:type="dxa"/>
            <w:vAlign w:val="center"/>
          </w:tcPr>
          <w:p w14:paraId="67BF5A16" w14:textId="60E8C32F" w:rsidR="00053F3A" w:rsidRPr="0065100C" w:rsidRDefault="00E038A0" w:rsidP="00053F3A">
            <w:pPr>
              <w:pStyle w:val="Tabletext"/>
              <w:keepNext/>
              <w:jc w:val="center"/>
              <w:rPr>
                <w:b/>
                <w:szCs w:val="20"/>
                <w:highlight w:val="darkGray"/>
              </w:rPr>
            </w:pPr>
            <w:r>
              <w:rPr>
                <w:rFonts w:cs="Arial"/>
                <w:b/>
                <w:szCs w:val="20"/>
              </w:rPr>
              <w:t xml:space="preserve"> </w:t>
            </w:r>
            <w:r w:rsidRPr="00E038A0">
              <w:rPr>
                <w:rFonts w:cs="Arial"/>
                <w:b/>
                <w:color w:val="000000"/>
                <w:spacing w:val="68"/>
                <w:szCs w:val="20"/>
                <w:shd w:val="solid" w:color="000000" w:fill="000000"/>
                <w:fitText w:val="160" w:id="-1032069883"/>
                <w14:textFill>
                  <w14:solidFill>
                    <w14:srgbClr w14:val="000000">
                      <w14:alpha w14:val="100000"/>
                    </w14:srgbClr>
                  </w14:solidFill>
                </w14:textFill>
              </w:rPr>
              <w:t>|</w:t>
            </w:r>
            <w:r w:rsidRPr="00E038A0">
              <w:rPr>
                <w:rFonts w:cs="Arial"/>
                <w:b/>
                <w:color w:val="000000"/>
                <w:spacing w:val="1"/>
                <w:szCs w:val="20"/>
                <w:shd w:val="solid" w:color="000000" w:fill="000000"/>
                <w:fitText w:val="160" w:id="-1032069883"/>
                <w14:textFill>
                  <w14:solidFill>
                    <w14:srgbClr w14:val="000000">
                      <w14:alpha w14:val="100000"/>
                    </w14:srgbClr>
                  </w14:solidFill>
                </w14:textFill>
              </w:rPr>
              <w:t>|</w:t>
            </w:r>
            <w:r w:rsidR="001275BD" w:rsidRPr="0065100C">
              <w:rPr>
                <w:rFonts w:cs="Arial"/>
                <w:b/>
                <w:szCs w:val="20"/>
                <w:vertAlign w:val="superscript"/>
              </w:rPr>
              <w:t>1</w:t>
            </w:r>
          </w:p>
        </w:tc>
        <w:tc>
          <w:tcPr>
            <w:tcW w:w="1445" w:type="dxa"/>
            <w:vAlign w:val="center"/>
          </w:tcPr>
          <w:p w14:paraId="32EFFA13" w14:textId="77777777" w:rsidR="00053F3A" w:rsidRPr="00EB3ECB" w:rsidRDefault="00053F3A" w:rsidP="00053F3A">
            <w:pPr>
              <w:pStyle w:val="Tabletext"/>
              <w:keepNext/>
              <w:jc w:val="center"/>
              <w:rPr>
                <w:b/>
              </w:rPr>
            </w:pPr>
            <w:r w:rsidRPr="00EB3ECB">
              <w:rPr>
                <w:b/>
              </w:rPr>
              <w:t>-</w:t>
            </w:r>
          </w:p>
        </w:tc>
      </w:tr>
      <w:tr w:rsidR="00EB01D5" w:rsidRPr="00EB3ECB" w14:paraId="588E2C43" w14:textId="77777777" w:rsidTr="00213DF3">
        <w:trPr>
          <w:cantSplit/>
          <w:trHeight w:val="129"/>
        </w:trPr>
        <w:tc>
          <w:tcPr>
            <w:tcW w:w="9017" w:type="dxa"/>
            <w:gridSpan w:val="5"/>
            <w:vAlign w:val="center"/>
          </w:tcPr>
          <w:p w14:paraId="731B4C24" w14:textId="77777777" w:rsidR="00053F3A" w:rsidRPr="0065100C" w:rsidRDefault="00053F3A" w:rsidP="00053F3A">
            <w:pPr>
              <w:pStyle w:val="Tabletext"/>
              <w:keepNext/>
              <w:rPr>
                <w:szCs w:val="20"/>
              </w:rPr>
            </w:pPr>
            <w:r w:rsidRPr="0065100C">
              <w:rPr>
                <w:szCs w:val="20"/>
              </w:rPr>
              <w:t>Time horizon (base case: 10 years)</w:t>
            </w:r>
          </w:p>
        </w:tc>
      </w:tr>
      <w:tr w:rsidR="003A7A89" w:rsidRPr="00EB3ECB" w14:paraId="4FB566A4" w14:textId="77777777" w:rsidTr="00213DF3">
        <w:trPr>
          <w:cantSplit/>
          <w:trHeight w:val="129"/>
        </w:trPr>
        <w:tc>
          <w:tcPr>
            <w:tcW w:w="3347" w:type="dxa"/>
            <w:vAlign w:val="center"/>
          </w:tcPr>
          <w:p w14:paraId="127EFE13" w14:textId="77777777" w:rsidR="00053F3A" w:rsidRPr="00EB3ECB" w:rsidRDefault="00053F3A" w:rsidP="00053F3A">
            <w:pPr>
              <w:pStyle w:val="Tabletext"/>
              <w:keepNext/>
              <w:tabs>
                <w:tab w:val="left" w:pos="142"/>
              </w:tabs>
            </w:pPr>
            <w:r w:rsidRPr="00EB3ECB">
              <w:tab/>
              <w:t>12 years</w:t>
            </w:r>
          </w:p>
        </w:tc>
        <w:tc>
          <w:tcPr>
            <w:tcW w:w="1544" w:type="dxa"/>
            <w:vAlign w:val="center"/>
          </w:tcPr>
          <w:p w14:paraId="2CE5D381" w14:textId="07D9FD9B" w:rsidR="00053F3A" w:rsidRPr="000E6E41" w:rsidRDefault="00E038A0" w:rsidP="00053F3A">
            <w:pPr>
              <w:pStyle w:val="Tabletext"/>
              <w:keepNext/>
              <w:jc w:val="center"/>
              <w:rPr>
                <w:rFonts w:cs="Arial"/>
                <w:szCs w:val="20"/>
                <w:highlight w:val="darkGray"/>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07EFC2F9" w14:textId="77777777" w:rsidR="00053F3A" w:rsidRPr="00EB3ECB" w:rsidRDefault="00053F3A" w:rsidP="00053F3A">
            <w:pPr>
              <w:pStyle w:val="Tabletext"/>
              <w:keepNext/>
              <w:jc w:val="center"/>
              <w:rPr>
                <w:rFonts w:cs="Arial"/>
                <w:szCs w:val="20"/>
              </w:rPr>
            </w:pPr>
            <w:r w:rsidRPr="00EB3ECB">
              <w:rPr>
                <w:szCs w:val="20"/>
                <w:lang w:val="de-DE"/>
              </w:rPr>
              <w:t>0.15</w:t>
            </w:r>
          </w:p>
        </w:tc>
        <w:tc>
          <w:tcPr>
            <w:tcW w:w="1028" w:type="dxa"/>
            <w:vAlign w:val="center"/>
          </w:tcPr>
          <w:p w14:paraId="14178C66" w14:textId="352EE2E4" w:rsidR="00053F3A" w:rsidRPr="0065100C" w:rsidRDefault="00E038A0" w:rsidP="00053F3A">
            <w:pPr>
              <w:keepNext/>
              <w:jc w:val="center"/>
              <w:rPr>
                <w:rFonts w:ascii="Arial Narrow" w:hAnsi="Arial Narrow"/>
                <w:sz w:val="20"/>
                <w:szCs w:val="20"/>
                <w:highlight w:val="darkGray"/>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82"/>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82"/>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82"/>
                <w:lang w:val="de-DE"/>
                <w14:textFill>
                  <w14:solidFill>
                    <w14:srgbClr w14:val="000000">
                      <w14:alpha w14:val="100000"/>
                    </w14:srgbClr>
                  </w14:solidFill>
                </w14:textFill>
              </w:rPr>
              <w:t xml:space="preserve">　</w:t>
            </w:r>
            <w:r w:rsidR="001275BD" w:rsidRPr="0065100C">
              <w:rPr>
                <w:rFonts w:ascii="Arial Narrow" w:hAnsi="Arial Narrow"/>
                <w:b/>
                <w:sz w:val="20"/>
                <w:szCs w:val="20"/>
                <w:vertAlign w:val="superscript"/>
              </w:rPr>
              <w:t>1</w:t>
            </w:r>
          </w:p>
        </w:tc>
        <w:tc>
          <w:tcPr>
            <w:tcW w:w="1445" w:type="dxa"/>
            <w:vAlign w:val="center"/>
          </w:tcPr>
          <w:p w14:paraId="6671D289" w14:textId="1283DD7C" w:rsidR="00053F3A" w:rsidRPr="00E069FD" w:rsidRDefault="00053F3A" w:rsidP="00053F3A">
            <w:pPr>
              <w:pStyle w:val="Tabletext"/>
              <w:keepNext/>
              <w:jc w:val="center"/>
              <w:rPr>
                <w:rFonts w:cs="Arial"/>
                <w:szCs w:val="20"/>
              </w:rPr>
            </w:pPr>
            <w:r w:rsidRPr="00E069FD">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069FD">
              <w:rPr>
                <w:szCs w:val="20"/>
                <w:lang w:val="de-DE"/>
              </w:rPr>
              <w:t>%</w:t>
            </w:r>
          </w:p>
        </w:tc>
      </w:tr>
      <w:tr w:rsidR="003A7A89" w:rsidRPr="00EB3ECB" w14:paraId="37EA2982" w14:textId="77777777" w:rsidTr="00213DF3">
        <w:trPr>
          <w:cantSplit/>
          <w:trHeight w:val="129"/>
        </w:trPr>
        <w:tc>
          <w:tcPr>
            <w:tcW w:w="3347" w:type="dxa"/>
            <w:vAlign w:val="center"/>
          </w:tcPr>
          <w:p w14:paraId="118AE068" w14:textId="77777777" w:rsidR="00053F3A" w:rsidRPr="00EB3ECB" w:rsidRDefault="00053F3A" w:rsidP="00053F3A">
            <w:pPr>
              <w:pStyle w:val="Tabletext"/>
              <w:keepNext/>
              <w:tabs>
                <w:tab w:val="left" w:pos="142"/>
              </w:tabs>
            </w:pPr>
            <w:r w:rsidRPr="00EB3ECB">
              <w:tab/>
              <w:t>5 years</w:t>
            </w:r>
          </w:p>
        </w:tc>
        <w:tc>
          <w:tcPr>
            <w:tcW w:w="1544" w:type="dxa"/>
            <w:vAlign w:val="center"/>
          </w:tcPr>
          <w:p w14:paraId="17CFA60A" w14:textId="461AA691" w:rsidR="00053F3A" w:rsidRPr="000E6E41" w:rsidRDefault="00E038A0" w:rsidP="00053F3A">
            <w:pPr>
              <w:pStyle w:val="Tabletext"/>
              <w:keepNext/>
              <w:jc w:val="center"/>
              <w:rPr>
                <w:rFonts w:cs="Arial"/>
                <w:szCs w:val="20"/>
                <w:highlight w:val="darkGray"/>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14218036" w14:textId="77777777" w:rsidR="00053F3A" w:rsidRPr="00EB3ECB" w:rsidRDefault="00053F3A" w:rsidP="00053F3A">
            <w:pPr>
              <w:pStyle w:val="Tabletext"/>
              <w:keepNext/>
              <w:jc w:val="center"/>
              <w:rPr>
                <w:rFonts w:cs="Arial"/>
                <w:szCs w:val="20"/>
              </w:rPr>
            </w:pPr>
            <w:r w:rsidRPr="00EB3ECB">
              <w:rPr>
                <w:rFonts w:cs="Arial"/>
                <w:szCs w:val="20"/>
              </w:rPr>
              <w:t>0.09</w:t>
            </w:r>
          </w:p>
        </w:tc>
        <w:tc>
          <w:tcPr>
            <w:tcW w:w="1028" w:type="dxa"/>
            <w:vAlign w:val="center"/>
          </w:tcPr>
          <w:p w14:paraId="64406265" w14:textId="6E2BB980" w:rsidR="00053F3A" w:rsidRPr="0065100C" w:rsidRDefault="00E038A0" w:rsidP="00053F3A">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881"/>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81"/>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81"/>
                <w14:textFill>
                  <w14:solidFill>
                    <w14:srgbClr w14:val="000000">
                      <w14:alpha w14:val="100000"/>
                    </w14:srgbClr>
                  </w14:solidFill>
                </w14:textFill>
              </w:rPr>
              <w:t xml:space="preserve">　</w:t>
            </w:r>
            <w:r w:rsidR="00DC231B" w:rsidRPr="0065100C">
              <w:rPr>
                <w:rFonts w:ascii="Arial Narrow" w:hAnsi="Arial Narrow"/>
                <w:sz w:val="20"/>
                <w:szCs w:val="20"/>
                <w:vertAlign w:val="superscript"/>
              </w:rPr>
              <w:t>2</w:t>
            </w:r>
          </w:p>
        </w:tc>
        <w:tc>
          <w:tcPr>
            <w:tcW w:w="1445" w:type="dxa"/>
            <w:vAlign w:val="center"/>
          </w:tcPr>
          <w:p w14:paraId="150BA12C" w14:textId="717619C5" w:rsidR="00053F3A" w:rsidRPr="00E069FD" w:rsidRDefault="00053F3A" w:rsidP="00053F3A">
            <w:pPr>
              <w:pStyle w:val="Tabletext"/>
              <w:keepNext/>
              <w:jc w:val="center"/>
              <w:rPr>
                <w:rFonts w:cs="Arial"/>
                <w:szCs w:val="20"/>
              </w:rPr>
            </w:pPr>
            <w:r w:rsidRPr="00E069FD">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069FD">
              <w:rPr>
                <w:rFonts w:cs="Arial"/>
                <w:szCs w:val="20"/>
              </w:rPr>
              <w:t>%</w:t>
            </w:r>
          </w:p>
        </w:tc>
      </w:tr>
      <w:tr w:rsidR="003A7A89" w:rsidRPr="00EB3ECB" w14:paraId="6676450E" w14:textId="77777777" w:rsidTr="00213DF3">
        <w:trPr>
          <w:cantSplit/>
          <w:trHeight w:val="129"/>
        </w:trPr>
        <w:tc>
          <w:tcPr>
            <w:tcW w:w="3347" w:type="dxa"/>
            <w:vAlign w:val="center"/>
          </w:tcPr>
          <w:p w14:paraId="0C96E222" w14:textId="77777777" w:rsidR="00053F3A" w:rsidRPr="00EB3ECB" w:rsidRDefault="00053F3A" w:rsidP="00053F3A">
            <w:pPr>
              <w:pStyle w:val="Tabletext"/>
              <w:keepNext/>
              <w:tabs>
                <w:tab w:val="left" w:pos="142"/>
              </w:tabs>
            </w:pPr>
            <w:r w:rsidRPr="00EB3ECB">
              <w:tab/>
              <w:t>2 years</w:t>
            </w:r>
          </w:p>
        </w:tc>
        <w:tc>
          <w:tcPr>
            <w:tcW w:w="1544" w:type="dxa"/>
            <w:vAlign w:val="center"/>
          </w:tcPr>
          <w:p w14:paraId="136DE921" w14:textId="7E7CBE8B" w:rsidR="00053F3A" w:rsidRPr="000E6E41" w:rsidRDefault="00E038A0" w:rsidP="00053F3A">
            <w:pPr>
              <w:pStyle w:val="Tabletext"/>
              <w:keepNext/>
              <w:jc w:val="center"/>
              <w:rPr>
                <w:rFonts w:cs="Arial"/>
                <w:szCs w:val="20"/>
                <w:highlight w:val="darkGray"/>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7A9541FE" w14:textId="77777777" w:rsidR="00053F3A" w:rsidRPr="00EB3ECB" w:rsidRDefault="00053F3A" w:rsidP="00053F3A">
            <w:pPr>
              <w:pStyle w:val="Tabletext"/>
              <w:keepNext/>
              <w:jc w:val="center"/>
              <w:rPr>
                <w:rFonts w:cs="Arial"/>
                <w:szCs w:val="20"/>
              </w:rPr>
            </w:pPr>
            <w:r w:rsidRPr="00EB3ECB">
              <w:rPr>
                <w:rFonts w:cs="Arial"/>
                <w:szCs w:val="20"/>
              </w:rPr>
              <w:t>0.06</w:t>
            </w:r>
          </w:p>
        </w:tc>
        <w:tc>
          <w:tcPr>
            <w:tcW w:w="1028" w:type="dxa"/>
            <w:vAlign w:val="center"/>
          </w:tcPr>
          <w:p w14:paraId="4B11B784" w14:textId="0082DD3F" w:rsidR="00053F3A" w:rsidRPr="0065100C" w:rsidRDefault="00E038A0" w:rsidP="00053F3A">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880"/>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80"/>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80"/>
                <w14:textFill>
                  <w14:solidFill>
                    <w14:srgbClr w14:val="000000">
                      <w14:alpha w14:val="100000"/>
                    </w14:srgbClr>
                  </w14:solidFill>
                </w14:textFill>
              </w:rPr>
              <w:t xml:space="preserve">　</w:t>
            </w:r>
            <w:r w:rsidR="00B02344" w:rsidRPr="0065100C">
              <w:rPr>
                <w:rFonts w:ascii="Arial Narrow" w:hAnsi="Arial Narrow"/>
                <w:sz w:val="20"/>
                <w:szCs w:val="20"/>
                <w:vertAlign w:val="superscript"/>
              </w:rPr>
              <w:t>3</w:t>
            </w:r>
          </w:p>
        </w:tc>
        <w:tc>
          <w:tcPr>
            <w:tcW w:w="1445" w:type="dxa"/>
            <w:vAlign w:val="center"/>
          </w:tcPr>
          <w:p w14:paraId="01BA21BE" w14:textId="1ED4A604" w:rsidR="00053F3A" w:rsidRPr="00E069FD" w:rsidRDefault="00053F3A" w:rsidP="00053F3A">
            <w:pPr>
              <w:pStyle w:val="Tabletext"/>
              <w:keepNext/>
              <w:jc w:val="center"/>
              <w:rPr>
                <w:rFonts w:cs="Arial"/>
                <w:szCs w:val="20"/>
              </w:rPr>
            </w:pPr>
            <w:r w:rsidRPr="00E069FD">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069FD">
              <w:rPr>
                <w:rFonts w:cs="Arial"/>
                <w:szCs w:val="20"/>
              </w:rPr>
              <w:t>%</w:t>
            </w:r>
          </w:p>
        </w:tc>
      </w:tr>
      <w:tr w:rsidR="00EB01D5" w:rsidRPr="00EB3ECB" w14:paraId="427ED7B1" w14:textId="77777777" w:rsidTr="00213DF3">
        <w:trPr>
          <w:cantSplit/>
          <w:trHeight w:val="129"/>
        </w:trPr>
        <w:tc>
          <w:tcPr>
            <w:tcW w:w="9017" w:type="dxa"/>
            <w:gridSpan w:val="5"/>
            <w:vAlign w:val="center"/>
          </w:tcPr>
          <w:p w14:paraId="78D3540B" w14:textId="77777777" w:rsidR="00053F3A" w:rsidRPr="0065100C" w:rsidRDefault="00053F3A" w:rsidP="00053F3A">
            <w:pPr>
              <w:pStyle w:val="Tabletext"/>
              <w:keepNext/>
              <w:rPr>
                <w:rFonts w:cs="Arial"/>
                <w:szCs w:val="20"/>
              </w:rPr>
            </w:pPr>
            <w:r w:rsidRPr="0065100C">
              <w:rPr>
                <w:rFonts w:cs="Arial"/>
                <w:szCs w:val="20"/>
              </w:rPr>
              <w:t>Discount rate (base case: 5%)</w:t>
            </w:r>
          </w:p>
        </w:tc>
      </w:tr>
      <w:tr w:rsidR="003A7A89" w:rsidRPr="00EB3ECB" w14:paraId="78D64FFC" w14:textId="77777777" w:rsidTr="00213DF3">
        <w:trPr>
          <w:cantSplit/>
          <w:trHeight w:val="129"/>
        </w:trPr>
        <w:tc>
          <w:tcPr>
            <w:tcW w:w="3347" w:type="dxa"/>
            <w:vAlign w:val="center"/>
          </w:tcPr>
          <w:p w14:paraId="25DDDCD4" w14:textId="21E32DDF" w:rsidR="005B4367" w:rsidRPr="00EB3ECB" w:rsidRDefault="005B4367" w:rsidP="00053F3A">
            <w:pPr>
              <w:pStyle w:val="Tabletext"/>
              <w:keepNext/>
              <w:tabs>
                <w:tab w:val="left" w:pos="142"/>
              </w:tabs>
            </w:pPr>
            <w:r w:rsidRPr="00EB3ECB">
              <w:tab/>
              <w:t>3.5%</w:t>
            </w:r>
          </w:p>
        </w:tc>
        <w:tc>
          <w:tcPr>
            <w:tcW w:w="1544" w:type="dxa"/>
            <w:vAlign w:val="center"/>
          </w:tcPr>
          <w:p w14:paraId="4B6D7C9E" w14:textId="6E1CB55A" w:rsidR="005B4367" w:rsidRPr="000E6E41" w:rsidRDefault="00E038A0" w:rsidP="00053F3A">
            <w:pPr>
              <w:pStyle w:val="Tabletext"/>
              <w:keepNext/>
              <w:jc w:val="center"/>
              <w:rPr>
                <w:szCs w:val="20"/>
                <w:highlight w:val="darkGray"/>
                <w:lang w:val="de-DE"/>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42529DCD" w14:textId="18A3E1E3" w:rsidR="005B4367" w:rsidRPr="00EB3ECB" w:rsidRDefault="005B4367" w:rsidP="00053F3A">
            <w:pPr>
              <w:pStyle w:val="Tabletext"/>
              <w:keepNext/>
              <w:jc w:val="center"/>
              <w:rPr>
                <w:szCs w:val="20"/>
                <w:lang w:val="de-DE"/>
              </w:rPr>
            </w:pPr>
            <w:r w:rsidRPr="00EB3ECB">
              <w:rPr>
                <w:szCs w:val="20"/>
                <w:lang w:val="de-DE"/>
              </w:rPr>
              <w:t>0.14</w:t>
            </w:r>
          </w:p>
        </w:tc>
        <w:tc>
          <w:tcPr>
            <w:tcW w:w="1028" w:type="dxa"/>
            <w:vAlign w:val="center"/>
          </w:tcPr>
          <w:p w14:paraId="767CAA98" w14:textId="3E622830" w:rsidR="005B4367" w:rsidRPr="0065100C" w:rsidRDefault="00E038A0" w:rsidP="00053F3A">
            <w:pPr>
              <w:keepNext/>
              <w:jc w:val="center"/>
              <w:rPr>
                <w:rFonts w:ascii="Arial Narrow" w:hAnsi="Arial Narrow"/>
                <w:sz w:val="20"/>
                <w:szCs w:val="20"/>
                <w:highlight w:val="darkGray"/>
                <w:lang w:val="de-DE"/>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79"/>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79"/>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79"/>
                <w:lang w:val="de-DE"/>
                <w14:textFill>
                  <w14:solidFill>
                    <w14:srgbClr w14:val="000000">
                      <w14:alpha w14:val="100000"/>
                    </w14:srgbClr>
                  </w14:solidFill>
                </w14:textFill>
              </w:rPr>
              <w:t xml:space="preserve">　</w:t>
            </w:r>
            <w:r w:rsidR="001275BD" w:rsidRPr="0065100C">
              <w:rPr>
                <w:rFonts w:ascii="Arial Narrow" w:hAnsi="Arial Narrow"/>
                <w:b/>
                <w:sz w:val="20"/>
                <w:szCs w:val="20"/>
                <w:vertAlign w:val="superscript"/>
              </w:rPr>
              <w:t>1</w:t>
            </w:r>
          </w:p>
        </w:tc>
        <w:tc>
          <w:tcPr>
            <w:tcW w:w="1445" w:type="dxa"/>
            <w:vAlign w:val="center"/>
          </w:tcPr>
          <w:p w14:paraId="27A9835B" w14:textId="541D4026" w:rsidR="005B4367" w:rsidRPr="00EB3ECB" w:rsidRDefault="005B4367" w:rsidP="00053F3A">
            <w:pPr>
              <w:pStyle w:val="Tabletext"/>
              <w:keepNext/>
              <w:jc w:val="center"/>
              <w:rPr>
                <w:szCs w:val="20"/>
                <w:lang w:val="de-DE"/>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3A7A89" w:rsidRPr="00EB3ECB" w14:paraId="2C5BF57A" w14:textId="77777777" w:rsidTr="00213DF3">
        <w:trPr>
          <w:cantSplit/>
          <w:trHeight w:val="129"/>
        </w:trPr>
        <w:tc>
          <w:tcPr>
            <w:tcW w:w="3347" w:type="dxa"/>
            <w:vAlign w:val="center"/>
          </w:tcPr>
          <w:p w14:paraId="0AF3DD0E" w14:textId="77777777" w:rsidR="00053F3A" w:rsidRPr="00EB3ECB" w:rsidRDefault="00053F3A" w:rsidP="00053F3A">
            <w:pPr>
              <w:pStyle w:val="Tabletext"/>
              <w:keepNext/>
              <w:tabs>
                <w:tab w:val="left" w:pos="142"/>
              </w:tabs>
            </w:pPr>
            <w:r w:rsidRPr="00EB3ECB">
              <w:tab/>
              <w:t>0%</w:t>
            </w:r>
          </w:p>
        </w:tc>
        <w:tc>
          <w:tcPr>
            <w:tcW w:w="1544" w:type="dxa"/>
            <w:vAlign w:val="center"/>
          </w:tcPr>
          <w:p w14:paraId="4874157D" w14:textId="2325577E" w:rsidR="00053F3A" w:rsidRPr="000E6E41" w:rsidRDefault="00E038A0" w:rsidP="00053F3A">
            <w:pPr>
              <w:pStyle w:val="Tabletext"/>
              <w:keepNext/>
              <w:jc w:val="center"/>
              <w:rPr>
                <w:rFonts w:cs="Arial"/>
                <w:szCs w:val="20"/>
                <w:highlight w:val="darkGray"/>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2869271E" w14:textId="77777777" w:rsidR="00053F3A" w:rsidRPr="00EB3ECB" w:rsidRDefault="00053F3A" w:rsidP="00053F3A">
            <w:pPr>
              <w:pStyle w:val="Tabletext"/>
              <w:keepNext/>
              <w:jc w:val="center"/>
              <w:rPr>
                <w:rFonts w:cs="Arial"/>
                <w:szCs w:val="20"/>
              </w:rPr>
            </w:pPr>
            <w:r w:rsidRPr="00EB3ECB">
              <w:rPr>
                <w:szCs w:val="20"/>
                <w:lang w:val="de-DE"/>
              </w:rPr>
              <w:t>0.16</w:t>
            </w:r>
          </w:p>
        </w:tc>
        <w:tc>
          <w:tcPr>
            <w:tcW w:w="1028" w:type="dxa"/>
            <w:vAlign w:val="center"/>
          </w:tcPr>
          <w:p w14:paraId="650E610B" w14:textId="61120A0C" w:rsidR="00053F3A" w:rsidRPr="0065100C" w:rsidRDefault="00E038A0" w:rsidP="00053F3A">
            <w:pPr>
              <w:keepNext/>
              <w:jc w:val="center"/>
              <w:rPr>
                <w:rFonts w:ascii="Arial Narrow" w:hAnsi="Arial Narrow"/>
                <w:sz w:val="20"/>
                <w:szCs w:val="20"/>
                <w:highlight w:val="darkGray"/>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78"/>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78"/>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78"/>
                <w:lang w:val="de-DE"/>
                <w14:textFill>
                  <w14:solidFill>
                    <w14:srgbClr w14:val="000000">
                      <w14:alpha w14:val="100000"/>
                    </w14:srgbClr>
                  </w14:solidFill>
                </w14:textFill>
              </w:rPr>
              <w:t xml:space="preserve">　</w:t>
            </w:r>
            <w:r w:rsidR="00A35709" w:rsidRPr="0065100C">
              <w:rPr>
                <w:rFonts w:ascii="Arial Narrow" w:hAnsi="Arial Narrow"/>
                <w:sz w:val="20"/>
                <w:szCs w:val="20"/>
                <w:vertAlign w:val="superscript"/>
                <w:lang w:val="de-DE"/>
              </w:rPr>
              <w:t>4</w:t>
            </w:r>
          </w:p>
        </w:tc>
        <w:tc>
          <w:tcPr>
            <w:tcW w:w="1445" w:type="dxa"/>
            <w:vAlign w:val="center"/>
          </w:tcPr>
          <w:p w14:paraId="73ADD735" w14:textId="13FB3F86" w:rsidR="00053F3A" w:rsidRPr="00EB3ECB" w:rsidRDefault="00053F3A" w:rsidP="00053F3A">
            <w:pPr>
              <w:pStyle w:val="Tabletext"/>
              <w:keepNext/>
              <w:jc w:val="center"/>
              <w:rPr>
                <w:rFonts w:cs="Arial"/>
                <w:szCs w:val="20"/>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EB01D5" w:rsidRPr="00EB3ECB" w14:paraId="69C25CC9" w14:textId="77777777" w:rsidTr="00213DF3">
        <w:trPr>
          <w:cantSplit/>
          <w:trHeight w:val="129"/>
        </w:trPr>
        <w:tc>
          <w:tcPr>
            <w:tcW w:w="9017" w:type="dxa"/>
            <w:gridSpan w:val="5"/>
            <w:vAlign w:val="center"/>
          </w:tcPr>
          <w:p w14:paraId="2023686A" w14:textId="77777777" w:rsidR="00053F3A" w:rsidRPr="0065100C" w:rsidRDefault="00053F3A" w:rsidP="00053F3A">
            <w:pPr>
              <w:pStyle w:val="Tabletext"/>
              <w:keepNext/>
              <w:rPr>
                <w:rFonts w:cs="Arial"/>
                <w:szCs w:val="20"/>
              </w:rPr>
            </w:pPr>
            <w:r w:rsidRPr="0065100C">
              <w:rPr>
                <w:rFonts w:cs="Arial"/>
                <w:szCs w:val="20"/>
              </w:rPr>
              <w:t xml:space="preserve">Comparator – proportion treated with each drug </w:t>
            </w:r>
          </w:p>
          <w:p w14:paraId="0969633B" w14:textId="77777777" w:rsidR="00053F3A" w:rsidRPr="0065100C" w:rsidRDefault="00053F3A" w:rsidP="00053F3A">
            <w:pPr>
              <w:pStyle w:val="Tabletext"/>
              <w:keepNext/>
              <w:rPr>
                <w:rFonts w:cs="Arial"/>
                <w:szCs w:val="20"/>
              </w:rPr>
            </w:pPr>
            <w:r w:rsidRPr="0065100C">
              <w:rPr>
                <w:rFonts w:cs="Arial"/>
                <w:szCs w:val="20"/>
              </w:rPr>
              <w:t>(base case: valganciclovir 25.4%, ganciclovir 25.9%, foscarnet 43.5%, cidofovir 5.2%)</w:t>
            </w:r>
          </w:p>
        </w:tc>
      </w:tr>
      <w:tr w:rsidR="003A7A89" w:rsidRPr="00EB3ECB" w14:paraId="2D2FED6A" w14:textId="77777777" w:rsidTr="00213DF3">
        <w:trPr>
          <w:cantSplit/>
          <w:trHeight w:val="129"/>
        </w:trPr>
        <w:tc>
          <w:tcPr>
            <w:tcW w:w="3347" w:type="dxa"/>
            <w:vAlign w:val="center"/>
          </w:tcPr>
          <w:p w14:paraId="36375815" w14:textId="77777777" w:rsidR="00053F3A" w:rsidRPr="00EB3ECB" w:rsidRDefault="00053F3A" w:rsidP="00053F3A">
            <w:pPr>
              <w:pStyle w:val="Tabletext"/>
              <w:keepNext/>
              <w:tabs>
                <w:tab w:val="left" w:pos="142"/>
              </w:tabs>
            </w:pPr>
            <w:r w:rsidRPr="00EB3ECB">
              <w:tab/>
              <w:t>25% with each drug</w:t>
            </w:r>
          </w:p>
        </w:tc>
        <w:tc>
          <w:tcPr>
            <w:tcW w:w="1544" w:type="dxa"/>
            <w:vAlign w:val="center"/>
          </w:tcPr>
          <w:p w14:paraId="043ADFB8" w14:textId="481E760F" w:rsidR="00053F3A" w:rsidRPr="00E069FD" w:rsidRDefault="00E038A0" w:rsidP="00053F3A">
            <w:pPr>
              <w:pStyle w:val="Tabletext"/>
              <w:keepNext/>
              <w:jc w:val="center"/>
              <w:rPr>
                <w:rFonts w:cs="Arial"/>
                <w:szCs w:val="20"/>
                <w:highlight w:val="darkGray"/>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61A55143" w14:textId="77777777" w:rsidR="00053F3A" w:rsidRPr="00CD4256" w:rsidRDefault="00053F3A" w:rsidP="00053F3A">
            <w:pPr>
              <w:pStyle w:val="Tabletext"/>
              <w:keepNext/>
              <w:jc w:val="center"/>
              <w:rPr>
                <w:rFonts w:cs="Arial"/>
                <w:szCs w:val="20"/>
              </w:rPr>
            </w:pPr>
            <w:r w:rsidRPr="00CD4256">
              <w:rPr>
                <w:szCs w:val="20"/>
                <w:lang w:val="de-DE"/>
              </w:rPr>
              <w:t>0.13</w:t>
            </w:r>
          </w:p>
        </w:tc>
        <w:tc>
          <w:tcPr>
            <w:tcW w:w="1028" w:type="dxa"/>
            <w:vAlign w:val="center"/>
          </w:tcPr>
          <w:p w14:paraId="1E2B52C1" w14:textId="743DCDC0" w:rsidR="00053F3A" w:rsidRPr="0065100C" w:rsidRDefault="00E038A0" w:rsidP="00053F3A">
            <w:pPr>
              <w:keepNext/>
              <w:jc w:val="center"/>
              <w:rPr>
                <w:rFonts w:ascii="Arial Narrow" w:hAnsi="Arial Narrow"/>
                <w:sz w:val="20"/>
                <w:szCs w:val="20"/>
                <w:highlight w:val="darkGray"/>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77"/>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77"/>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77"/>
                <w:lang w:val="de-DE"/>
                <w14:textFill>
                  <w14:solidFill>
                    <w14:srgbClr w14:val="000000">
                      <w14:alpha w14:val="100000"/>
                    </w14:srgbClr>
                  </w14:solidFill>
                </w14:textFill>
              </w:rPr>
              <w:t xml:space="preserve">　</w:t>
            </w:r>
            <w:r w:rsidR="00DC231B" w:rsidRPr="0065100C">
              <w:rPr>
                <w:rFonts w:ascii="Arial Narrow" w:hAnsi="Arial Narrow"/>
                <w:sz w:val="20"/>
                <w:szCs w:val="20"/>
                <w:vertAlign w:val="superscript"/>
              </w:rPr>
              <w:t>2</w:t>
            </w:r>
          </w:p>
        </w:tc>
        <w:tc>
          <w:tcPr>
            <w:tcW w:w="1445" w:type="dxa"/>
            <w:vAlign w:val="center"/>
          </w:tcPr>
          <w:p w14:paraId="7F1280AA" w14:textId="4C316268" w:rsidR="00053F3A" w:rsidRPr="00EB3ECB" w:rsidRDefault="00053F3A" w:rsidP="00053F3A">
            <w:pPr>
              <w:pStyle w:val="Tabletext"/>
              <w:keepNext/>
              <w:jc w:val="center"/>
              <w:rPr>
                <w:rFonts w:cs="Arial"/>
                <w:szCs w:val="20"/>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3A7A89" w:rsidRPr="00EB3ECB" w14:paraId="6615DA8F" w14:textId="77777777" w:rsidTr="00213DF3">
        <w:trPr>
          <w:cantSplit/>
          <w:trHeight w:val="129"/>
        </w:trPr>
        <w:tc>
          <w:tcPr>
            <w:tcW w:w="3347" w:type="dxa"/>
            <w:vAlign w:val="center"/>
          </w:tcPr>
          <w:p w14:paraId="1A9E55C2" w14:textId="77777777" w:rsidR="00053F3A" w:rsidRPr="00EB3ECB" w:rsidRDefault="00053F3A" w:rsidP="00053F3A">
            <w:pPr>
              <w:pStyle w:val="Tabletext"/>
              <w:keepNext/>
              <w:tabs>
                <w:tab w:val="left" w:pos="142"/>
              </w:tabs>
            </w:pPr>
            <w:r w:rsidRPr="00EB3ECB">
              <w:tab/>
              <w:t>100% with ganciclovir</w:t>
            </w:r>
          </w:p>
        </w:tc>
        <w:tc>
          <w:tcPr>
            <w:tcW w:w="1544" w:type="dxa"/>
            <w:vAlign w:val="center"/>
          </w:tcPr>
          <w:p w14:paraId="474CC200" w14:textId="6D3734CA" w:rsidR="00053F3A" w:rsidRPr="00E069FD" w:rsidRDefault="00E038A0" w:rsidP="00053F3A">
            <w:pPr>
              <w:pStyle w:val="Tabletext"/>
              <w:keepNext/>
              <w:jc w:val="center"/>
              <w:rPr>
                <w:szCs w:val="20"/>
                <w:highlight w:val="darkGray"/>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66BB61A0" w14:textId="77777777" w:rsidR="00053F3A" w:rsidRPr="00CD4256" w:rsidRDefault="00053F3A" w:rsidP="00053F3A">
            <w:pPr>
              <w:pStyle w:val="Tabletext"/>
              <w:keepNext/>
              <w:jc w:val="center"/>
              <w:rPr>
                <w:szCs w:val="20"/>
              </w:rPr>
            </w:pPr>
            <w:r w:rsidRPr="00CD4256">
              <w:rPr>
                <w:szCs w:val="20"/>
                <w:lang w:val="de-DE"/>
              </w:rPr>
              <w:t>0.13</w:t>
            </w:r>
          </w:p>
        </w:tc>
        <w:tc>
          <w:tcPr>
            <w:tcW w:w="1028" w:type="dxa"/>
            <w:vAlign w:val="center"/>
          </w:tcPr>
          <w:p w14:paraId="3D9D18FB" w14:textId="3D6BA0D5" w:rsidR="00053F3A" w:rsidRPr="0065100C" w:rsidRDefault="00E038A0" w:rsidP="00053F3A">
            <w:pPr>
              <w:keepNext/>
              <w:jc w:val="center"/>
              <w:rPr>
                <w:rFonts w:ascii="Arial Narrow" w:hAnsi="Arial Narrow"/>
                <w:sz w:val="20"/>
                <w:szCs w:val="20"/>
                <w:highlight w:val="darkGray"/>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76"/>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76"/>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76"/>
                <w:lang w:val="de-DE"/>
                <w14:textFill>
                  <w14:solidFill>
                    <w14:srgbClr w14:val="000000">
                      <w14:alpha w14:val="100000"/>
                    </w14:srgbClr>
                  </w14:solidFill>
                </w14:textFill>
              </w:rPr>
              <w:t xml:space="preserve">　</w:t>
            </w:r>
            <w:r w:rsidR="00B02344" w:rsidRPr="0065100C">
              <w:rPr>
                <w:rFonts w:ascii="Arial Narrow" w:hAnsi="Arial Narrow"/>
                <w:sz w:val="20"/>
                <w:szCs w:val="20"/>
                <w:vertAlign w:val="superscript"/>
              </w:rPr>
              <w:t>3</w:t>
            </w:r>
          </w:p>
        </w:tc>
        <w:tc>
          <w:tcPr>
            <w:tcW w:w="1445" w:type="dxa"/>
            <w:vAlign w:val="center"/>
          </w:tcPr>
          <w:p w14:paraId="4ED43790" w14:textId="0B039B22" w:rsidR="00053F3A" w:rsidRPr="00EB3ECB" w:rsidRDefault="00053F3A" w:rsidP="00053F3A">
            <w:pPr>
              <w:pStyle w:val="Tabletext"/>
              <w:keepNext/>
              <w:jc w:val="center"/>
              <w:rPr>
                <w:szCs w:val="20"/>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3A7A89" w:rsidRPr="00EB3ECB" w14:paraId="4610251E" w14:textId="77777777" w:rsidTr="00213DF3">
        <w:trPr>
          <w:cantSplit/>
          <w:trHeight w:val="129"/>
        </w:trPr>
        <w:tc>
          <w:tcPr>
            <w:tcW w:w="3347" w:type="dxa"/>
            <w:vAlign w:val="center"/>
          </w:tcPr>
          <w:p w14:paraId="2FFA0E1F" w14:textId="77777777" w:rsidR="00053F3A" w:rsidRPr="00EB3ECB" w:rsidRDefault="00053F3A" w:rsidP="00053F3A">
            <w:pPr>
              <w:pStyle w:val="Tabletext"/>
              <w:keepNext/>
              <w:tabs>
                <w:tab w:val="left" w:pos="142"/>
              </w:tabs>
            </w:pPr>
            <w:r w:rsidRPr="00EB3ECB">
              <w:tab/>
              <w:t>100% with valganciclovir</w:t>
            </w:r>
          </w:p>
        </w:tc>
        <w:tc>
          <w:tcPr>
            <w:tcW w:w="1544" w:type="dxa"/>
            <w:vAlign w:val="center"/>
          </w:tcPr>
          <w:p w14:paraId="26FC8DD6" w14:textId="51BAEFC3" w:rsidR="00053F3A" w:rsidRPr="00E069FD" w:rsidRDefault="00E038A0" w:rsidP="00053F3A">
            <w:pPr>
              <w:pStyle w:val="Tabletext"/>
              <w:keepNext/>
              <w:jc w:val="center"/>
              <w:rPr>
                <w:rFonts w:cs="Arial"/>
                <w:szCs w:val="20"/>
                <w:highlight w:val="darkGray"/>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41DA04A9" w14:textId="77777777" w:rsidR="00053F3A" w:rsidRPr="00CD4256" w:rsidRDefault="00053F3A" w:rsidP="00053F3A">
            <w:pPr>
              <w:pStyle w:val="Tabletext"/>
              <w:keepNext/>
              <w:jc w:val="center"/>
              <w:rPr>
                <w:rFonts w:cs="Arial"/>
                <w:szCs w:val="20"/>
              </w:rPr>
            </w:pPr>
            <w:r w:rsidRPr="00CD4256">
              <w:rPr>
                <w:szCs w:val="20"/>
                <w:lang w:val="de-DE"/>
              </w:rPr>
              <w:t>0.13</w:t>
            </w:r>
          </w:p>
        </w:tc>
        <w:tc>
          <w:tcPr>
            <w:tcW w:w="1028" w:type="dxa"/>
            <w:vAlign w:val="center"/>
          </w:tcPr>
          <w:p w14:paraId="63F1B0E4" w14:textId="715A52FB" w:rsidR="00053F3A" w:rsidRPr="0065100C" w:rsidRDefault="00E038A0" w:rsidP="00053F3A">
            <w:pPr>
              <w:keepNext/>
              <w:jc w:val="center"/>
              <w:rPr>
                <w:rFonts w:ascii="Arial Narrow" w:hAnsi="Arial Narrow"/>
                <w:sz w:val="20"/>
                <w:szCs w:val="20"/>
                <w:highlight w:val="darkGray"/>
              </w:rPr>
            </w:pPr>
            <w:r>
              <w:rPr>
                <w:rFonts w:ascii="Arial Narrow" w:hAnsi="Arial Narrow"/>
                <w:sz w:val="20"/>
                <w:szCs w:val="20"/>
                <w:lang w:val="de-DE"/>
              </w:rPr>
              <w:t xml:space="preserve"> </w:t>
            </w:r>
            <w:r w:rsidRPr="00E038A0">
              <w:rPr>
                <w:rFonts w:ascii="Arial Narrow" w:hAnsi="Arial Narrow" w:hint="eastAsia"/>
                <w:color w:val="000000"/>
                <w:w w:val="31"/>
                <w:sz w:val="20"/>
                <w:szCs w:val="20"/>
                <w:shd w:val="solid" w:color="000000" w:fill="000000"/>
                <w:fitText w:val="140" w:id="-1032069875"/>
                <w:lang w:val="de-DE"/>
                <w14:textFill>
                  <w14:solidFill>
                    <w14:srgbClr w14:val="000000">
                      <w14:alpha w14:val="100000"/>
                    </w14:srgbClr>
                  </w14:solidFill>
                </w14:textFill>
              </w:rPr>
              <w:t xml:space="preserve">　</w:t>
            </w:r>
            <w:r w:rsidRPr="00E038A0">
              <w:rPr>
                <w:rFonts w:ascii="Arial Narrow" w:hAnsi="Arial Narrow"/>
                <w:color w:val="000000"/>
                <w:w w:val="31"/>
                <w:sz w:val="20"/>
                <w:szCs w:val="20"/>
                <w:shd w:val="solid" w:color="000000" w:fill="000000"/>
                <w:fitText w:val="140" w:id="-1032069875"/>
                <w:lang w:val="de-DE"/>
                <w14:textFill>
                  <w14:solidFill>
                    <w14:srgbClr w14:val="000000">
                      <w14:alpha w14:val="100000"/>
                    </w14:srgbClr>
                  </w14:solidFill>
                </w14:textFill>
              </w:rPr>
              <w:t>|</w:t>
            </w:r>
            <w:r w:rsidRPr="00E038A0">
              <w:rPr>
                <w:rFonts w:ascii="Arial Narrow" w:hAnsi="Arial Narrow" w:hint="eastAsia"/>
                <w:color w:val="000000"/>
                <w:spacing w:val="4"/>
                <w:w w:val="31"/>
                <w:sz w:val="20"/>
                <w:szCs w:val="20"/>
                <w:shd w:val="solid" w:color="000000" w:fill="000000"/>
                <w:fitText w:val="140" w:id="-1032069875"/>
                <w:lang w:val="de-DE"/>
                <w14:textFill>
                  <w14:solidFill>
                    <w14:srgbClr w14:val="000000">
                      <w14:alpha w14:val="100000"/>
                    </w14:srgbClr>
                  </w14:solidFill>
                </w14:textFill>
              </w:rPr>
              <w:t xml:space="preserve">　</w:t>
            </w:r>
            <w:r w:rsidR="0064713B" w:rsidRPr="0065100C">
              <w:rPr>
                <w:rFonts w:ascii="Arial Narrow" w:hAnsi="Arial Narrow"/>
                <w:sz w:val="20"/>
                <w:szCs w:val="20"/>
                <w:lang w:val="de-DE"/>
              </w:rPr>
              <w:t xml:space="preserve"> </w:t>
            </w:r>
            <w:r w:rsidR="00A35709" w:rsidRPr="0065100C">
              <w:rPr>
                <w:rFonts w:ascii="Arial Narrow" w:hAnsi="Arial Narrow"/>
                <w:sz w:val="20"/>
                <w:szCs w:val="20"/>
                <w:vertAlign w:val="superscript"/>
                <w:lang w:val="de-DE"/>
              </w:rPr>
              <w:t>5</w:t>
            </w:r>
          </w:p>
        </w:tc>
        <w:tc>
          <w:tcPr>
            <w:tcW w:w="1445" w:type="dxa"/>
            <w:vAlign w:val="center"/>
          </w:tcPr>
          <w:p w14:paraId="4A1C1170" w14:textId="2DBB53FA" w:rsidR="00053F3A" w:rsidRPr="00EB3ECB" w:rsidRDefault="00053F3A" w:rsidP="00053F3A">
            <w:pPr>
              <w:pStyle w:val="Tabletext"/>
              <w:keepNext/>
              <w:jc w:val="center"/>
              <w:rPr>
                <w:rFonts w:cs="Arial"/>
                <w:szCs w:val="20"/>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3A7A89" w:rsidRPr="00EB3ECB" w14:paraId="17F95AB8" w14:textId="77777777" w:rsidTr="00213DF3">
        <w:trPr>
          <w:cantSplit/>
          <w:trHeight w:val="129"/>
        </w:trPr>
        <w:tc>
          <w:tcPr>
            <w:tcW w:w="3347" w:type="dxa"/>
            <w:vAlign w:val="center"/>
          </w:tcPr>
          <w:p w14:paraId="759DBC26" w14:textId="77777777" w:rsidR="00053F3A" w:rsidRPr="00EB3ECB" w:rsidRDefault="00053F3A" w:rsidP="00053F3A">
            <w:pPr>
              <w:pStyle w:val="Tabletext"/>
              <w:keepNext/>
              <w:tabs>
                <w:tab w:val="left" w:pos="142"/>
              </w:tabs>
            </w:pPr>
            <w:r w:rsidRPr="00EB3ECB">
              <w:tab/>
              <w:t>100% with cidofovir</w:t>
            </w:r>
          </w:p>
        </w:tc>
        <w:tc>
          <w:tcPr>
            <w:tcW w:w="1544" w:type="dxa"/>
            <w:vAlign w:val="center"/>
          </w:tcPr>
          <w:p w14:paraId="3F47E8CD" w14:textId="392BEDCC" w:rsidR="00053F3A" w:rsidRPr="00E069FD" w:rsidRDefault="00E038A0" w:rsidP="00053F3A">
            <w:pPr>
              <w:pStyle w:val="Tabletext"/>
              <w:keepNext/>
              <w:jc w:val="center"/>
              <w:rPr>
                <w:rFonts w:cs="Arial"/>
                <w:szCs w:val="20"/>
                <w:highlight w:val="darkGray"/>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44BAE8FF" w14:textId="77777777" w:rsidR="00053F3A" w:rsidRPr="00CD4256" w:rsidRDefault="00053F3A" w:rsidP="00053F3A">
            <w:pPr>
              <w:pStyle w:val="Tabletext"/>
              <w:keepNext/>
              <w:jc w:val="center"/>
              <w:rPr>
                <w:rFonts w:cs="Arial"/>
                <w:szCs w:val="20"/>
              </w:rPr>
            </w:pPr>
            <w:r w:rsidRPr="00CD4256">
              <w:rPr>
                <w:szCs w:val="20"/>
                <w:lang w:val="de-DE"/>
              </w:rPr>
              <w:t>0.13</w:t>
            </w:r>
          </w:p>
        </w:tc>
        <w:tc>
          <w:tcPr>
            <w:tcW w:w="1028" w:type="dxa"/>
            <w:vAlign w:val="center"/>
          </w:tcPr>
          <w:p w14:paraId="51896763" w14:textId="61789329" w:rsidR="00053F3A" w:rsidRPr="0065100C" w:rsidRDefault="00E038A0" w:rsidP="00053F3A">
            <w:pPr>
              <w:keepNext/>
              <w:jc w:val="center"/>
              <w:rPr>
                <w:rFonts w:ascii="Arial Narrow" w:hAnsi="Arial Narrow"/>
                <w:sz w:val="20"/>
                <w:szCs w:val="20"/>
                <w:highlight w:val="darkGray"/>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74"/>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74"/>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74"/>
                <w:lang w:val="de-DE"/>
                <w14:textFill>
                  <w14:solidFill>
                    <w14:srgbClr w14:val="000000">
                      <w14:alpha w14:val="100000"/>
                    </w14:srgbClr>
                  </w14:solidFill>
                </w14:textFill>
              </w:rPr>
              <w:t xml:space="preserve">　</w:t>
            </w:r>
            <w:r w:rsidR="00B02344" w:rsidRPr="0065100C">
              <w:rPr>
                <w:rFonts w:ascii="Arial Narrow" w:hAnsi="Arial Narrow"/>
                <w:sz w:val="20"/>
                <w:szCs w:val="20"/>
                <w:vertAlign w:val="superscript"/>
              </w:rPr>
              <w:t>3</w:t>
            </w:r>
          </w:p>
        </w:tc>
        <w:tc>
          <w:tcPr>
            <w:tcW w:w="1445" w:type="dxa"/>
            <w:vAlign w:val="center"/>
          </w:tcPr>
          <w:p w14:paraId="1F501842" w14:textId="3D6A11F8" w:rsidR="00053F3A" w:rsidRPr="00EB3ECB" w:rsidRDefault="00053F3A" w:rsidP="00053F3A">
            <w:pPr>
              <w:pStyle w:val="Tabletext"/>
              <w:keepNext/>
              <w:jc w:val="center"/>
              <w:rPr>
                <w:rFonts w:cs="Arial"/>
                <w:szCs w:val="20"/>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3A7A89" w:rsidRPr="00EB3ECB" w14:paraId="10227D30" w14:textId="77777777" w:rsidTr="00213DF3">
        <w:trPr>
          <w:cantSplit/>
          <w:trHeight w:val="129"/>
        </w:trPr>
        <w:tc>
          <w:tcPr>
            <w:tcW w:w="3347" w:type="dxa"/>
            <w:vAlign w:val="center"/>
          </w:tcPr>
          <w:p w14:paraId="6FDB9E55" w14:textId="77777777" w:rsidR="00053F3A" w:rsidRPr="00EB3ECB" w:rsidRDefault="00053F3A" w:rsidP="00053F3A">
            <w:pPr>
              <w:pStyle w:val="Tabletext"/>
              <w:keepNext/>
              <w:tabs>
                <w:tab w:val="left" w:pos="142"/>
              </w:tabs>
            </w:pPr>
            <w:r w:rsidRPr="00EB3ECB">
              <w:tab/>
              <w:t>100% with foscarnet</w:t>
            </w:r>
          </w:p>
        </w:tc>
        <w:tc>
          <w:tcPr>
            <w:tcW w:w="1544" w:type="dxa"/>
            <w:vAlign w:val="center"/>
          </w:tcPr>
          <w:p w14:paraId="57560ABA" w14:textId="095249EF" w:rsidR="00053F3A" w:rsidRPr="00E069FD" w:rsidRDefault="00E038A0" w:rsidP="00053F3A">
            <w:pPr>
              <w:pStyle w:val="Tabletext"/>
              <w:keepNext/>
              <w:jc w:val="center"/>
              <w:rPr>
                <w:szCs w:val="20"/>
                <w:highlight w:val="darkGray"/>
                <w:lang w:val="de-DE"/>
              </w:rPr>
            </w:pPr>
            <w:r>
              <w:rPr>
                <w:lang w:val="de-DE"/>
              </w:rPr>
              <w:t xml:space="preserve"> </w:t>
            </w:r>
            <w:r w:rsidRPr="00E038A0">
              <w:rPr>
                <w:color w:val="000000"/>
                <w:shd w:val="solid" w:color="000000" w:fill="000000"/>
                <w:lang w:val="de-DE"/>
                <w14:textFill>
                  <w14:solidFill>
                    <w14:srgbClr w14:val="000000">
                      <w14:alpha w14:val="100000"/>
                    </w14:srgbClr>
                  </w14:solidFill>
                </w14:textFill>
              </w:rPr>
              <w:t>|</w:t>
            </w:r>
          </w:p>
        </w:tc>
        <w:tc>
          <w:tcPr>
            <w:tcW w:w="1653" w:type="dxa"/>
            <w:vAlign w:val="center"/>
          </w:tcPr>
          <w:p w14:paraId="1AE67856" w14:textId="77777777" w:rsidR="00053F3A" w:rsidRPr="00CD4256" w:rsidRDefault="00053F3A" w:rsidP="00053F3A">
            <w:pPr>
              <w:pStyle w:val="Tabletext"/>
              <w:keepNext/>
              <w:jc w:val="center"/>
              <w:rPr>
                <w:szCs w:val="20"/>
                <w:lang w:val="de-DE"/>
              </w:rPr>
            </w:pPr>
            <w:r w:rsidRPr="00CD4256">
              <w:rPr>
                <w:lang w:val="de-DE"/>
              </w:rPr>
              <w:t>0.13</w:t>
            </w:r>
          </w:p>
        </w:tc>
        <w:tc>
          <w:tcPr>
            <w:tcW w:w="2473" w:type="dxa"/>
            <w:gridSpan w:val="2"/>
            <w:vAlign w:val="center"/>
          </w:tcPr>
          <w:p w14:paraId="16A32AE6" w14:textId="77777777" w:rsidR="00053F3A" w:rsidRPr="0065100C" w:rsidRDefault="00053F3A" w:rsidP="00053F3A">
            <w:pPr>
              <w:pStyle w:val="Tabletext"/>
              <w:keepNext/>
              <w:jc w:val="center"/>
              <w:rPr>
                <w:szCs w:val="20"/>
                <w:lang w:val="de-DE"/>
              </w:rPr>
            </w:pPr>
            <w:r w:rsidRPr="0065100C">
              <w:rPr>
                <w:szCs w:val="20"/>
              </w:rPr>
              <w:t>dominant</w:t>
            </w:r>
          </w:p>
        </w:tc>
      </w:tr>
      <w:tr w:rsidR="003A7A89" w:rsidRPr="00EB3ECB" w14:paraId="241AB4C8" w14:textId="77777777" w:rsidTr="00213DF3">
        <w:trPr>
          <w:cantSplit/>
          <w:trHeight w:val="129"/>
        </w:trPr>
        <w:tc>
          <w:tcPr>
            <w:tcW w:w="3347" w:type="dxa"/>
            <w:vAlign w:val="center"/>
          </w:tcPr>
          <w:p w14:paraId="10B2FAEC" w14:textId="77777777" w:rsidR="00053F3A" w:rsidRPr="00EB3ECB" w:rsidRDefault="00053F3A" w:rsidP="00053F3A">
            <w:pPr>
              <w:pStyle w:val="Tabletext"/>
              <w:keepNext/>
              <w:tabs>
                <w:tab w:val="left" w:pos="142"/>
              </w:tabs>
            </w:pPr>
            <w:r w:rsidRPr="00EB3ECB">
              <w:tab/>
              <w:t>50% foscarnet/ 50% cidofovir</w:t>
            </w:r>
          </w:p>
        </w:tc>
        <w:tc>
          <w:tcPr>
            <w:tcW w:w="1544" w:type="dxa"/>
            <w:vAlign w:val="center"/>
          </w:tcPr>
          <w:p w14:paraId="3D50EADA" w14:textId="13D7EB7A" w:rsidR="00053F3A" w:rsidRPr="00E069FD" w:rsidRDefault="00E038A0" w:rsidP="00053F3A">
            <w:pPr>
              <w:pStyle w:val="Tabletext"/>
              <w:keepNext/>
              <w:jc w:val="center"/>
              <w:rPr>
                <w:szCs w:val="20"/>
                <w:highlight w:val="darkGray"/>
                <w:lang w:val="de-DE"/>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644E9319" w14:textId="77777777" w:rsidR="00053F3A" w:rsidRPr="00CD4256" w:rsidRDefault="00053F3A" w:rsidP="00053F3A">
            <w:pPr>
              <w:pStyle w:val="Tabletext"/>
              <w:keepNext/>
              <w:jc w:val="center"/>
              <w:rPr>
                <w:szCs w:val="20"/>
                <w:lang w:val="de-DE"/>
              </w:rPr>
            </w:pPr>
            <w:r w:rsidRPr="00CD4256">
              <w:rPr>
                <w:szCs w:val="20"/>
                <w:lang w:val="de-DE"/>
              </w:rPr>
              <w:t>0.13</w:t>
            </w:r>
          </w:p>
        </w:tc>
        <w:tc>
          <w:tcPr>
            <w:tcW w:w="1028" w:type="dxa"/>
            <w:vAlign w:val="center"/>
          </w:tcPr>
          <w:p w14:paraId="356E011F" w14:textId="4D565910" w:rsidR="00053F3A" w:rsidRPr="0065100C" w:rsidRDefault="00E038A0" w:rsidP="00053F3A">
            <w:pPr>
              <w:keepNext/>
              <w:jc w:val="center"/>
              <w:rPr>
                <w:rFonts w:ascii="Arial Narrow" w:hAnsi="Arial Narrow"/>
                <w:sz w:val="20"/>
                <w:szCs w:val="20"/>
                <w:highlight w:val="darkGray"/>
                <w:lang w:val="de-DE"/>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73"/>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73"/>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73"/>
                <w:lang w:val="de-DE"/>
                <w14:textFill>
                  <w14:solidFill>
                    <w14:srgbClr w14:val="000000">
                      <w14:alpha w14:val="100000"/>
                    </w14:srgbClr>
                  </w14:solidFill>
                </w14:textFill>
              </w:rPr>
              <w:t xml:space="preserve">　</w:t>
            </w:r>
            <w:r w:rsidR="001E7BEA" w:rsidRPr="0065100C">
              <w:rPr>
                <w:rFonts w:ascii="Arial Narrow" w:hAnsi="Arial Narrow"/>
                <w:sz w:val="20"/>
                <w:szCs w:val="20"/>
                <w:vertAlign w:val="superscript"/>
                <w:lang w:val="de-DE"/>
              </w:rPr>
              <w:t>6</w:t>
            </w:r>
          </w:p>
        </w:tc>
        <w:tc>
          <w:tcPr>
            <w:tcW w:w="1445" w:type="dxa"/>
            <w:vAlign w:val="center"/>
          </w:tcPr>
          <w:p w14:paraId="582DD056" w14:textId="4A89DAD6" w:rsidR="00053F3A" w:rsidRPr="00EB3ECB" w:rsidRDefault="00053F3A" w:rsidP="00053F3A">
            <w:pPr>
              <w:pStyle w:val="Tabletext"/>
              <w:keepNext/>
              <w:jc w:val="center"/>
              <w:rPr>
                <w:szCs w:val="20"/>
                <w:lang w:val="de-DE"/>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3A7A89" w:rsidRPr="00EB3ECB" w14:paraId="18801934" w14:textId="77777777" w:rsidTr="00213DF3">
        <w:trPr>
          <w:cantSplit/>
          <w:trHeight w:val="129"/>
        </w:trPr>
        <w:tc>
          <w:tcPr>
            <w:tcW w:w="3347" w:type="dxa"/>
            <w:vAlign w:val="center"/>
          </w:tcPr>
          <w:p w14:paraId="058C9E75" w14:textId="77777777" w:rsidR="00053F3A" w:rsidRPr="00EB3ECB" w:rsidRDefault="00053F3A" w:rsidP="00053F3A">
            <w:pPr>
              <w:pStyle w:val="Tabletext"/>
              <w:keepNext/>
              <w:tabs>
                <w:tab w:val="left" w:pos="142"/>
              </w:tabs>
            </w:pPr>
            <w:r w:rsidRPr="00EB3ECB">
              <w:tab/>
              <w:t>50% valganciclovir/ 50% ganciclovir</w:t>
            </w:r>
          </w:p>
        </w:tc>
        <w:tc>
          <w:tcPr>
            <w:tcW w:w="1544" w:type="dxa"/>
            <w:vAlign w:val="center"/>
          </w:tcPr>
          <w:p w14:paraId="7EA7A845" w14:textId="741F266A" w:rsidR="00053F3A" w:rsidRPr="00E069FD" w:rsidRDefault="00E038A0" w:rsidP="00053F3A">
            <w:pPr>
              <w:pStyle w:val="Tabletext"/>
              <w:keepNext/>
              <w:jc w:val="center"/>
              <w:rPr>
                <w:szCs w:val="20"/>
                <w:highlight w:val="darkGray"/>
                <w:lang w:val="de-DE"/>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00EF60FF" w14:textId="77777777" w:rsidR="00053F3A" w:rsidRPr="00CD4256" w:rsidRDefault="00053F3A" w:rsidP="00053F3A">
            <w:pPr>
              <w:pStyle w:val="Tabletext"/>
              <w:keepNext/>
              <w:jc w:val="center"/>
              <w:rPr>
                <w:szCs w:val="20"/>
                <w:lang w:val="de-DE"/>
              </w:rPr>
            </w:pPr>
            <w:r w:rsidRPr="00CD4256">
              <w:rPr>
                <w:szCs w:val="20"/>
                <w:lang w:val="de-DE"/>
              </w:rPr>
              <w:t>0.13</w:t>
            </w:r>
          </w:p>
        </w:tc>
        <w:tc>
          <w:tcPr>
            <w:tcW w:w="1028" w:type="dxa"/>
            <w:vAlign w:val="center"/>
          </w:tcPr>
          <w:p w14:paraId="7A68C8C3" w14:textId="44B9966D" w:rsidR="00053F3A" w:rsidRPr="0065100C" w:rsidRDefault="00E038A0" w:rsidP="00053F3A">
            <w:pPr>
              <w:keepNext/>
              <w:jc w:val="center"/>
              <w:rPr>
                <w:rFonts w:ascii="Arial Narrow" w:hAnsi="Arial Narrow"/>
                <w:sz w:val="20"/>
                <w:szCs w:val="20"/>
                <w:highlight w:val="darkGray"/>
                <w:lang w:val="de-DE"/>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72"/>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72"/>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72"/>
                <w:lang w:val="de-DE"/>
                <w14:textFill>
                  <w14:solidFill>
                    <w14:srgbClr w14:val="000000">
                      <w14:alpha w14:val="100000"/>
                    </w14:srgbClr>
                  </w14:solidFill>
                </w14:textFill>
              </w:rPr>
              <w:t xml:space="preserve">　</w:t>
            </w:r>
            <w:r w:rsidR="001E7BEA" w:rsidRPr="0065100C">
              <w:rPr>
                <w:rFonts w:ascii="Arial Narrow" w:hAnsi="Arial Narrow"/>
                <w:sz w:val="20"/>
                <w:szCs w:val="20"/>
                <w:vertAlign w:val="superscript"/>
                <w:lang w:val="de-DE"/>
              </w:rPr>
              <w:t>7</w:t>
            </w:r>
          </w:p>
        </w:tc>
        <w:tc>
          <w:tcPr>
            <w:tcW w:w="1445" w:type="dxa"/>
            <w:vAlign w:val="center"/>
          </w:tcPr>
          <w:p w14:paraId="20EACE8A" w14:textId="0386C88B" w:rsidR="00053F3A" w:rsidRPr="00EB3ECB" w:rsidRDefault="00053F3A" w:rsidP="00053F3A">
            <w:pPr>
              <w:pStyle w:val="Tabletext"/>
              <w:keepNext/>
              <w:jc w:val="center"/>
              <w:rPr>
                <w:szCs w:val="20"/>
                <w:lang w:val="de-DE"/>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EB01D5" w:rsidRPr="00EB3ECB" w14:paraId="76FAF9A0" w14:textId="77777777" w:rsidTr="00213DF3">
        <w:trPr>
          <w:cantSplit/>
          <w:trHeight w:val="129"/>
        </w:trPr>
        <w:tc>
          <w:tcPr>
            <w:tcW w:w="9017" w:type="dxa"/>
            <w:gridSpan w:val="5"/>
            <w:vAlign w:val="center"/>
          </w:tcPr>
          <w:p w14:paraId="5063DE9A" w14:textId="77777777" w:rsidR="00053F3A" w:rsidRPr="0065100C" w:rsidRDefault="00053F3A" w:rsidP="00053F3A">
            <w:pPr>
              <w:pStyle w:val="Tabletext"/>
              <w:keepNext/>
              <w:rPr>
                <w:szCs w:val="20"/>
                <w:lang w:val="de-DE"/>
              </w:rPr>
            </w:pPr>
            <w:r w:rsidRPr="0065100C">
              <w:rPr>
                <w:szCs w:val="20"/>
                <w:lang w:val="de-DE"/>
              </w:rPr>
              <w:t>Maribavir mean time on treatment (base case: 7.5 weeks)</w:t>
            </w:r>
          </w:p>
        </w:tc>
      </w:tr>
      <w:tr w:rsidR="003A7A89" w:rsidRPr="00EB3ECB" w14:paraId="38BC7C4E" w14:textId="77777777" w:rsidTr="00213DF3">
        <w:trPr>
          <w:cantSplit/>
          <w:trHeight w:val="129"/>
        </w:trPr>
        <w:tc>
          <w:tcPr>
            <w:tcW w:w="3347" w:type="dxa"/>
            <w:vAlign w:val="center"/>
          </w:tcPr>
          <w:p w14:paraId="4639E8C3" w14:textId="77777777" w:rsidR="00053F3A" w:rsidRPr="00EB3ECB" w:rsidRDefault="00053F3A" w:rsidP="00053F3A">
            <w:pPr>
              <w:pStyle w:val="Tabletext"/>
              <w:keepNext/>
              <w:tabs>
                <w:tab w:val="left" w:pos="142"/>
              </w:tabs>
            </w:pPr>
            <w:r w:rsidRPr="00EB3ECB">
              <w:tab/>
              <w:t>4 weeks</w:t>
            </w:r>
          </w:p>
        </w:tc>
        <w:tc>
          <w:tcPr>
            <w:tcW w:w="1544" w:type="dxa"/>
            <w:vAlign w:val="center"/>
          </w:tcPr>
          <w:p w14:paraId="36A36120" w14:textId="456D16C4" w:rsidR="00053F3A" w:rsidRPr="000E6E41" w:rsidRDefault="00053F3A" w:rsidP="00053F3A">
            <w:pPr>
              <w:pStyle w:val="Tabletext"/>
              <w:keepNext/>
              <w:jc w:val="center"/>
              <w:rPr>
                <w:szCs w:val="20"/>
                <w:highlight w:val="darkGray"/>
                <w:lang w:val="de-DE"/>
              </w:rPr>
            </w:pPr>
            <w:r w:rsidRPr="00015E2E">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34D1CBC3" w14:textId="77777777" w:rsidR="00053F3A" w:rsidRPr="00EB3ECB" w:rsidRDefault="00053F3A" w:rsidP="00053F3A">
            <w:pPr>
              <w:pStyle w:val="Tabletext"/>
              <w:keepNext/>
              <w:jc w:val="center"/>
              <w:rPr>
                <w:szCs w:val="20"/>
                <w:lang w:val="de-DE"/>
              </w:rPr>
            </w:pPr>
            <w:r w:rsidRPr="00EB3ECB">
              <w:rPr>
                <w:szCs w:val="20"/>
                <w:lang w:val="de-DE"/>
              </w:rPr>
              <w:t>0.13</w:t>
            </w:r>
          </w:p>
        </w:tc>
        <w:tc>
          <w:tcPr>
            <w:tcW w:w="2473" w:type="dxa"/>
            <w:gridSpan w:val="2"/>
            <w:vAlign w:val="center"/>
          </w:tcPr>
          <w:p w14:paraId="6F82C816" w14:textId="77777777" w:rsidR="00053F3A" w:rsidRPr="0065100C" w:rsidRDefault="00053F3A" w:rsidP="00053F3A">
            <w:pPr>
              <w:pStyle w:val="Tabletext"/>
              <w:keepNext/>
              <w:jc w:val="center"/>
              <w:rPr>
                <w:szCs w:val="20"/>
                <w:lang w:val="de-DE"/>
              </w:rPr>
            </w:pPr>
            <w:r w:rsidRPr="0065100C">
              <w:rPr>
                <w:szCs w:val="20"/>
                <w:lang w:val="de-DE"/>
              </w:rPr>
              <w:t>dominant</w:t>
            </w:r>
          </w:p>
        </w:tc>
      </w:tr>
      <w:tr w:rsidR="003A7A89" w:rsidRPr="00EB3ECB" w14:paraId="522EAC90" w14:textId="77777777" w:rsidTr="00213DF3">
        <w:trPr>
          <w:cantSplit/>
          <w:trHeight w:val="129"/>
        </w:trPr>
        <w:tc>
          <w:tcPr>
            <w:tcW w:w="3347" w:type="dxa"/>
            <w:vAlign w:val="center"/>
          </w:tcPr>
          <w:p w14:paraId="0B899C87" w14:textId="77777777" w:rsidR="00053F3A" w:rsidRPr="00EB3ECB" w:rsidRDefault="00053F3A" w:rsidP="00053F3A">
            <w:pPr>
              <w:pStyle w:val="Tabletext"/>
              <w:keepNext/>
              <w:tabs>
                <w:tab w:val="left" w:pos="142"/>
              </w:tabs>
            </w:pPr>
            <w:r w:rsidRPr="00EB3ECB">
              <w:tab/>
              <w:t>8 weeks</w:t>
            </w:r>
          </w:p>
        </w:tc>
        <w:tc>
          <w:tcPr>
            <w:tcW w:w="1544" w:type="dxa"/>
            <w:vAlign w:val="center"/>
          </w:tcPr>
          <w:p w14:paraId="39468CBC" w14:textId="14E1180F" w:rsidR="00053F3A" w:rsidRPr="000E6E41" w:rsidRDefault="00E038A0" w:rsidP="00053F3A">
            <w:pPr>
              <w:pStyle w:val="Tabletext"/>
              <w:keepNext/>
              <w:jc w:val="center"/>
              <w:rPr>
                <w:szCs w:val="20"/>
                <w:highlight w:val="darkGray"/>
                <w:lang w:val="de-DE"/>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6291C9C8" w14:textId="77777777" w:rsidR="00053F3A" w:rsidRPr="00EB3ECB" w:rsidRDefault="00053F3A" w:rsidP="00053F3A">
            <w:pPr>
              <w:pStyle w:val="Tabletext"/>
              <w:keepNext/>
              <w:jc w:val="center"/>
              <w:rPr>
                <w:szCs w:val="20"/>
                <w:lang w:val="de-DE"/>
              </w:rPr>
            </w:pPr>
            <w:r w:rsidRPr="00EB3ECB">
              <w:rPr>
                <w:szCs w:val="20"/>
                <w:lang w:val="de-DE"/>
              </w:rPr>
              <w:t>0.13</w:t>
            </w:r>
          </w:p>
        </w:tc>
        <w:tc>
          <w:tcPr>
            <w:tcW w:w="1028" w:type="dxa"/>
            <w:vAlign w:val="center"/>
          </w:tcPr>
          <w:p w14:paraId="0DF6F46C" w14:textId="1F424F15" w:rsidR="00053F3A" w:rsidRPr="0065100C" w:rsidRDefault="00E038A0" w:rsidP="00053F3A">
            <w:pPr>
              <w:keepNext/>
              <w:jc w:val="center"/>
              <w:rPr>
                <w:rFonts w:ascii="Arial Narrow" w:hAnsi="Arial Narrow"/>
                <w:sz w:val="20"/>
                <w:szCs w:val="20"/>
                <w:highlight w:val="darkGray"/>
                <w:lang w:val="de-DE"/>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88"/>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88"/>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88"/>
                <w:lang w:val="de-DE"/>
                <w14:textFill>
                  <w14:solidFill>
                    <w14:srgbClr w14:val="000000">
                      <w14:alpha w14:val="100000"/>
                    </w14:srgbClr>
                  </w14:solidFill>
                </w14:textFill>
              </w:rPr>
              <w:t xml:space="preserve">　</w:t>
            </w:r>
            <w:r w:rsidR="001E7BEA" w:rsidRPr="0065100C">
              <w:rPr>
                <w:rFonts w:ascii="Arial Narrow" w:hAnsi="Arial Narrow"/>
                <w:sz w:val="20"/>
                <w:szCs w:val="20"/>
                <w:vertAlign w:val="superscript"/>
                <w:lang w:val="de-DE"/>
              </w:rPr>
              <w:t>8</w:t>
            </w:r>
          </w:p>
        </w:tc>
        <w:tc>
          <w:tcPr>
            <w:tcW w:w="1445" w:type="dxa"/>
            <w:vAlign w:val="center"/>
          </w:tcPr>
          <w:p w14:paraId="560B82E3" w14:textId="4FB26F87" w:rsidR="00053F3A" w:rsidRPr="00EB3ECB" w:rsidRDefault="00053F3A" w:rsidP="00053F3A">
            <w:pPr>
              <w:pStyle w:val="Tabletext"/>
              <w:keepNext/>
              <w:jc w:val="center"/>
              <w:rPr>
                <w:szCs w:val="20"/>
                <w:lang w:val="de-DE"/>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EB01D5" w:rsidRPr="00EB3ECB" w14:paraId="026DDADA" w14:textId="77777777" w:rsidTr="00213DF3">
        <w:trPr>
          <w:cantSplit/>
          <w:trHeight w:val="129"/>
        </w:trPr>
        <w:tc>
          <w:tcPr>
            <w:tcW w:w="9017" w:type="dxa"/>
            <w:gridSpan w:val="5"/>
            <w:vAlign w:val="center"/>
          </w:tcPr>
          <w:p w14:paraId="41EBD6A9" w14:textId="77777777" w:rsidR="00053F3A" w:rsidRPr="0065100C" w:rsidRDefault="00053F3A" w:rsidP="00053F3A">
            <w:pPr>
              <w:pStyle w:val="Tabletext"/>
              <w:keepNext/>
              <w:rPr>
                <w:szCs w:val="20"/>
                <w:lang w:val="de-DE"/>
              </w:rPr>
            </w:pPr>
            <w:r w:rsidRPr="0065100C">
              <w:rPr>
                <w:szCs w:val="20"/>
                <w:lang w:val="de-DE"/>
              </w:rPr>
              <w:t>Re-treatment (base case: with IAT)</w:t>
            </w:r>
          </w:p>
        </w:tc>
      </w:tr>
      <w:tr w:rsidR="003A7A89" w:rsidRPr="00EB3ECB" w14:paraId="468CBB67" w14:textId="77777777" w:rsidTr="00213DF3">
        <w:trPr>
          <w:cantSplit/>
          <w:trHeight w:val="129"/>
        </w:trPr>
        <w:tc>
          <w:tcPr>
            <w:tcW w:w="3347" w:type="dxa"/>
            <w:vAlign w:val="center"/>
          </w:tcPr>
          <w:p w14:paraId="29304C79" w14:textId="77777777" w:rsidR="00053F3A" w:rsidRPr="00EB3ECB" w:rsidRDefault="00053F3A" w:rsidP="00053F3A">
            <w:pPr>
              <w:pStyle w:val="Tabletext"/>
              <w:keepNext/>
              <w:tabs>
                <w:tab w:val="left" w:pos="142"/>
              </w:tabs>
            </w:pPr>
            <w:r w:rsidRPr="00EB3ECB">
              <w:tab/>
              <w:t>With maribavir</w:t>
            </w:r>
          </w:p>
        </w:tc>
        <w:tc>
          <w:tcPr>
            <w:tcW w:w="1544" w:type="dxa"/>
            <w:vAlign w:val="center"/>
          </w:tcPr>
          <w:p w14:paraId="3CF2945A" w14:textId="7AA7BD7B" w:rsidR="00053F3A" w:rsidRPr="000E6E41" w:rsidRDefault="00E038A0" w:rsidP="00053F3A">
            <w:pPr>
              <w:pStyle w:val="Tabletext"/>
              <w:keepNext/>
              <w:jc w:val="center"/>
              <w:rPr>
                <w:szCs w:val="20"/>
                <w:highlight w:val="darkGray"/>
                <w:lang w:val="de-DE"/>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413204BB" w14:textId="77777777" w:rsidR="00053F3A" w:rsidRPr="00EB3ECB" w:rsidRDefault="00053F3A" w:rsidP="00053F3A">
            <w:pPr>
              <w:pStyle w:val="Tabletext"/>
              <w:keepNext/>
              <w:jc w:val="center"/>
              <w:rPr>
                <w:szCs w:val="20"/>
                <w:lang w:val="de-DE"/>
              </w:rPr>
            </w:pPr>
            <w:r w:rsidRPr="00EB3ECB">
              <w:rPr>
                <w:szCs w:val="20"/>
                <w:lang w:val="de-DE"/>
              </w:rPr>
              <w:t>0.28</w:t>
            </w:r>
          </w:p>
        </w:tc>
        <w:tc>
          <w:tcPr>
            <w:tcW w:w="2473" w:type="dxa"/>
            <w:gridSpan w:val="2"/>
            <w:vAlign w:val="center"/>
          </w:tcPr>
          <w:p w14:paraId="36EC5113" w14:textId="77777777" w:rsidR="00053F3A" w:rsidRPr="0065100C" w:rsidRDefault="00053F3A" w:rsidP="00053F3A">
            <w:pPr>
              <w:pStyle w:val="Tabletext"/>
              <w:keepNext/>
              <w:jc w:val="center"/>
              <w:rPr>
                <w:szCs w:val="20"/>
                <w:lang w:val="de-DE"/>
              </w:rPr>
            </w:pPr>
            <w:r w:rsidRPr="0065100C">
              <w:rPr>
                <w:szCs w:val="20"/>
                <w:lang w:val="de-DE"/>
              </w:rPr>
              <w:t>dominant</w:t>
            </w:r>
          </w:p>
        </w:tc>
      </w:tr>
      <w:tr w:rsidR="00EB01D5" w:rsidRPr="00EB3ECB" w14:paraId="13F9E282" w14:textId="77777777" w:rsidTr="00213DF3">
        <w:trPr>
          <w:cantSplit/>
          <w:trHeight w:val="129"/>
        </w:trPr>
        <w:tc>
          <w:tcPr>
            <w:tcW w:w="9017" w:type="dxa"/>
            <w:gridSpan w:val="5"/>
            <w:vAlign w:val="center"/>
          </w:tcPr>
          <w:p w14:paraId="1786CD82" w14:textId="77777777" w:rsidR="00053F3A" w:rsidRPr="0065100C" w:rsidRDefault="00053F3A" w:rsidP="00053F3A">
            <w:pPr>
              <w:pStyle w:val="Tabletext"/>
              <w:keepNext/>
              <w:rPr>
                <w:rFonts w:cs="Arial"/>
                <w:szCs w:val="20"/>
              </w:rPr>
            </w:pPr>
            <w:r w:rsidRPr="0065100C">
              <w:rPr>
                <w:rFonts w:cs="Arial"/>
                <w:szCs w:val="20"/>
              </w:rPr>
              <w:t>Risk of CMV-related mortality from week 8 onward for SOT and HSCT (base case: SOLSTICE)</w:t>
            </w:r>
          </w:p>
        </w:tc>
      </w:tr>
      <w:tr w:rsidR="003A7A89" w:rsidRPr="00EB3ECB" w14:paraId="41EE82C0" w14:textId="77777777" w:rsidTr="00213DF3">
        <w:trPr>
          <w:cantSplit/>
          <w:trHeight w:val="129"/>
        </w:trPr>
        <w:tc>
          <w:tcPr>
            <w:tcW w:w="3347" w:type="dxa"/>
            <w:vAlign w:val="center"/>
          </w:tcPr>
          <w:p w14:paraId="307A37EE" w14:textId="77777777" w:rsidR="00053F3A" w:rsidRPr="00EB3ECB" w:rsidRDefault="00053F3A" w:rsidP="00053F3A">
            <w:pPr>
              <w:pStyle w:val="Tabletext"/>
              <w:keepNext/>
              <w:tabs>
                <w:tab w:val="left" w:pos="142"/>
              </w:tabs>
            </w:pPr>
            <w:r w:rsidRPr="00EB3ECB">
              <w:tab/>
              <w:t>Literature based</w:t>
            </w:r>
          </w:p>
        </w:tc>
        <w:tc>
          <w:tcPr>
            <w:tcW w:w="1544" w:type="dxa"/>
            <w:vAlign w:val="center"/>
          </w:tcPr>
          <w:p w14:paraId="5BC07DBA" w14:textId="306A77FA" w:rsidR="00053F3A" w:rsidRPr="000E6E41" w:rsidRDefault="00E038A0" w:rsidP="00053F3A">
            <w:pPr>
              <w:pStyle w:val="Tabletext"/>
              <w:keepNext/>
              <w:jc w:val="center"/>
              <w:rPr>
                <w:rFonts w:cs="Arial"/>
                <w:szCs w:val="20"/>
                <w:highlight w:val="darkGray"/>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p>
        </w:tc>
        <w:tc>
          <w:tcPr>
            <w:tcW w:w="1653" w:type="dxa"/>
            <w:vAlign w:val="center"/>
          </w:tcPr>
          <w:p w14:paraId="02A4215D" w14:textId="77777777" w:rsidR="00053F3A" w:rsidRPr="00EB3ECB" w:rsidRDefault="00053F3A" w:rsidP="00053F3A">
            <w:pPr>
              <w:pStyle w:val="Tabletext"/>
              <w:keepNext/>
              <w:jc w:val="center"/>
              <w:rPr>
                <w:rFonts w:cs="Arial"/>
                <w:szCs w:val="20"/>
              </w:rPr>
            </w:pPr>
            <w:r w:rsidRPr="00EB3ECB">
              <w:rPr>
                <w:szCs w:val="20"/>
                <w:lang w:val="de-DE"/>
              </w:rPr>
              <w:t>0.05</w:t>
            </w:r>
          </w:p>
        </w:tc>
        <w:tc>
          <w:tcPr>
            <w:tcW w:w="1028" w:type="dxa"/>
            <w:vAlign w:val="center"/>
          </w:tcPr>
          <w:p w14:paraId="6DA0A9A0" w14:textId="4332C1CA" w:rsidR="00053F3A" w:rsidRPr="0065100C" w:rsidRDefault="00E038A0" w:rsidP="00053F3A">
            <w:pPr>
              <w:keepNext/>
              <w:jc w:val="center"/>
              <w:rPr>
                <w:rFonts w:ascii="Arial Narrow" w:hAnsi="Arial Narrow"/>
                <w:sz w:val="20"/>
                <w:szCs w:val="20"/>
              </w:rPr>
            </w:pPr>
            <w:r>
              <w:rPr>
                <w:rFonts w:ascii="Arial Narrow" w:hAnsi="Arial Narrow"/>
                <w:sz w:val="20"/>
                <w:szCs w:val="20"/>
                <w:lang w:val="de-DE"/>
              </w:rPr>
              <w:t xml:space="preserve"> </w:t>
            </w:r>
            <w:r w:rsidRPr="00E038A0">
              <w:rPr>
                <w:rFonts w:ascii="Arial Narrow" w:hAnsi="Arial Narrow" w:hint="eastAsia"/>
                <w:color w:val="000000"/>
                <w:w w:val="27"/>
                <w:sz w:val="20"/>
                <w:szCs w:val="20"/>
                <w:shd w:val="solid" w:color="000000" w:fill="000000"/>
                <w:fitText w:val="120" w:id="-1032069887"/>
                <w:lang w:val="de-DE"/>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87"/>
                <w:lang w:val="de-DE"/>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87"/>
                <w:lang w:val="de-DE"/>
                <w14:textFill>
                  <w14:solidFill>
                    <w14:srgbClr w14:val="000000">
                      <w14:alpha w14:val="100000"/>
                    </w14:srgbClr>
                  </w14:solidFill>
                </w14:textFill>
              </w:rPr>
              <w:t xml:space="preserve">　</w:t>
            </w:r>
            <w:r w:rsidR="00DC231B" w:rsidRPr="0065100C">
              <w:rPr>
                <w:rFonts w:ascii="Arial Narrow" w:hAnsi="Arial Narrow"/>
                <w:sz w:val="20"/>
                <w:szCs w:val="20"/>
                <w:vertAlign w:val="superscript"/>
              </w:rPr>
              <w:t>2</w:t>
            </w:r>
          </w:p>
        </w:tc>
        <w:tc>
          <w:tcPr>
            <w:tcW w:w="1445" w:type="dxa"/>
            <w:vAlign w:val="center"/>
          </w:tcPr>
          <w:p w14:paraId="47984BD9" w14:textId="66645507" w:rsidR="00053F3A" w:rsidRPr="00EB3ECB" w:rsidRDefault="00053F3A" w:rsidP="00053F3A">
            <w:pPr>
              <w:pStyle w:val="Tabletext"/>
              <w:keepNext/>
              <w:jc w:val="center"/>
              <w:rPr>
                <w:rFonts w:cs="Arial"/>
                <w:szCs w:val="20"/>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EB01D5" w:rsidRPr="00EB3ECB" w14:paraId="30A66F73" w14:textId="77777777" w:rsidTr="00965406">
        <w:trPr>
          <w:cantSplit/>
          <w:trHeight w:val="129"/>
        </w:trPr>
        <w:tc>
          <w:tcPr>
            <w:tcW w:w="9017" w:type="dxa"/>
            <w:gridSpan w:val="5"/>
            <w:vAlign w:val="center"/>
          </w:tcPr>
          <w:p w14:paraId="5AEED8E0" w14:textId="028321E9" w:rsidR="00D401F1" w:rsidRPr="0065100C" w:rsidRDefault="00D401F1" w:rsidP="00D401F1">
            <w:pPr>
              <w:pStyle w:val="Tabletext"/>
              <w:keepNext/>
              <w:rPr>
                <w:szCs w:val="20"/>
                <w:lang w:val="de-DE"/>
              </w:rPr>
            </w:pPr>
            <w:r w:rsidRPr="0065100C">
              <w:rPr>
                <w:szCs w:val="20"/>
                <w:lang w:val="de-DE"/>
              </w:rPr>
              <w:t>Mortality from week 78 onward (base case: literature-based)</w:t>
            </w:r>
          </w:p>
        </w:tc>
      </w:tr>
      <w:tr w:rsidR="003A7A89" w:rsidRPr="00EB3ECB" w14:paraId="49651378" w14:textId="77777777" w:rsidTr="00213DF3">
        <w:trPr>
          <w:cantSplit/>
          <w:trHeight w:val="129"/>
        </w:trPr>
        <w:tc>
          <w:tcPr>
            <w:tcW w:w="3347" w:type="dxa"/>
            <w:vAlign w:val="center"/>
          </w:tcPr>
          <w:p w14:paraId="3A42A758" w14:textId="68FB2574" w:rsidR="00D401F1" w:rsidRPr="00EB3ECB" w:rsidRDefault="00D401F1" w:rsidP="00D401F1">
            <w:pPr>
              <w:pStyle w:val="Tabletext"/>
              <w:keepNext/>
              <w:tabs>
                <w:tab w:val="left" w:pos="142"/>
              </w:tabs>
            </w:pPr>
            <w:r w:rsidRPr="00EB3ECB">
              <w:tab/>
              <w:t>SOLSTICE-based</w:t>
            </w:r>
          </w:p>
        </w:tc>
        <w:tc>
          <w:tcPr>
            <w:tcW w:w="1544" w:type="dxa"/>
            <w:vAlign w:val="center"/>
          </w:tcPr>
          <w:p w14:paraId="2A1A9C62" w14:textId="3DDDD62D" w:rsidR="00D401F1" w:rsidRPr="00EB3ECB" w:rsidRDefault="00E038A0" w:rsidP="00D401F1">
            <w:pPr>
              <w:pStyle w:val="Tabletext"/>
              <w:keepNext/>
              <w:jc w:val="center"/>
              <w:rPr>
                <w:szCs w:val="20"/>
                <w:lang w:val="de-DE"/>
              </w:rPr>
            </w:pPr>
            <w:r>
              <w:rPr>
                <w:szCs w:val="20"/>
                <w:lang w:val="de-DE"/>
              </w:rPr>
              <w:t xml:space="preserve"> </w:t>
            </w:r>
            <w:r w:rsidRPr="00E038A0">
              <w:rPr>
                <w:color w:val="000000"/>
                <w:szCs w:val="20"/>
                <w:shd w:val="solid" w:color="000000" w:fill="000000"/>
                <w:lang w:val="de-DE"/>
                <w14:textFill>
                  <w14:solidFill>
                    <w14:srgbClr w14:val="000000">
                      <w14:alpha w14:val="100000"/>
                    </w14:srgbClr>
                  </w14:solidFill>
                </w14:textFill>
              </w:rPr>
              <w:t>|</w:t>
            </w:r>
            <w:r w:rsidR="000E6E41">
              <w:rPr>
                <w:szCs w:val="20"/>
                <w:lang w:val="de-DE"/>
              </w:rPr>
              <w:t xml:space="preserve"> </w:t>
            </w:r>
          </w:p>
        </w:tc>
        <w:tc>
          <w:tcPr>
            <w:tcW w:w="1653" w:type="dxa"/>
            <w:vAlign w:val="center"/>
          </w:tcPr>
          <w:p w14:paraId="59EE2508" w14:textId="66C3F015" w:rsidR="00D401F1" w:rsidRPr="00EB3ECB" w:rsidRDefault="00D401F1" w:rsidP="00D401F1">
            <w:pPr>
              <w:pStyle w:val="Tabletext"/>
              <w:keepNext/>
              <w:jc w:val="center"/>
              <w:rPr>
                <w:szCs w:val="20"/>
                <w:lang w:val="de-DE"/>
              </w:rPr>
            </w:pPr>
            <w:r w:rsidRPr="00EB3ECB">
              <w:rPr>
                <w:szCs w:val="20"/>
                <w:lang w:val="de-DE"/>
              </w:rPr>
              <w:t>0.13</w:t>
            </w:r>
          </w:p>
        </w:tc>
        <w:tc>
          <w:tcPr>
            <w:tcW w:w="1028" w:type="dxa"/>
            <w:vAlign w:val="center"/>
          </w:tcPr>
          <w:p w14:paraId="200F7E0C" w14:textId="131BA431" w:rsidR="00D401F1" w:rsidRPr="0065100C" w:rsidRDefault="00E038A0" w:rsidP="00D401F1">
            <w:pPr>
              <w:keepNext/>
              <w:jc w:val="center"/>
              <w:rPr>
                <w:rFonts w:ascii="Arial Narrow" w:hAnsi="Arial Narrow"/>
                <w:sz w:val="20"/>
                <w:szCs w:val="20"/>
                <w:lang w:val="de-DE"/>
              </w:rPr>
            </w:pPr>
            <w:r>
              <w:rPr>
                <w:rFonts w:ascii="Arial Narrow" w:hAnsi="Arial Narrow"/>
                <w:sz w:val="20"/>
                <w:szCs w:val="20"/>
                <w:lang w:val="de-DE"/>
              </w:rPr>
              <w:t xml:space="preserve"> </w:t>
            </w:r>
            <w:r w:rsidRPr="00E038A0">
              <w:rPr>
                <w:rFonts w:ascii="Arial Narrow" w:hAnsi="Arial Narrow" w:hint="eastAsia"/>
                <w:color w:val="000000"/>
                <w:w w:val="31"/>
                <w:sz w:val="20"/>
                <w:szCs w:val="20"/>
                <w:shd w:val="solid" w:color="000000" w:fill="000000"/>
                <w:fitText w:val="140" w:id="-1032069886"/>
                <w:lang w:val="de-DE"/>
                <w14:textFill>
                  <w14:solidFill>
                    <w14:srgbClr w14:val="000000">
                      <w14:alpha w14:val="100000"/>
                    </w14:srgbClr>
                  </w14:solidFill>
                </w14:textFill>
              </w:rPr>
              <w:t xml:space="preserve">　</w:t>
            </w:r>
            <w:r w:rsidRPr="00E038A0">
              <w:rPr>
                <w:rFonts w:ascii="Arial Narrow" w:hAnsi="Arial Narrow"/>
                <w:color w:val="000000"/>
                <w:w w:val="31"/>
                <w:sz w:val="20"/>
                <w:szCs w:val="20"/>
                <w:shd w:val="solid" w:color="000000" w:fill="000000"/>
                <w:fitText w:val="140" w:id="-1032069886"/>
                <w:lang w:val="de-DE"/>
                <w14:textFill>
                  <w14:solidFill>
                    <w14:srgbClr w14:val="000000">
                      <w14:alpha w14:val="100000"/>
                    </w14:srgbClr>
                  </w14:solidFill>
                </w14:textFill>
              </w:rPr>
              <w:t>|</w:t>
            </w:r>
            <w:r w:rsidRPr="00E038A0">
              <w:rPr>
                <w:rFonts w:ascii="Arial Narrow" w:hAnsi="Arial Narrow" w:hint="eastAsia"/>
                <w:color w:val="000000"/>
                <w:spacing w:val="4"/>
                <w:w w:val="31"/>
                <w:sz w:val="20"/>
                <w:szCs w:val="20"/>
                <w:shd w:val="solid" w:color="000000" w:fill="000000"/>
                <w:fitText w:val="140" w:id="-1032069886"/>
                <w:lang w:val="de-DE"/>
                <w14:textFill>
                  <w14:solidFill>
                    <w14:srgbClr w14:val="000000">
                      <w14:alpha w14:val="100000"/>
                    </w14:srgbClr>
                  </w14:solidFill>
                </w14:textFill>
              </w:rPr>
              <w:t xml:space="preserve">　</w:t>
            </w:r>
            <w:r w:rsidR="004072F4" w:rsidRPr="0065100C">
              <w:rPr>
                <w:rFonts w:ascii="Arial Narrow" w:hAnsi="Arial Narrow"/>
                <w:sz w:val="20"/>
                <w:szCs w:val="20"/>
                <w:lang w:val="de-DE"/>
              </w:rPr>
              <w:t xml:space="preserve"> </w:t>
            </w:r>
            <w:r w:rsidR="00F442FB" w:rsidRPr="0065100C">
              <w:rPr>
                <w:rFonts w:ascii="Arial Narrow" w:hAnsi="Arial Narrow"/>
                <w:b/>
                <w:sz w:val="20"/>
                <w:szCs w:val="20"/>
                <w:vertAlign w:val="superscript"/>
              </w:rPr>
              <w:t>1</w:t>
            </w:r>
          </w:p>
        </w:tc>
        <w:tc>
          <w:tcPr>
            <w:tcW w:w="1445" w:type="dxa"/>
            <w:vAlign w:val="center"/>
          </w:tcPr>
          <w:p w14:paraId="0D63598B" w14:textId="7A9C6ADB" w:rsidR="00D401F1" w:rsidRPr="00EB3ECB" w:rsidRDefault="00D401F1" w:rsidP="00D401F1">
            <w:pPr>
              <w:pStyle w:val="Tabletext"/>
              <w:keepNext/>
              <w:jc w:val="center"/>
              <w:rPr>
                <w:szCs w:val="20"/>
                <w:lang w:val="de-DE"/>
              </w:rPr>
            </w:pPr>
            <w:r w:rsidRPr="00EB3ECB">
              <w:rPr>
                <w:szCs w:val="20"/>
                <w:lang w:val="de-DE"/>
              </w:rPr>
              <w:t>+</w:t>
            </w:r>
            <w:r w:rsidR="00E038A0">
              <w:rPr>
                <w:szCs w:val="20"/>
                <w:lang w:val="de-DE"/>
              </w:rPr>
              <w:t xml:space="preserve"> </w:t>
            </w:r>
            <w:r w:rsidR="00E038A0" w:rsidRPr="00E038A0">
              <w:rPr>
                <w:color w:val="000000"/>
                <w:szCs w:val="20"/>
                <w:shd w:val="solid" w:color="000000" w:fill="000000"/>
                <w:lang w:val="de-DE"/>
                <w14:textFill>
                  <w14:solidFill>
                    <w14:srgbClr w14:val="000000">
                      <w14:alpha w14:val="100000"/>
                    </w14:srgbClr>
                  </w14:solidFill>
                </w14:textFill>
              </w:rPr>
              <w:t>|</w:t>
            </w:r>
            <w:r w:rsidRPr="00EB3ECB">
              <w:rPr>
                <w:szCs w:val="20"/>
                <w:lang w:val="de-DE"/>
              </w:rPr>
              <w:t>%</w:t>
            </w:r>
          </w:p>
        </w:tc>
      </w:tr>
      <w:tr w:rsidR="00EB01D5" w:rsidRPr="00EB3ECB" w14:paraId="07EA0194" w14:textId="77777777" w:rsidTr="00213DF3">
        <w:trPr>
          <w:cantSplit/>
          <w:trHeight w:val="129"/>
        </w:trPr>
        <w:tc>
          <w:tcPr>
            <w:tcW w:w="9017" w:type="dxa"/>
            <w:gridSpan w:val="5"/>
            <w:vAlign w:val="center"/>
          </w:tcPr>
          <w:p w14:paraId="08716119" w14:textId="77777777" w:rsidR="00D401F1" w:rsidRPr="0065100C" w:rsidRDefault="00D401F1" w:rsidP="00D401F1">
            <w:pPr>
              <w:pStyle w:val="Tabletext"/>
              <w:keepNext/>
              <w:rPr>
                <w:rFonts w:cs="Arial"/>
                <w:szCs w:val="20"/>
              </w:rPr>
            </w:pPr>
            <w:r w:rsidRPr="0065100C">
              <w:rPr>
                <w:rFonts w:cs="Arial"/>
                <w:szCs w:val="20"/>
              </w:rPr>
              <w:t>Utility values (base case: SOLSTICE and TTO)</w:t>
            </w:r>
          </w:p>
        </w:tc>
      </w:tr>
      <w:tr w:rsidR="003A7A89" w:rsidRPr="00EB3ECB" w14:paraId="416C7697" w14:textId="77777777" w:rsidTr="00213DF3">
        <w:trPr>
          <w:cantSplit/>
          <w:trHeight w:val="129"/>
        </w:trPr>
        <w:tc>
          <w:tcPr>
            <w:tcW w:w="3347" w:type="dxa"/>
            <w:vAlign w:val="center"/>
          </w:tcPr>
          <w:p w14:paraId="1465013D" w14:textId="77777777" w:rsidR="00D401F1" w:rsidRPr="00EB3ECB" w:rsidRDefault="00D401F1" w:rsidP="00D401F1">
            <w:pPr>
              <w:pStyle w:val="Tabletext"/>
              <w:keepNext/>
              <w:tabs>
                <w:tab w:val="left" w:pos="142"/>
              </w:tabs>
            </w:pPr>
            <w:r w:rsidRPr="00EB3ECB">
              <w:tab/>
              <w:t>Literature based</w:t>
            </w:r>
          </w:p>
        </w:tc>
        <w:tc>
          <w:tcPr>
            <w:tcW w:w="1544" w:type="dxa"/>
            <w:vAlign w:val="center"/>
          </w:tcPr>
          <w:p w14:paraId="01ED3983" w14:textId="2819B52D" w:rsidR="00D401F1" w:rsidRPr="000E6E41" w:rsidRDefault="00E038A0" w:rsidP="00D401F1">
            <w:pPr>
              <w:pStyle w:val="Tabletext"/>
              <w:keepNext/>
              <w:jc w:val="center"/>
              <w:rPr>
                <w:rFonts w:cs="Arial"/>
                <w:szCs w:val="20"/>
                <w:highlight w:val="darkGray"/>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04C405FC" w14:textId="77777777" w:rsidR="00D401F1" w:rsidRPr="00EB3ECB" w:rsidRDefault="00D401F1" w:rsidP="00D401F1">
            <w:pPr>
              <w:pStyle w:val="Tabletext"/>
              <w:keepNext/>
              <w:jc w:val="center"/>
              <w:rPr>
                <w:rFonts w:cs="Arial"/>
                <w:bCs/>
                <w:szCs w:val="20"/>
              </w:rPr>
            </w:pPr>
            <w:r w:rsidRPr="00EB3ECB">
              <w:rPr>
                <w:rFonts w:cs="Arial"/>
                <w:bCs/>
                <w:szCs w:val="20"/>
              </w:rPr>
              <w:t>0.13</w:t>
            </w:r>
          </w:p>
        </w:tc>
        <w:tc>
          <w:tcPr>
            <w:tcW w:w="1028" w:type="dxa"/>
            <w:vAlign w:val="center"/>
          </w:tcPr>
          <w:p w14:paraId="6F2656E5" w14:textId="26E00A7A" w:rsidR="00D401F1" w:rsidRPr="0065100C" w:rsidRDefault="00E038A0" w:rsidP="00D401F1">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885"/>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885"/>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885"/>
                <w14:textFill>
                  <w14:solidFill>
                    <w14:srgbClr w14:val="000000">
                      <w14:alpha w14:val="100000"/>
                    </w14:srgbClr>
                  </w14:solidFill>
                </w14:textFill>
              </w:rPr>
              <w:t xml:space="preserve">　</w:t>
            </w:r>
            <w:r w:rsidR="00F442FB" w:rsidRPr="0065100C">
              <w:rPr>
                <w:rFonts w:ascii="Arial Narrow" w:hAnsi="Arial Narrow"/>
                <w:b/>
                <w:sz w:val="20"/>
                <w:szCs w:val="20"/>
                <w:vertAlign w:val="superscript"/>
              </w:rPr>
              <w:t>1</w:t>
            </w:r>
          </w:p>
        </w:tc>
        <w:tc>
          <w:tcPr>
            <w:tcW w:w="1445" w:type="dxa"/>
            <w:vAlign w:val="center"/>
          </w:tcPr>
          <w:p w14:paraId="2CE08D2E" w14:textId="078A1260" w:rsidR="00D401F1" w:rsidRPr="00EB3ECB" w:rsidRDefault="00D401F1" w:rsidP="00D401F1">
            <w:pPr>
              <w:pStyle w:val="Tabletext"/>
              <w:keepNext/>
              <w:jc w:val="center"/>
              <w:rPr>
                <w:rFonts w:cs="Arial"/>
                <w:szCs w:val="20"/>
              </w:rPr>
            </w:pPr>
            <w:r w:rsidRPr="00EB3ECB">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B3ECB">
              <w:rPr>
                <w:rFonts w:cs="Arial"/>
                <w:szCs w:val="20"/>
              </w:rPr>
              <w:t>%</w:t>
            </w:r>
          </w:p>
        </w:tc>
      </w:tr>
      <w:tr w:rsidR="003A7A89" w:rsidRPr="00EB3ECB" w14:paraId="050779DB" w14:textId="77777777" w:rsidTr="00213DF3">
        <w:trPr>
          <w:cantSplit/>
          <w:trHeight w:val="129"/>
        </w:trPr>
        <w:tc>
          <w:tcPr>
            <w:tcW w:w="3347" w:type="dxa"/>
            <w:vAlign w:val="center"/>
          </w:tcPr>
          <w:p w14:paraId="155CFFBF" w14:textId="77777777" w:rsidR="00D401F1" w:rsidRPr="00EB3ECB" w:rsidRDefault="00D401F1" w:rsidP="00D401F1">
            <w:pPr>
              <w:pStyle w:val="Tabletext"/>
              <w:keepNext/>
              <w:tabs>
                <w:tab w:val="left" w:pos="142"/>
              </w:tabs>
            </w:pPr>
            <w:r w:rsidRPr="00EB3ECB">
              <w:tab/>
              <w:t>SOLSTICE imputation values only</w:t>
            </w:r>
          </w:p>
        </w:tc>
        <w:tc>
          <w:tcPr>
            <w:tcW w:w="1544" w:type="dxa"/>
            <w:vAlign w:val="center"/>
          </w:tcPr>
          <w:p w14:paraId="2BCBEEAC" w14:textId="57C7065F" w:rsidR="00D401F1" w:rsidRPr="00EB3ECB" w:rsidRDefault="00E038A0" w:rsidP="00D401F1">
            <w:pPr>
              <w:pStyle w:val="Tabletext"/>
              <w:keepNext/>
              <w:jc w:val="center"/>
              <w:rPr>
                <w:rFonts w:cs="Arial"/>
                <w:szCs w:val="20"/>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498FFD5F" w14:textId="77777777" w:rsidR="00D401F1" w:rsidRPr="00EB3ECB" w:rsidRDefault="00D401F1" w:rsidP="00D401F1">
            <w:pPr>
              <w:pStyle w:val="Tabletext"/>
              <w:keepNext/>
              <w:jc w:val="center"/>
              <w:rPr>
                <w:rFonts w:cs="Arial"/>
                <w:bCs/>
                <w:szCs w:val="20"/>
              </w:rPr>
            </w:pPr>
            <w:r w:rsidRPr="00EB3ECB">
              <w:rPr>
                <w:rFonts w:cs="Arial"/>
                <w:bCs/>
                <w:szCs w:val="20"/>
              </w:rPr>
              <w:t>0.12</w:t>
            </w:r>
          </w:p>
        </w:tc>
        <w:tc>
          <w:tcPr>
            <w:tcW w:w="1028" w:type="dxa"/>
            <w:vAlign w:val="center"/>
          </w:tcPr>
          <w:p w14:paraId="33F80AE4" w14:textId="64CC2767" w:rsidR="00D401F1" w:rsidRPr="0065100C" w:rsidRDefault="00E038A0" w:rsidP="00D401F1">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632"/>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632"/>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632"/>
                <w14:textFill>
                  <w14:solidFill>
                    <w14:srgbClr w14:val="000000">
                      <w14:alpha w14:val="100000"/>
                    </w14:srgbClr>
                  </w14:solidFill>
                </w14:textFill>
              </w:rPr>
              <w:t xml:space="preserve">　</w:t>
            </w:r>
            <w:r w:rsidR="001D33C8" w:rsidRPr="0065100C">
              <w:rPr>
                <w:rFonts w:ascii="Arial Narrow" w:hAnsi="Arial Narrow"/>
                <w:sz w:val="20"/>
                <w:szCs w:val="20"/>
                <w:vertAlign w:val="superscript"/>
                <w:lang w:val="de-DE"/>
              </w:rPr>
              <w:t>8</w:t>
            </w:r>
          </w:p>
        </w:tc>
        <w:tc>
          <w:tcPr>
            <w:tcW w:w="1445" w:type="dxa"/>
            <w:vAlign w:val="center"/>
          </w:tcPr>
          <w:p w14:paraId="4DC69D73" w14:textId="10863C25" w:rsidR="00D401F1" w:rsidRPr="00EB3ECB" w:rsidRDefault="00D401F1" w:rsidP="00D401F1">
            <w:pPr>
              <w:pStyle w:val="Tabletext"/>
              <w:keepNext/>
              <w:jc w:val="center"/>
              <w:rPr>
                <w:rFonts w:cs="Arial"/>
                <w:szCs w:val="20"/>
              </w:rPr>
            </w:pPr>
            <w:r w:rsidRPr="00EB3ECB">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B3ECB">
              <w:rPr>
                <w:rFonts w:cs="Arial"/>
                <w:szCs w:val="20"/>
              </w:rPr>
              <w:t>%</w:t>
            </w:r>
          </w:p>
        </w:tc>
      </w:tr>
      <w:tr w:rsidR="00EB01D5" w:rsidRPr="00EB3ECB" w14:paraId="5D6CA97E" w14:textId="77777777" w:rsidTr="00213DF3">
        <w:trPr>
          <w:cantSplit/>
          <w:trHeight w:val="129"/>
        </w:trPr>
        <w:tc>
          <w:tcPr>
            <w:tcW w:w="9017" w:type="dxa"/>
            <w:gridSpan w:val="5"/>
            <w:tcBorders>
              <w:bottom w:val="single" w:sz="4" w:space="0" w:color="auto"/>
            </w:tcBorders>
            <w:vAlign w:val="center"/>
          </w:tcPr>
          <w:p w14:paraId="4499C796" w14:textId="77777777" w:rsidR="00D401F1" w:rsidRPr="0065100C" w:rsidRDefault="00D401F1" w:rsidP="00D401F1">
            <w:pPr>
              <w:pStyle w:val="Tabletext"/>
              <w:keepNext/>
              <w:rPr>
                <w:rFonts w:cs="Arial"/>
                <w:szCs w:val="20"/>
              </w:rPr>
            </w:pPr>
            <w:r w:rsidRPr="0065100C">
              <w:rPr>
                <w:rFonts w:cs="Arial"/>
                <w:szCs w:val="20"/>
              </w:rPr>
              <w:t xml:space="preserve">Stage 1 duration (base case: 78 weeks) </w:t>
            </w:r>
          </w:p>
        </w:tc>
      </w:tr>
      <w:tr w:rsidR="003A7A89" w:rsidRPr="00EB3ECB" w14:paraId="38AACD48" w14:textId="77777777" w:rsidTr="00213DF3">
        <w:trPr>
          <w:cantSplit/>
          <w:trHeight w:val="129"/>
        </w:trPr>
        <w:tc>
          <w:tcPr>
            <w:tcW w:w="3347" w:type="dxa"/>
            <w:vAlign w:val="center"/>
          </w:tcPr>
          <w:p w14:paraId="5E3200DC" w14:textId="0D00E541" w:rsidR="00D401F1" w:rsidRPr="00EB3ECB" w:rsidRDefault="00D401F1" w:rsidP="00D401F1">
            <w:pPr>
              <w:pStyle w:val="Tabletext"/>
              <w:keepNext/>
              <w:tabs>
                <w:tab w:val="left" w:pos="142"/>
              </w:tabs>
            </w:pPr>
            <w:r w:rsidRPr="00EB3ECB">
              <w:tab/>
              <w:t>39.2 weeks (accepted by NICE)</w:t>
            </w:r>
          </w:p>
        </w:tc>
        <w:tc>
          <w:tcPr>
            <w:tcW w:w="1544" w:type="dxa"/>
            <w:vAlign w:val="center"/>
          </w:tcPr>
          <w:p w14:paraId="3F57D090" w14:textId="00040FE5" w:rsidR="00D401F1" w:rsidRPr="000E6E41" w:rsidRDefault="00E038A0" w:rsidP="00D401F1">
            <w:pPr>
              <w:pStyle w:val="Tabletext"/>
              <w:keepNext/>
              <w:jc w:val="center"/>
              <w:rPr>
                <w:rFonts w:cs="Arial"/>
                <w:szCs w:val="20"/>
                <w:highlight w:val="darkGray"/>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26E8F995" w14:textId="29F280CB" w:rsidR="00D401F1" w:rsidRPr="00EB3ECB" w:rsidRDefault="00D401F1" w:rsidP="00D401F1">
            <w:pPr>
              <w:pStyle w:val="Tabletext"/>
              <w:keepNext/>
              <w:jc w:val="center"/>
              <w:rPr>
                <w:rFonts w:cs="Arial"/>
                <w:bCs/>
                <w:szCs w:val="20"/>
              </w:rPr>
            </w:pPr>
            <w:r w:rsidRPr="00EB3ECB">
              <w:rPr>
                <w:rFonts w:cs="Arial"/>
                <w:bCs/>
                <w:szCs w:val="20"/>
              </w:rPr>
              <w:t>0.10</w:t>
            </w:r>
          </w:p>
        </w:tc>
        <w:tc>
          <w:tcPr>
            <w:tcW w:w="1028" w:type="dxa"/>
            <w:vAlign w:val="center"/>
          </w:tcPr>
          <w:p w14:paraId="52BB97BA" w14:textId="23990482" w:rsidR="00D401F1" w:rsidRPr="0065100C" w:rsidRDefault="00E038A0" w:rsidP="00D401F1">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631"/>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631"/>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631"/>
                <w14:textFill>
                  <w14:solidFill>
                    <w14:srgbClr w14:val="000000">
                      <w14:alpha w14:val="100000"/>
                    </w14:srgbClr>
                  </w14:solidFill>
                </w14:textFill>
              </w:rPr>
              <w:t xml:space="preserve">　</w:t>
            </w:r>
            <w:r w:rsidR="00B02344" w:rsidRPr="0065100C">
              <w:rPr>
                <w:rFonts w:ascii="Arial Narrow" w:hAnsi="Arial Narrow"/>
                <w:sz w:val="20"/>
                <w:szCs w:val="20"/>
                <w:vertAlign w:val="superscript"/>
              </w:rPr>
              <w:t>3</w:t>
            </w:r>
          </w:p>
        </w:tc>
        <w:tc>
          <w:tcPr>
            <w:tcW w:w="1445" w:type="dxa"/>
            <w:vAlign w:val="center"/>
          </w:tcPr>
          <w:p w14:paraId="01B8A92B" w14:textId="3EC7370E" w:rsidR="00D401F1" w:rsidRPr="00EB3ECB" w:rsidRDefault="00D401F1" w:rsidP="00D401F1">
            <w:pPr>
              <w:pStyle w:val="Tabletext"/>
              <w:keepNext/>
              <w:jc w:val="center"/>
              <w:rPr>
                <w:rFonts w:cs="Arial"/>
                <w:szCs w:val="20"/>
              </w:rPr>
            </w:pPr>
            <w:r w:rsidRPr="00EB3ECB">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B3ECB">
              <w:rPr>
                <w:rFonts w:cs="Arial"/>
                <w:szCs w:val="20"/>
              </w:rPr>
              <w:t>%</w:t>
            </w:r>
          </w:p>
        </w:tc>
      </w:tr>
      <w:tr w:rsidR="003A7A89" w:rsidRPr="00EB3ECB" w14:paraId="4830D19F" w14:textId="77777777" w:rsidTr="00213DF3">
        <w:trPr>
          <w:cantSplit/>
          <w:trHeight w:val="129"/>
        </w:trPr>
        <w:tc>
          <w:tcPr>
            <w:tcW w:w="3347" w:type="dxa"/>
            <w:vAlign w:val="center"/>
          </w:tcPr>
          <w:p w14:paraId="1029B2EC" w14:textId="77777777" w:rsidR="00D401F1" w:rsidRPr="00EB3ECB" w:rsidRDefault="00D401F1" w:rsidP="00D401F1">
            <w:pPr>
              <w:pStyle w:val="Tabletext"/>
              <w:keepNext/>
              <w:tabs>
                <w:tab w:val="left" w:pos="142"/>
              </w:tabs>
            </w:pPr>
            <w:r w:rsidRPr="00EB3ECB">
              <w:tab/>
              <w:t>52 weeks</w:t>
            </w:r>
          </w:p>
        </w:tc>
        <w:tc>
          <w:tcPr>
            <w:tcW w:w="1544" w:type="dxa"/>
            <w:vAlign w:val="center"/>
          </w:tcPr>
          <w:p w14:paraId="2AC1AFD3" w14:textId="3DEB69F7" w:rsidR="00D401F1" w:rsidRPr="000E6E41" w:rsidRDefault="00E038A0" w:rsidP="00D401F1">
            <w:pPr>
              <w:pStyle w:val="Tabletext"/>
              <w:keepNext/>
              <w:jc w:val="center"/>
              <w:rPr>
                <w:rFonts w:cs="Arial"/>
                <w:szCs w:val="20"/>
                <w:highlight w:val="darkGray"/>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6382EBF2" w14:textId="77777777" w:rsidR="00D401F1" w:rsidRPr="00EB3ECB" w:rsidRDefault="00D401F1" w:rsidP="00D401F1">
            <w:pPr>
              <w:pStyle w:val="Tabletext"/>
              <w:keepNext/>
              <w:jc w:val="center"/>
              <w:rPr>
                <w:rFonts w:cs="Arial"/>
                <w:bCs/>
                <w:szCs w:val="20"/>
              </w:rPr>
            </w:pPr>
            <w:r w:rsidRPr="00EB3ECB">
              <w:rPr>
                <w:rFonts w:cs="Arial"/>
                <w:bCs/>
                <w:szCs w:val="20"/>
              </w:rPr>
              <w:t>0.11</w:t>
            </w:r>
          </w:p>
        </w:tc>
        <w:tc>
          <w:tcPr>
            <w:tcW w:w="1028" w:type="dxa"/>
            <w:vAlign w:val="center"/>
          </w:tcPr>
          <w:p w14:paraId="30A288E5" w14:textId="1C90F793" w:rsidR="00D401F1" w:rsidRPr="0065100C" w:rsidRDefault="00E038A0" w:rsidP="00D401F1">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630"/>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630"/>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630"/>
                <w14:textFill>
                  <w14:solidFill>
                    <w14:srgbClr w14:val="000000">
                      <w14:alpha w14:val="100000"/>
                    </w14:srgbClr>
                  </w14:solidFill>
                </w14:textFill>
              </w:rPr>
              <w:t xml:space="preserve">　</w:t>
            </w:r>
            <w:r w:rsidR="00DC231B" w:rsidRPr="0065100C">
              <w:rPr>
                <w:rFonts w:ascii="Arial Narrow" w:hAnsi="Arial Narrow"/>
                <w:sz w:val="20"/>
                <w:szCs w:val="20"/>
                <w:vertAlign w:val="superscript"/>
              </w:rPr>
              <w:t>2</w:t>
            </w:r>
          </w:p>
        </w:tc>
        <w:tc>
          <w:tcPr>
            <w:tcW w:w="1445" w:type="dxa"/>
            <w:vAlign w:val="center"/>
          </w:tcPr>
          <w:p w14:paraId="666A74D5" w14:textId="1A9C7A9E" w:rsidR="00D401F1" w:rsidRPr="00EB3ECB" w:rsidRDefault="00D401F1" w:rsidP="00D401F1">
            <w:pPr>
              <w:pStyle w:val="Tabletext"/>
              <w:keepNext/>
              <w:jc w:val="center"/>
              <w:rPr>
                <w:rFonts w:cs="Arial"/>
                <w:szCs w:val="20"/>
              </w:rPr>
            </w:pPr>
            <w:r w:rsidRPr="00EB3ECB">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B3ECB">
              <w:rPr>
                <w:rFonts w:cs="Arial"/>
                <w:szCs w:val="20"/>
              </w:rPr>
              <w:t>%</w:t>
            </w:r>
          </w:p>
        </w:tc>
      </w:tr>
      <w:tr w:rsidR="003A7A89" w:rsidRPr="00EB3ECB" w14:paraId="295510DD" w14:textId="77777777" w:rsidTr="00213DF3">
        <w:trPr>
          <w:cantSplit/>
          <w:trHeight w:val="129"/>
        </w:trPr>
        <w:tc>
          <w:tcPr>
            <w:tcW w:w="3347" w:type="dxa"/>
            <w:vAlign w:val="center"/>
          </w:tcPr>
          <w:p w14:paraId="7EAA3BED" w14:textId="77777777" w:rsidR="00D401F1" w:rsidRPr="00EB3ECB" w:rsidRDefault="00D401F1" w:rsidP="00D401F1">
            <w:pPr>
              <w:pStyle w:val="Tabletext"/>
              <w:keepNext/>
              <w:tabs>
                <w:tab w:val="left" w:pos="142"/>
              </w:tabs>
            </w:pPr>
            <w:r w:rsidRPr="00EB3ECB">
              <w:tab/>
              <w:t>82 weeks</w:t>
            </w:r>
          </w:p>
        </w:tc>
        <w:tc>
          <w:tcPr>
            <w:tcW w:w="1544" w:type="dxa"/>
            <w:vAlign w:val="center"/>
          </w:tcPr>
          <w:p w14:paraId="63C9FBFD" w14:textId="342F2D35" w:rsidR="00D401F1" w:rsidRPr="000E6E41" w:rsidRDefault="00E038A0" w:rsidP="00D401F1">
            <w:pPr>
              <w:pStyle w:val="Tabletext"/>
              <w:keepNext/>
              <w:jc w:val="center"/>
              <w:rPr>
                <w:rFonts w:cs="Arial"/>
                <w:szCs w:val="20"/>
                <w:highlight w:val="darkGray"/>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56D513B7" w14:textId="77777777" w:rsidR="00D401F1" w:rsidRPr="00EB3ECB" w:rsidRDefault="00D401F1" w:rsidP="00D401F1">
            <w:pPr>
              <w:pStyle w:val="Tabletext"/>
              <w:keepNext/>
              <w:jc w:val="center"/>
              <w:rPr>
                <w:rFonts w:cs="Arial"/>
                <w:bCs/>
                <w:szCs w:val="20"/>
              </w:rPr>
            </w:pPr>
            <w:r w:rsidRPr="00EB3ECB">
              <w:rPr>
                <w:rFonts w:cs="Arial"/>
                <w:bCs/>
                <w:szCs w:val="20"/>
              </w:rPr>
              <w:t>0.14</w:t>
            </w:r>
          </w:p>
        </w:tc>
        <w:tc>
          <w:tcPr>
            <w:tcW w:w="1028" w:type="dxa"/>
            <w:vAlign w:val="center"/>
          </w:tcPr>
          <w:p w14:paraId="47624885" w14:textId="02D7B680" w:rsidR="00D401F1" w:rsidRPr="0065100C" w:rsidRDefault="00E038A0" w:rsidP="00D401F1">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629"/>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629"/>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629"/>
                <w14:textFill>
                  <w14:solidFill>
                    <w14:srgbClr w14:val="000000">
                      <w14:alpha w14:val="100000"/>
                    </w14:srgbClr>
                  </w14:solidFill>
                </w14:textFill>
              </w:rPr>
              <w:t xml:space="preserve">　</w:t>
            </w:r>
            <w:r w:rsidR="00F442FB" w:rsidRPr="0065100C">
              <w:rPr>
                <w:rFonts w:ascii="Arial Narrow" w:hAnsi="Arial Narrow"/>
                <w:b/>
                <w:sz w:val="20"/>
                <w:szCs w:val="20"/>
                <w:vertAlign w:val="superscript"/>
              </w:rPr>
              <w:t>1</w:t>
            </w:r>
          </w:p>
        </w:tc>
        <w:tc>
          <w:tcPr>
            <w:tcW w:w="1445" w:type="dxa"/>
            <w:vAlign w:val="center"/>
          </w:tcPr>
          <w:p w14:paraId="2084E585" w14:textId="4CCAFB9A" w:rsidR="00D401F1" w:rsidRPr="00EB3ECB" w:rsidRDefault="00D401F1" w:rsidP="00D401F1">
            <w:pPr>
              <w:pStyle w:val="Tabletext"/>
              <w:keepNext/>
              <w:jc w:val="center"/>
              <w:rPr>
                <w:rFonts w:cs="Arial"/>
                <w:szCs w:val="20"/>
              </w:rPr>
            </w:pPr>
            <w:r w:rsidRPr="00EB3ECB">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B3ECB">
              <w:rPr>
                <w:rFonts w:cs="Arial"/>
                <w:szCs w:val="20"/>
              </w:rPr>
              <w:t>%</w:t>
            </w:r>
          </w:p>
        </w:tc>
      </w:tr>
      <w:tr w:rsidR="00EB01D5" w:rsidRPr="00EB3ECB" w14:paraId="1506592C" w14:textId="77777777" w:rsidTr="00213DF3">
        <w:trPr>
          <w:cantSplit/>
          <w:trHeight w:val="129"/>
        </w:trPr>
        <w:tc>
          <w:tcPr>
            <w:tcW w:w="9017" w:type="dxa"/>
            <w:gridSpan w:val="5"/>
            <w:vAlign w:val="center"/>
          </w:tcPr>
          <w:p w14:paraId="4E4BE7CE" w14:textId="77777777" w:rsidR="00D401F1" w:rsidRPr="0065100C" w:rsidRDefault="00D401F1" w:rsidP="00D401F1">
            <w:pPr>
              <w:pStyle w:val="Tabletext"/>
              <w:keepNext/>
              <w:rPr>
                <w:rFonts w:cs="Arial"/>
                <w:szCs w:val="20"/>
              </w:rPr>
            </w:pPr>
            <w:r w:rsidRPr="0065100C">
              <w:rPr>
                <w:rFonts w:cs="Arial"/>
                <w:szCs w:val="20"/>
              </w:rPr>
              <w:t>Adverse events (base case: cost and disutilities included)</w:t>
            </w:r>
          </w:p>
        </w:tc>
      </w:tr>
      <w:tr w:rsidR="003A7A89" w:rsidRPr="00EB3ECB" w14:paraId="3763ECEE" w14:textId="77777777" w:rsidTr="00213DF3">
        <w:trPr>
          <w:cantSplit/>
          <w:trHeight w:val="129"/>
        </w:trPr>
        <w:tc>
          <w:tcPr>
            <w:tcW w:w="3347" w:type="dxa"/>
            <w:vAlign w:val="center"/>
          </w:tcPr>
          <w:p w14:paraId="5464645F" w14:textId="77777777" w:rsidR="00D401F1" w:rsidRPr="00EB3ECB" w:rsidRDefault="00D401F1" w:rsidP="00D401F1">
            <w:pPr>
              <w:pStyle w:val="Tabletext"/>
              <w:keepNext/>
              <w:tabs>
                <w:tab w:val="left" w:pos="142"/>
              </w:tabs>
            </w:pPr>
            <w:r w:rsidRPr="00EB3ECB">
              <w:tab/>
              <w:t>Remove cost for dysgeusia</w:t>
            </w:r>
          </w:p>
        </w:tc>
        <w:tc>
          <w:tcPr>
            <w:tcW w:w="1544" w:type="dxa"/>
            <w:vAlign w:val="center"/>
          </w:tcPr>
          <w:p w14:paraId="2A6B6628" w14:textId="207BF63B" w:rsidR="00D401F1" w:rsidRPr="000E6E41" w:rsidRDefault="00E038A0" w:rsidP="00D401F1">
            <w:pPr>
              <w:pStyle w:val="Tabletext"/>
              <w:keepNext/>
              <w:jc w:val="center"/>
              <w:rPr>
                <w:rFonts w:cs="Arial"/>
                <w:szCs w:val="20"/>
                <w:highlight w:val="darkGray"/>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753AD79B" w14:textId="77777777" w:rsidR="00D401F1" w:rsidRPr="00EB3ECB" w:rsidRDefault="00D401F1" w:rsidP="00D401F1">
            <w:pPr>
              <w:pStyle w:val="Tabletext"/>
              <w:keepNext/>
              <w:jc w:val="center"/>
              <w:rPr>
                <w:rFonts w:cs="Arial"/>
                <w:bCs/>
                <w:szCs w:val="20"/>
              </w:rPr>
            </w:pPr>
            <w:r w:rsidRPr="00EB3ECB">
              <w:rPr>
                <w:rFonts w:cs="Arial"/>
                <w:bCs/>
                <w:szCs w:val="20"/>
              </w:rPr>
              <w:t>0.13</w:t>
            </w:r>
          </w:p>
        </w:tc>
        <w:tc>
          <w:tcPr>
            <w:tcW w:w="1028" w:type="dxa"/>
            <w:vAlign w:val="center"/>
          </w:tcPr>
          <w:p w14:paraId="6D6E55A9" w14:textId="2F6475C2" w:rsidR="00D401F1" w:rsidRPr="0065100C" w:rsidRDefault="00E038A0" w:rsidP="00D401F1">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628"/>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628"/>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628"/>
                <w14:textFill>
                  <w14:solidFill>
                    <w14:srgbClr w14:val="000000">
                      <w14:alpha w14:val="100000"/>
                    </w14:srgbClr>
                  </w14:solidFill>
                </w14:textFill>
              </w:rPr>
              <w:t xml:space="preserve">　</w:t>
            </w:r>
            <w:r w:rsidR="00F442FB" w:rsidRPr="0065100C">
              <w:rPr>
                <w:rFonts w:ascii="Arial Narrow" w:hAnsi="Arial Narrow"/>
                <w:b/>
                <w:sz w:val="20"/>
                <w:szCs w:val="20"/>
                <w:vertAlign w:val="superscript"/>
              </w:rPr>
              <w:t>1</w:t>
            </w:r>
          </w:p>
        </w:tc>
        <w:tc>
          <w:tcPr>
            <w:tcW w:w="1445" w:type="dxa"/>
            <w:vAlign w:val="center"/>
          </w:tcPr>
          <w:p w14:paraId="3CD91414" w14:textId="5A43C042" w:rsidR="00D401F1" w:rsidRPr="00EB3ECB" w:rsidRDefault="00D401F1" w:rsidP="00D401F1">
            <w:pPr>
              <w:pStyle w:val="Tabletext"/>
              <w:keepNext/>
              <w:jc w:val="center"/>
              <w:rPr>
                <w:rFonts w:cs="Arial"/>
                <w:szCs w:val="20"/>
              </w:rPr>
            </w:pPr>
            <w:r w:rsidRPr="00EB3ECB">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B3ECB">
              <w:rPr>
                <w:rFonts w:cs="Arial"/>
                <w:szCs w:val="20"/>
              </w:rPr>
              <w:t>%</w:t>
            </w:r>
          </w:p>
        </w:tc>
      </w:tr>
      <w:tr w:rsidR="003A7A89" w:rsidRPr="00EB3ECB" w14:paraId="6F32DA27" w14:textId="77777777" w:rsidTr="00213DF3">
        <w:trPr>
          <w:cantSplit/>
          <w:trHeight w:val="129"/>
        </w:trPr>
        <w:tc>
          <w:tcPr>
            <w:tcW w:w="3347" w:type="dxa"/>
            <w:vAlign w:val="center"/>
          </w:tcPr>
          <w:p w14:paraId="3FFE2953" w14:textId="77777777" w:rsidR="00D401F1" w:rsidRPr="00EB3ECB" w:rsidRDefault="00D401F1" w:rsidP="00D401F1">
            <w:pPr>
              <w:pStyle w:val="Tabletext"/>
              <w:keepNext/>
              <w:tabs>
                <w:tab w:val="left" w:pos="142"/>
              </w:tabs>
            </w:pPr>
            <w:r w:rsidRPr="00EB3ECB">
              <w:tab/>
              <w:t>Exclude AEs (cost and disutilities)</w:t>
            </w:r>
          </w:p>
        </w:tc>
        <w:tc>
          <w:tcPr>
            <w:tcW w:w="1544" w:type="dxa"/>
            <w:vAlign w:val="center"/>
          </w:tcPr>
          <w:p w14:paraId="14843C7B" w14:textId="1B9B0243" w:rsidR="00D401F1" w:rsidRPr="000E6E41" w:rsidRDefault="00E038A0" w:rsidP="00D401F1">
            <w:pPr>
              <w:pStyle w:val="Tabletext"/>
              <w:keepNext/>
              <w:jc w:val="center"/>
              <w:rPr>
                <w:rFonts w:cs="Arial"/>
                <w:szCs w:val="20"/>
                <w:highlight w:val="darkGray"/>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301100AB" w14:textId="77777777" w:rsidR="00D401F1" w:rsidRPr="00EB3ECB" w:rsidRDefault="00D401F1" w:rsidP="00D401F1">
            <w:pPr>
              <w:pStyle w:val="Tabletext"/>
              <w:keepNext/>
              <w:jc w:val="center"/>
              <w:rPr>
                <w:rFonts w:cs="Arial"/>
                <w:bCs/>
                <w:szCs w:val="20"/>
              </w:rPr>
            </w:pPr>
            <w:r w:rsidRPr="00EB3ECB">
              <w:rPr>
                <w:rFonts w:cs="Arial"/>
                <w:bCs/>
                <w:szCs w:val="20"/>
              </w:rPr>
              <w:t>0.13</w:t>
            </w:r>
          </w:p>
        </w:tc>
        <w:tc>
          <w:tcPr>
            <w:tcW w:w="1028" w:type="dxa"/>
            <w:vAlign w:val="center"/>
          </w:tcPr>
          <w:p w14:paraId="17536CA0" w14:textId="5799C576" w:rsidR="00D401F1" w:rsidRPr="0065100C" w:rsidRDefault="00E038A0" w:rsidP="00D401F1">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627"/>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627"/>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627"/>
                <w14:textFill>
                  <w14:solidFill>
                    <w14:srgbClr w14:val="000000">
                      <w14:alpha w14:val="100000"/>
                    </w14:srgbClr>
                  </w14:solidFill>
                </w14:textFill>
              </w:rPr>
              <w:t xml:space="preserve">　</w:t>
            </w:r>
            <w:r w:rsidR="00DC231B" w:rsidRPr="0065100C">
              <w:rPr>
                <w:rFonts w:ascii="Arial Narrow" w:hAnsi="Arial Narrow"/>
                <w:sz w:val="20"/>
                <w:szCs w:val="20"/>
                <w:vertAlign w:val="superscript"/>
              </w:rPr>
              <w:t>2</w:t>
            </w:r>
          </w:p>
        </w:tc>
        <w:tc>
          <w:tcPr>
            <w:tcW w:w="1445" w:type="dxa"/>
            <w:vAlign w:val="center"/>
          </w:tcPr>
          <w:p w14:paraId="767AFB0E" w14:textId="18D7675A" w:rsidR="00D401F1" w:rsidRPr="00EB3ECB" w:rsidRDefault="00D401F1" w:rsidP="00D401F1">
            <w:pPr>
              <w:pStyle w:val="Tabletext"/>
              <w:keepNext/>
              <w:jc w:val="center"/>
              <w:rPr>
                <w:rFonts w:cs="Arial"/>
                <w:szCs w:val="20"/>
              </w:rPr>
            </w:pPr>
            <w:r w:rsidRPr="00EB3ECB">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B3ECB">
              <w:rPr>
                <w:rFonts w:cs="Arial"/>
                <w:szCs w:val="20"/>
              </w:rPr>
              <w:t>%</w:t>
            </w:r>
          </w:p>
        </w:tc>
      </w:tr>
      <w:tr w:rsidR="00EB01D5" w:rsidRPr="00EB3ECB" w14:paraId="2FC9299E" w14:textId="77777777" w:rsidTr="00213DF3">
        <w:trPr>
          <w:cantSplit/>
          <w:trHeight w:val="129"/>
        </w:trPr>
        <w:tc>
          <w:tcPr>
            <w:tcW w:w="9017" w:type="dxa"/>
            <w:gridSpan w:val="5"/>
            <w:vAlign w:val="center"/>
          </w:tcPr>
          <w:p w14:paraId="44C90963" w14:textId="77777777" w:rsidR="00D401F1" w:rsidRPr="0065100C" w:rsidRDefault="00D401F1" w:rsidP="00D401F1">
            <w:pPr>
              <w:pStyle w:val="Tabletext"/>
              <w:keepNext/>
              <w:rPr>
                <w:rFonts w:cs="Arial"/>
                <w:szCs w:val="20"/>
              </w:rPr>
            </w:pPr>
            <w:r w:rsidRPr="0065100C">
              <w:rPr>
                <w:rFonts w:cs="Arial"/>
                <w:szCs w:val="20"/>
              </w:rPr>
              <w:t>Cost of foscarnet and cidofovir (base case: foscarnet $2,000 DPMQ; cidofovir $1,100 DPMQ)</w:t>
            </w:r>
          </w:p>
        </w:tc>
      </w:tr>
      <w:tr w:rsidR="003A7A89" w:rsidRPr="00EB3ECB" w14:paraId="25FCF9B3" w14:textId="77777777" w:rsidTr="00213DF3">
        <w:trPr>
          <w:cantSplit/>
          <w:trHeight w:val="129"/>
        </w:trPr>
        <w:tc>
          <w:tcPr>
            <w:tcW w:w="3347" w:type="dxa"/>
            <w:vAlign w:val="center"/>
          </w:tcPr>
          <w:p w14:paraId="35946A4B" w14:textId="77777777" w:rsidR="00D401F1" w:rsidRPr="00EB3ECB" w:rsidRDefault="00D401F1" w:rsidP="00D401F1">
            <w:pPr>
              <w:pStyle w:val="Tabletext"/>
              <w:keepNext/>
              <w:tabs>
                <w:tab w:val="left" w:pos="142"/>
              </w:tabs>
            </w:pPr>
            <w:r w:rsidRPr="00EB3ECB">
              <w:tab/>
              <w:t>$1,000 foscarnet/$550 cidofovir (-50%)</w:t>
            </w:r>
          </w:p>
        </w:tc>
        <w:tc>
          <w:tcPr>
            <w:tcW w:w="1544" w:type="dxa"/>
            <w:vAlign w:val="center"/>
          </w:tcPr>
          <w:p w14:paraId="19BE860E" w14:textId="3976B17A" w:rsidR="00D401F1" w:rsidRPr="000E6E41" w:rsidRDefault="00E038A0" w:rsidP="00D401F1">
            <w:pPr>
              <w:pStyle w:val="Tabletext"/>
              <w:keepNext/>
              <w:jc w:val="center"/>
              <w:rPr>
                <w:rFonts w:cs="Arial"/>
                <w:szCs w:val="20"/>
                <w:highlight w:val="darkGray"/>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3D299383" w14:textId="77777777" w:rsidR="00D401F1" w:rsidRPr="00EB3ECB" w:rsidRDefault="00D401F1" w:rsidP="00D401F1">
            <w:pPr>
              <w:pStyle w:val="Tabletext"/>
              <w:keepNext/>
              <w:jc w:val="center"/>
              <w:rPr>
                <w:rFonts w:cs="Arial"/>
                <w:bCs/>
                <w:szCs w:val="20"/>
              </w:rPr>
            </w:pPr>
            <w:r w:rsidRPr="00EB3ECB">
              <w:rPr>
                <w:rFonts w:cs="Arial"/>
                <w:bCs/>
                <w:szCs w:val="20"/>
              </w:rPr>
              <w:t>0.13</w:t>
            </w:r>
          </w:p>
        </w:tc>
        <w:tc>
          <w:tcPr>
            <w:tcW w:w="1028" w:type="dxa"/>
            <w:vAlign w:val="center"/>
          </w:tcPr>
          <w:p w14:paraId="7F0CECEA" w14:textId="7BD46C9D" w:rsidR="00D401F1" w:rsidRPr="0065100C" w:rsidRDefault="00E038A0" w:rsidP="00D401F1">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626"/>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626"/>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626"/>
                <w14:textFill>
                  <w14:solidFill>
                    <w14:srgbClr w14:val="000000">
                      <w14:alpha w14:val="100000"/>
                    </w14:srgbClr>
                  </w14:solidFill>
                </w14:textFill>
              </w:rPr>
              <w:t xml:space="preserve">　</w:t>
            </w:r>
            <w:r w:rsidR="009B2C29" w:rsidRPr="0065100C">
              <w:rPr>
                <w:rFonts w:ascii="Arial Narrow" w:hAnsi="Arial Narrow"/>
                <w:sz w:val="20"/>
                <w:szCs w:val="20"/>
                <w:vertAlign w:val="superscript"/>
              </w:rPr>
              <w:t>9</w:t>
            </w:r>
          </w:p>
        </w:tc>
        <w:tc>
          <w:tcPr>
            <w:tcW w:w="1445" w:type="dxa"/>
            <w:vAlign w:val="center"/>
          </w:tcPr>
          <w:p w14:paraId="2DE9D587" w14:textId="61B61805" w:rsidR="00D401F1" w:rsidRPr="00EB3ECB" w:rsidRDefault="00D401F1" w:rsidP="00D401F1">
            <w:pPr>
              <w:pStyle w:val="Tabletext"/>
              <w:keepNext/>
              <w:jc w:val="center"/>
              <w:rPr>
                <w:rFonts w:cs="Arial"/>
                <w:szCs w:val="20"/>
              </w:rPr>
            </w:pPr>
            <w:r w:rsidRPr="00EB3ECB">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B3ECB">
              <w:rPr>
                <w:rFonts w:cs="Arial"/>
                <w:szCs w:val="20"/>
              </w:rPr>
              <w:t>%</w:t>
            </w:r>
          </w:p>
        </w:tc>
      </w:tr>
      <w:tr w:rsidR="003A7A89" w:rsidRPr="00EB3ECB" w14:paraId="7DFD6F02" w14:textId="77777777" w:rsidTr="00213DF3">
        <w:trPr>
          <w:cantSplit/>
          <w:trHeight w:val="129"/>
        </w:trPr>
        <w:tc>
          <w:tcPr>
            <w:tcW w:w="3347" w:type="dxa"/>
            <w:vAlign w:val="center"/>
          </w:tcPr>
          <w:p w14:paraId="78B97422" w14:textId="77777777" w:rsidR="00D401F1" w:rsidRPr="00EB3ECB" w:rsidRDefault="00D401F1" w:rsidP="00D401F1">
            <w:pPr>
              <w:pStyle w:val="Tabletext"/>
              <w:keepNext/>
              <w:tabs>
                <w:tab w:val="left" w:pos="142"/>
              </w:tabs>
            </w:pPr>
            <w:r w:rsidRPr="00EB3ECB">
              <w:tab/>
              <w:t>$1,500 foscarnet/$825 cidofovir (-25%)</w:t>
            </w:r>
          </w:p>
        </w:tc>
        <w:tc>
          <w:tcPr>
            <w:tcW w:w="1544" w:type="dxa"/>
            <w:vAlign w:val="center"/>
          </w:tcPr>
          <w:p w14:paraId="7DA93429" w14:textId="52F4841A" w:rsidR="00D401F1" w:rsidRPr="000E6E41" w:rsidRDefault="00E038A0" w:rsidP="00D401F1">
            <w:pPr>
              <w:pStyle w:val="Tabletext"/>
              <w:keepNext/>
              <w:jc w:val="center"/>
              <w:rPr>
                <w:rFonts w:cs="Arial"/>
                <w:szCs w:val="20"/>
                <w:highlight w:val="darkGray"/>
              </w:rPr>
            </w:pPr>
            <w:r>
              <w:rPr>
                <w:rFonts w:cs="Arial"/>
                <w:szCs w:val="20"/>
              </w:rPr>
              <w:t xml:space="preserve"> </w:t>
            </w:r>
            <w:r w:rsidRPr="00E038A0">
              <w:rPr>
                <w:rFonts w:cs="Arial"/>
                <w:color w:val="000000"/>
                <w:szCs w:val="20"/>
                <w:shd w:val="solid" w:color="000000" w:fill="000000"/>
                <w14:textFill>
                  <w14:solidFill>
                    <w14:srgbClr w14:val="000000">
                      <w14:alpha w14:val="100000"/>
                    </w14:srgbClr>
                  </w14:solidFill>
                </w14:textFill>
              </w:rPr>
              <w:t>|</w:t>
            </w:r>
          </w:p>
        </w:tc>
        <w:tc>
          <w:tcPr>
            <w:tcW w:w="1653" w:type="dxa"/>
            <w:vAlign w:val="center"/>
          </w:tcPr>
          <w:p w14:paraId="5F42F3D1" w14:textId="77777777" w:rsidR="00D401F1" w:rsidRPr="00EB3ECB" w:rsidRDefault="00D401F1" w:rsidP="00D401F1">
            <w:pPr>
              <w:pStyle w:val="Tabletext"/>
              <w:keepNext/>
              <w:jc w:val="center"/>
              <w:rPr>
                <w:rFonts w:cs="Arial"/>
                <w:bCs/>
                <w:szCs w:val="20"/>
              </w:rPr>
            </w:pPr>
            <w:r w:rsidRPr="00EB3ECB">
              <w:rPr>
                <w:rFonts w:cs="Arial"/>
                <w:bCs/>
                <w:szCs w:val="20"/>
              </w:rPr>
              <w:t>0.13</w:t>
            </w:r>
          </w:p>
        </w:tc>
        <w:tc>
          <w:tcPr>
            <w:tcW w:w="1028" w:type="dxa"/>
            <w:vAlign w:val="center"/>
          </w:tcPr>
          <w:p w14:paraId="26907A8F" w14:textId="4F0EC6F1" w:rsidR="00D401F1" w:rsidRPr="0065100C" w:rsidRDefault="00E038A0" w:rsidP="00D401F1">
            <w:pPr>
              <w:keepNext/>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hint="eastAsia"/>
                <w:color w:val="000000"/>
                <w:w w:val="27"/>
                <w:sz w:val="20"/>
                <w:szCs w:val="20"/>
                <w:shd w:val="solid" w:color="000000" w:fill="000000"/>
                <w:fitText w:val="120" w:id="-1032069625"/>
                <w14:textFill>
                  <w14:solidFill>
                    <w14:srgbClr w14:val="000000">
                      <w14:alpha w14:val="100000"/>
                    </w14:srgbClr>
                  </w14:solidFill>
                </w14:textFill>
              </w:rPr>
              <w:t xml:space="preserve">　</w:t>
            </w:r>
            <w:r w:rsidRPr="00E038A0">
              <w:rPr>
                <w:rFonts w:ascii="Arial Narrow" w:hAnsi="Arial Narrow"/>
                <w:color w:val="000000"/>
                <w:w w:val="27"/>
                <w:sz w:val="20"/>
                <w:szCs w:val="20"/>
                <w:shd w:val="solid" w:color="000000" w:fill="000000"/>
                <w:fitText w:val="120" w:id="-1032069625"/>
                <w14:textFill>
                  <w14:solidFill>
                    <w14:srgbClr w14:val="000000">
                      <w14:alpha w14:val="100000"/>
                    </w14:srgbClr>
                  </w14:solidFill>
                </w14:textFill>
              </w:rPr>
              <w:t>|</w:t>
            </w:r>
            <w:r w:rsidRPr="00E038A0">
              <w:rPr>
                <w:rFonts w:ascii="Arial Narrow" w:hAnsi="Arial Narrow" w:hint="eastAsia"/>
                <w:color w:val="000000"/>
                <w:spacing w:val="2"/>
                <w:w w:val="27"/>
                <w:sz w:val="20"/>
                <w:szCs w:val="20"/>
                <w:shd w:val="solid" w:color="000000" w:fill="000000"/>
                <w:fitText w:val="120" w:id="-1032069625"/>
                <w14:textFill>
                  <w14:solidFill>
                    <w14:srgbClr w14:val="000000">
                      <w14:alpha w14:val="100000"/>
                    </w14:srgbClr>
                  </w14:solidFill>
                </w14:textFill>
              </w:rPr>
              <w:t xml:space="preserve">　</w:t>
            </w:r>
            <w:r w:rsidR="00DC231B" w:rsidRPr="0065100C">
              <w:rPr>
                <w:rFonts w:ascii="Arial Narrow" w:hAnsi="Arial Narrow"/>
                <w:sz w:val="20"/>
                <w:szCs w:val="20"/>
                <w:vertAlign w:val="superscript"/>
              </w:rPr>
              <w:t>2</w:t>
            </w:r>
          </w:p>
        </w:tc>
        <w:tc>
          <w:tcPr>
            <w:tcW w:w="1445" w:type="dxa"/>
            <w:vAlign w:val="center"/>
          </w:tcPr>
          <w:p w14:paraId="0FBA8D6E" w14:textId="1BB9695A" w:rsidR="00D401F1" w:rsidRPr="00EB3ECB" w:rsidRDefault="00D401F1" w:rsidP="00D401F1">
            <w:pPr>
              <w:pStyle w:val="Tabletext"/>
              <w:keepNext/>
              <w:jc w:val="center"/>
              <w:rPr>
                <w:rFonts w:cs="Arial"/>
                <w:szCs w:val="20"/>
              </w:rPr>
            </w:pPr>
            <w:r w:rsidRPr="00EB3ECB">
              <w:rPr>
                <w:rFonts w:cs="Arial"/>
                <w:szCs w:val="20"/>
              </w:rPr>
              <w:t>+</w:t>
            </w:r>
            <w:r w:rsidR="00E038A0">
              <w:rPr>
                <w:rFonts w:cs="Arial"/>
                <w:szCs w:val="20"/>
              </w:rPr>
              <w:t xml:space="preserve"> </w:t>
            </w:r>
            <w:r w:rsidR="00E038A0" w:rsidRPr="00E038A0">
              <w:rPr>
                <w:rFonts w:cs="Arial"/>
                <w:color w:val="000000"/>
                <w:szCs w:val="20"/>
                <w:shd w:val="solid" w:color="000000" w:fill="000000"/>
                <w14:textFill>
                  <w14:solidFill>
                    <w14:srgbClr w14:val="000000">
                      <w14:alpha w14:val="100000"/>
                    </w14:srgbClr>
                  </w14:solidFill>
                </w14:textFill>
              </w:rPr>
              <w:t>|</w:t>
            </w:r>
            <w:r w:rsidRPr="00EB3ECB">
              <w:rPr>
                <w:rFonts w:cs="Arial"/>
                <w:szCs w:val="20"/>
              </w:rPr>
              <w:t>%</w:t>
            </w:r>
          </w:p>
        </w:tc>
      </w:tr>
    </w:tbl>
    <w:p w14:paraId="3013FC43" w14:textId="77777777" w:rsidR="00053F3A" w:rsidRDefault="00053F3A" w:rsidP="00053F3A">
      <w:pPr>
        <w:pStyle w:val="FooterTableFigure"/>
        <w:keepNext/>
      </w:pPr>
      <w:r>
        <w:t>Source: Table 3.9.1, p154 of the submission.</w:t>
      </w:r>
    </w:p>
    <w:p w14:paraId="47AF39B6" w14:textId="7F42A9A1" w:rsidR="00053F3A" w:rsidRDefault="00053F3A" w:rsidP="003926B6">
      <w:pPr>
        <w:pStyle w:val="FooterTableFigure"/>
      </w:pPr>
      <w:r>
        <w:t>AE = adverse event; GVHD = graft versus host disease; HSCT = haematopoietic stem cell transplant; SOT = solid organ transplant; TTO = time trade off</w:t>
      </w:r>
    </w:p>
    <w:p w14:paraId="1F6E89A6" w14:textId="6464BE24" w:rsidR="00BA54D0" w:rsidRDefault="00BA54D0" w:rsidP="00BA54D0">
      <w:pPr>
        <w:pStyle w:val="FooterTableFigure"/>
        <w:rPr>
          <w:i/>
          <w:iCs/>
        </w:rPr>
      </w:pPr>
      <w:r w:rsidRPr="00BA54D0">
        <w:rPr>
          <w:i/>
          <w:iCs/>
        </w:rPr>
        <w:t>The redacted values correspond to the following ranges:</w:t>
      </w:r>
    </w:p>
    <w:p w14:paraId="78C31F45" w14:textId="76C66311" w:rsidR="00E069FD" w:rsidRPr="00015E2E" w:rsidRDefault="00E069FD" w:rsidP="000E6E41">
      <w:pPr>
        <w:pStyle w:val="FooterTableFigure"/>
        <w:rPr>
          <w:i/>
          <w:iCs/>
        </w:rPr>
      </w:pPr>
      <w:r>
        <w:rPr>
          <w:i/>
          <w:iCs/>
          <w:vertAlign w:val="superscript"/>
        </w:rPr>
        <w:t>1</w:t>
      </w:r>
      <w:r w:rsidR="006A3C21">
        <w:rPr>
          <w:i/>
          <w:iCs/>
          <w:vertAlign w:val="superscript"/>
        </w:rPr>
        <w:t xml:space="preserve"> </w:t>
      </w:r>
      <w:r w:rsidR="00F442FB" w:rsidRPr="000E6E41">
        <w:rPr>
          <w:i/>
          <w:iCs/>
        </w:rPr>
        <w:t>$45,000 to &lt; $55,000</w:t>
      </w:r>
      <w:r w:rsidR="00DC231B">
        <w:rPr>
          <w:i/>
          <w:iCs/>
        </w:rPr>
        <w:t xml:space="preserve"> </w:t>
      </w:r>
    </w:p>
    <w:p w14:paraId="52A1DC2A" w14:textId="07D29A3D" w:rsidR="000E6E41" w:rsidRPr="000E6E41" w:rsidRDefault="00015E2E" w:rsidP="000E6E41">
      <w:pPr>
        <w:pStyle w:val="FooterTableFigure"/>
        <w:rPr>
          <w:i/>
          <w:iCs/>
        </w:rPr>
      </w:pPr>
      <w:r>
        <w:rPr>
          <w:i/>
          <w:iCs/>
          <w:vertAlign w:val="superscript"/>
        </w:rPr>
        <w:t>2</w:t>
      </w:r>
      <w:r w:rsidR="00DC231B">
        <w:rPr>
          <w:i/>
          <w:iCs/>
          <w:vertAlign w:val="superscript"/>
        </w:rPr>
        <w:t xml:space="preserve"> </w:t>
      </w:r>
      <w:r w:rsidR="00DC231B" w:rsidRPr="000E6E41">
        <w:rPr>
          <w:i/>
          <w:iCs/>
        </w:rPr>
        <w:t>$75,000 to &lt; $95,000</w:t>
      </w:r>
      <w:r w:rsidR="00DC231B">
        <w:rPr>
          <w:i/>
          <w:iCs/>
        </w:rPr>
        <w:t xml:space="preserve"> </w:t>
      </w:r>
    </w:p>
    <w:p w14:paraId="2688222F" w14:textId="3573BDB9" w:rsidR="000E6E41" w:rsidRDefault="00015E2E" w:rsidP="000E6E41">
      <w:pPr>
        <w:pStyle w:val="FooterTableFigure"/>
        <w:rPr>
          <w:i/>
          <w:iCs/>
        </w:rPr>
      </w:pPr>
      <w:r>
        <w:rPr>
          <w:i/>
          <w:iCs/>
          <w:vertAlign w:val="superscript"/>
        </w:rPr>
        <w:t>3</w:t>
      </w:r>
      <w:r w:rsidR="00A65FE0">
        <w:rPr>
          <w:i/>
          <w:iCs/>
        </w:rPr>
        <w:t xml:space="preserve"> </w:t>
      </w:r>
      <w:r w:rsidR="00B02344" w:rsidRPr="009B2C29">
        <w:rPr>
          <w:i/>
          <w:iCs/>
        </w:rPr>
        <w:t>$115,000 to &lt; $135,000</w:t>
      </w:r>
      <w:r w:rsidR="00B02344">
        <w:rPr>
          <w:i/>
          <w:iCs/>
        </w:rPr>
        <w:t xml:space="preserve"> </w:t>
      </w:r>
    </w:p>
    <w:p w14:paraId="0228639A" w14:textId="34423873" w:rsidR="00015E2E" w:rsidRPr="000E6E41" w:rsidRDefault="00015E2E" w:rsidP="000E6E41">
      <w:pPr>
        <w:pStyle w:val="FooterTableFigure"/>
        <w:rPr>
          <w:i/>
          <w:iCs/>
        </w:rPr>
      </w:pPr>
      <w:r w:rsidRPr="00015E2E">
        <w:rPr>
          <w:i/>
          <w:iCs/>
          <w:vertAlign w:val="superscript"/>
        </w:rPr>
        <w:t>4</w:t>
      </w:r>
      <w:r>
        <w:rPr>
          <w:i/>
          <w:iCs/>
        </w:rPr>
        <w:t xml:space="preserve"> </w:t>
      </w:r>
      <w:r w:rsidR="005C52DB" w:rsidRPr="000E6E41">
        <w:rPr>
          <w:i/>
          <w:iCs/>
        </w:rPr>
        <w:t>$35,000 to &lt; $45,000</w:t>
      </w:r>
      <w:r w:rsidR="005C52DB">
        <w:rPr>
          <w:i/>
          <w:iCs/>
        </w:rPr>
        <w:t xml:space="preserve"> </w:t>
      </w:r>
    </w:p>
    <w:p w14:paraId="17C38752" w14:textId="09F6BE2E" w:rsidR="000E6E41" w:rsidRPr="000E6E41" w:rsidRDefault="00015E2E" w:rsidP="000E6E41">
      <w:pPr>
        <w:pStyle w:val="FooterTableFigure"/>
        <w:rPr>
          <w:i/>
          <w:iCs/>
        </w:rPr>
      </w:pPr>
      <w:r>
        <w:rPr>
          <w:i/>
          <w:iCs/>
          <w:vertAlign w:val="superscript"/>
        </w:rPr>
        <w:t>5</w:t>
      </w:r>
      <w:r w:rsidR="00990AAB">
        <w:rPr>
          <w:i/>
          <w:iCs/>
          <w:vertAlign w:val="superscript"/>
        </w:rPr>
        <w:t xml:space="preserve"> </w:t>
      </w:r>
      <w:r w:rsidR="00BB327D" w:rsidRPr="00740A2F">
        <w:rPr>
          <w:i/>
          <w:iCs/>
        </w:rPr>
        <w:t>$1</w:t>
      </w:r>
      <w:r w:rsidR="004A2BE3">
        <w:rPr>
          <w:i/>
          <w:iCs/>
        </w:rPr>
        <w:t>5</w:t>
      </w:r>
      <w:r w:rsidR="00BB327D" w:rsidRPr="00740A2F">
        <w:rPr>
          <w:i/>
          <w:iCs/>
        </w:rPr>
        <w:t>5,000 to &lt; $</w:t>
      </w:r>
      <w:r w:rsidR="004A2BE3">
        <w:rPr>
          <w:i/>
          <w:iCs/>
        </w:rPr>
        <w:t>2</w:t>
      </w:r>
      <w:r w:rsidR="00BB327D" w:rsidRPr="00740A2F">
        <w:rPr>
          <w:i/>
          <w:iCs/>
        </w:rPr>
        <w:t>55,000</w:t>
      </w:r>
      <w:r w:rsidR="00BB327D">
        <w:rPr>
          <w:i/>
          <w:iCs/>
        </w:rPr>
        <w:t xml:space="preserve"> </w:t>
      </w:r>
    </w:p>
    <w:p w14:paraId="432B233E" w14:textId="59EAA6A7" w:rsidR="000E6E41" w:rsidRPr="000E6E41" w:rsidRDefault="009B2C29" w:rsidP="000E6E41">
      <w:pPr>
        <w:pStyle w:val="FooterTableFigure"/>
        <w:rPr>
          <w:i/>
          <w:iCs/>
        </w:rPr>
      </w:pPr>
      <w:r>
        <w:rPr>
          <w:i/>
          <w:iCs/>
          <w:vertAlign w:val="superscript"/>
        </w:rPr>
        <w:t>6</w:t>
      </w:r>
      <w:r w:rsidR="00BB327D">
        <w:rPr>
          <w:i/>
          <w:iCs/>
          <w:vertAlign w:val="superscript"/>
        </w:rPr>
        <w:t xml:space="preserve"> </w:t>
      </w:r>
      <w:r w:rsidR="00BB327D" w:rsidRPr="00015E2E">
        <w:rPr>
          <w:i/>
          <w:iCs/>
        </w:rPr>
        <w:t>$15,000 to &lt; $25,000</w:t>
      </w:r>
      <w:r w:rsidR="00BB327D">
        <w:rPr>
          <w:i/>
          <w:iCs/>
        </w:rPr>
        <w:t xml:space="preserve"> </w:t>
      </w:r>
      <w:r w:rsidR="004072F4" w:rsidRPr="004072F4">
        <w:rPr>
          <w:i/>
          <w:iCs/>
          <w:vertAlign w:val="superscript"/>
        </w:rPr>
        <w:t xml:space="preserve"> </w:t>
      </w:r>
    </w:p>
    <w:p w14:paraId="68F3C751" w14:textId="1A083A80" w:rsidR="000E6E41" w:rsidRPr="000E6E41" w:rsidRDefault="009B2C29" w:rsidP="000E6E41">
      <w:pPr>
        <w:pStyle w:val="FooterTableFigure"/>
        <w:rPr>
          <w:i/>
          <w:iCs/>
        </w:rPr>
      </w:pPr>
      <w:r>
        <w:rPr>
          <w:i/>
          <w:iCs/>
          <w:vertAlign w:val="superscript"/>
        </w:rPr>
        <w:t>7</w:t>
      </w:r>
      <w:r w:rsidR="004072F4">
        <w:rPr>
          <w:i/>
          <w:iCs/>
        </w:rPr>
        <w:t xml:space="preserve"> </w:t>
      </w:r>
      <w:r w:rsidR="00AA1623" w:rsidRPr="00740A2F">
        <w:rPr>
          <w:i/>
          <w:iCs/>
        </w:rPr>
        <w:t>$135,000 to &lt; $155,000</w:t>
      </w:r>
      <w:r w:rsidR="00AA1623">
        <w:rPr>
          <w:i/>
          <w:iCs/>
        </w:rPr>
        <w:t xml:space="preserve"> </w:t>
      </w:r>
    </w:p>
    <w:p w14:paraId="6B326303" w14:textId="48B8EE35" w:rsidR="000E6E41" w:rsidRPr="000E6E41" w:rsidRDefault="009B2C29" w:rsidP="000E6E41">
      <w:pPr>
        <w:pStyle w:val="FooterTableFigure"/>
        <w:rPr>
          <w:i/>
          <w:iCs/>
        </w:rPr>
      </w:pPr>
      <w:r>
        <w:rPr>
          <w:i/>
          <w:iCs/>
          <w:vertAlign w:val="superscript"/>
        </w:rPr>
        <w:t>8</w:t>
      </w:r>
      <w:r w:rsidR="004072F4">
        <w:rPr>
          <w:i/>
          <w:iCs/>
        </w:rPr>
        <w:t xml:space="preserve"> </w:t>
      </w:r>
      <w:r w:rsidR="004A2BE3" w:rsidRPr="000E6E41">
        <w:rPr>
          <w:i/>
          <w:iCs/>
        </w:rPr>
        <w:t xml:space="preserve">$55,000 to &lt; $75,000 </w:t>
      </w:r>
    </w:p>
    <w:p w14:paraId="070D5C36" w14:textId="3FE982B4" w:rsidR="000E6E41" w:rsidRDefault="009B2C29" w:rsidP="000E6E41">
      <w:pPr>
        <w:pStyle w:val="FooterTableFigure"/>
        <w:rPr>
          <w:i/>
          <w:iCs/>
        </w:rPr>
      </w:pPr>
      <w:r>
        <w:rPr>
          <w:i/>
          <w:iCs/>
          <w:vertAlign w:val="superscript"/>
        </w:rPr>
        <w:t>9</w:t>
      </w:r>
      <w:r w:rsidR="0065100C">
        <w:rPr>
          <w:i/>
          <w:iCs/>
          <w:vertAlign w:val="superscript"/>
        </w:rPr>
        <w:t xml:space="preserve"> </w:t>
      </w:r>
      <w:r w:rsidR="000E6E41" w:rsidRPr="000E6E41">
        <w:rPr>
          <w:i/>
          <w:iCs/>
        </w:rPr>
        <w:t xml:space="preserve">$95,000 to &lt; $115,000 </w:t>
      </w:r>
    </w:p>
    <w:p w14:paraId="4406CF0E" w14:textId="765A4EF1" w:rsidR="00146CB1" w:rsidRDefault="003143AE" w:rsidP="004C0546">
      <w:pPr>
        <w:pStyle w:val="3-BodyText"/>
      </w:pPr>
      <w:r w:rsidRPr="00EB3ECB">
        <w:lastRenderedPageBreak/>
        <w:t>Altering the duration of Stage 1 of the model ha</w:t>
      </w:r>
      <w:r w:rsidR="00146CB1">
        <w:t>d</w:t>
      </w:r>
      <w:r w:rsidRPr="00EB3ECB">
        <w:t xml:space="preserve"> considerable impact on the </w:t>
      </w:r>
      <w:r w:rsidR="00D251C3" w:rsidRPr="00EB3ECB">
        <w:t>ICER/QALY</w:t>
      </w:r>
      <w:r w:rsidRPr="00EB3ECB">
        <w:t>. When Stage 1 was shortened to 39.2 weeks, the ICER/QALY increased to $</w:t>
      </w:r>
      <w:r w:rsidR="00D33E14" w:rsidRPr="009B6FEB">
        <w:t>115,000 to &lt; $135,000</w:t>
      </w:r>
      <w:r w:rsidRPr="00EB3ECB">
        <w:t xml:space="preserve">, an increase of almost </w:t>
      </w:r>
      <w:r w:rsidRPr="00D33E14">
        <w:t>130</w:t>
      </w:r>
      <w:r w:rsidRPr="00EB3ECB">
        <w:t>%. When Stage 1 was shortened to 52 weeks, the ICER increased to $</w:t>
      </w:r>
      <w:r w:rsidR="00D33E14" w:rsidRPr="00D33E14">
        <w:t>75,000 to &lt; $95,000</w:t>
      </w:r>
      <w:r w:rsidRPr="00EB3ECB">
        <w:t>/QALY</w:t>
      </w:r>
      <w:r w:rsidRPr="00DF40E7">
        <w:rPr>
          <w:iCs/>
        </w:rPr>
        <w:t xml:space="preserve">. </w:t>
      </w:r>
      <w:r w:rsidR="00146CB1" w:rsidRPr="00DF40E7">
        <w:rPr>
          <w:iCs/>
        </w:rPr>
        <w:t>The ESC considered that the shorter Stage 1 length of 39.2 weeks would be appropriate to reduce uncertainty in the model.</w:t>
      </w:r>
    </w:p>
    <w:p w14:paraId="230312CF" w14:textId="4F8A5D7C" w:rsidR="00D251C3" w:rsidRPr="00EB3ECB" w:rsidRDefault="003143AE" w:rsidP="004C0546">
      <w:pPr>
        <w:pStyle w:val="3-BodyText"/>
      </w:pPr>
      <w:r w:rsidRPr="00EB3ECB">
        <w:t xml:space="preserve">The </w:t>
      </w:r>
      <w:r w:rsidR="003B51F1" w:rsidRPr="00DF40E7">
        <w:rPr>
          <w:iCs/>
        </w:rPr>
        <w:t>ESC noted</w:t>
      </w:r>
      <w:r w:rsidR="003B51F1">
        <w:t xml:space="preserve"> that the </w:t>
      </w:r>
      <w:r w:rsidRPr="00EB3ECB">
        <w:t>model was also sensitive to overall duration, as decreasing the model duration to 5 years increased the ICER/QALY by over 40% to $</w:t>
      </w:r>
      <w:r w:rsidR="0017143F" w:rsidRPr="0017143F">
        <w:t>75,000 to &lt;</w:t>
      </w:r>
      <w:r w:rsidR="007D2066">
        <w:t> </w:t>
      </w:r>
      <w:r w:rsidR="0017143F" w:rsidRPr="0017143F">
        <w:t>$95,000</w:t>
      </w:r>
      <w:r w:rsidRPr="00EB3ECB">
        <w:t xml:space="preserve"> and decreasing it to 2 years increased the ICER to $</w:t>
      </w:r>
      <w:r w:rsidR="0017143F" w:rsidRPr="009B6FEB">
        <w:t>115,000 to &lt; $135,000</w:t>
      </w:r>
      <w:r w:rsidRPr="00EB3ECB">
        <w:t>, an increase of over 125%.</w:t>
      </w:r>
      <w:r w:rsidR="004B418D" w:rsidRPr="00EB3ECB">
        <w:t xml:space="preserve"> </w:t>
      </w:r>
    </w:p>
    <w:p w14:paraId="18D18270" w14:textId="1FE3127D" w:rsidR="00D251C3" w:rsidRPr="00EB3ECB" w:rsidRDefault="00D251C3" w:rsidP="004C0546">
      <w:pPr>
        <w:pStyle w:val="3-BodyText"/>
      </w:pPr>
      <w:r w:rsidRPr="00EB3ECB">
        <w:t>The ICER/QALY varied considerably when the proportion treated with each IAT drug was changed. In the base case the submission assumed that 25% would be treated with valganciclovir, 25% treated with ganciclovir, 44% treated with foscarnet and 5% treated with cidofovir. When the proportions were changed to 25% treated with each drug, the ICER/QALY increased by 66% to $</w:t>
      </w:r>
      <w:r w:rsidR="0017143F" w:rsidRPr="0017143F">
        <w:t>75,000 to &lt; $95,000</w:t>
      </w:r>
      <w:r w:rsidRPr="00EB3ECB">
        <w:t>. If all IAT patients were treated with valganciclovir, the ICER increased to $</w:t>
      </w:r>
      <w:r w:rsidR="0017143F" w:rsidRPr="0017143F">
        <w:t>155,000 to &lt; $255,000</w:t>
      </w:r>
      <w:r w:rsidRPr="00D33E14">
        <w:t>,</w:t>
      </w:r>
      <w:r w:rsidRPr="00EB3ECB">
        <w:t xml:space="preserve"> whereas if all IAT patients were treated with foscarnet, maribavir became dominant</w:t>
      </w:r>
      <w:r w:rsidR="003A7A89" w:rsidRPr="00EB3ECB">
        <w:t xml:space="preserve"> (although this result was dependent on the price assumed for foscarnet, which may not be accurate and has not been established as cost-effective by the PBAC)</w:t>
      </w:r>
      <w:r w:rsidRPr="00EB3ECB">
        <w:t>.</w:t>
      </w:r>
      <w:r w:rsidR="003F23BA">
        <w:t xml:space="preserve"> </w:t>
      </w:r>
      <w:r w:rsidR="003F23BA" w:rsidRPr="00421405">
        <w:t>The ESC noted that the split of IAT treatments for this population in Australian clinical practice is unknown.</w:t>
      </w:r>
    </w:p>
    <w:p w14:paraId="22C35EE5" w14:textId="13CB7D98" w:rsidR="0009369C" w:rsidRPr="00421405" w:rsidRDefault="0009369C" w:rsidP="004C0546">
      <w:pPr>
        <w:pStyle w:val="3-BodyText"/>
        <w:rPr>
          <w:iCs/>
        </w:rPr>
      </w:pPr>
      <w:bookmarkStart w:id="48" w:name="_Hlk147475028"/>
      <w:r w:rsidRPr="00421405">
        <w:rPr>
          <w:iCs/>
        </w:rPr>
        <w:t>The ESC noted that the model also relied on assumed prices for foscarnet and cidofovir, and that varying these prices had a substantial impact on the ICER.</w:t>
      </w:r>
      <w:bookmarkEnd w:id="48"/>
    </w:p>
    <w:p w14:paraId="367AA924" w14:textId="32E78BD8" w:rsidR="00B62D80" w:rsidRPr="00421405" w:rsidRDefault="00D251C3" w:rsidP="009B3055">
      <w:pPr>
        <w:pStyle w:val="3-BodyText"/>
        <w:rPr>
          <w:iCs/>
        </w:rPr>
      </w:pPr>
      <w:r w:rsidRPr="00421405">
        <w:rPr>
          <w:iCs/>
        </w:rPr>
        <w:t xml:space="preserve">The </w:t>
      </w:r>
      <w:r w:rsidR="00954C20" w:rsidRPr="00421405">
        <w:rPr>
          <w:iCs/>
        </w:rPr>
        <w:t xml:space="preserve">evaluation and the ESC considered that the </w:t>
      </w:r>
      <w:r w:rsidRPr="00421405">
        <w:rPr>
          <w:iCs/>
        </w:rPr>
        <w:t>considerable variability in model results</w:t>
      </w:r>
      <w:r w:rsidR="00B62D80" w:rsidRPr="00421405">
        <w:rPr>
          <w:iCs/>
        </w:rPr>
        <w:t xml:space="preserve"> </w:t>
      </w:r>
      <w:r w:rsidR="003A4D3A" w:rsidRPr="00421405">
        <w:rPr>
          <w:iCs/>
        </w:rPr>
        <w:t>demonstrate that the model is not reliable for decision-making</w:t>
      </w:r>
      <w:r w:rsidR="00501DF7" w:rsidRPr="00421405">
        <w:rPr>
          <w:iCs/>
        </w:rPr>
        <w:t>.</w:t>
      </w:r>
      <w:r w:rsidR="00954C20" w:rsidRPr="00421405">
        <w:rPr>
          <w:iCs/>
        </w:rPr>
        <w:t xml:space="preserve"> </w:t>
      </w:r>
    </w:p>
    <w:p w14:paraId="4F42A6E8" w14:textId="2DE02910" w:rsidR="009B3055" w:rsidRPr="00421405" w:rsidRDefault="00B62D80" w:rsidP="009B3055">
      <w:pPr>
        <w:pStyle w:val="3-BodyText"/>
        <w:rPr>
          <w:iCs/>
        </w:rPr>
      </w:pPr>
      <w:r w:rsidRPr="00421405">
        <w:rPr>
          <w:iCs/>
        </w:rPr>
        <w:t>Overall, t</w:t>
      </w:r>
      <w:r w:rsidR="00C0272B" w:rsidRPr="00421405">
        <w:rPr>
          <w:iCs/>
        </w:rPr>
        <w:t xml:space="preserve">he ESC considered the model contained many </w:t>
      </w:r>
      <w:r w:rsidR="00A46485" w:rsidRPr="00421405">
        <w:rPr>
          <w:iCs/>
        </w:rPr>
        <w:t xml:space="preserve">unsupported </w:t>
      </w:r>
      <w:r w:rsidR="00C0272B" w:rsidRPr="00421405">
        <w:rPr>
          <w:iCs/>
        </w:rPr>
        <w:t xml:space="preserve">assumptions, as well as unjustified and selective use of data, which made it </w:t>
      </w:r>
      <w:r w:rsidR="00A46485" w:rsidRPr="00421405">
        <w:rPr>
          <w:iCs/>
        </w:rPr>
        <w:t xml:space="preserve">very difficult </w:t>
      </w:r>
      <w:r w:rsidR="00C0272B" w:rsidRPr="00421405">
        <w:rPr>
          <w:iCs/>
        </w:rPr>
        <w:t xml:space="preserve">to interpret the direction and the magnitude of uncertainty. For decision-making purposes, the ESC considered that considerably better justification </w:t>
      </w:r>
      <w:r w:rsidR="006B7633" w:rsidRPr="00421405">
        <w:rPr>
          <w:iCs/>
        </w:rPr>
        <w:t>of</w:t>
      </w:r>
      <w:r w:rsidR="00C0272B" w:rsidRPr="00421405">
        <w:rPr>
          <w:iCs/>
        </w:rPr>
        <w:t xml:space="preserve"> inputs to the model would be required, as well as simplification of the modelling approaches by</w:t>
      </w:r>
      <w:r w:rsidRPr="00421405">
        <w:rPr>
          <w:iCs/>
        </w:rPr>
        <w:t>,</w:t>
      </w:r>
      <w:r w:rsidR="00C0272B" w:rsidRPr="00421405">
        <w:rPr>
          <w:iCs/>
        </w:rPr>
        <w:t xml:space="preserve"> for example, removing the dual approach to treatment independent and treatment depend</w:t>
      </w:r>
      <w:r w:rsidRPr="00421405">
        <w:rPr>
          <w:iCs/>
        </w:rPr>
        <w:t>e</w:t>
      </w:r>
      <w:r w:rsidR="00C0272B" w:rsidRPr="00421405">
        <w:rPr>
          <w:iCs/>
        </w:rPr>
        <w:t>nt transition probabilities obtained from different sources.</w:t>
      </w:r>
      <w:r w:rsidRPr="00421405">
        <w:rPr>
          <w:iCs/>
        </w:rPr>
        <w:t xml:space="preserve"> </w:t>
      </w:r>
      <w:r w:rsidR="009B3055" w:rsidRPr="00421405">
        <w:rPr>
          <w:iCs/>
        </w:rPr>
        <w:t xml:space="preserve">The ESC considered that the cost of maribavir should reflect the uncertainty in the clinical data and the </w:t>
      </w:r>
      <w:r w:rsidRPr="00421405">
        <w:rPr>
          <w:iCs/>
        </w:rPr>
        <w:t>short duration of</w:t>
      </w:r>
      <w:r w:rsidR="009B3055" w:rsidRPr="00421405">
        <w:rPr>
          <w:iCs/>
        </w:rPr>
        <w:t xml:space="preserve"> efficacy in patients who develop resistance.</w:t>
      </w:r>
    </w:p>
    <w:p w14:paraId="165F5665" w14:textId="42FD93D5" w:rsidR="006A43D9" w:rsidRPr="0051209E" w:rsidRDefault="00C25D9C" w:rsidP="0051209E">
      <w:pPr>
        <w:pStyle w:val="4-SubsectionHeading"/>
      </w:pPr>
      <w:bookmarkStart w:id="49" w:name="_Toc22897646"/>
      <w:bookmarkStart w:id="50" w:name="_Toc145336304"/>
      <w:r w:rsidRPr="002C2775">
        <w:t>Dru</w:t>
      </w:r>
      <w:r w:rsidR="00AC159A">
        <w:t>g</w:t>
      </w:r>
      <w:r w:rsidRPr="002C2775">
        <w:t xml:space="preserve"> cost/patient/</w:t>
      </w:r>
      <w:bookmarkStart w:id="51" w:name="_Ref104805102"/>
      <w:bookmarkEnd w:id="49"/>
      <w:r w:rsidR="003A7A89">
        <w:t>course</w:t>
      </w:r>
      <w:bookmarkEnd w:id="50"/>
    </w:p>
    <w:bookmarkEnd w:id="51"/>
    <w:p w14:paraId="3F15B0E8" w14:textId="14558F8A" w:rsidR="00284678" w:rsidRDefault="00284678" w:rsidP="00284678">
      <w:pPr>
        <w:pStyle w:val="3-BodyText"/>
        <w:rPr>
          <w:rStyle w:val="CommentReference"/>
          <w:bCs/>
          <w:szCs w:val="20"/>
        </w:rPr>
      </w:pPr>
      <w:r>
        <w:t xml:space="preserve">The submission provided the intervention cost (undiscounted) per patient over the </w:t>
      </w:r>
      <w:r w:rsidR="007B3E99">
        <w:t>10-year</w:t>
      </w:r>
      <w:r>
        <w:t xml:space="preserve"> model duration.</w:t>
      </w:r>
      <w:r w:rsidR="00906521">
        <w:t xml:space="preserve"> </w:t>
      </w:r>
      <w:r>
        <w:t>The submission indicated this cost was $</w:t>
      </w:r>
      <w:r w:rsidR="00E038A0" w:rsidRPr="00D821BA">
        <w:rPr>
          <w:color w:val="000000"/>
          <w:w w:val="15"/>
          <w:shd w:val="solid" w:color="000000" w:fill="000000"/>
          <w:fitText w:val="-20" w:id="-1032069624"/>
          <w14:textFill>
            <w14:solidFill>
              <w14:srgbClr w14:val="000000">
                <w14:alpha w14:val="100000"/>
              </w14:srgbClr>
            </w14:solidFill>
          </w14:textFill>
        </w:rPr>
        <w:t xml:space="preserve">|  </w:t>
      </w:r>
      <w:r w:rsidR="00E038A0" w:rsidRPr="00D821BA">
        <w:rPr>
          <w:color w:val="000000"/>
          <w:spacing w:val="-69"/>
          <w:w w:val="15"/>
          <w:shd w:val="solid" w:color="000000" w:fill="000000"/>
          <w:fitText w:val="-20" w:id="-1032069624"/>
          <w14:textFill>
            <w14:solidFill>
              <w14:srgbClr w14:val="000000">
                <w14:alpha w14:val="100000"/>
              </w14:srgbClr>
            </w14:solidFill>
          </w14:textFill>
        </w:rPr>
        <w:t>|</w:t>
      </w:r>
      <w:r>
        <w:t xml:space="preserve"> for maribavir.</w:t>
      </w:r>
      <w:r w:rsidR="00906521">
        <w:t xml:space="preserve"> </w:t>
      </w:r>
      <w:r w:rsidR="0037130E" w:rsidRPr="00EB3ECB">
        <w:t xml:space="preserve">This represented </w:t>
      </w:r>
      <w:r w:rsidR="00DD6AD5" w:rsidRPr="00EB3ECB">
        <w:t xml:space="preserve">the </w:t>
      </w:r>
      <w:r w:rsidR="0037130E" w:rsidRPr="00EB3ECB">
        <w:t>cost for first treatment, which would have a duration of 7.5 weeks</w:t>
      </w:r>
      <w:r w:rsidR="00DD6AD5" w:rsidRPr="00EB3ECB">
        <w:t xml:space="preserve"> based on the mean treatment duration in SOLSTICE</w:t>
      </w:r>
      <w:r w:rsidR="0037130E" w:rsidRPr="00EB3ECB">
        <w:t xml:space="preserve">. For IAT, treatment duration was </w:t>
      </w:r>
      <w:r w:rsidR="0037130E" w:rsidRPr="00EB3ECB">
        <w:lastRenderedPageBreak/>
        <w:t>5.14 weeks.</w:t>
      </w:r>
      <w:r w:rsidR="0037130E" w:rsidRPr="00DF40E7">
        <w:rPr>
          <w:iCs/>
        </w:rPr>
        <w:t xml:space="preserve"> </w:t>
      </w:r>
      <w:r w:rsidR="0037130E">
        <w:t>The submission stated that clinical experts have noted that patients receive a single dosing regimen until the CMV has cleared</w:t>
      </w:r>
      <w:r w:rsidR="0037130E" w:rsidRPr="00DF40E7">
        <w:rPr>
          <w:iCs/>
        </w:rPr>
        <w:t>.</w:t>
      </w:r>
    </w:p>
    <w:p w14:paraId="108B7EE4" w14:textId="0E9682C8" w:rsidR="00494207" w:rsidRPr="00AC159A" w:rsidRDefault="00AC159A" w:rsidP="002A17E8">
      <w:pPr>
        <w:keepNext/>
        <w:rPr>
          <w:rFonts w:ascii="Arial Narrow" w:hAnsi="Arial Narrow"/>
          <w:bCs/>
          <w:sz w:val="20"/>
          <w:szCs w:val="20"/>
        </w:rPr>
      </w:pPr>
      <w:bookmarkStart w:id="52" w:name="_Ref142671338"/>
      <w:r w:rsidRPr="00AC159A">
        <w:rPr>
          <w:rStyle w:val="CommentReference"/>
          <w:bCs/>
          <w:szCs w:val="20"/>
        </w:rPr>
        <w:t xml:space="preserve">Table </w:t>
      </w:r>
      <w:r w:rsidRPr="00AC159A">
        <w:rPr>
          <w:rFonts w:ascii="Arial Narrow" w:hAnsi="Arial Narrow"/>
          <w:b/>
          <w:sz w:val="20"/>
          <w:szCs w:val="20"/>
        </w:rPr>
        <w:fldChar w:fldCharType="begin" w:fldLock="1"/>
      </w:r>
      <w:r w:rsidRPr="00AC159A">
        <w:rPr>
          <w:rFonts w:ascii="Arial Narrow" w:hAnsi="Arial Narrow"/>
          <w:b/>
          <w:sz w:val="20"/>
          <w:szCs w:val="20"/>
        </w:rPr>
        <w:instrText xml:space="preserve"> SEQ Table \* ARABIC </w:instrText>
      </w:r>
      <w:r w:rsidRPr="00AC159A">
        <w:rPr>
          <w:rFonts w:ascii="Arial Narrow" w:hAnsi="Arial Narrow"/>
          <w:b/>
          <w:sz w:val="20"/>
          <w:szCs w:val="20"/>
        </w:rPr>
        <w:fldChar w:fldCharType="separate"/>
      </w:r>
      <w:r w:rsidR="0098695D">
        <w:rPr>
          <w:rFonts w:ascii="Arial Narrow" w:hAnsi="Arial Narrow"/>
          <w:b/>
          <w:noProof/>
          <w:sz w:val="20"/>
          <w:szCs w:val="20"/>
        </w:rPr>
        <w:t>17</w:t>
      </w:r>
      <w:r w:rsidRPr="00AC159A">
        <w:rPr>
          <w:rFonts w:ascii="Arial Narrow" w:hAnsi="Arial Narrow"/>
          <w:b/>
          <w:noProof/>
          <w:sz w:val="20"/>
          <w:szCs w:val="20"/>
        </w:rPr>
        <w:fldChar w:fldCharType="end"/>
      </w:r>
      <w:bookmarkEnd w:id="52"/>
      <w:r w:rsidRPr="00AC159A">
        <w:rPr>
          <w:rStyle w:val="CommentReference"/>
          <w:bCs/>
          <w:szCs w:val="20"/>
        </w:rPr>
        <w:t>: Drug cost per patient for maribavir and IAT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Drug cost per patient for maribavir and IAT"/>
        <w:tblDescription w:val="Table 17: Drug cost per patient for maribavir and IAT"/>
      </w:tblPr>
      <w:tblGrid>
        <w:gridCol w:w="1471"/>
        <w:gridCol w:w="1214"/>
        <w:gridCol w:w="1708"/>
        <w:gridCol w:w="1206"/>
        <w:gridCol w:w="1140"/>
        <w:gridCol w:w="1140"/>
        <w:gridCol w:w="1138"/>
      </w:tblGrid>
      <w:tr w:rsidR="00AC159A" w:rsidRPr="00E2771E" w14:paraId="6A0D21B3" w14:textId="77777777" w:rsidTr="00F67C18">
        <w:trPr>
          <w:cantSplit/>
          <w:tblHeader/>
          <w:jc w:val="center"/>
        </w:trPr>
        <w:tc>
          <w:tcPr>
            <w:tcW w:w="816" w:type="pct"/>
            <w:shd w:val="clear" w:color="auto" w:fill="auto"/>
            <w:vAlign w:val="center"/>
          </w:tcPr>
          <w:p w14:paraId="7D6EE4DC" w14:textId="77777777" w:rsidR="00AC159A" w:rsidRPr="00E2771E" w:rsidRDefault="00AC159A" w:rsidP="002A17E8">
            <w:pPr>
              <w:pStyle w:val="In-tableHeading"/>
              <w:jc w:val="center"/>
            </w:pPr>
          </w:p>
        </w:tc>
        <w:tc>
          <w:tcPr>
            <w:tcW w:w="2289" w:type="pct"/>
            <w:gridSpan w:val="3"/>
            <w:shd w:val="clear" w:color="auto" w:fill="auto"/>
            <w:vAlign w:val="center"/>
          </w:tcPr>
          <w:p w14:paraId="224ECDB3" w14:textId="77777777" w:rsidR="00AC159A" w:rsidRDefault="00AC159A" w:rsidP="002A17E8">
            <w:pPr>
              <w:pStyle w:val="In-tableHeading"/>
              <w:jc w:val="center"/>
            </w:pPr>
            <w:r>
              <w:t>Maribavir</w:t>
            </w:r>
          </w:p>
        </w:tc>
        <w:tc>
          <w:tcPr>
            <w:tcW w:w="1895" w:type="pct"/>
            <w:gridSpan w:val="3"/>
            <w:shd w:val="clear" w:color="auto" w:fill="FFFFFF" w:themeFill="background1"/>
            <w:vAlign w:val="center"/>
          </w:tcPr>
          <w:p w14:paraId="44361695" w14:textId="77777777" w:rsidR="00AC159A" w:rsidRDefault="00AC159A" w:rsidP="002A17E8">
            <w:pPr>
              <w:pStyle w:val="In-tableHeading"/>
              <w:jc w:val="center"/>
            </w:pPr>
            <w:r>
              <w:t>IAT</w:t>
            </w:r>
          </w:p>
        </w:tc>
      </w:tr>
      <w:tr w:rsidR="00AC159A" w:rsidRPr="00E2771E" w14:paraId="0B8E8877" w14:textId="77777777" w:rsidTr="00F67C18">
        <w:trPr>
          <w:cantSplit/>
          <w:tblHeader/>
          <w:jc w:val="center"/>
        </w:trPr>
        <w:tc>
          <w:tcPr>
            <w:tcW w:w="816" w:type="pct"/>
            <w:shd w:val="clear" w:color="auto" w:fill="auto"/>
            <w:vAlign w:val="center"/>
          </w:tcPr>
          <w:p w14:paraId="14D2CC7C" w14:textId="77777777" w:rsidR="00AC159A" w:rsidRPr="00E2771E" w:rsidRDefault="00AC159A" w:rsidP="002A17E8">
            <w:pPr>
              <w:pStyle w:val="In-tableHeading"/>
              <w:jc w:val="center"/>
            </w:pPr>
          </w:p>
        </w:tc>
        <w:tc>
          <w:tcPr>
            <w:tcW w:w="673" w:type="pct"/>
            <w:shd w:val="clear" w:color="auto" w:fill="auto"/>
            <w:vAlign w:val="center"/>
          </w:tcPr>
          <w:p w14:paraId="75FB7F92" w14:textId="77777777" w:rsidR="00AC159A" w:rsidRPr="00F65EAA" w:rsidRDefault="00AC159A" w:rsidP="002A17E8">
            <w:pPr>
              <w:pStyle w:val="In-tableHeading"/>
              <w:jc w:val="center"/>
            </w:pPr>
            <w:r w:rsidRPr="00F65EAA">
              <w:t>Trial</w:t>
            </w:r>
            <w:r>
              <w:t xml:space="preserve"> </w:t>
            </w:r>
            <w:r w:rsidRPr="00F65EAA">
              <w:t>dos</w:t>
            </w:r>
            <w:r>
              <w:t>e</w:t>
            </w:r>
            <w:r w:rsidRPr="00F65EAA">
              <w:t xml:space="preserve"> and duration</w:t>
            </w:r>
          </w:p>
        </w:tc>
        <w:tc>
          <w:tcPr>
            <w:tcW w:w="947" w:type="pct"/>
            <w:shd w:val="clear" w:color="auto" w:fill="auto"/>
            <w:vAlign w:val="center"/>
          </w:tcPr>
          <w:p w14:paraId="4C59EBAA" w14:textId="77777777" w:rsidR="00AC159A" w:rsidRPr="00E2771E" w:rsidRDefault="00AC159A" w:rsidP="002A17E8">
            <w:pPr>
              <w:pStyle w:val="In-tableHeading"/>
              <w:jc w:val="center"/>
            </w:pPr>
            <w:r>
              <w:t>Model</w:t>
            </w:r>
          </w:p>
        </w:tc>
        <w:tc>
          <w:tcPr>
            <w:tcW w:w="669" w:type="pct"/>
            <w:shd w:val="clear" w:color="auto" w:fill="auto"/>
            <w:vAlign w:val="center"/>
          </w:tcPr>
          <w:p w14:paraId="30B2BAB1" w14:textId="77777777" w:rsidR="00AC159A" w:rsidRPr="00E2771E" w:rsidRDefault="00AC159A" w:rsidP="002A17E8">
            <w:pPr>
              <w:pStyle w:val="In-tableHeading"/>
              <w:jc w:val="center"/>
            </w:pPr>
            <w:r>
              <w:t>Financial estimates</w:t>
            </w:r>
          </w:p>
        </w:tc>
        <w:tc>
          <w:tcPr>
            <w:tcW w:w="632" w:type="pct"/>
            <w:shd w:val="clear" w:color="auto" w:fill="FFFFFF" w:themeFill="background1"/>
            <w:vAlign w:val="center"/>
          </w:tcPr>
          <w:p w14:paraId="53B0DB49" w14:textId="77777777" w:rsidR="00AC159A" w:rsidRPr="00E2771E" w:rsidRDefault="00AC159A" w:rsidP="002A17E8">
            <w:pPr>
              <w:pStyle w:val="In-tableHeading"/>
              <w:jc w:val="center"/>
            </w:pPr>
            <w:r>
              <w:t>Trial dose and duration</w:t>
            </w:r>
          </w:p>
        </w:tc>
        <w:tc>
          <w:tcPr>
            <w:tcW w:w="632" w:type="pct"/>
            <w:shd w:val="clear" w:color="auto" w:fill="FFFFFF" w:themeFill="background1"/>
            <w:vAlign w:val="center"/>
          </w:tcPr>
          <w:p w14:paraId="42D96832" w14:textId="77777777" w:rsidR="00AC159A" w:rsidRPr="00E2771E" w:rsidRDefault="00AC159A" w:rsidP="002A17E8">
            <w:pPr>
              <w:pStyle w:val="In-tableHeading"/>
              <w:jc w:val="center"/>
            </w:pPr>
            <w:r>
              <w:t>Model</w:t>
            </w:r>
          </w:p>
        </w:tc>
        <w:tc>
          <w:tcPr>
            <w:tcW w:w="631" w:type="pct"/>
            <w:shd w:val="clear" w:color="auto" w:fill="FFFFFF" w:themeFill="background1"/>
          </w:tcPr>
          <w:p w14:paraId="297F167D" w14:textId="77777777" w:rsidR="00AC159A" w:rsidRDefault="00AC159A" w:rsidP="002A17E8">
            <w:pPr>
              <w:pStyle w:val="In-tableHeading"/>
              <w:jc w:val="center"/>
            </w:pPr>
            <w:r>
              <w:t>Financial estimates</w:t>
            </w:r>
          </w:p>
        </w:tc>
      </w:tr>
      <w:tr w:rsidR="00555A77" w:rsidRPr="00E2771E" w14:paraId="04585FC6" w14:textId="77777777" w:rsidTr="00970031">
        <w:trPr>
          <w:cantSplit/>
          <w:jc w:val="center"/>
        </w:trPr>
        <w:tc>
          <w:tcPr>
            <w:tcW w:w="816" w:type="pct"/>
            <w:shd w:val="clear" w:color="auto" w:fill="auto"/>
            <w:vAlign w:val="center"/>
          </w:tcPr>
          <w:p w14:paraId="7615E28B" w14:textId="77777777" w:rsidR="00555A77" w:rsidRPr="00AF757A" w:rsidRDefault="00555A77" w:rsidP="00BD1214">
            <w:pPr>
              <w:pStyle w:val="TableText0"/>
              <w:rPr>
                <w:lang w:val="en-US"/>
              </w:rPr>
            </w:pPr>
            <w:r>
              <w:rPr>
                <w:lang w:val="en-US"/>
              </w:rPr>
              <w:t>Mean</w:t>
            </w:r>
            <w:r w:rsidRPr="00AF757A">
              <w:rPr>
                <w:lang w:val="en-US"/>
              </w:rPr>
              <w:t xml:space="preserve"> dose</w:t>
            </w:r>
          </w:p>
        </w:tc>
        <w:tc>
          <w:tcPr>
            <w:tcW w:w="673" w:type="pct"/>
            <w:shd w:val="clear" w:color="auto" w:fill="auto"/>
            <w:vAlign w:val="center"/>
          </w:tcPr>
          <w:p w14:paraId="40A0D9DE" w14:textId="77777777" w:rsidR="00555A77" w:rsidRPr="00AF757A" w:rsidRDefault="00555A77" w:rsidP="00BD1214">
            <w:pPr>
              <w:pStyle w:val="TableText0"/>
              <w:jc w:val="center"/>
              <w:rPr>
                <w:lang w:val="en-US"/>
              </w:rPr>
            </w:pPr>
            <w:r>
              <w:rPr>
                <w:lang w:val="en-US"/>
              </w:rPr>
              <w:t>400 mg/bid</w:t>
            </w:r>
          </w:p>
        </w:tc>
        <w:tc>
          <w:tcPr>
            <w:tcW w:w="947" w:type="pct"/>
            <w:shd w:val="clear" w:color="auto" w:fill="auto"/>
            <w:vAlign w:val="center"/>
          </w:tcPr>
          <w:p w14:paraId="75D2FEB9" w14:textId="77777777" w:rsidR="00555A77" w:rsidRPr="00AF757A" w:rsidRDefault="00555A77" w:rsidP="00BD1214">
            <w:pPr>
              <w:pStyle w:val="TableText0"/>
              <w:jc w:val="center"/>
              <w:rPr>
                <w:lang w:val="en-US"/>
              </w:rPr>
            </w:pPr>
            <w:r>
              <w:rPr>
                <w:lang w:val="en-US"/>
              </w:rPr>
              <w:t>400 mg/bid</w:t>
            </w:r>
          </w:p>
        </w:tc>
        <w:tc>
          <w:tcPr>
            <w:tcW w:w="669" w:type="pct"/>
            <w:shd w:val="clear" w:color="auto" w:fill="auto"/>
            <w:vAlign w:val="center"/>
          </w:tcPr>
          <w:p w14:paraId="3A8300AF" w14:textId="6B511A04" w:rsidR="00555A77" w:rsidRPr="00AE066E" w:rsidRDefault="00555A77" w:rsidP="00BD1214">
            <w:pPr>
              <w:pStyle w:val="TableText0"/>
              <w:jc w:val="center"/>
              <w:rPr>
                <w:lang w:val="en-US"/>
              </w:rPr>
            </w:pPr>
            <w:r>
              <w:rPr>
                <w:lang w:val="en-US"/>
              </w:rPr>
              <w:t>400 mg/bid</w:t>
            </w:r>
          </w:p>
        </w:tc>
        <w:tc>
          <w:tcPr>
            <w:tcW w:w="632" w:type="pct"/>
            <w:shd w:val="clear" w:color="auto" w:fill="FFFFFF" w:themeFill="background1"/>
            <w:vAlign w:val="center"/>
          </w:tcPr>
          <w:p w14:paraId="4EBE0E9E" w14:textId="77777777" w:rsidR="00555A77" w:rsidRPr="009C3BCE" w:rsidRDefault="00555A77" w:rsidP="00BD1214">
            <w:pPr>
              <w:pStyle w:val="TableText0"/>
              <w:jc w:val="center"/>
              <w:rPr>
                <w:bCs w:val="0"/>
                <w:lang w:val="en-US"/>
              </w:rPr>
            </w:pPr>
            <w:r>
              <w:rPr>
                <w:bCs w:val="0"/>
                <w:lang w:val="en-US"/>
              </w:rPr>
              <w:t>Varies</w:t>
            </w:r>
            <w:r w:rsidRPr="003563E0">
              <w:rPr>
                <w:bCs w:val="0"/>
                <w:vertAlign w:val="superscript"/>
                <w:lang w:val="en-US"/>
              </w:rPr>
              <w:t>a</w:t>
            </w:r>
          </w:p>
        </w:tc>
        <w:tc>
          <w:tcPr>
            <w:tcW w:w="632" w:type="pct"/>
            <w:shd w:val="clear" w:color="auto" w:fill="FFFFFF" w:themeFill="background1"/>
            <w:vAlign w:val="center"/>
          </w:tcPr>
          <w:p w14:paraId="6C43A374" w14:textId="0C8EE189" w:rsidR="00555A77" w:rsidRDefault="00555A77" w:rsidP="00BD1214">
            <w:pPr>
              <w:pStyle w:val="TableText0"/>
              <w:jc w:val="center"/>
              <w:rPr>
                <w:b/>
                <w:lang w:val="en-US"/>
              </w:rPr>
            </w:pPr>
            <w:r>
              <w:rPr>
                <w:bCs w:val="0"/>
                <w:lang w:val="en-US"/>
              </w:rPr>
              <w:t>Varies</w:t>
            </w:r>
            <w:r w:rsidRPr="003563E0">
              <w:rPr>
                <w:bCs w:val="0"/>
                <w:vertAlign w:val="superscript"/>
                <w:lang w:val="en-US"/>
              </w:rPr>
              <w:t>a</w:t>
            </w:r>
          </w:p>
        </w:tc>
        <w:tc>
          <w:tcPr>
            <w:tcW w:w="631" w:type="pct"/>
            <w:vMerge w:val="restart"/>
            <w:shd w:val="clear" w:color="auto" w:fill="FFFFFF" w:themeFill="background1"/>
            <w:vAlign w:val="center"/>
          </w:tcPr>
          <w:p w14:paraId="79E29418" w14:textId="35754F41" w:rsidR="00555A77" w:rsidRPr="009C3BCE" w:rsidRDefault="00555A77" w:rsidP="00BD1214">
            <w:pPr>
              <w:pStyle w:val="TableText0"/>
              <w:jc w:val="center"/>
              <w:rPr>
                <w:bCs w:val="0"/>
                <w:lang w:val="en-US"/>
              </w:rPr>
            </w:pPr>
            <w:r>
              <w:rPr>
                <w:bCs w:val="0"/>
                <w:lang w:val="en-US"/>
              </w:rPr>
              <w:t>Model cost applied</w:t>
            </w:r>
          </w:p>
        </w:tc>
      </w:tr>
      <w:tr w:rsidR="00555A77" w:rsidRPr="00E2771E" w14:paraId="713087FA" w14:textId="77777777" w:rsidTr="00970031">
        <w:trPr>
          <w:cantSplit/>
          <w:jc w:val="center"/>
        </w:trPr>
        <w:tc>
          <w:tcPr>
            <w:tcW w:w="816" w:type="pct"/>
            <w:shd w:val="clear" w:color="auto" w:fill="auto"/>
            <w:vAlign w:val="center"/>
          </w:tcPr>
          <w:p w14:paraId="4D5ED691" w14:textId="77777777" w:rsidR="00555A77" w:rsidRPr="00AF757A" w:rsidRDefault="00555A77" w:rsidP="00BD1214">
            <w:pPr>
              <w:pStyle w:val="TableText0"/>
              <w:rPr>
                <w:lang w:val="en-US"/>
              </w:rPr>
            </w:pPr>
            <w:r>
              <w:rPr>
                <w:lang w:val="en-US"/>
              </w:rPr>
              <w:t>Mean d</w:t>
            </w:r>
            <w:r w:rsidRPr="00AF757A">
              <w:rPr>
                <w:lang w:val="en-US"/>
              </w:rPr>
              <w:t>uration</w:t>
            </w:r>
          </w:p>
        </w:tc>
        <w:tc>
          <w:tcPr>
            <w:tcW w:w="673" w:type="pct"/>
            <w:shd w:val="clear" w:color="auto" w:fill="auto"/>
            <w:vAlign w:val="center"/>
          </w:tcPr>
          <w:p w14:paraId="4A5A55E3" w14:textId="77777777" w:rsidR="00555A77" w:rsidRPr="00AF757A" w:rsidRDefault="00555A77" w:rsidP="00BD1214">
            <w:pPr>
              <w:pStyle w:val="TableText0"/>
              <w:jc w:val="center"/>
              <w:rPr>
                <w:lang w:val="en-US"/>
              </w:rPr>
            </w:pPr>
            <w:r>
              <w:rPr>
                <w:lang w:val="en-US"/>
              </w:rPr>
              <w:t>7.5 weeks</w:t>
            </w:r>
          </w:p>
        </w:tc>
        <w:tc>
          <w:tcPr>
            <w:tcW w:w="947" w:type="pct"/>
            <w:shd w:val="clear" w:color="auto" w:fill="auto"/>
            <w:vAlign w:val="center"/>
          </w:tcPr>
          <w:p w14:paraId="069DBDCF" w14:textId="77777777" w:rsidR="00555A77" w:rsidRPr="00AF757A" w:rsidRDefault="00555A77" w:rsidP="00BD1214">
            <w:pPr>
              <w:pStyle w:val="TableText0"/>
              <w:jc w:val="center"/>
              <w:rPr>
                <w:lang w:val="en-US"/>
              </w:rPr>
            </w:pPr>
            <w:r>
              <w:rPr>
                <w:lang w:val="en-US"/>
              </w:rPr>
              <w:t>7.5 weeks</w:t>
            </w:r>
          </w:p>
        </w:tc>
        <w:tc>
          <w:tcPr>
            <w:tcW w:w="669" w:type="pct"/>
            <w:shd w:val="clear" w:color="auto" w:fill="auto"/>
            <w:vAlign w:val="center"/>
          </w:tcPr>
          <w:p w14:paraId="6C876798" w14:textId="21600CEE" w:rsidR="00555A77" w:rsidRPr="00AE066E" w:rsidRDefault="00555A77" w:rsidP="00BD1214">
            <w:pPr>
              <w:pStyle w:val="TableText0"/>
              <w:jc w:val="center"/>
              <w:rPr>
                <w:lang w:val="en-US"/>
              </w:rPr>
            </w:pPr>
            <w:r>
              <w:rPr>
                <w:lang w:val="en-US"/>
              </w:rPr>
              <w:t>7.5 weeks</w:t>
            </w:r>
          </w:p>
        </w:tc>
        <w:tc>
          <w:tcPr>
            <w:tcW w:w="632" w:type="pct"/>
            <w:shd w:val="clear" w:color="auto" w:fill="FFFFFF" w:themeFill="background1"/>
            <w:vAlign w:val="center"/>
          </w:tcPr>
          <w:p w14:paraId="219E114E" w14:textId="77777777" w:rsidR="00555A77" w:rsidRPr="009C3BCE" w:rsidRDefault="00555A77" w:rsidP="00BD1214">
            <w:pPr>
              <w:pStyle w:val="TableText0"/>
              <w:jc w:val="center"/>
              <w:rPr>
                <w:bCs w:val="0"/>
                <w:lang w:val="en-US"/>
              </w:rPr>
            </w:pPr>
            <w:r w:rsidRPr="009C3BCE">
              <w:rPr>
                <w:bCs w:val="0"/>
                <w:lang w:val="en-US"/>
              </w:rPr>
              <w:t>5.14 weeks</w:t>
            </w:r>
          </w:p>
        </w:tc>
        <w:tc>
          <w:tcPr>
            <w:tcW w:w="632" w:type="pct"/>
            <w:shd w:val="clear" w:color="auto" w:fill="FFFFFF" w:themeFill="background1"/>
            <w:vAlign w:val="center"/>
          </w:tcPr>
          <w:p w14:paraId="480AA425" w14:textId="1CC61418" w:rsidR="00555A77" w:rsidRPr="009C3BCE" w:rsidRDefault="00555A77" w:rsidP="00BD1214">
            <w:pPr>
              <w:pStyle w:val="TableText0"/>
              <w:jc w:val="center"/>
              <w:rPr>
                <w:bCs w:val="0"/>
                <w:lang w:val="en-US"/>
              </w:rPr>
            </w:pPr>
            <w:r w:rsidRPr="009C3BCE">
              <w:rPr>
                <w:bCs w:val="0"/>
                <w:lang w:val="en-US"/>
              </w:rPr>
              <w:t>5.14 weeks</w:t>
            </w:r>
          </w:p>
        </w:tc>
        <w:tc>
          <w:tcPr>
            <w:tcW w:w="631" w:type="pct"/>
            <w:vMerge/>
            <w:shd w:val="clear" w:color="auto" w:fill="FFFFFF" w:themeFill="background1"/>
            <w:vAlign w:val="center"/>
          </w:tcPr>
          <w:p w14:paraId="5B47EBDE" w14:textId="45F809CB" w:rsidR="00555A77" w:rsidRPr="009C3BCE" w:rsidRDefault="00555A77" w:rsidP="00BD1214">
            <w:pPr>
              <w:pStyle w:val="TableText0"/>
              <w:jc w:val="center"/>
              <w:rPr>
                <w:bCs w:val="0"/>
                <w:lang w:val="en-US"/>
              </w:rPr>
            </w:pPr>
          </w:p>
        </w:tc>
      </w:tr>
      <w:tr w:rsidR="00555A77" w:rsidRPr="00E2771E" w14:paraId="661416A3" w14:textId="77777777" w:rsidTr="00444F02">
        <w:trPr>
          <w:cantSplit/>
          <w:jc w:val="center"/>
        </w:trPr>
        <w:tc>
          <w:tcPr>
            <w:tcW w:w="816" w:type="pct"/>
            <w:tcBorders>
              <w:bottom w:val="single" w:sz="4" w:space="0" w:color="auto"/>
            </w:tcBorders>
            <w:shd w:val="clear" w:color="auto" w:fill="auto"/>
            <w:vAlign w:val="center"/>
          </w:tcPr>
          <w:p w14:paraId="6DDD63F9" w14:textId="11AE8B85" w:rsidR="00555A77" w:rsidRPr="00E2771E" w:rsidRDefault="00555A77" w:rsidP="00284678">
            <w:pPr>
              <w:pStyle w:val="TableText0"/>
              <w:rPr>
                <w:lang w:val="en-US"/>
              </w:rPr>
            </w:pPr>
            <w:r>
              <w:rPr>
                <w:lang w:val="en-US"/>
              </w:rPr>
              <w:t>Cost/patient/course</w:t>
            </w:r>
          </w:p>
        </w:tc>
        <w:tc>
          <w:tcPr>
            <w:tcW w:w="673" w:type="pct"/>
            <w:tcBorders>
              <w:bottom w:val="single" w:sz="4" w:space="0" w:color="auto"/>
            </w:tcBorders>
            <w:shd w:val="clear" w:color="auto" w:fill="auto"/>
            <w:vAlign w:val="center"/>
          </w:tcPr>
          <w:p w14:paraId="615145B6" w14:textId="276D1E2C" w:rsidR="00555A77" w:rsidRPr="00A0653F" w:rsidRDefault="00555A77" w:rsidP="00284678">
            <w:pPr>
              <w:pStyle w:val="TableText0"/>
              <w:jc w:val="center"/>
              <w:rPr>
                <w:lang w:val="en-US"/>
              </w:rPr>
            </w:pPr>
            <w:r>
              <w:rPr>
                <w:lang w:val="en-US"/>
              </w:rPr>
              <w:t>-</w:t>
            </w:r>
          </w:p>
        </w:tc>
        <w:tc>
          <w:tcPr>
            <w:tcW w:w="947" w:type="pct"/>
            <w:tcBorders>
              <w:bottom w:val="single" w:sz="4" w:space="0" w:color="auto"/>
            </w:tcBorders>
            <w:shd w:val="clear" w:color="auto" w:fill="auto"/>
            <w:vAlign w:val="center"/>
          </w:tcPr>
          <w:p w14:paraId="05EC3382" w14:textId="320E1C0B" w:rsidR="00555A77" w:rsidRPr="009D3785" w:rsidRDefault="00E038A0" w:rsidP="00284678">
            <w:pPr>
              <w:pStyle w:val="TableText0"/>
              <w:jc w:val="center"/>
              <w:rPr>
                <w:lang w:val="en-US"/>
              </w:rPr>
            </w:pPr>
            <w:r>
              <w:rPr>
                <w:lang w:val="en-US"/>
              </w:rPr>
              <w:t xml:space="preserve"> </w:t>
            </w:r>
            <w:r w:rsidRPr="00E038A0">
              <w:rPr>
                <w:color w:val="000000"/>
                <w:shd w:val="solid" w:color="000000" w:fill="000000"/>
                <w:lang w:val="en-US"/>
                <w14:textFill>
                  <w14:solidFill>
                    <w14:srgbClr w14:val="000000">
                      <w14:alpha w14:val="100000"/>
                    </w14:srgbClr>
                  </w14:solidFill>
                </w14:textFill>
              </w:rPr>
              <w:t>|</w:t>
            </w:r>
          </w:p>
        </w:tc>
        <w:tc>
          <w:tcPr>
            <w:tcW w:w="669" w:type="pct"/>
            <w:tcBorders>
              <w:bottom w:val="single" w:sz="4" w:space="0" w:color="auto"/>
            </w:tcBorders>
            <w:shd w:val="clear" w:color="auto" w:fill="auto"/>
            <w:vAlign w:val="center"/>
          </w:tcPr>
          <w:p w14:paraId="5180B447" w14:textId="78D477F3" w:rsidR="00555A77" w:rsidRPr="00284678" w:rsidRDefault="00E038A0" w:rsidP="00284678">
            <w:pPr>
              <w:pStyle w:val="TableText0"/>
              <w:jc w:val="center"/>
              <w:rPr>
                <w:iCs/>
                <w:lang w:val="en-US"/>
              </w:rPr>
            </w:pPr>
            <w:r>
              <w:rPr>
                <w:lang w:val="en-US"/>
              </w:rPr>
              <w:t xml:space="preserve"> </w:t>
            </w:r>
            <w:r w:rsidRPr="00E038A0">
              <w:rPr>
                <w:color w:val="000000"/>
                <w:shd w:val="solid" w:color="000000" w:fill="000000"/>
                <w:lang w:val="en-US"/>
                <w14:textFill>
                  <w14:solidFill>
                    <w14:srgbClr w14:val="000000">
                      <w14:alpha w14:val="100000"/>
                    </w14:srgbClr>
                  </w14:solidFill>
                </w14:textFill>
              </w:rPr>
              <w:t>|</w:t>
            </w:r>
          </w:p>
        </w:tc>
        <w:tc>
          <w:tcPr>
            <w:tcW w:w="632" w:type="pct"/>
            <w:tcBorders>
              <w:bottom w:val="single" w:sz="4" w:space="0" w:color="auto"/>
            </w:tcBorders>
            <w:shd w:val="clear" w:color="auto" w:fill="FFFFFF" w:themeFill="background1"/>
            <w:vAlign w:val="center"/>
          </w:tcPr>
          <w:p w14:paraId="5190EE85" w14:textId="1BDC3F22" w:rsidR="00555A77" w:rsidRPr="009C3BCE" w:rsidRDefault="00555A77" w:rsidP="00284678">
            <w:pPr>
              <w:pStyle w:val="TableText0"/>
              <w:jc w:val="center"/>
              <w:rPr>
                <w:bCs w:val="0"/>
                <w:lang w:val="en-US"/>
              </w:rPr>
            </w:pPr>
            <w:r>
              <w:rPr>
                <w:bCs w:val="0"/>
                <w:lang w:val="en-US"/>
              </w:rPr>
              <w:t>-</w:t>
            </w:r>
          </w:p>
        </w:tc>
        <w:tc>
          <w:tcPr>
            <w:tcW w:w="632" w:type="pct"/>
            <w:tcBorders>
              <w:bottom w:val="single" w:sz="4" w:space="0" w:color="auto"/>
            </w:tcBorders>
            <w:shd w:val="clear" w:color="auto" w:fill="FFFFFF" w:themeFill="background1"/>
            <w:vAlign w:val="center"/>
          </w:tcPr>
          <w:p w14:paraId="401B3F48" w14:textId="3BFAB850" w:rsidR="00555A77" w:rsidRPr="00555A77" w:rsidRDefault="00555A77" w:rsidP="00284678">
            <w:pPr>
              <w:pStyle w:val="TableText0"/>
              <w:jc w:val="center"/>
              <w:rPr>
                <w:lang w:val="en-US"/>
              </w:rPr>
            </w:pPr>
            <w:r w:rsidRPr="00555A77">
              <w:rPr>
                <w:lang w:val="en-US"/>
              </w:rPr>
              <w:t>$7,908</w:t>
            </w:r>
          </w:p>
        </w:tc>
        <w:tc>
          <w:tcPr>
            <w:tcW w:w="631" w:type="pct"/>
            <w:vMerge/>
            <w:tcBorders>
              <w:bottom w:val="single" w:sz="4" w:space="0" w:color="auto"/>
            </w:tcBorders>
            <w:shd w:val="clear" w:color="auto" w:fill="FFFFFF" w:themeFill="background1"/>
            <w:vAlign w:val="center"/>
          </w:tcPr>
          <w:p w14:paraId="70577443" w14:textId="579C906E" w:rsidR="00555A77" w:rsidRPr="009C3BCE" w:rsidRDefault="00555A77" w:rsidP="00284678">
            <w:pPr>
              <w:pStyle w:val="TableText0"/>
              <w:jc w:val="center"/>
              <w:rPr>
                <w:bCs w:val="0"/>
                <w:lang w:val="en-US"/>
              </w:rPr>
            </w:pPr>
          </w:p>
        </w:tc>
      </w:tr>
    </w:tbl>
    <w:p w14:paraId="2CBE7779" w14:textId="77777777" w:rsidR="00AC159A" w:rsidRDefault="00AC159A" w:rsidP="00AC159A">
      <w:pPr>
        <w:pStyle w:val="TableFigureFooter"/>
        <w:keepNext/>
        <w:spacing w:after="0"/>
      </w:pPr>
      <w:r>
        <w:t>Source: Section 3.8.1, p151 of the submission; Excel workbook ‘Attachment 3.1 – Maribavir_CEM_FINAL’.</w:t>
      </w:r>
    </w:p>
    <w:p w14:paraId="21FA3AD8" w14:textId="4AC4E88F" w:rsidR="00AC159A" w:rsidRDefault="0037130E" w:rsidP="00AC159A">
      <w:pPr>
        <w:pStyle w:val="FooterTableFigure"/>
      </w:pPr>
      <w:r>
        <w:t>b</w:t>
      </w:r>
      <w:r w:rsidR="00AC159A">
        <w:t>id = twice daily; IAT = investigator assigned treatment</w:t>
      </w:r>
    </w:p>
    <w:p w14:paraId="5E02F35F" w14:textId="65490D31" w:rsidR="00CD4256" w:rsidRDefault="00AC159A" w:rsidP="00AC159A">
      <w:pPr>
        <w:pStyle w:val="FooterTableFigure"/>
        <w:tabs>
          <w:tab w:val="left" w:pos="142"/>
        </w:tabs>
      </w:pPr>
      <w:r w:rsidRPr="003563E0">
        <w:rPr>
          <w:vertAlign w:val="superscript"/>
        </w:rPr>
        <w:t>a</w:t>
      </w:r>
      <w:r>
        <w:tab/>
        <w:t>The dose of the four IAT drugs (ganciclovir, valganciclovir, foscarnet and cidofovir) varied considerably and are not reported in this table.</w:t>
      </w:r>
    </w:p>
    <w:p w14:paraId="17E92482" w14:textId="7F1D53E4" w:rsidR="00AC159A" w:rsidRPr="00EB3ECB" w:rsidRDefault="00284678" w:rsidP="00284678">
      <w:pPr>
        <w:pStyle w:val="3-BodyText"/>
      </w:pPr>
      <w:bookmarkStart w:id="53" w:name="_Hlk149031671"/>
      <w:r w:rsidRPr="00EB3ECB">
        <w:t xml:space="preserve">The model-based costs in </w:t>
      </w:r>
      <w:r w:rsidR="0037130E" w:rsidRPr="00EB3ECB">
        <w:fldChar w:fldCharType="begin" w:fldLock="1"/>
      </w:r>
      <w:r w:rsidR="0037130E" w:rsidRPr="00EB3ECB">
        <w:instrText xml:space="preserve"> REF _Ref142671338 \h  \* MERGEFORMAT </w:instrText>
      </w:r>
      <w:r w:rsidR="0037130E" w:rsidRPr="00EB3ECB">
        <w:fldChar w:fldCharType="separate"/>
      </w:r>
      <w:r w:rsidR="0098695D" w:rsidRPr="00EB3ECB">
        <w:t>Table 17</w:t>
      </w:r>
      <w:r w:rsidR="0037130E" w:rsidRPr="00EB3ECB">
        <w:fldChar w:fldCharType="end"/>
      </w:r>
      <w:r w:rsidR="0037130E" w:rsidRPr="00EB3ECB">
        <w:t xml:space="preserve"> </w:t>
      </w:r>
      <w:r w:rsidRPr="00EB3ECB">
        <w:t>are not likely to be accurate, given the identified issues with the model.</w:t>
      </w:r>
      <w:r w:rsidR="00906521" w:rsidRPr="00EB3ECB">
        <w:t xml:space="preserve"> </w:t>
      </w:r>
    </w:p>
    <w:p w14:paraId="268768EF" w14:textId="3626F292" w:rsidR="00B60939" w:rsidRPr="00C9624D" w:rsidRDefault="00B60939" w:rsidP="002B05A1">
      <w:pPr>
        <w:pStyle w:val="4-SubsectionHeading"/>
      </w:pPr>
      <w:bookmarkStart w:id="54" w:name="_Toc22897647"/>
      <w:bookmarkStart w:id="55" w:name="_Toc145336305"/>
      <w:bookmarkEnd w:id="53"/>
      <w:r w:rsidRPr="00C9624D">
        <w:t>Estimated PBS usage &amp; financial implications</w:t>
      </w:r>
      <w:bookmarkEnd w:id="54"/>
      <w:bookmarkEnd w:id="55"/>
    </w:p>
    <w:p w14:paraId="0F211BAF" w14:textId="6BF76585" w:rsidR="00851B17" w:rsidRPr="00851B17" w:rsidRDefault="00851B17" w:rsidP="00747F54">
      <w:pPr>
        <w:pStyle w:val="3-BodyText"/>
      </w:pPr>
      <w:bookmarkStart w:id="56" w:name="_Toc22897648"/>
      <w:bookmarkStart w:id="57" w:name="_Toc145336306"/>
      <w:r w:rsidRPr="00EB3ECB">
        <w:t>Th</w:t>
      </w:r>
      <w:r>
        <w:t>is submission was considered by DUSC</w:t>
      </w:r>
      <w:r w:rsidRPr="00EB3ECB">
        <w:t xml:space="preserve">. </w:t>
      </w:r>
      <w:r w:rsidRPr="00851B17">
        <w:t xml:space="preserve">The submission used an epidemiological approach to calculate the financial estimates. The inputs are summarised in </w:t>
      </w:r>
      <w:r w:rsidRPr="00851B17">
        <w:fldChar w:fldCharType="begin" w:fldLock="1"/>
      </w:r>
      <w:r w:rsidRPr="00851B17">
        <w:instrText xml:space="preserve"> REF _Ref142653399 \h  \* MERGEFORMAT </w:instrText>
      </w:r>
      <w:r w:rsidRPr="00851B17">
        <w:fldChar w:fldCharType="separate"/>
      </w:r>
      <w:r w:rsidRPr="00851B17">
        <w:t>Table 18</w:t>
      </w:r>
      <w:r w:rsidRPr="00851B17">
        <w:fldChar w:fldCharType="end"/>
      </w:r>
      <w:r w:rsidRPr="00851B17">
        <w:t xml:space="preserve">. </w:t>
      </w:r>
    </w:p>
    <w:p w14:paraId="042FCEF0" w14:textId="77777777" w:rsidR="00851B17" w:rsidRPr="00851B17" w:rsidRDefault="00851B17" w:rsidP="00851B17">
      <w:pPr>
        <w:pStyle w:val="3-BodyText"/>
        <w:numPr>
          <w:ilvl w:val="0"/>
          <w:numId w:val="0"/>
        </w:numPr>
        <w:spacing w:after="0"/>
      </w:pPr>
      <w:bookmarkStart w:id="58" w:name="_Ref142653399"/>
      <w:r w:rsidRPr="00851B17">
        <w:rPr>
          <w:rStyle w:val="CommentReference"/>
          <w:bCs/>
          <w:szCs w:val="20"/>
        </w:rPr>
        <w:t xml:space="preserve">Table </w:t>
      </w:r>
      <w:r w:rsidRPr="00851B17">
        <w:rPr>
          <w:rFonts w:ascii="Arial Narrow" w:hAnsi="Arial Narrow"/>
          <w:b/>
          <w:sz w:val="20"/>
          <w:szCs w:val="20"/>
        </w:rPr>
        <w:fldChar w:fldCharType="begin" w:fldLock="1"/>
      </w:r>
      <w:r w:rsidRPr="00851B17">
        <w:rPr>
          <w:rFonts w:ascii="Arial Narrow" w:hAnsi="Arial Narrow"/>
          <w:b/>
          <w:sz w:val="20"/>
          <w:szCs w:val="20"/>
        </w:rPr>
        <w:instrText xml:space="preserve"> SEQ Table \* ARABIC </w:instrText>
      </w:r>
      <w:r w:rsidRPr="00851B17">
        <w:rPr>
          <w:rFonts w:ascii="Arial Narrow" w:hAnsi="Arial Narrow"/>
          <w:b/>
          <w:sz w:val="20"/>
          <w:szCs w:val="20"/>
        </w:rPr>
        <w:fldChar w:fldCharType="separate"/>
      </w:r>
      <w:r w:rsidRPr="00851B17">
        <w:rPr>
          <w:rFonts w:ascii="Arial Narrow" w:hAnsi="Arial Narrow"/>
          <w:b/>
          <w:noProof/>
          <w:sz w:val="20"/>
          <w:szCs w:val="20"/>
        </w:rPr>
        <w:t>18</w:t>
      </w:r>
      <w:r w:rsidRPr="00851B17">
        <w:rPr>
          <w:rFonts w:ascii="Arial Narrow" w:hAnsi="Arial Narrow"/>
          <w:b/>
          <w:noProof/>
          <w:sz w:val="20"/>
          <w:szCs w:val="20"/>
        </w:rPr>
        <w:fldChar w:fldCharType="end"/>
      </w:r>
      <w:bookmarkEnd w:id="58"/>
      <w:r w:rsidRPr="00851B17">
        <w:rPr>
          <w:rStyle w:val="CommentReference"/>
          <w:bCs/>
          <w:szCs w:val="20"/>
        </w:rPr>
        <w:t xml:space="preserve">: </w:t>
      </w:r>
      <w:r w:rsidRPr="00851B17">
        <w:rPr>
          <w:rStyle w:val="CommentReference"/>
          <w:szCs w:val="24"/>
        </w:rPr>
        <w:t>Key inputs for financial estimates</w:t>
      </w:r>
    </w:p>
    <w:tbl>
      <w:tblPr>
        <w:tblStyle w:val="Summarybox2"/>
        <w:tblW w:w="5000" w:type="pct"/>
        <w:tblLook w:val="04A0" w:firstRow="1" w:lastRow="0" w:firstColumn="1" w:lastColumn="0" w:noHBand="0" w:noVBand="1"/>
        <w:tblCaption w:val="Table 18: Key inputs for financial estimates"/>
        <w:tblDescription w:val="Table 18: Key inputs for financial estimates"/>
      </w:tblPr>
      <w:tblGrid>
        <w:gridCol w:w="1129"/>
        <w:gridCol w:w="7888"/>
      </w:tblGrid>
      <w:tr w:rsidR="00851B17" w:rsidRPr="00851B17" w14:paraId="0FDC02F4" w14:textId="77777777" w:rsidTr="00F22B06">
        <w:trPr>
          <w:tblHeader/>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26FCE" w14:textId="77777777" w:rsidR="00851B17" w:rsidRPr="00851B17" w:rsidRDefault="00851B17" w:rsidP="00570777">
            <w:pPr>
              <w:widowControl w:val="0"/>
              <w:jc w:val="left"/>
              <w:rPr>
                <w:rFonts w:ascii="Arial Narrow" w:hAnsi="Arial Narrow"/>
                <w:b/>
                <w:sz w:val="20"/>
                <w:szCs w:val="20"/>
              </w:rPr>
            </w:pPr>
            <w:r w:rsidRPr="00851B17">
              <w:rPr>
                <w:rFonts w:ascii="Arial Narrow" w:hAnsi="Arial Narrow"/>
                <w:b/>
                <w:sz w:val="20"/>
                <w:szCs w:val="20"/>
              </w:rPr>
              <w:t>Component</w:t>
            </w:r>
          </w:p>
        </w:tc>
        <w:tc>
          <w:tcPr>
            <w:tcW w:w="4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80886" w14:textId="77777777" w:rsidR="00851B17" w:rsidRPr="00851B17" w:rsidRDefault="00851B17" w:rsidP="00570777">
            <w:pPr>
              <w:widowControl w:val="0"/>
              <w:jc w:val="center"/>
              <w:rPr>
                <w:rFonts w:ascii="Arial Narrow" w:hAnsi="Arial Narrow"/>
                <w:b/>
                <w:sz w:val="20"/>
                <w:szCs w:val="20"/>
              </w:rPr>
            </w:pPr>
            <w:r w:rsidRPr="00851B17">
              <w:rPr>
                <w:rFonts w:ascii="Arial Narrow" w:hAnsi="Arial Narrow"/>
                <w:b/>
                <w:sz w:val="20"/>
                <w:szCs w:val="20"/>
              </w:rPr>
              <w:t>Data source</w:t>
            </w:r>
          </w:p>
        </w:tc>
      </w:tr>
      <w:tr w:rsidR="00851B17" w:rsidRPr="00851B17" w14:paraId="2E267577" w14:textId="77777777" w:rsidTr="0057077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A114D" w14:textId="77777777" w:rsidR="00851B17" w:rsidRPr="00851B17" w:rsidRDefault="00851B17" w:rsidP="00570777">
            <w:pPr>
              <w:widowControl w:val="0"/>
              <w:jc w:val="left"/>
              <w:rPr>
                <w:rFonts w:ascii="Arial Narrow" w:hAnsi="Arial Narrow"/>
                <w:b/>
                <w:sz w:val="20"/>
                <w:szCs w:val="20"/>
              </w:rPr>
            </w:pPr>
            <w:r w:rsidRPr="00851B17">
              <w:rPr>
                <w:rFonts w:ascii="Arial Narrow" w:hAnsi="Arial Narrow"/>
                <w:b/>
                <w:sz w:val="20"/>
                <w:szCs w:val="20"/>
              </w:rPr>
              <w:t>Epidemiology</w:t>
            </w:r>
          </w:p>
        </w:tc>
      </w:tr>
      <w:tr w:rsidR="00851B17" w:rsidRPr="00851B17" w14:paraId="0AF192F4" w14:textId="77777777" w:rsidTr="00F22B06">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4751C71"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 xml:space="preserve">Eligible patients </w:t>
            </w:r>
          </w:p>
        </w:tc>
        <w:tc>
          <w:tcPr>
            <w:tcW w:w="4374" w:type="pct"/>
            <w:tcBorders>
              <w:top w:val="single" w:sz="4" w:space="0" w:color="auto"/>
              <w:left w:val="single" w:sz="4" w:space="0" w:color="auto"/>
              <w:bottom w:val="single" w:sz="4" w:space="0" w:color="auto"/>
              <w:right w:val="single" w:sz="4" w:space="0" w:color="auto"/>
            </w:tcBorders>
            <w:shd w:val="clear" w:color="auto" w:fill="auto"/>
            <w:vAlign w:val="center"/>
          </w:tcPr>
          <w:p w14:paraId="6BD0D618" w14:textId="77777777" w:rsidR="00851B17" w:rsidRPr="00851B17" w:rsidRDefault="00851B17" w:rsidP="00570777">
            <w:pPr>
              <w:widowControl w:val="0"/>
              <w:tabs>
                <w:tab w:val="left" w:pos="768"/>
              </w:tabs>
              <w:rPr>
                <w:rFonts w:ascii="Arial Narrow" w:hAnsi="Arial Narrow"/>
                <w:sz w:val="20"/>
                <w:szCs w:val="20"/>
              </w:rPr>
            </w:pPr>
            <w:r w:rsidRPr="00851B17">
              <w:rPr>
                <w:rFonts w:ascii="Arial Narrow" w:hAnsi="Arial Narrow"/>
                <w:sz w:val="20"/>
                <w:szCs w:val="20"/>
              </w:rPr>
              <w:t>Estimates were provided for SOT and HSCT patients.</w:t>
            </w:r>
          </w:p>
          <w:p w14:paraId="45B235A7" w14:textId="77777777" w:rsidR="00851B17" w:rsidRPr="00851B17" w:rsidRDefault="00851B17" w:rsidP="00570777">
            <w:pPr>
              <w:widowControl w:val="0"/>
              <w:tabs>
                <w:tab w:val="left" w:pos="768"/>
              </w:tabs>
              <w:rPr>
                <w:rFonts w:ascii="Arial Narrow" w:hAnsi="Arial Narrow"/>
                <w:sz w:val="20"/>
                <w:szCs w:val="20"/>
              </w:rPr>
            </w:pPr>
            <w:r w:rsidRPr="00851B17">
              <w:rPr>
                <w:rFonts w:ascii="Arial Narrow" w:hAnsi="Arial Narrow"/>
                <w:sz w:val="20"/>
                <w:szCs w:val="20"/>
                <w:u w:val="single"/>
              </w:rPr>
              <w:t>Number with SOT and number with HSCT</w:t>
            </w:r>
            <w:r w:rsidRPr="00851B17">
              <w:rPr>
                <w:rFonts w:ascii="Arial Narrow" w:hAnsi="Arial Narrow"/>
                <w:sz w:val="20"/>
                <w:szCs w:val="20"/>
              </w:rPr>
              <w:t xml:space="preserve">: For SOT this was based on the Australia and New Zealand Organ Donation Registry (ANZOD) 2022 annual report and the Australia and New Zealand Dialysis &amp; Transplant Registry (ANZDATA) 2013 to 2022 annual reports. From this data the submission calculated an average yearly growth rate of 3.86%. </w:t>
            </w:r>
          </w:p>
          <w:p w14:paraId="60C126E6" w14:textId="77777777" w:rsidR="00851B17" w:rsidRPr="00851B17" w:rsidRDefault="00851B17" w:rsidP="00570777">
            <w:pPr>
              <w:widowControl w:val="0"/>
              <w:tabs>
                <w:tab w:val="left" w:pos="768"/>
              </w:tabs>
              <w:rPr>
                <w:rFonts w:ascii="Arial Narrow" w:hAnsi="Arial Narrow"/>
                <w:sz w:val="20"/>
                <w:szCs w:val="20"/>
              </w:rPr>
            </w:pPr>
            <w:r w:rsidRPr="00851B17">
              <w:rPr>
                <w:rFonts w:ascii="Arial Narrow" w:hAnsi="Arial Narrow"/>
                <w:sz w:val="20"/>
                <w:szCs w:val="20"/>
              </w:rPr>
              <w:t>For the HSCT population the submission used the Australia and New Zealand Transplant and Cellular Therapies (ANZTCT) registry annual data summary reports for 2014 to 2021. The submission calculated an average yearly growth rate of 4.38% using 2015 to 2019 data and a second yearly growth rate of 3.61% using 2015 to 2021 data. While the 3.61% growth rate was not mentioned in the submission, it was used in the submission’s Section 4 Excel workbook, along with the 4.38% growth rate, to estimate HSCT patient numbers. For both SOT and HSCT, the submission stated 2020 and 2021 data were excluded from the growth rate calculation due to decrease in transplant activity during the COVID-19 pandemic.</w:t>
            </w:r>
          </w:p>
          <w:p w14:paraId="6CFE4096" w14:textId="77777777" w:rsidR="00851B17" w:rsidRPr="00851B17" w:rsidRDefault="00851B17" w:rsidP="00570777">
            <w:pPr>
              <w:widowControl w:val="0"/>
              <w:tabs>
                <w:tab w:val="left" w:pos="768"/>
              </w:tabs>
              <w:rPr>
                <w:rFonts w:ascii="Arial Narrow" w:hAnsi="Arial Narrow"/>
                <w:sz w:val="20"/>
                <w:szCs w:val="20"/>
              </w:rPr>
            </w:pPr>
            <w:r w:rsidRPr="00851B17">
              <w:rPr>
                <w:rFonts w:ascii="Arial Narrow" w:hAnsi="Arial Narrow"/>
                <w:sz w:val="20"/>
                <w:szCs w:val="20"/>
                <w:u w:val="single"/>
              </w:rPr>
              <w:t>Proportion with CMV infection</w:t>
            </w:r>
            <w:r w:rsidRPr="00851B17">
              <w:rPr>
                <w:rFonts w:ascii="Arial Narrow" w:hAnsi="Arial Narrow"/>
                <w:sz w:val="20"/>
                <w:szCs w:val="20"/>
              </w:rPr>
              <w:t>: Based on data sourced from 35 publications obtained in a literature search conducted by the submission, the submission calculated a weighted average of 22.8% for SOT and 34.0% for HSCT.</w:t>
            </w:r>
          </w:p>
          <w:p w14:paraId="71009E12" w14:textId="77777777" w:rsidR="00851B17" w:rsidRPr="00851B17" w:rsidRDefault="00851B17" w:rsidP="00570777">
            <w:pPr>
              <w:widowControl w:val="0"/>
              <w:tabs>
                <w:tab w:val="left" w:pos="768"/>
              </w:tabs>
              <w:rPr>
                <w:rFonts w:ascii="Arial Narrow" w:hAnsi="Arial Narrow"/>
                <w:sz w:val="20"/>
                <w:szCs w:val="20"/>
              </w:rPr>
            </w:pPr>
            <w:r w:rsidRPr="00851B17">
              <w:rPr>
                <w:rFonts w:ascii="Arial Narrow" w:hAnsi="Arial Narrow"/>
                <w:sz w:val="20"/>
                <w:szCs w:val="20"/>
                <w:u w:val="single"/>
              </w:rPr>
              <w:t>Proportion of CMV patients resistant, refractory or intolerant</w:t>
            </w:r>
            <w:r w:rsidRPr="00851B17">
              <w:rPr>
                <w:rFonts w:ascii="Arial Narrow" w:hAnsi="Arial Narrow"/>
                <w:sz w:val="20"/>
                <w:szCs w:val="20"/>
              </w:rPr>
              <w:t>: Literature sources were used to estimate the proportion of patients with resistant, refractory or intolerant CMV infection. For the intolerant population the submission indicated no literature sources were available and therefore assumed similar relative proportions of resistant, refractory and intolerant patients from OTUS and estimated proportions for both the SOT and HSCT populations. The proportions assumed are listed in the table below.</w:t>
            </w:r>
          </w:p>
          <w:p w14:paraId="3FBD01D0" w14:textId="77777777" w:rsidR="00851B17" w:rsidRPr="00851B17" w:rsidRDefault="00851B17" w:rsidP="00570777">
            <w:pPr>
              <w:widowControl w:val="0"/>
              <w:tabs>
                <w:tab w:val="left" w:pos="768"/>
              </w:tabs>
              <w:rPr>
                <w:rFonts w:ascii="Arial Narrow" w:hAnsi="Arial Narrow"/>
                <w:sz w:val="20"/>
                <w:szCs w:val="20"/>
              </w:rPr>
            </w:pPr>
          </w:p>
          <w:tbl>
            <w:tblPr>
              <w:tblStyle w:val="TableGrid"/>
              <w:tblW w:w="7201" w:type="dxa"/>
              <w:tblCellMar>
                <w:left w:w="28" w:type="dxa"/>
                <w:right w:w="28" w:type="dxa"/>
              </w:tblCellMar>
              <w:tblLook w:val="04A0" w:firstRow="1" w:lastRow="0" w:firstColumn="1" w:lastColumn="0" w:noHBand="0" w:noVBand="1"/>
            </w:tblPr>
            <w:tblGrid>
              <w:gridCol w:w="2039"/>
              <w:gridCol w:w="786"/>
              <w:gridCol w:w="864"/>
              <w:gridCol w:w="865"/>
              <w:gridCol w:w="865"/>
              <w:gridCol w:w="933"/>
              <w:gridCol w:w="849"/>
            </w:tblGrid>
            <w:tr w:rsidR="00851B17" w:rsidRPr="00851B17" w14:paraId="58EAA2C7" w14:textId="77777777" w:rsidTr="00570777">
              <w:tc>
                <w:tcPr>
                  <w:tcW w:w="2039" w:type="dxa"/>
                  <w:vAlign w:val="center"/>
                </w:tcPr>
                <w:p w14:paraId="50FB6A58" w14:textId="77777777" w:rsidR="00851B17" w:rsidRPr="00851B17" w:rsidRDefault="00851B17" w:rsidP="00691FB6">
                  <w:pPr>
                    <w:keepNext/>
                    <w:keepLines/>
                    <w:tabs>
                      <w:tab w:val="left" w:pos="161"/>
                    </w:tabs>
                    <w:jc w:val="left"/>
                    <w:rPr>
                      <w:rFonts w:ascii="Arial Narrow" w:hAnsi="Arial Narrow"/>
                    </w:rPr>
                  </w:pPr>
                </w:p>
              </w:tc>
              <w:tc>
                <w:tcPr>
                  <w:tcW w:w="786" w:type="dxa"/>
                  <w:vAlign w:val="center"/>
                </w:tcPr>
                <w:p w14:paraId="582B8D61" w14:textId="77777777" w:rsidR="00851B17" w:rsidRPr="00851B17" w:rsidRDefault="00851B17" w:rsidP="00691FB6">
                  <w:pPr>
                    <w:keepNext/>
                    <w:keepLines/>
                    <w:jc w:val="center"/>
                    <w:rPr>
                      <w:rFonts w:ascii="Arial Narrow" w:hAnsi="Arial Narrow"/>
                      <w:b/>
                      <w:bCs/>
                      <w:sz w:val="20"/>
                      <w:szCs w:val="20"/>
                    </w:rPr>
                  </w:pPr>
                  <w:r w:rsidRPr="00851B17">
                    <w:rPr>
                      <w:rFonts w:ascii="Arial Narrow" w:hAnsi="Arial Narrow"/>
                      <w:b/>
                      <w:bCs/>
                      <w:sz w:val="20"/>
                      <w:szCs w:val="20"/>
                    </w:rPr>
                    <w:t>Year 1</w:t>
                  </w:r>
                </w:p>
              </w:tc>
              <w:tc>
                <w:tcPr>
                  <w:tcW w:w="864" w:type="dxa"/>
                  <w:vAlign w:val="center"/>
                </w:tcPr>
                <w:p w14:paraId="19DBB328" w14:textId="77777777" w:rsidR="00851B17" w:rsidRPr="00851B17" w:rsidRDefault="00851B17" w:rsidP="00691FB6">
                  <w:pPr>
                    <w:keepNext/>
                    <w:keepLines/>
                    <w:jc w:val="center"/>
                    <w:rPr>
                      <w:rFonts w:ascii="Arial Narrow" w:hAnsi="Arial Narrow"/>
                      <w:b/>
                      <w:bCs/>
                      <w:sz w:val="20"/>
                      <w:szCs w:val="20"/>
                    </w:rPr>
                  </w:pPr>
                  <w:r w:rsidRPr="00851B17">
                    <w:rPr>
                      <w:rFonts w:ascii="Arial Narrow" w:hAnsi="Arial Narrow"/>
                      <w:b/>
                      <w:bCs/>
                      <w:sz w:val="20"/>
                      <w:szCs w:val="20"/>
                    </w:rPr>
                    <w:t>Year 2</w:t>
                  </w:r>
                </w:p>
              </w:tc>
              <w:tc>
                <w:tcPr>
                  <w:tcW w:w="865" w:type="dxa"/>
                  <w:vAlign w:val="center"/>
                </w:tcPr>
                <w:p w14:paraId="1C74D51C" w14:textId="77777777" w:rsidR="00851B17" w:rsidRPr="00851B17" w:rsidRDefault="00851B17" w:rsidP="00691FB6">
                  <w:pPr>
                    <w:keepNext/>
                    <w:keepLines/>
                    <w:jc w:val="center"/>
                    <w:rPr>
                      <w:rFonts w:ascii="Arial Narrow" w:hAnsi="Arial Narrow"/>
                      <w:b/>
                      <w:bCs/>
                      <w:sz w:val="20"/>
                      <w:szCs w:val="20"/>
                    </w:rPr>
                  </w:pPr>
                  <w:r w:rsidRPr="00851B17">
                    <w:rPr>
                      <w:rFonts w:ascii="Arial Narrow" w:hAnsi="Arial Narrow"/>
                      <w:b/>
                      <w:bCs/>
                      <w:sz w:val="20"/>
                      <w:szCs w:val="20"/>
                    </w:rPr>
                    <w:t>Year 3</w:t>
                  </w:r>
                </w:p>
              </w:tc>
              <w:tc>
                <w:tcPr>
                  <w:tcW w:w="865" w:type="dxa"/>
                  <w:vAlign w:val="center"/>
                </w:tcPr>
                <w:p w14:paraId="492042E7" w14:textId="77777777" w:rsidR="00851B17" w:rsidRPr="00851B17" w:rsidRDefault="00851B17" w:rsidP="00691FB6">
                  <w:pPr>
                    <w:keepNext/>
                    <w:keepLines/>
                    <w:jc w:val="center"/>
                    <w:rPr>
                      <w:rFonts w:ascii="Arial Narrow" w:hAnsi="Arial Narrow"/>
                      <w:b/>
                      <w:bCs/>
                      <w:sz w:val="20"/>
                      <w:szCs w:val="20"/>
                    </w:rPr>
                  </w:pPr>
                  <w:r w:rsidRPr="00851B17">
                    <w:rPr>
                      <w:rFonts w:ascii="Arial Narrow" w:hAnsi="Arial Narrow"/>
                      <w:b/>
                      <w:bCs/>
                      <w:sz w:val="20"/>
                      <w:szCs w:val="20"/>
                    </w:rPr>
                    <w:t>Year 4</w:t>
                  </w:r>
                </w:p>
              </w:tc>
              <w:tc>
                <w:tcPr>
                  <w:tcW w:w="933" w:type="dxa"/>
                  <w:vAlign w:val="center"/>
                </w:tcPr>
                <w:p w14:paraId="75B36671" w14:textId="77777777" w:rsidR="00851B17" w:rsidRPr="00851B17" w:rsidRDefault="00851B17" w:rsidP="00691FB6">
                  <w:pPr>
                    <w:keepNext/>
                    <w:keepLines/>
                    <w:jc w:val="center"/>
                    <w:rPr>
                      <w:rFonts w:ascii="Arial Narrow" w:hAnsi="Arial Narrow"/>
                      <w:b/>
                      <w:bCs/>
                      <w:sz w:val="20"/>
                      <w:szCs w:val="20"/>
                    </w:rPr>
                  </w:pPr>
                  <w:r w:rsidRPr="00851B17">
                    <w:rPr>
                      <w:rFonts w:ascii="Arial Narrow" w:hAnsi="Arial Narrow"/>
                      <w:b/>
                      <w:bCs/>
                      <w:sz w:val="20"/>
                      <w:szCs w:val="20"/>
                    </w:rPr>
                    <w:t>Year 5</w:t>
                  </w:r>
                </w:p>
              </w:tc>
              <w:tc>
                <w:tcPr>
                  <w:tcW w:w="849" w:type="dxa"/>
                  <w:vAlign w:val="center"/>
                </w:tcPr>
                <w:p w14:paraId="7E6DE4AC" w14:textId="77777777" w:rsidR="00851B17" w:rsidRPr="00851B17" w:rsidRDefault="00851B17" w:rsidP="00691FB6">
                  <w:pPr>
                    <w:keepNext/>
                    <w:keepLines/>
                    <w:jc w:val="center"/>
                    <w:rPr>
                      <w:rFonts w:ascii="Arial Narrow" w:hAnsi="Arial Narrow"/>
                      <w:b/>
                      <w:bCs/>
                      <w:sz w:val="20"/>
                      <w:szCs w:val="20"/>
                    </w:rPr>
                  </w:pPr>
                  <w:r w:rsidRPr="00851B17">
                    <w:rPr>
                      <w:rFonts w:ascii="Arial Narrow" w:hAnsi="Arial Narrow"/>
                      <w:b/>
                      <w:bCs/>
                      <w:sz w:val="20"/>
                      <w:szCs w:val="20"/>
                    </w:rPr>
                    <w:t>Year 6</w:t>
                  </w:r>
                </w:p>
              </w:tc>
            </w:tr>
            <w:tr w:rsidR="00851B17" w:rsidRPr="00851B17" w14:paraId="39437D20" w14:textId="77777777" w:rsidTr="00570777">
              <w:tc>
                <w:tcPr>
                  <w:tcW w:w="7201" w:type="dxa"/>
                  <w:gridSpan w:val="7"/>
                  <w:vAlign w:val="center"/>
                </w:tcPr>
                <w:p w14:paraId="3C7395B8" w14:textId="77777777" w:rsidR="00851B17" w:rsidRPr="00851B17" w:rsidRDefault="00851B17" w:rsidP="00570777">
                  <w:pPr>
                    <w:widowControl w:val="0"/>
                    <w:jc w:val="left"/>
                    <w:rPr>
                      <w:rFonts w:ascii="Arial Narrow" w:hAnsi="Arial Narrow"/>
                      <w:b/>
                      <w:bCs/>
                      <w:color w:val="000000"/>
                      <w:sz w:val="20"/>
                      <w:szCs w:val="20"/>
                    </w:rPr>
                  </w:pPr>
                  <w:r w:rsidRPr="00851B17">
                    <w:rPr>
                      <w:rFonts w:ascii="Arial Narrow" w:hAnsi="Arial Narrow"/>
                      <w:b/>
                      <w:bCs/>
                      <w:color w:val="000000"/>
                      <w:sz w:val="20"/>
                      <w:szCs w:val="20"/>
                    </w:rPr>
                    <w:t>SOT</w:t>
                  </w:r>
                </w:p>
              </w:tc>
            </w:tr>
            <w:tr w:rsidR="00851B17" w:rsidRPr="00851B17" w14:paraId="5BB7263C" w14:textId="77777777" w:rsidTr="00570777">
              <w:tc>
                <w:tcPr>
                  <w:tcW w:w="2039" w:type="dxa"/>
                  <w:vAlign w:val="center"/>
                </w:tcPr>
                <w:p w14:paraId="6D2400D3" w14:textId="77777777" w:rsidR="00851B17" w:rsidRPr="00851B17" w:rsidRDefault="00851B17" w:rsidP="00570777">
                  <w:pPr>
                    <w:widowControl w:val="0"/>
                    <w:tabs>
                      <w:tab w:val="left" w:pos="161"/>
                    </w:tabs>
                    <w:jc w:val="left"/>
                    <w:rPr>
                      <w:rFonts w:ascii="Arial Narrow" w:hAnsi="Arial Narrow"/>
                      <w:sz w:val="20"/>
                      <w:szCs w:val="20"/>
                    </w:rPr>
                  </w:pPr>
                  <w:r w:rsidRPr="00851B17">
                    <w:rPr>
                      <w:rFonts w:ascii="Arial Narrow" w:hAnsi="Arial Narrow"/>
                      <w:sz w:val="20"/>
                      <w:szCs w:val="20"/>
                    </w:rPr>
                    <w:t>SOT patients</w:t>
                  </w:r>
                </w:p>
              </w:tc>
              <w:tc>
                <w:tcPr>
                  <w:tcW w:w="786" w:type="dxa"/>
                </w:tcPr>
                <w:p w14:paraId="19409471" w14:textId="77777777" w:rsidR="00851B17" w:rsidRPr="00851B17" w:rsidRDefault="00851B17" w:rsidP="00570777">
                  <w:pPr>
                    <w:widowControl w:val="0"/>
                    <w:jc w:val="center"/>
                    <w:rPr>
                      <w:rFonts w:ascii="Arial Narrow" w:hAnsi="Arial Narrow"/>
                      <w:color w:val="000000"/>
                      <w:sz w:val="20"/>
                      <w:szCs w:val="20"/>
                    </w:rPr>
                  </w:pPr>
                  <w:r w:rsidRPr="00851B17">
                    <w:rPr>
                      <w:rFonts w:ascii="Arial Narrow" w:hAnsi="Arial Narrow"/>
                      <w:color w:val="000000"/>
                      <w:sz w:val="20"/>
                      <w:szCs w:val="20"/>
                    </w:rPr>
                    <w:t>1,665</w:t>
                  </w:r>
                </w:p>
              </w:tc>
              <w:tc>
                <w:tcPr>
                  <w:tcW w:w="864" w:type="dxa"/>
                </w:tcPr>
                <w:p w14:paraId="5D8B7B35" w14:textId="77777777" w:rsidR="00851B17" w:rsidRPr="00851B17" w:rsidRDefault="00851B17" w:rsidP="00570777">
                  <w:pPr>
                    <w:widowControl w:val="0"/>
                    <w:jc w:val="center"/>
                    <w:rPr>
                      <w:rFonts w:ascii="Arial Narrow" w:hAnsi="Arial Narrow"/>
                      <w:color w:val="000000"/>
                      <w:sz w:val="20"/>
                      <w:szCs w:val="20"/>
                    </w:rPr>
                  </w:pPr>
                  <w:r w:rsidRPr="00851B17">
                    <w:rPr>
                      <w:rFonts w:ascii="Arial Narrow" w:hAnsi="Arial Narrow"/>
                      <w:color w:val="000000"/>
                      <w:sz w:val="20"/>
                      <w:szCs w:val="20"/>
                    </w:rPr>
                    <w:t>1,729</w:t>
                  </w:r>
                </w:p>
              </w:tc>
              <w:tc>
                <w:tcPr>
                  <w:tcW w:w="865" w:type="dxa"/>
                </w:tcPr>
                <w:p w14:paraId="4B027705" w14:textId="77777777" w:rsidR="00851B17" w:rsidRPr="00851B17" w:rsidRDefault="00851B17" w:rsidP="00570777">
                  <w:pPr>
                    <w:widowControl w:val="0"/>
                    <w:jc w:val="center"/>
                    <w:rPr>
                      <w:rFonts w:ascii="Arial Narrow" w:hAnsi="Arial Narrow"/>
                      <w:color w:val="000000"/>
                      <w:sz w:val="20"/>
                      <w:szCs w:val="20"/>
                    </w:rPr>
                  </w:pPr>
                  <w:r w:rsidRPr="00851B17">
                    <w:rPr>
                      <w:rFonts w:ascii="Arial Narrow" w:hAnsi="Arial Narrow"/>
                      <w:color w:val="000000"/>
                      <w:sz w:val="20"/>
                      <w:szCs w:val="20"/>
                    </w:rPr>
                    <w:t>1,796</w:t>
                  </w:r>
                </w:p>
              </w:tc>
              <w:tc>
                <w:tcPr>
                  <w:tcW w:w="865" w:type="dxa"/>
                </w:tcPr>
                <w:p w14:paraId="389CE1B2" w14:textId="77777777" w:rsidR="00851B17" w:rsidRPr="00851B17" w:rsidRDefault="00851B17" w:rsidP="00570777">
                  <w:pPr>
                    <w:widowControl w:val="0"/>
                    <w:jc w:val="center"/>
                    <w:rPr>
                      <w:rFonts w:ascii="Arial Narrow" w:hAnsi="Arial Narrow"/>
                      <w:color w:val="000000"/>
                      <w:sz w:val="20"/>
                      <w:szCs w:val="20"/>
                    </w:rPr>
                  </w:pPr>
                  <w:r w:rsidRPr="00851B17">
                    <w:rPr>
                      <w:rFonts w:ascii="Arial Narrow" w:hAnsi="Arial Narrow"/>
                      <w:color w:val="000000"/>
                      <w:sz w:val="20"/>
                      <w:szCs w:val="20"/>
                    </w:rPr>
                    <w:t>1,865</w:t>
                  </w:r>
                </w:p>
              </w:tc>
              <w:tc>
                <w:tcPr>
                  <w:tcW w:w="933" w:type="dxa"/>
                </w:tcPr>
                <w:p w14:paraId="758B2C33" w14:textId="77777777" w:rsidR="00851B17" w:rsidRPr="00851B17" w:rsidRDefault="00851B17" w:rsidP="00570777">
                  <w:pPr>
                    <w:widowControl w:val="0"/>
                    <w:jc w:val="center"/>
                    <w:rPr>
                      <w:rFonts w:ascii="Arial Narrow" w:hAnsi="Arial Narrow"/>
                      <w:color w:val="000000"/>
                      <w:sz w:val="20"/>
                      <w:szCs w:val="20"/>
                    </w:rPr>
                  </w:pPr>
                  <w:r w:rsidRPr="00851B17">
                    <w:rPr>
                      <w:rFonts w:ascii="Arial Narrow" w:hAnsi="Arial Narrow"/>
                      <w:color w:val="000000"/>
                      <w:sz w:val="20"/>
                      <w:szCs w:val="20"/>
                    </w:rPr>
                    <w:t>1,937</w:t>
                  </w:r>
                </w:p>
              </w:tc>
              <w:tc>
                <w:tcPr>
                  <w:tcW w:w="849" w:type="dxa"/>
                </w:tcPr>
                <w:p w14:paraId="772B85C1" w14:textId="77777777" w:rsidR="00851B17" w:rsidRPr="00851B17" w:rsidRDefault="00851B17" w:rsidP="00570777">
                  <w:pPr>
                    <w:widowControl w:val="0"/>
                    <w:jc w:val="center"/>
                    <w:rPr>
                      <w:rFonts w:ascii="Arial Narrow" w:hAnsi="Arial Narrow"/>
                      <w:color w:val="000000"/>
                      <w:sz w:val="20"/>
                      <w:szCs w:val="20"/>
                    </w:rPr>
                  </w:pPr>
                  <w:r w:rsidRPr="00851B17">
                    <w:rPr>
                      <w:rFonts w:ascii="Arial Narrow" w:hAnsi="Arial Narrow"/>
                      <w:color w:val="000000"/>
                      <w:sz w:val="20"/>
                      <w:szCs w:val="20"/>
                    </w:rPr>
                    <w:t>2,012</w:t>
                  </w:r>
                </w:p>
              </w:tc>
            </w:tr>
            <w:tr w:rsidR="00851B17" w:rsidRPr="00851B17" w14:paraId="5378EB0F" w14:textId="77777777" w:rsidTr="00570777">
              <w:tc>
                <w:tcPr>
                  <w:tcW w:w="2039" w:type="dxa"/>
                  <w:vAlign w:val="center"/>
                </w:tcPr>
                <w:p w14:paraId="1C42C602" w14:textId="77777777" w:rsidR="00851B17" w:rsidRPr="00851B17" w:rsidRDefault="00851B17" w:rsidP="00570777">
                  <w:pPr>
                    <w:widowControl w:val="0"/>
                    <w:tabs>
                      <w:tab w:val="left" w:pos="161"/>
                    </w:tabs>
                    <w:jc w:val="left"/>
                    <w:rPr>
                      <w:rFonts w:ascii="Arial Narrow" w:hAnsi="Arial Narrow"/>
                      <w:sz w:val="20"/>
                      <w:szCs w:val="20"/>
                    </w:rPr>
                  </w:pPr>
                  <w:r w:rsidRPr="00851B17">
                    <w:rPr>
                      <w:rFonts w:ascii="Arial Narrow" w:hAnsi="Arial Narrow"/>
                      <w:sz w:val="20"/>
                      <w:szCs w:val="20"/>
                    </w:rPr>
                    <w:t>Number of SOT patients with CMV infection (22.8%)</w:t>
                  </w:r>
                </w:p>
              </w:tc>
              <w:tc>
                <w:tcPr>
                  <w:tcW w:w="786" w:type="dxa"/>
                  <w:vAlign w:val="center"/>
                </w:tcPr>
                <w:p w14:paraId="48B2F805"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379</w:t>
                  </w:r>
                </w:p>
              </w:tc>
              <w:tc>
                <w:tcPr>
                  <w:tcW w:w="864" w:type="dxa"/>
                  <w:vAlign w:val="center"/>
                </w:tcPr>
                <w:p w14:paraId="14E1A1A0"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394</w:t>
                  </w:r>
                </w:p>
              </w:tc>
              <w:tc>
                <w:tcPr>
                  <w:tcW w:w="865" w:type="dxa"/>
                  <w:vAlign w:val="center"/>
                </w:tcPr>
                <w:p w14:paraId="2F022761"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409</w:t>
                  </w:r>
                </w:p>
              </w:tc>
              <w:tc>
                <w:tcPr>
                  <w:tcW w:w="865" w:type="dxa"/>
                  <w:vAlign w:val="center"/>
                </w:tcPr>
                <w:p w14:paraId="00AD8D2F"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425</w:t>
                  </w:r>
                </w:p>
              </w:tc>
              <w:tc>
                <w:tcPr>
                  <w:tcW w:w="933" w:type="dxa"/>
                  <w:vAlign w:val="center"/>
                </w:tcPr>
                <w:p w14:paraId="1D0DE87E"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441</w:t>
                  </w:r>
                </w:p>
              </w:tc>
              <w:tc>
                <w:tcPr>
                  <w:tcW w:w="849" w:type="dxa"/>
                  <w:vAlign w:val="center"/>
                </w:tcPr>
                <w:p w14:paraId="399CE7E4"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458</w:t>
                  </w:r>
                </w:p>
              </w:tc>
            </w:tr>
            <w:tr w:rsidR="00851B17" w:rsidRPr="00851B17" w14:paraId="3EEBBBF1" w14:textId="77777777" w:rsidTr="00570777">
              <w:tc>
                <w:tcPr>
                  <w:tcW w:w="2039" w:type="dxa"/>
                  <w:vAlign w:val="center"/>
                </w:tcPr>
                <w:p w14:paraId="60DE7CB5" w14:textId="77777777" w:rsidR="00851B17" w:rsidRPr="00851B17" w:rsidRDefault="00851B17" w:rsidP="00570777">
                  <w:pPr>
                    <w:widowControl w:val="0"/>
                    <w:tabs>
                      <w:tab w:val="left" w:pos="161"/>
                    </w:tabs>
                    <w:jc w:val="left"/>
                    <w:rPr>
                      <w:rFonts w:ascii="Arial Narrow" w:hAnsi="Arial Narrow"/>
                      <w:sz w:val="20"/>
                      <w:szCs w:val="20"/>
                    </w:rPr>
                  </w:pPr>
                  <w:r w:rsidRPr="00851B17">
                    <w:rPr>
                      <w:rFonts w:ascii="Arial Narrow" w:hAnsi="Arial Narrow"/>
                      <w:sz w:val="20"/>
                      <w:szCs w:val="20"/>
                    </w:rPr>
                    <w:tab/>
                    <w:t>Resistant (5.3%)</w:t>
                  </w:r>
                </w:p>
              </w:tc>
              <w:tc>
                <w:tcPr>
                  <w:tcW w:w="786" w:type="dxa"/>
                </w:tcPr>
                <w:p w14:paraId="526318EC"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20</w:t>
                  </w:r>
                </w:p>
              </w:tc>
              <w:tc>
                <w:tcPr>
                  <w:tcW w:w="864" w:type="dxa"/>
                </w:tcPr>
                <w:p w14:paraId="3EC00886"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21</w:t>
                  </w:r>
                </w:p>
              </w:tc>
              <w:tc>
                <w:tcPr>
                  <w:tcW w:w="865" w:type="dxa"/>
                </w:tcPr>
                <w:p w14:paraId="6813E102"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22</w:t>
                  </w:r>
                </w:p>
              </w:tc>
              <w:tc>
                <w:tcPr>
                  <w:tcW w:w="865" w:type="dxa"/>
                </w:tcPr>
                <w:p w14:paraId="5DABEBE2"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23</w:t>
                  </w:r>
                </w:p>
              </w:tc>
              <w:tc>
                <w:tcPr>
                  <w:tcW w:w="933" w:type="dxa"/>
                </w:tcPr>
                <w:p w14:paraId="278514FF"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23</w:t>
                  </w:r>
                </w:p>
              </w:tc>
              <w:tc>
                <w:tcPr>
                  <w:tcW w:w="849" w:type="dxa"/>
                </w:tcPr>
                <w:p w14:paraId="37833096"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24</w:t>
                  </w:r>
                </w:p>
              </w:tc>
            </w:tr>
            <w:tr w:rsidR="00851B17" w:rsidRPr="00851B17" w14:paraId="1A47AF6F" w14:textId="77777777" w:rsidTr="00570777">
              <w:tc>
                <w:tcPr>
                  <w:tcW w:w="2039" w:type="dxa"/>
                  <w:vAlign w:val="center"/>
                </w:tcPr>
                <w:p w14:paraId="7495D108" w14:textId="77777777" w:rsidR="00851B17" w:rsidRPr="00851B17" w:rsidRDefault="00851B17" w:rsidP="00570777">
                  <w:pPr>
                    <w:widowControl w:val="0"/>
                    <w:tabs>
                      <w:tab w:val="left" w:pos="161"/>
                    </w:tabs>
                    <w:jc w:val="left"/>
                    <w:rPr>
                      <w:rFonts w:ascii="Arial Narrow" w:hAnsi="Arial Narrow"/>
                      <w:sz w:val="20"/>
                      <w:szCs w:val="20"/>
                    </w:rPr>
                  </w:pPr>
                  <w:r w:rsidRPr="00851B17">
                    <w:rPr>
                      <w:rFonts w:ascii="Arial Narrow" w:hAnsi="Arial Narrow"/>
                      <w:sz w:val="20"/>
                      <w:szCs w:val="20"/>
                    </w:rPr>
                    <w:tab/>
                    <w:t>Refractory (21.7%)</w:t>
                  </w:r>
                </w:p>
              </w:tc>
              <w:tc>
                <w:tcPr>
                  <w:tcW w:w="786" w:type="dxa"/>
                </w:tcPr>
                <w:p w14:paraId="328120DC"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82</w:t>
                  </w:r>
                </w:p>
              </w:tc>
              <w:tc>
                <w:tcPr>
                  <w:tcW w:w="864" w:type="dxa"/>
                </w:tcPr>
                <w:p w14:paraId="1ED662A1"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85</w:t>
                  </w:r>
                </w:p>
              </w:tc>
              <w:tc>
                <w:tcPr>
                  <w:tcW w:w="865" w:type="dxa"/>
                </w:tcPr>
                <w:p w14:paraId="219271A3"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89</w:t>
                  </w:r>
                </w:p>
              </w:tc>
              <w:tc>
                <w:tcPr>
                  <w:tcW w:w="865" w:type="dxa"/>
                </w:tcPr>
                <w:p w14:paraId="0A1E4812"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92</w:t>
                  </w:r>
                </w:p>
              </w:tc>
              <w:tc>
                <w:tcPr>
                  <w:tcW w:w="933" w:type="dxa"/>
                </w:tcPr>
                <w:p w14:paraId="46BF8373"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96</w:t>
                  </w:r>
                </w:p>
              </w:tc>
              <w:tc>
                <w:tcPr>
                  <w:tcW w:w="849" w:type="dxa"/>
                </w:tcPr>
                <w:p w14:paraId="3C22B35C"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99</w:t>
                  </w:r>
                </w:p>
              </w:tc>
            </w:tr>
            <w:tr w:rsidR="00851B17" w:rsidRPr="00851B17" w14:paraId="52BB2821" w14:textId="77777777" w:rsidTr="00570777">
              <w:tc>
                <w:tcPr>
                  <w:tcW w:w="2039" w:type="dxa"/>
                  <w:vAlign w:val="center"/>
                </w:tcPr>
                <w:p w14:paraId="4B21F516" w14:textId="77777777" w:rsidR="00851B17" w:rsidRPr="00851B17" w:rsidRDefault="00851B17" w:rsidP="00570777">
                  <w:pPr>
                    <w:widowControl w:val="0"/>
                    <w:tabs>
                      <w:tab w:val="left" w:pos="161"/>
                    </w:tabs>
                    <w:jc w:val="left"/>
                    <w:rPr>
                      <w:rFonts w:ascii="Arial Narrow" w:hAnsi="Arial Narrow"/>
                      <w:sz w:val="20"/>
                      <w:szCs w:val="20"/>
                    </w:rPr>
                  </w:pPr>
                  <w:r w:rsidRPr="00851B17">
                    <w:rPr>
                      <w:rFonts w:ascii="Arial Narrow" w:hAnsi="Arial Narrow"/>
                      <w:sz w:val="20"/>
                      <w:szCs w:val="20"/>
                    </w:rPr>
                    <w:tab/>
                    <w:t>Intolerant (10%)</w:t>
                  </w:r>
                </w:p>
              </w:tc>
              <w:tc>
                <w:tcPr>
                  <w:tcW w:w="786" w:type="dxa"/>
                </w:tcPr>
                <w:p w14:paraId="70C43CEF"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38</w:t>
                  </w:r>
                </w:p>
              </w:tc>
              <w:tc>
                <w:tcPr>
                  <w:tcW w:w="864" w:type="dxa"/>
                </w:tcPr>
                <w:p w14:paraId="336284E7"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39</w:t>
                  </w:r>
                </w:p>
              </w:tc>
              <w:tc>
                <w:tcPr>
                  <w:tcW w:w="865" w:type="dxa"/>
                </w:tcPr>
                <w:p w14:paraId="659150EE"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41</w:t>
                  </w:r>
                </w:p>
              </w:tc>
              <w:tc>
                <w:tcPr>
                  <w:tcW w:w="865" w:type="dxa"/>
                </w:tcPr>
                <w:p w14:paraId="12DAB173"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42</w:t>
                  </w:r>
                </w:p>
              </w:tc>
              <w:tc>
                <w:tcPr>
                  <w:tcW w:w="933" w:type="dxa"/>
                </w:tcPr>
                <w:p w14:paraId="6AD64D56"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44</w:t>
                  </w:r>
                </w:p>
              </w:tc>
              <w:tc>
                <w:tcPr>
                  <w:tcW w:w="849" w:type="dxa"/>
                </w:tcPr>
                <w:p w14:paraId="3A61BDCD"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46</w:t>
                  </w:r>
                </w:p>
              </w:tc>
            </w:tr>
            <w:tr w:rsidR="00851B17" w:rsidRPr="00851B17" w14:paraId="186D724B" w14:textId="77777777" w:rsidTr="00570777">
              <w:tc>
                <w:tcPr>
                  <w:tcW w:w="2039" w:type="dxa"/>
                  <w:vAlign w:val="center"/>
                </w:tcPr>
                <w:p w14:paraId="70FF5ED7" w14:textId="77777777" w:rsidR="00851B17" w:rsidRPr="00851B17" w:rsidRDefault="00851B17" w:rsidP="00570777">
                  <w:pPr>
                    <w:widowControl w:val="0"/>
                    <w:tabs>
                      <w:tab w:val="left" w:pos="161"/>
                    </w:tabs>
                    <w:jc w:val="left"/>
                    <w:rPr>
                      <w:rFonts w:ascii="Arial Narrow" w:hAnsi="Arial Narrow"/>
                      <w:sz w:val="20"/>
                      <w:szCs w:val="20"/>
                    </w:rPr>
                  </w:pPr>
                  <w:r w:rsidRPr="00851B17">
                    <w:rPr>
                      <w:rFonts w:ascii="Arial Narrow" w:hAnsi="Arial Narrow"/>
                      <w:sz w:val="20"/>
                      <w:szCs w:val="20"/>
                    </w:rPr>
                    <w:t>Total eligible SOT</w:t>
                  </w:r>
                </w:p>
              </w:tc>
              <w:tc>
                <w:tcPr>
                  <w:tcW w:w="786" w:type="dxa"/>
                </w:tcPr>
                <w:p w14:paraId="0FE64AAE"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140</w:t>
                  </w:r>
                </w:p>
              </w:tc>
              <w:tc>
                <w:tcPr>
                  <w:tcW w:w="864" w:type="dxa"/>
                </w:tcPr>
                <w:p w14:paraId="10CBB055"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146</w:t>
                  </w:r>
                </w:p>
              </w:tc>
              <w:tc>
                <w:tcPr>
                  <w:tcW w:w="865" w:type="dxa"/>
                </w:tcPr>
                <w:p w14:paraId="71386C6A"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151</w:t>
                  </w:r>
                </w:p>
              </w:tc>
              <w:tc>
                <w:tcPr>
                  <w:tcW w:w="865" w:type="dxa"/>
                </w:tcPr>
                <w:p w14:paraId="1CA41FE9"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157</w:t>
                  </w:r>
                </w:p>
              </w:tc>
              <w:tc>
                <w:tcPr>
                  <w:tcW w:w="933" w:type="dxa"/>
                </w:tcPr>
                <w:p w14:paraId="5F68FBCB"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163</w:t>
                  </w:r>
                </w:p>
              </w:tc>
              <w:tc>
                <w:tcPr>
                  <w:tcW w:w="849" w:type="dxa"/>
                </w:tcPr>
                <w:p w14:paraId="599085E4" w14:textId="77777777"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169</w:t>
                  </w:r>
                </w:p>
              </w:tc>
            </w:tr>
            <w:tr w:rsidR="00851B17" w:rsidRPr="00851B17" w14:paraId="0A93115F" w14:textId="77777777" w:rsidTr="00570777">
              <w:tc>
                <w:tcPr>
                  <w:tcW w:w="7201" w:type="dxa"/>
                  <w:gridSpan w:val="7"/>
                  <w:vAlign w:val="center"/>
                </w:tcPr>
                <w:p w14:paraId="39C66164" w14:textId="77777777" w:rsidR="00851B17" w:rsidRPr="00851B17" w:rsidRDefault="00851B17" w:rsidP="00570777">
                  <w:pPr>
                    <w:widowControl w:val="0"/>
                    <w:jc w:val="left"/>
                    <w:rPr>
                      <w:rFonts w:ascii="Arial Narrow" w:hAnsi="Arial Narrow"/>
                      <w:b/>
                      <w:bCs/>
                      <w:sz w:val="20"/>
                      <w:szCs w:val="20"/>
                    </w:rPr>
                  </w:pPr>
                  <w:r w:rsidRPr="00851B17">
                    <w:rPr>
                      <w:rFonts w:ascii="Arial Narrow" w:hAnsi="Arial Narrow"/>
                      <w:b/>
                      <w:bCs/>
                      <w:sz w:val="20"/>
                      <w:szCs w:val="20"/>
                    </w:rPr>
                    <w:lastRenderedPageBreak/>
                    <w:t>HSCT</w:t>
                  </w:r>
                </w:p>
              </w:tc>
            </w:tr>
            <w:tr w:rsidR="00851B17" w:rsidRPr="00851B17" w14:paraId="463FDF86" w14:textId="77777777" w:rsidTr="00570777">
              <w:tc>
                <w:tcPr>
                  <w:tcW w:w="2039" w:type="dxa"/>
                  <w:vAlign w:val="center"/>
                </w:tcPr>
                <w:p w14:paraId="470E2D66"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HSCT patients</w:t>
                  </w:r>
                </w:p>
              </w:tc>
              <w:tc>
                <w:tcPr>
                  <w:tcW w:w="786" w:type="dxa"/>
                  <w:vAlign w:val="center"/>
                </w:tcPr>
                <w:p w14:paraId="05F06B43"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655</w:t>
                  </w:r>
                </w:p>
              </w:tc>
              <w:tc>
                <w:tcPr>
                  <w:tcW w:w="864" w:type="dxa"/>
                  <w:vAlign w:val="center"/>
                </w:tcPr>
                <w:p w14:paraId="734FAE92"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684</w:t>
                  </w:r>
                </w:p>
              </w:tc>
              <w:tc>
                <w:tcPr>
                  <w:tcW w:w="865" w:type="dxa"/>
                  <w:vAlign w:val="center"/>
                </w:tcPr>
                <w:p w14:paraId="52E910F2"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714</w:t>
                  </w:r>
                </w:p>
              </w:tc>
              <w:tc>
                <w:tcPr>
                  <w:tcW w:w="865" w:type="dxa"/>
                  <w:vAlign w:val="center"/>
                </w:tcPr>
                <w:p w14:paraId="523C0222"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745</w:t>
                  </w:r>
                </w:p>
              </w:tc>
              <w:tc>
                <w:tcPr>
                  <w:tcW w:w="933" w:type="dxa"/>
                  <w:vAlign w:val="center"/>
                </w:tcPr>
                <w:p w14:paraId="632AB39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778</w:t>
                  </w:r>
                </w:p>
              </w:tc>
              <w:tc>
                <w:tcPr>
                  <w:tcW w:w="849" w:type="dxa"/>
                  <w:vAlign w:val="center"/>
                </w:tcPr>
                <w:p w14:paraId="783938A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812</w:t>
                  </w:r>
                </w:p>
              </w:tc>
            </w:tr>
            <w:tr w:rsidR="00851B17" w:rsidRPr="00851B17" w14:paraId="7789D98A" w14:textId="77777777" w:rsidTr="00570777">
              <w:tc>
                <w:tcPr>
                  <w:tcW w:w="2039" w:type="dxa"/>
                  <w:vAlign w:val="center"/>
                </w:tcPr>
                <w:p w14:paraId="1B6EE4A2"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Number of HSCT patients with CMV infection (34.0%)</w:t>
                  </w:r>
                </w:p>
              </w:tc>
              <w:tc>
                <w:tcPr>
                  <w:tcW w:w="786" w:type="dxa"/>
                  <w:vAlign w:val="center"/>
                </w:tcPr>
                <w:p w14:paraId="0845E33C"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223</w:t>
                  </w:r>
                </w:p>
              </w:tc>
              <w:tc>
                <w:tcPr>
                  <w:tcW w:w="864" w:type="dxa"/>
                  <w:vAlign w:val="center"/>
                </w:tcPr>
                <w:p w14:paraId="7C2B3A1A"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232</w:t>
                  </w:r>
                </w:p>
              </w:tc>
              <w:tc>
                <w:tcPr>
                  <w:tcW w:w="865" w:type="dxa"/>
                  <w:vAlign w:val="center"/>
                </w:tcPr>
                <w:p w14:paraId="2160F853"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243</w:t>
                  </w:r>
                </w:p>
              </w:tc>
              <w:tc>
                <w:tcPr>
                  <w:tcW w:w="865" w:type="dxa"/>
                  <w:vAlign w:val="center"/>
                </w:tcPr>
                <w:p w14:paraId="20234BD1"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253</w:t>
                  </w:r>
                </w:p>
              </w:tc>
              <w:tc>
                <w:tcPr>
                  <w:tcW w:w="933" w:type="dxa"/>
                  <w:vAlign w:val="center"/>
                </w:tcPr>
                <w:p w14:paraId="0520453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264</w:t>
                  </w:r>
                </w:p>
              </w:tc>
              <w:tc>
                <w:tcPr>
                  <w:tcW w:w="849" w:type="dxa"/>
                  <w:vAlign w:val="center"/>
                </w:tcPr>
                <w:p w14:paraId="420C93A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276</w:t>
                  </w:r>
                </w:p>
              </w:tc>
            </w:tr>
            <w:tr w:rsidR="00851B17" w:rsidRPr="00851B17" w14:paraId="4F45CB94" w14:textId="77777777" w:rsidTr="00570777">
              <w:tc>
                <w:tcPr>
                  <w:tcW w:w="2039" w:type="dxa"/>
                  <w:vAlign w:val="center"/>
                </w:tcPr>
                <w:p w14:paraId="7E6B7BD7"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ab/>
                    <w:t>Resistant (5.2%)</w:t>
                  </w:r>
                </w:p>
              </w:tc>
              <w:tc>
                <w:tcPr>
                  <w:tcW w:w="786" w:type="dxa"/>
                  <w:vAlign w:val="center"/>
                </w:tcPr>
                <w:p w14:paraId="7C7AD8E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12</w:t>
                  </w:r>
                </w:p>
              </w:tc>
              <w:tc>
                <w:tcPr>
                  <w:tcW w:w="864" w:type="dxa"/>
                  <w:vAlign w:val="center"/>
                </w:tcPr>
                <w:p w14:paraId="0FE0AC48"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12</w:t>
                  </w:r>
                </w:p>
              </w:tc>
              <w:tc>
                <w:tcPr>
                  <w:tcW w:w="865" w:type="dxa"/>
                  <w:vAlign w:val="center"/>
                </w:tcPr>
                <w:p w14:paraId="393DF1D7"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13</w:t>
                  </w:r>
                </w:p>
              </w:tc>
              <w:tc>
                <w:tcPr>
                  <w:tcW w:w="865" w:type="dxa"/>
                  <w:vAlign w:val="center"/>
                </w:tcPr>
                <w:p w14:paraId="18739AFA"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13</w:t>
                  </w:r>
                </w:p>
              </w:tc>
              <w:tc>
                <w:tcPr>
                  <w:tcW w:w="933" w:type="dxa"/>
                  <w:vAlign w:val="center"/>
                </w:tcPr>
                <w:p w14:paraId="260D2271"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14</w:t>
                  </w:r>
                </w:p>
              </w:tc>
              <w:tc>
                <w:tcPr>
                  <w:tcW w:w="849" w:type="dxa"/>
                  <w:vAlign w:val="center"/>
                </w:tcPr>
                <w:p w14:paraId="60EF16AD"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14</w:t>
                  </w:r>
                </w:p>
              </w:tc>
            </w:tr>
            <w:tr w:rsidR="00851B17" w:rsidRPr="00851B17" w14:paraId="1CBEDCB8" w14:textId="77777777" w:rsidTr="00570777">
              <w:tc>
                <w:tcPr>
                  <w:tcW w:w="2039" w:type="dxa"/>
                  <w:vAlign w:val="center"/>
                </w:tcPr>
                <w:p w14:paraId="439FD9B6"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ab/>
                    <w:t>Refractory (32.0%)</w:t>
                  </w:r>
                </w:p>
              </w:tc>
              <w:tc>
                <w:tcPr>
                  <w:tcW w:w="786" w:type="dxa"/>
                  <w:vAlign w:val="center"/>
                </w:tcPr>
                <w:p w14:paraId="666FF900"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71</w:t>
                  </w:r>
                </w:p>
              </w:tc>
              <w:tc>
                <w:tcPr>
                  <w:tcW w:w="864" w:type="dxa"/>
                  <w:vAlign w:val="center"/>
                </w:tcPr>
                <w:p w14:paraId="70B065B1"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74</w:t>
                  </w:r>
                </w:p>
              </w:tc>
              <w:tc>
                <w:tcPr>
                  <w:tcW w:w="865" w:type="dxa"/>
                  <w:vAlign w:val="center"/>
                </w:tcPr>
                <w:p w14:paraId="3A3A1855"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78</w:t>
                  </w:r>
                </w:p>
              </w:tc>
              <w:tc>
                <w:tcPr>
                  <w:tcW w:w="865" w:type="dxa"/>
                  <w:vAlign w:val="center"/>
                </w:tcPr>
                <w:p w14:paraId="61C45768"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81</w:t>
                  </w:r>
                </w:p>
              </w:tc>
              <w:tc>
                <w:tcPr>
                  <w:tcW w:w="933" w:type="dxa"/>
                  <w:vAlign w:val="center"/>
                </w:tcPr>
                <w:p w14:paraId="445A2B84"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85</w:t>
                  </w:r>
                </w:p>
              </w:tc>
              <w:tc>
                <w:tcPr>
                  <w:tcW w:w="849" w:type="dxa"/>
                  <w:vAlign w:val="center"/>
                </w:tcPr>
                <w:p w14:paraId="52442EA9"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88</w:t>
                  </w:r>
                </w:p>
              </w:tc>
            </w:tr>
            <w:tr w:rsidR="00851B17" w:rsidRPr="00851B17" w14:paraId="4C8D312E" w14:textId="77777777" w:rsidTr="00570777">
              <w:tc>
                <w:tcPr>
                  <w:tcW w:w="2039" w:type="dxa"/>
                  <w:vAlign w:val="center"/>
                </w:tcPr>
                <w:p w14:paraId="612631B8"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ab/>
                    <w:t>Intolerant (20%)</w:t>
                  </w:r>
                </w:p>
              </w:tc>
              <w:tc>
                <w:tcPr>
                  <w:tcW w:w="786" w:type="dxa"/>
                  <w:vAlign w:val="center"/>
                </w:tcPr>
                <w:p w14:paraId="114E4680"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45</w:t>
                  </w:r>
                </w:p>
              </w:tc>
              <w:tc>
                <w:tcPr>
                  <w:tcW w:w="864" w:type="dxa"/>
                  <w:vAlign w:val="center"/>
                </w:tcPr>
                <w:p w14:paraId="02F34A23"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46</w:t>
                  </w:r>
                </w:p>
              </w:tc>
              <w:tc>
                <w:tcPr>
                  <w:tcW w:w="865" w:type="dxa"/>
                  <w:vAlign w:val="center"/>
                </w:tcPr>
                <w:p w14:paraId="4A6FC594"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49</w:t>
                  </w:r>
                </w:p>
              </w:tc>
              <w:tc>
                <w:tcPr>
                  <w:tcW w:w="865" w:type="dxa"/>
                  <w:vAlign w:val="center"/>
                </w:tcPr>
                <w:p w14:paraId="3CFBA6B2"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51</w:t>
                  </w:r>
                </w:p>
              </w:tc>
              <w:tc>
                <w:tcPr>
                  <w:tcW w:w="933" w:type="dxa"/>
                  <w:vAlign w:val="center"/>
                </w:tcPr>
                <w:p w14:paraId="1D36C2AC"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53</w:t>
                  </w:r>
                </w:p>
              </w:tc>
              <w:tc>
                <w:tcPr>
                  <w:tcW w:w="849" w:type="dxa"/>
                  <w:vAlign w:val="center"/>
                </w:tcPr>
                <w:p w14:paraId="58D70950"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55</w:t>
                  </w:r>
                </w:p>
              </w:tc>
            </w:tr>
            <w:tr w:rsidR="00851B17" w:rsidRPr="00851B17" w14:paraId="55B22749" w14:textId="77777777" w:rsidTr="00570777">
              <w:tc>
                <w:tcPr>
                  <w:tcW w:w="2039" w:type="dxa"/>
                  <w:vAlign w:val="center"/>
                </w:tcPr>
                <w:p w14:paraId="5FA499DC"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Total eligible HSCT</w:t>
                  </w:r>
                </w:p>
              </w:tc>
              <w:tc>
                <w:tcPr>
                  <w:tcW w:w="786" w:type="dxa"/>
                  <w:vAlign w:val="bottom"/>
                </w:tcPr>
                <w:p w14:paraId="48AF7931"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127</w:t>
                  </w:r>
                </w:p>
              </w:tc>
              <w:tc>
                <w:tcPr>
                  <w:tcW w:w="864" w:type="dxa"/>
                  <w:vAlign w:val="bottom"/>
                </w:tcPr>
                <w:p w14:paraId="0EC938B3"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133</w:t>
                  </w:r>
                </w:p>
              </w:tc>
              <w:tc>
                <w:tcPr>
                  <w:tcW w:w="865" w:type="dxa"/>
                  <w:vAlign w:val="bottom"/>
                </w:tcPr>
                <w:p w14:paraId="5890F415"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139</w:t>
                  </w:r>
                </w:p>
              </w:tc>
              <w:tc>
                <w:tcPr>
                  <w:tcW w:w="865" w:type="dxa"/>
                  <w:vAlign w:val="bottom"/>
                </w:tcPr>
                <w:p w14:paraId="4BF0A74A"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145</w:t>
                  </w:r>
                </w:p>
              </w:tc>
              <w:tc>
                <w:tcPr>
                  <w:tcW w:w="933" w:type="dxa"/>
                  <w:vAlign w:val="bottom"/>
                </w:tcPr>
                <w:p w14:paraId="6A4E9DA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151</w:t>
                  </w:r>
                </w:p>
              </w:tc>
              <w:tc>
                <w:tcPr>
                  <w:tcW w:w="849" w:type="dxa"/>
                  <w:vAlign w:val="bottom"/>
                </w:tcPr>
                <w:p w14:paraId="65039684"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158</w:t>
                  </w:r>
                </w:p>
              </w:tc>
            </w:tr>
            <w:tr w:rsidR="00851B17" w:rsidRPr="00851B17" w14:paraId="631EBF53" w14:textId="77777777" w:rsidTr="00570777">
              <w:tc>
                <w:tcPr>
                  <w:tcW w:w="7201" w:type="dxa"/>
                  <w:gridSpan w:val="7"/>
                  <w:vAlign w:val="center"/>
                </w:tcPr>
                <w:p w14:paraId="2E99F37D" w14:textId="77777777" w:rsidR="00851B17" w:rsidRPr="00851B17" w:rsidRDefault="00851B17" w:rsidP="00570777">
                  <w:pPr>
                    <w:widowControl w:val="0"/>
                    <w:jc w:val="left"/>
                    <w:rPr>
                      <w:rFonts w:ascii="Arial Narrow" w:hAnsi="Arial Narrow"/>
                      <w:b/>
                      <w:bCs/>
                      <w:sz w:val="20"/>
                      <w:szCs w:val="20"/>
                    </w:rPr>
                  </w:pPr>
                  <w:r w:rsidRPr="00851B17">
                    <w:rPr>
                      <w:rFonts w:ascii="Arial Narrow" w:hAnsi="Arial Narrow"/>
                      <w:b/>
                      <w:bCs/>
                      <w:sz w:val="20"/>
                      <w:szCs w:val="20"/>
                    </w:rPr>
                    <w:t>Totals (SOT + HSCT)</w:t>
                  </w:r>
                </w:p>
              </w:tc>
            </w:tr>
            <w:tr w:rsidR="00851B17" w:rsidRPr="00851B17" w14:paraId="67C31AEA" w14:textId="77777777" w:rsidTr="00570777">
              <w:tc>
                <w:tcPr>
                  <w:tcW w:w="2039" w:type="dxa"/>
                </w:tcPr>
                <w:p w14:paraId="2D9EC6D8"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Transplant patients</w:t>
                  </w:r>
                </w:p>
              </w:tc>
              <w:tc>
                <w:tcPr>
                  <w:tcW w:w="786" w:type="dxa"/>
                </w:tcPr>
                <w:p w14:paraId="3F3F1154"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2,320</w:t>
                  </w:r>
                </w:p>
              </w:tc>
              <w:tc>
                <w:tcPr>
                  <w:tcW w:w="864" w:type="dxa"/>
                </w:tcPr>
                <w:p w14:paraId="71889A94"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2,413</w:t>
                  </w:r>
                </w:p>
              </w:tc>
              <w:tc>
                <w:tcPr>
                  <w:tcW w:w="865" w:type="dxa"/>
                </w:tcPr>
                <w:p w14:paraId="209F2285"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2,510</w:t>
                  </w:r>
                </w:p>
              </w:tc>
              <w:tc>
                <w:tcPr>
                  <w:tcW w:w="865" w:type="dxa"/>
                </w:tcPr>
                <w:p w14:paraId="13FBFA72"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2,610</w:t>
                  </w:r>
                </w:p>
              </w:tc>
              <w:tc>
                <w:tcPr>
                  <w:tcW w:w="933" w:type="dxa"/>
                </w:tcPr>
                <w:p w14:paraId="44C3AEBF"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2,715</w:t>
                  </w:r>
                </w:p>
              </w:tc>
              <w:tc>
                <w:tcPr>
                  <w:tcW w:w="849" w:type="dxa"/>
                </w:tcPr>
                <w:p w14:paraId="2213AC3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2,824</w:t>
                  </w:r>
                </w:p>
              </w:tc>
            </w:tr>
            <w:tr w:rsidR="00851B17" w:rsidRPr="00851B17" w14:paraId="38EF8F3B" w14:textId="77777777" w:rsidTr="00570777">
              <w:tc>
                <w:tcPr>
                  <w:tcW w:w="2039" w:type="dxa"/>
                </w:tcPr>
                <w:p w14:paraId="42EC67C9"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CMV infection</w:t>
                  </w:r>
                </w:p>
              </w:tc>
              <w:tc>
                <w:tcPr>
                  <w:tcW w:w="786" w:type="dxa"/>
                </w:tcPr>
                <w:p w14:paraId="02566FA0"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602</w:t>
                  </w:r>
                </w:p>
              </w:tc>
              <w:tc>
                <w:tcPr>
                  <w:tcW w:w="864" w:type="dxa"/>
                </w:tcPr>
                <w:p w14:paraId="49050C4A"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626</w:t>
                  </w:r>
                </w:p>
              </w:tc>
              <w:tc>
                <w:tcPr>
                  <w:tcW w:w="865" w:type="dxa"/>
                </w:tcPr>
                <w:p w14:paraId="61B55171"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651</w:t>
                  </w:r>
                </w:p>
              </w:tc>
              <w:tc>
                <w:tcPr>
                  <w:tcW w:w="865" w:type="dxa"/>
                </w:tcPr>
                <w:p w14:paraId="040255BD"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678</w:t>
                  </w:r>
                </w:p>
              </w:tc>
              <w:tc>
                <w:tcPr>
                  <w:tcW w:w="933" w:type="dxa"/>
                </w:tcPr>
                <w:p w14:paraId="689FE689"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705</w:t>
                  </w:r>
                </w:p>
              </w:tc>
              <w:tc>
                <w:tcPr>
                  <w:tcW w:w="849" w:type="dxa"/>
                </w:tcPr>
                <w:p w14:paraId="595BFC6C"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734</w:t>
                  </w:r>
                </w:p>
              </w:tc>
            </w:tr>
            <w:tr w:rsidR="00851B17" w:rsidRPr="00851B17" w14:paraId="69B85C51" w14:textId="77777777" w:rsidTr="00570777">
              <w:tc>
                <w:tcPr>
                  <w:tcW w:w="7201" w:type="dxa"/>
                  <w:gridSpan w:val="7"/>
                  <w:vAlign w:val="center"/>
                </w:tcPr>
                <w:p w14:paraId="595695A9" w14:textId="77777777" w:rsidR="00851B17" w:rsidRPr="00851B17" w:rsidRDefault="00851B17" w:rsidP="00570777">
                  <w:pPr>
                    <w:widowControl w:val="0"/>
                    <w:jc w:val="left"/>
                    <w:rPr>
                      <w:rFonts w:ascii="Arial Narrow" w:hAnsi="Arial Narrow"/>
                      <w:b/>
                      <w:bCs/>
                      <w:sz w:val="20"/>
                      <w:szCs w:val="20"/>
                    </w:rPr>
                  </w:pPr>
                  <w:r w:rsidRPr="00851B17">
                    <w:rPr>
                      <w:rFonts w:ascii="Arial Narrow" w:hAnsi="Arial Narrow"/>
                      <w:b/>
                      <w:bCs/>
                      <w:sz w:val="20"/>
                      <w:szCs w:val="20"/>
                    </w:rPr>
                    <w:t>Eligible patients – SOT and HSCT</w:t>
                  </w:r>
                </w:p>
              </w:tc>
            </w:tr>
            <w:tr w:rsidR="00851B17" w:rsidRPr="00851B17" w14:paraId="24982DEF" w14:textId="77777777" w:rsidTr="00570777">
              <w:tc>
                <w:tcPr>
                  <w:tcW w:w="2039" w:type="dxa"/>
                </w:tcPr>
                <w:p w14:paraId="60BA8D27"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ab/>
                    <w:t>Resistant</w:t>
                  </w:r>
                </w:p>
              </w:tc>
              <w:tc>
                <w:tcPr>
                  <w:tcW w:w="786" w:type="dxa"/>
                </w:tcPr>
                <w:p w14:paraId="6FC6096D"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32 </w:t>
                  </w:r>
                </w:p>
              </w:tc>
              <w:tc>
                <w:tcPr>
                  <w:tcW w:w="864" w:type="dxa"/>
                </w:tcPr>
                <w:p w14:paraId="1B6488E5"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33 </w:t>
                  </w:r>
                </w:p>
              </w:tc>
              <w:tc>
                <w:tcPr>
                  <w:tcW w:w="865" w:type="dxa"/>
                </w:tcPr>
                <w:p w14:paraId="7AE47B0D"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34 </w:t>
                  </w:r>
                </w:p>
              </w:tc>
              <w:tc>
                <w:tcPr>
                  <w:tcW w:w="865" w:type="dxa"/>
                </w:tcPr>
                <w:p w14:paraId="2A5194F7"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36 </w:t>
                  </w:r>
                </w:p>
              </w:tc>
              <w:tc>
                <w:tcPr>
                  <w:tcW w:w="933" w:type="dxa"/>
                </w:tcPr>
                <w:p w14:paraId="16CC894C"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37 </w:t>
                  </w:r>
                </w:p>
              </w:tc>
              <w:tc>
                <w:tcPr>
                  <w:tcW w:w="849" w:type="dxa"/>
                </w:tcPr>
                <w:p w14:paraId="3FBBD99D"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39 </w:t>
                  </w:r>
                </w:p>
              </w:tc>
            </w:tr>
            <w:tr w:rsidR="00851B17" w:rsidRPr="00851B17" w14:paraId="0B42B0DE" w14:textId="77777777" w:rsidTr="00570777">
              <w:tc>
                <w:tcPr>
                  <w:tcW w:w="2039" w:type="dxa"/>
                </w:tcPr>
                <w:p w14:paraId="7D26F1C1"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ab/>
                    <w:t>Refractory</w:t>
                  </w:r>
                </w:p>
              </w:tc>
              <w:tc>
                <w:tcPr>
                  <w:tcW w:w="786" w:type="dxa"/>
                </w:tcPr>
                <w:p w14:paraId="5A156156"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153 </w:t>
                  </w:r>
                </w:p>
              </w:tc>
              <w:tc>
                <w:tcPr>
                  <w:tcW w:w="864" w:type="dxa"/>
                </w:tcPr>
                <w:p w14:paraId="01441390"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160</w:t>
                  </w:r>
                </w:p>
              </w:tc>
              <w:tc>
                <w:tcPr>
                  <w:tcW w:w="865" w:type="dxa"/>
                </w:tcPr>
                <w:p w14:paraId="2BAF1D55"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166 </w:t>
                  </w:r>
                </w:p>
              </w:tc>
              <w:tc>
                <w:tcPr>
                  <w:tcW w:w="865" w:type="dxa"/>
                </w:tcPr>
                <w:p w14:paraId="78050B30"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173 </w:t>
                  </w:r>
                </w:p>
              </w:tc>
              <w:tc>
                <w:tcPr>
                  <w:tcW w:w="933" w:type="dxa"/>
                </w:tcPr>
                <w:p w14:paraId="748B1673"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180 </w:t>
                  </w:r>
                </w:p>
              </w:tc>
              <w:tc>
                <w:tcPr>
                  <w:tcW w:w="849" w:type="dxa"/>
                </w:tcPr>
                <w:p w14:paraId="16E9327D"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188 </w:t>
                  </w:r>
                </w:p>
              </w:tc>
            </w:tr>
            <w:tr w:rsidR="00851B17" w:rsidRPr="00851B17" w14:paraId="4BF6B27E" w14:textId="77777777" w:rsidTr="00570777">
              <w:tc>
                <w:tcPr>
                  <w:tcW w:w="2039" w:type="dxa"/>
                </w:tcPr>
                <w:p w14:paraId="1887E4C1"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ab/>
                    <w:t>Intolerant</w:t>
                  </w:r>
                </w:p>
              </w:tc>
              <w:tc>
                <w:tcPr>
                  <w:tcW w:w="786" w:type="dxa"/>
                </w:tcPr>
                <w:p w14:paraId="305F8B1E"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82 </w:t>
                  </w:r>
                </w:p>
              </w:tc>
              <w:tc>
                <w:tcPr>
                  <w:tcW w:w="864" w:type="dxa"/>
                </w:tcPr>
                <w:p w14:paraId="5C68D0E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86 </w:t>
                  </w:r>
                </w:p>
              </w:tc>
              <w:tc>
                <w:tcPr>
                  <w:tcW w:w="865" w:type="dxa"/>
                </w:tcPr>
                <w:p w14:paraId="3C23AB1A"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89 </w:t>
                  </w:r>
                </w:p>
              </w:tc>
              <w:tc>
                <w:tcPr>
                  <w:tcW w:w="865" w:type="dxa"/>
                </w:tcPr>
                <w:p w14:paraId="3F67D538"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93 </w:t>
                  </w:r>
                </w:p>
              </w:tc>
              <w:tc>
                <w:tcPr>
                  <w:tcW w:w="933" w:type="dxa"/>
                </w:tcPr>
                <w:p w14:paraId="0D6B97D8"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97 </w:t>
                  </w:r>
                </w:p>
              </w:tc>
              <w:tc>
                <w:tcPr>
                  <w:tcW w:w="849" w:type="dxa"/>
                </w:tcPr>
                <w:p w14:paraId="73ACEC6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sz w:val="20"/>
                      <w:szCs w:val="20"/>
                    </w:rPr>
                    <w:t xml:space="preserve">101 </w:t>
                  </w:r>
                </w:p>
              </w:tc>
            </w:tr>
            <w:tr w:rsidR="00851B17" w:rsidRPr="00851B17" w14:paraId="5A773653" w14:textId="77777777" w:rsidTr="00570777">
              <w:tc>
                <w:tcPr>
                  <w:tcW w:w="2039" w:type="dxa"/>
                </w:tcPr>
                <w:p w14:paraId="522A5BB9"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b/>
                      <w:bCs/>
                      <w:sz w:val="20"/>
                      <w:szCs w:val="20"/>
                    </w:rPr>
                    <w:t>Total eligible</w:t>
                  </w:r>
                </w:p>
              </w:tc>
              <w:tc>
                <w:tcPr>
                  <w:tcW w:w="786" w:type="dxa"/>
                </w:tcPr>
                <w:p w14:paraId="3E0D9AC7"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 xml:space="preserve">267 </w:t>
                  </w:r>
                </w:p>
              </w:tc>
              <w:tc>
                <w:tcPr>
                  <w:tcW w:w="864" w:type="dxa"/>
                </w:tcPr>
                <w:p w14:paraId="2AF7A494"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 xml:space="preserve">278 </w:t>
                  </w:r>
                </w:p>
              </w:tc>
              <w:tc>
                <w:tcPr>
                  <w:tcW w:w="865" w:type="dxa"/>
                </w:tcPr>
                <w:p w14:paraId="797184E6"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290</w:t>
                  </w:r>
                </w:p>
              </w:tc>
              <w:tc>
                <w:tcPr>
                  <w:tcW w:w="865" w:type="dxa"/>
                </w:tcPr>
                <w:p w14:paraId="1304622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302</w:t>
                  </w:r>
                </w:p>
              </w:tc>
              <w:tc>
                <w:tcPr>
                  <w:tcW w:w="933" w:type="dxa"/>
                </w:tcPr>
                <w:p w14:paraId="2A36D3C7"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 xml:space="preserve">314 </w:t>
                  </w:r>
                </w:p>
              </w:tc>
              <w:tc>
                <w:tcPr>
                  <w:tcW w:w="849" w:type="dxa"/>
                </w:tcPr>
                <w:p w14:paraId="14675010"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 xml:space="preserve">327 </w:t>
                  </w:r>
                </w:p>
              </w:tc>
            </w:tr>
          </w:tbl>
          <w:p w14:paraId="2A6BF70E" w14:textId="77777777" w:rsidR="00851B17" w:rsidRPr="00851B17" w:rsidRDefault="00851B17" w:rsidP="00570777">
            <w:pPr>
              <w:widowControl w:val="0"/>
              <w:jc w:val="left"/>
              <w:rPr>
                <w:rFonts w:ascii="Arial Narrow" w:hAnsi="Arial Narrow"/>
                <w:sz w:val="20"/>
                <w:szCs w:val="20"/>
              </w:rPr>
            </w:pPr>
          </w:p>
        </w:tc>
      </w:tr>
      <w:tr w:rsidR="00851B17" w:rsidRPr="00851B17" w14:paraId="2CCC2C52" w14:textId="77777777" w:rsidTr="0057077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F5D53" w14:textId="77777777" w:rsidR="00851B17" w:rsidRPr="00851B17" w:rsidRDefault="00851B17" w:rsidP="00570777">
            <w:pPr>
              <w:widowControl w:val="0"/>
              <w:jc w:val="left"/>
              <w:rPr>
                <w:rFonts w:ascii="Arial Narrow" w:hAnsi="Arial Narrow"/>
                <w:b/>
                <w:sz w:val="20"/>
                <w:szCs w:val="20"/>
              </w:rPr>
            </w:pPr>
            <w:r w:rsidRPr="00851B17">
              <w:rPr>
                <w:rFonts w:ascii="Arial Narrow" w:hAnsi="Arial Narrow"/>
                <w:b/>
                <w:sz w:val="20"/>
                <w:szCs w:val="20"/>
              </w:rPr>
              <w:lastRenderedPageBreak/>
              <w:t>Utilisation</w:t>
            </w:r>
          </w:p>
        </w:tc>
      </w:tr>
      <w:tr w:rsidR="00851B17" w:rsidRPr="00851B17" w14:paraId="26CC405B" w14:textId="77777777" w:rsidTr="00F22B06">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D004F"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Uptake and treatment</w:t>
            </w:r>
          </w:p>
        </w:tc>
        <w:tc>
          <w:tcPr>
            <w:tcW w:w="4374" w:type="pct"/>
            <w:tcBorders>
              <w:top w:val="single" w:sz="4" w:space="0" w:color="auto"/>
              <w:left w:val="single" w:sz="4" w:space="0" w:color="auto"/>
              <w:bottom w:val="single" w:sz="4" w:space="0" w:color="auto"/>
              <w:right w:val="single" w:sz="4" w:space="0" w:color="auto"/>
            </w:tcBorders>
            <w:shd w:val="clear" w:color="auto" w:fill="auto"/>
            <w:vAlign w:val="center"/>
          </w:tcPr>
          <w:p w14:paraId="6691AB37" w14:textId="4019D7CF" w:rsidR="00851B17" w:rsidRPr="00851B17" w:rsidRDefault="00851B17" w:rsidP="00570777">
            <w:pPr>
              <w:widowControl w:val="0"/>
              <w:spacing w:after="60"/>
              <w:jc w:val="left"/>
              <w:rPr>
                <w:rFonts w:ascii="Arial Narrow" w:hAnsi="Arial Narrow"/>
                <w:sz w:val="20"/>
                <w:szCs w:val="20"/>
              </w:rPr>
            </w:pPr>
            <w:r w:rsidRPr="00851B17">
              <w:rPr>
                <w:rFonts w:ascii="Arial Narrow" w:hAnsi="Arial Narrow"/>
                <w:sz w:val="20"/>
                <w:szCs w:val="20"/>
                <w:u w:val="single"/>
              </w:rPr>
              <w:t>Uptake</w:t>
            </w:r>
            <w:r w:rsidRPr="00851B17">
              <w:rPr>
                <w:rFonts w:ascii="Arial Narrow" w:hAnsi="Arial Narrow"/>
                <w:sz w:val="20"/>
                <w:szCs w:val="20"/>
              </w:rPr>
              <w:t>:</w:t>
            </w:r>
            <w:r w:rsidR="00E038A0">
              <w:rPr>
                <w:rFonts w:ascii="Arial Narrow" w:hAnsi="Arial Narrow"/>
                <w:sz w:val="20"/>
                <w:szCs w:val="20"/>
              </w:rPr>
              <w:t xml:space="preserve"> </w:t>
            </w:r>
            <w:r w:rsidR="00E038A0" w:rsidRPr="00E038A0">
              <w:rPr>
                <w:rFonts w:ascii="Arial Narrow" w:hAnsi="Arial Narrow"/>
                <w:color w:val="000000"/>
                <w:spacing w:val="49"/>
                <w:sz w:val="20"/>
                <w:szCs w:val="20"/>
                <w:shd w:val="solid" w:color="000000" w:fill="000000"/>
                <w:fitText w:val="320" w:id="-1032069623"/>
                <w14:textFill>
                  <w14:solidFill>
                    <w14:srgbClr w14:val="000000">
                      <w14:alpha w14:val="100000"/>
                    </w14:srgbClr>
                  </w14:solidFill>
                </w14:textFill>
              </w:rPr>
              <w:t>|||</w:t>
            </w:r>
            <w:r w:rsidR="00E038A0" w:rsidRPr="00E038A0">
              <w:rPr>
                <w:rFonts w:ascii="Arial Narrow" w:hAnsi="Arial Narrow"/>
                <w:color w:val="000000"/>
                <w:spacing w:val="3"/>
                <w:sz w:val="20"/>
                <w:szCs w:val="20"/>
                <w:shd w:val="solid" w:color="000000" w:fill="000000"/>
                <w:fitText w:val="320" w:id="-1032069623"/>
                <w14:textFill>
                  <w14:solidFill>
                    <w14:srgbClr w14:val="000000">
                      <w14:alpha w14:val="100000"/>
                    </w14:srgbClr>
                  </w14:solidFill>
                </w14:textFill>
              </w:rPr>
              <w:t>|</w:t>
            </w:r>
            <w:r w:rsidRPr="00851B17">
              <w:rPr>
                <w:rFonts w:ascii="Arial Narrow" w:hAnsi="Arial Narrow"/>
                <w:sz w:val="20"/>
                <w:szCs w:val="20"/>
              </w:rPr>
              <w:t>% in Year 1,</w:t>
            </w:r>
            <w:r w:rsidR="00E038A0">
              <w:rPr>
                <w:rFonts w:ascii="Arial Narrow" w:hAnsi="Arial Narrow"/>
                <w:sz w:val="20"/>
                <w:szCs w:val="20"/>
              </w:rPr>
              <w:t xml:space="preserve"> </w:t>
            </w:r>
            <w:r w:rsidR="00E038A0" w:rsidRPr="00E038A0">
              <w:rPr>
                <w:rFonts w:ascii="Arial Narrow" w:hAnsi="Arial Narrow"/>
                <w:color w:val="000000"/>
                <w:spacing w:val="53"/>
                <w:sz w:val="20"/>
                <w:szCs w:val="20"/>
                <w:shd w:val="solid" w:color="000000" w:fill="000000"/>
                <w:fitText w:val="330" w:id="-1032069622"/>
                <w14:textFill>
                  <w14:solidFill>
                    <w14:srgbClr w14:val="000000">
                      <w14:alpha w14:val="100000"/>
                    </w14:srgbClr>
                  </w14:solidFill>
                </w14:textFill>
              </w:rPr>
              <w:t>|||</w:t>
            </w:r>
            <w:r w:rsidR="00E038A0" w:rsidRPr="00E038A0">
              <w:rPr>
                <w:rFonts w:ascii="Arial Narrow" w:hAnsi="Arial Narrow"/>
                <w:color w:val="000000"/>
                <w:spacing w:val="1"/>
                <w:sz w:val="20"/>
                <w:szCs w:val="20"/>
                <w:shd w:val="solid" w:color="000000" w:fill="000000"/>
                <w:fitText w:val="330" w:id="-1032069622"/>
                <w14:textFill>
                  <w14:solidFill>
                    <w14:srgbClr w14:val="000000">
                      <w14:alpha w14:val="100000"/>
                    </w14:srgbClr>
                  </w14:solidFill>
                </w14:textFill>
              </w:rPr>
              <w:t>|</w:t>
            </w:r>
            <w:r w:rsidRPr="00851B17">
              <w:rPr>
                <w:rFonts w:ascii="Arial Narrow" w:hAnsi="Arial Narrow"/>
                <w:sz w:val="20"/>
                <w:szCs w:val="20"/>
              </w:rPr>
              <w:t>% in Year 2,</w:t>
            </w:r>
            <w:r w:rsidR="00E038A0">
              <w:rPr>
                <w:rFonts w:ascii="Arial Narrow" w:hAnsi="Arial Narrow"/>
                <w:sz w:val="20"/>
                <w:szCs w:val="20"/>
              </w:rPr>
              <w:t xml:space="preserve"> </w:t>
            </w:r>
            <w:r w:rsidR="00E038A0" w:rsidRPr="00E038A0">
              <w:rPr>
                <w:rFonts w:ascii="Arial Narrow" w:hAnsi="Arial Narrow"/>
                <w:color w:val="000000"/>
                <w:spacing w:val="49"/>
                <w:sz w:val="20"/>
                <w:szCs w:val="20"/>
                <w:shd w:val="solid" w:color="000000" w:fill="000000"/>
                <w:fitText w:val="320" w:id="-1032069621"/>
                <w14:textFill>
                  <w14:solidFill>
                    <w14:srgbClr w14:val="000000">
                      <w14:alpha w14:val="100000"/>
                    </w14:srgbClr>
                  </w14:solidFill>
                </w14:textFill>
              </w:rPr>
              <w:t>|||</w:t>
            </w:r>
            <w:r w:rsidR="00E038A0" w:rsidRPr="00E038A0">
              <w:rPr>
                <w:rFonts w:ascii="Arial Narrow" w:hAnsi="Arial Narrow"/>
                <w:color w:val="000000"/>
                <w:spacing w:val="3"/>
                <w:sz w:val="20"/>
                <w:szCs w:val="20"/>
                <w:shd w:val="solid" w:color="000000" w:fill="000000"/>
                <w:fitText w:val="320" w:id="-1032069621"/>
                <w14:textFill>
                  <w14:solidFill>
                    <w14:srgbClr w14:val="000000">
                      <w14:alpha w14:val="100000"/>
                    </w14:srgbClr>
                  </w14:solidFill>
                </w14:textFill>
              </w:rPr>
              <w:t>|</w:t>
            </w:r>
            <w:r w:rsidRPr="00851B17">
              <w:rPr>
                <w:rFonts w:ascii="Arial Narrow" w:hAnsi="Arial Narrow"/>
                <w:sz w:val="20"/>
                <w:szCs w:val="20"/>
              </w:rPr>
              <w:t>% in Year 3,</w:t>
            </w:r>
            <w:r w:rsidR="00E038A0">
              <w:rPr>
                <w:rFonts w:ascii="Arial Narrow" w:hAnsi="Arial Narrow"/>
                <w:sz w:val="20"/>
                <w:szCs w:val="20"/>
              </w:rPr>
              <w:t xml:space="preserve"> </w:t>
            </w:r>
            <w:r w:rsidR="00E038A0" w:rsidRPr="00E038A0">
              <w:rPr>
                <w:rFonts w:ascii="Arial Narrow" w:hAnsi="Arial Narrow"/>
                <w:color w:val="000000"/>
                <w:spacing w:val="53"/>
                <w:sz w:val="20"/>
                <w:szCs w:val="20"/>
                <w:shd w:val="solid" w:color="000000" w:fill="000000"/>
                <w:fitText w:val="330" w:id="-1032069620"/>
                <w14:textFill>
                  <w14:solidFill>
                    <w14:srgbClr w14:val="000000">
                      <w14:alpha w14:val="100000"/>
                    </w14:srgbClr>
                  </w14:solidFill>
                </w14:textFill>
              </w:rPr>
              <w:t>|||</w:t>
            </w:r>
            <w:r w:rsidR="00E038A0" w:rsidRPr="00E038A0">
              <w:rPr>
                <w:rFonts w:ascii="Arial Narrow" w:hAnsi="Arial Narrow"/>
                <w:color w:val="000000"/>
                <w:spacing w:val="1"/>
                <w:sz w:val="20"/>
                <w:szCs w:val="20"/>
                <w:shd w:val="solid" w:color="000000" w:fill="000000"/>
                <w:fitText w:val="330" w:id="-1032069620"/>
                <w14:textFill>
                  <w14:solidFill>
                    <w14:srgbClr w14:val="000000">
                      <w14:alpha w14:val="100000"/>
                    </w14:srgbClr>
                  </w14:solidFill>
                </w14:textFill>
              </w:rPr>
              <w:t>|</w:t>
            </w:r>
            <w:r w:rsidRPr="00851B17">
              <w:rPr>
                <w:rFonts w:ascii="Arial Narrow" w:hAnsi="Arial Narrow"/>
                <w:sz w:val="20"/>
                <w:szCs w:val="20"/>
              </w:rPr>
              <w:t>% in Years 4 to 6; sponsor assumption.</w:t>
            </w:r>
          </w:p>
          <w:p w14:paraId="7D6258FC"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u w:val="single"/>
              </w:rPr>
              <w:t>Grandfathered patients</w:t>
            </w:r>
            <w:r w:rsidRPr="00851B17">
              <w:rPr>
                <w:rFonts w:ascii="Arial Narrow" w:hAnsi="Arial Narrow"/>
                <w:sz w:val="20"/>
                <w:szCs w:val="20"/>
              </w:rPr>
              <w:t xml:space="preserve">: None. </w:t>
            </w:r>
          </w:p>
          <w:p w14:paraId="40FCACFD" w14:textId="77777777" w:rsidR="00851B17" w:rsidRPr="00851B17" w:rsidRDefault="00851B17" w:rsidP="00570777">
            <w:pPr>
              <w:widowControl w:val="0"/>
              <w:jc w:val="left"/>
              <w:rPr>
                <w:rFonts w:ascii="Arial Narrow" w:hAnsi="Arial Narrow"/>
                <w:sz w:val="20"/>
                <w:szCs w:val="20"/>
              </w:rPr>
            </w:pPr>
          </w:p>
          <w:tbl>
            <w:tblPr>
              <w:tblStyle w:val="TableGrid"/>
              <w:tblW w:w="7341" w:type="dxa"/>
              <w:tblCellMar>
                <w:left w:w="28" w:type="dxa"/>
                <w:right w:w="28" w:type="dxa"/>
              </w:tblCellMar>
              <w:tblLook w:val="04A0" w:firstRow="1" w:lastRow="0" w:firstColumn="1" w:lastColumn="0" w:noHBand="0" w:noVBand="1"/>
            </w:tblPr>
            <w:tblGrid>
              <w:gridCol w:w="2039"/>
              <w:gridCol w:w="883"/>
              <w:gridCol w:w="883"/>
              <w:gridCol w:w="884"/>
              <w:gridCol w:w="884"/>
              <w:gridCol w:w="884"/>
              <w:gridCol w:w="884"/>
            </w:tblGrid>
            <w:tr w:rsidR="00851B17" w:rsidRPr="00851B17" w14:paraId="6E6A3337" w14:textId="77777777" w:rsidTr="00570777">
              <w:tc>
                <w:tcPr>
                  <w:tcW w:w="2039" w:type="dxa"/>
                </w:tcPr>
                <w:p w14:paraId="3885400D" w14:textId="77777777" w:rsidR="00851B17" w:rsidRPr="00851B17" w:rsidRDefault="00851B17" w:rsidP="00570777">
                  <w:pPr>
                    <w:widowControl w:val="0"/>
                    <w:tabs>
                      <w:tab w:val="left" w:pos="161"/>
                    </w:tabs>
                    <w:jc w:val="left"/>
                    <w:rPr>
                      <w:rFonts w:ascii="Arial Narrow" w:hAnsi="Arial Narrow"/>
                      <w:sz w:val="20"/>
                      <w:szCs w:val="20"/>
                    </w:rPr>
                  </w:pPr>
                </w:p>
              </w:tc>
              <w:tc>
                <w:tcPr>
                  <w:tcW w:w="883" w:type="dxa"/>
                </w:tcPr>
                <w:p w14:paraId="6AF6F9E7"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1</w:t>
                  </w:r>
                </w:p>
              </w:tc>
              <w:tc>
                <w:tcPr>
                  <w:tcW w:w="883" w:type="dxa"/>
                </w:tcPr>
                <w:p w14:paraId="1FDE0230"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2</w:t>
                  </w:r>
                </w:p>
              </w:tc>
              <w:tc>
                <w:tcPr>
                  <w:tcW w:w="884" w:type="dxa"/>
                </w:tcPr>
                <w:p w14:paraId="2306BB3D"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3</w:t>
                  </w:r>
                </w:p>
              </w:tc>
              <w:tc>
                <w:tcPr>
                  <w:tcW w:w="884" w:type="dxa"/>
                </w:tcPr>
                <w:p w14:paraId="5449D7C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4</w:t>
                  </w:r>
                </w:p>
              </w:tc>
              <w:tc>
                <w:tcPr>
                  <w:tcW w:w="884" w:type="dxa"/>
                </w:tcPr>
                <w:p w14:paraId="2FE86F46"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5</w:t>
                  </w:r>
                </w:p>
              </w:tc>
              <w:tc>
                <w:tcPr>
                  <w:tcW w:w="884" w:type="dxa"/>
                </w:tcPr>
                <w:p w14:paraId="030192D2"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6</w:t>
                  </w:r>
                </w:p>
              </w:tc>
            </w:tr>
            <w:tr w:rsidR="00851B17" w:rsidRPr="00851B17" w14:paraId="0A5EE20D" w14:textId="77777777" w:rsidTr="00570777">
              <w:tc>
                <w:tcPr>
                  <w:tcW w:w="2039" w:type="dxa"/>
                  <w:tcBorders>
                    <w:bottom w:val="single" w:sz="4" w:space="0" w:color="auto"/>
                  </w:tcBorders>
                </w:tcPr>
                <w:p w14:paraId="7B3BB645" w14:textId="77777777" w:rsidR="00851B17" w:rsidRPr="00851B17" w:rsidRDefault="00851B17" w:rsidP="00570777">
                  <w:pPr>
                    <w:widowControl w:val="0"/>
                    <w:tabs>
                      <w:tab w:val="left" w:pos="161"/>
                    </w:tabs>
                    <w:jc w:val="left"/>
                    <w:rPr>
                      <w:rFonts w:ascii="Arial Narrow" w:hAnsi="Arial Narrow"/>
                      <w:sz w:val="20"/>
                      <w:szCs w:val="20"/>
                    </w:rPr>
                  </w:pPr>
                  <w:r w:rsidRPr="00851B17">
                    <w:rPr>
                      <w:rFonts w:ascii="Arial Narrow" w:hAnsi="Arial Narrow"/>
                      <w:sz w:val="20"/>
                      <w:szCs w:val="20"/>
                    </w:rPr>
                    <w:t>Total eligible</w:t>
                  </w:r>
                </w:p>
              </w:tc>
              <w:tc>
                <w:tcPr>
                  <w:tcW w:w="883" w:type="dxa"/>
                  <w:tcBorders>
                    <w:bottom w:val="single" w:sz="4" w:space="0" w:color="auto"/>
                  </w:tcBorders>
                </w:tcPr>
                <w:p w14:paraId="3CCC7E8F" w14:textId="0B2AD972" w:rsidR="00851B17" w:rsidRPr="00740A2F"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19"/>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19"/>
                      <w14:textFill>
                        <w14:solidFill>
                          <w14:srgbClr w14:val="000000">
                            <w14:alpha w14:val="100000"/>
                          </w14:srgbClr>
                        </w14:solidFill>
                      </w14:textFill>
                    </w:rPr>
                    <w:t>|</w:t>
                  </w:r>
                  <w:r w:rsidR="00740A2F" w:rsidRPr="0091390D">
                    <w:rPr>
                      <w:rFonts w:ascii="Arial Narrow" w:hAnsi="Arial Narrow"/>
                      <w:sz w:val="20"/>
                      <w:szCs w:val="20"/>
                      <w:vertAlign w:val="superscript"/>
                    </w:rPr>
                    <w:t>1</w:t>
                  </w:r>
                </w:p>
              </w:tc>
              <w:tc>
                <w:tcPr>
                  <w:tcW w:w="883" w:type="dxa"/>
                  <w:tcBorders>
                    <w:bottom w:val="single" w:sz="4" w:space="0" w:color="auto"/>
                  </w:tcBorders>
                </w:tcPr>
                <w:p w14:paraId="0C2019C8" w14:textId="6BD5D19B" w:rsidR="00851B17" w:rsidRPr="00740A2F"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18"/>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18"/>
                      <w14:textFill>
                        <w14:solidFill>
                          <w14:srgbClr w14:val="000000">
                            <w14:alpha w14:val="100000"/>
                          </w14:srgbClr>
                        </w14:solidFill>
                      </w14:textFill>
                    </w:rPr>
                    <w:t>|</w:t>
                  </w:r>
                  <w:r w:rsidR="00740A2F" w:rsidRPr="0091390D">
                    <w:rPr>
                      <w:rFonts w:ascii="Arial Narrow" w:hAnsi="Arial Narrow"/>
                      <w:sz w:val="20"/>
                      <w:szCs w:val="20"/>
                      <w:vertAlign w:val="superscript"/>
                    </w:rPr>
                    <w:t>1</w:t>
                  </w:r>
                </w:p>
              </w:tc>
              <w:tc>
                <w:tcPr>
                  <w:tcW w:w="884" w:type="dxa"/>
                  <w:tcBorders>
                    <w:bottom w:val="single" w:sz="4" w:space="0" w:color="auto"/>
                  </w:tcBorders>
                </w:tcPr>
                <w:p w14:paraId="4689BB5D" w14:textId="5B29C3DA" w:rsidR="00851B17" w:rsidRPr="00740A2F"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17"/>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17"/>
                      <w14:textFill>
                        <w14:solidFill>
                          <w14:srgbClr w14:val="000000">
                            <w14:alpha w14:val="100000"/>
                          </w14:srgbClr>
                        </w14:solidFill>
                      </w14:textFill>
                    </w:rPr>
                    <w:t>|</w:t>
                  </w:r>
                  <w:r w:rsidR="00740A2F" w:rsidRPr="0091390D">
                    <w:rPr>
                      <w:rFonts w:ascii="Arial Narrow" w:hAnsi="Arial Narrow"/>
                      <w:sz w:val="20"/>
                      <w:szCs w:val="20"/>
                      <w:vertAlign w:val="superscript"/>
                    </w:rPr>
                    <w:t>1</w:t>
                  </w:r>
                </w:p>
              </w:tc>
              <w:tc>
                <w:tcPr>
                  <w:tcW w:w="884" w:type="dxa"/>
                  <w:tcBorders>
                    <w:bottom w:val="single" w:sz="4" w:space="0" w:color="auto"/>
                  </w:tcBorders>
                </w:tcPr>
                <w:p w14:paraId="2CE5B0FC" w14:textId="16FAF4D0" w:rsidR="00851B17" w:rsidRPr="00740A2F"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16"/>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16"/>
                      <w14:textFill>
                        <w14:solidFill>
                          <w14:srgbClr w14:val="000000">
                            <w14:alpha w14:val="100000"/>
                          </w14:srgbClr>
                        </w14:solidFill>
                      </w14:textFill>
                    </w:rPr>
                    <w:t>|</w:t>
                  </w:r>
                  <w:r w:rsidR="00740A2F" w:rsidRPr="0091390D">
                    <w:rPr>
                      <w:rFonts w:ascii="Arial Narrow" w:hAnsi="Arial Narrow"/>
                      <w:sz w:val="20"/>
                      <w:szCs w:val="20"/>
                      <w:vertAlign w:val="superscript"/>
                    </w:rPr>
                    <w:t>1</w:t>
                  </w:r>
                </w:p>
              </w:tc>
              <w:tc>
                <w:tcPr>
                  <w:tcW w:w="884" w:type="dxa"/>
                  <w:tcBorders>
                    <w:bottom w:val="single" w:sz="4" w:space="0" w:color="auto"/>
                  </w:tcBorders>
                </w:tcPr>
                <w:p w14:paraId="02C370FE" w14:textId="02942261" w:rsidR="00851B17" w:rsidRPr="00740A2F"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32"/>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32"/>
                      <w14:textFill>
                        <w14:solidFill>
                          <w14:srgbClr w14:val="000000">
                            <w14:alpha w14:val="100000"/>
                          </w14:srgbClr>
                        </w14:solidFill>
                      </w14:textFill>
                    </w:rPr>
                    <w:t>|</w:t>
                  </w:r>
                  <w:r w:rsidR="00740A2F" w:rsidRPr="0091390D">
                    <w:rPr>
                      <w:rFonts w:ascii="Arial Narrow" w:hAnsi="Arial Narrow"/>
                      <w:sz w:val="20"/>
                      <w:szCs w:val="20"/>
                      <w:vertAlign w:val="superscript"/>
                    </w:rPr>
                    <w:t>1</w:t>
                  </w:r>
                </w:p>
              </w:tc>
              <w:tc>
                <w:tcPr>
                  <w:tcW w:w="884" w:type="dxa"/>
                  <w:tcBorders>
                    <w:bottom w:val="single" w:sz="4" w:space="0" w:color="auto"/>
                  </w:tcBorders>
                </w:tcPr>
                <w:p w14:paraId="1ED271A7" w14:textId="558A1CB4" w:rsidR="00851B17" w:rsidRPr="00740A2F"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31"/>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31"/>
                      <w14:textFill>
                        <w14:solidFill>
                          <w14:srgbClr w14:val="000000">
                            <w14:alpha w14:val="100000"/>
                          </w14:srgbClr>
                        </w14:solidFill>
                      </w14:textFill>
                    </w:rPr>
                    <w:t>|</w:t>
                  </w:r>
                  <w:r w:rsidR="00740A2F" w:rsidRPr="0091390D">
                    <w:rPr>
                      <w:rFonts w:ascii="Arial Narrow" w:hAnsi="Arial Narrow"/>
                      <w:sz w:val="20"/>
                      <w:szCs w:val="20"/>
                      <w:vertAlign w:val="superscript"/>
                    </w:rPr>
                    <w:t>1</w:t>
                  </w:r>
                </w:p>
              </w:tc>
            </w:tr>
            <w:tr w:rsidR="00851B17" w:rsidRPr="00851B17" w14:paraId="19031E6B" w14:textId="77777777" w:rsidTr="00570777">
              <w:tc>
                <w:tcPr>
                  <w:tcW w:w="2039" w:type="dxa"/>
                </w:tcPr>
                <w:p w14:paraId="7512B0AF" w14:textId="59ADA0AF"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b/>
                      <w:bCs/>
                      <w:sz w:val="20"/>
                      <w:szCs w:val="20"/>
                    </w:rPr>
                    <w:t>Uptake rate</w:t>
                  </w:r>
                  <w:r w:rsidR="00645AAD">
                    <w:rPr>
                      <w:rFonts w:ascii="Arial Narrow" w:hAnsi="Arial Narrow"/>
                      <w:b/>
                      <w:bCs/>
                      <w:sz w:val="20"/>
                      <w:szCs w:val="20"/>
                    </w:rPr>
                    <w:t xml:space="preserve"> (%)</w:t>
                  </w:r>
                </w:p>
              </w:tc>
              <w:tc>
                <w:tcPr>
                  <w:tcW w:w="883" w:type="dxa"/>
                </w:tcPr>
                <w:p w14:paraId="691130F8" w14:textId="51679AF0" w:rsidR="00851B17" w:rsidRPr="00645AAD" w:rsidRDefault="00E038A0" w:rsidP="00570777">
                  <w:pPr>
                    <w:widowControl w:val="0"/>
                    <w:jc w:val="center"/>
                    <w:rPr>
                      <w:rFonts w:ascii="Arial Narrow" w:hAnsi="Arial Narrow"/>
                      <w:b/>
                      <w:color w:val="000000"/>
                      <w:sz w:val="20"/>
                      <w:szCs w:val="20"/>
                      <w:highlight w:val="darkGray"/>
                    </w:rPr>
                  </w:pPr>
                  <w:r>
                    <w:rPr>
                      <w:rFonts w:ascii="Arial Narrow" w:hAnsi="Arial Narrow"/>
                      <w:b/>
                      <w:sz w:val="20"/>
                      <w:szCs w:val="20"/>
                    </w:rPr>
                    <w:t xml:space="preserve"> </w:t>
                  </w:r>
                  <w:r w:rsidRPr="00E038A0">
                    <w:rPr>
                      <w:rFonts w:ascii="Arial Narrow" w:hAnsi="Arial Narrow"/>
                      <w:b/>
                      <w:color w:val="000000"/>
                      <w:spacing w:val="108"/>
                      <w:sz w:val="20"/>
                      <w:szCs w:val="20"/>
                      <w:shd w:val="solid" w:color="000000" w:fill="000000"/>
                      <w:fitText w:val="200" w:id="-1032069630"/>
                      <w14:textFill>
                        <w14:solidFill>
                          <w14:srgbClr w14:val="000000">
                            <w14:alpha w14:val="100000"/>
                          </w14:srgbClr>
                        </w14:solidFill>
                      </w14:textFill>
                    </w:rPr>
                    <w:t>|</w:t>
                  </w:r>
                  <w:r w:rsidRPr="00E038A0">
                    <w:rPr>
                      <w:rFonts w:ascii="Arial Narrow" w:hAnsi="Arial Narrow"/>
                      <w:b/>
                      <w:color w:val="000000"/>
                      <w:spacing w:val="1"/>
                      <w:sz w:val="20"/>
                      <w:szCs w:val="20"/>
                      <w:shd w:val="solid" w:color="000000" w:fill="000000"/>
                      <w:fitText w:val="200" w:id="-1032069630"/>
                      <w14:textFill>
                        <w14:solidFill>
                          <w14:srgbClr w14:val="000000">
                            <w14:alpha w14:val="100000"/>
                          </w14:srgbClr>
                        </w14:solidFill>
                      </w14:textFill>
                    </w:rPr>
                    <w:t>|</w:t>
                  </w:r>
                </w:p>
              </w:tc>
              <w:tc>
                <w:tcPr>
                  <w:tcW w:w="883" w:type="dxa"/>
                </w:tcPr>
                <w:p w14:paraId="53907CA0" w14:textId="184C86B1" w:rsidR="00851B17" w:rsidRPr="00645AAD" w:rsidRDefault="00E038A0" w:rsidP="00570777">
                  <w:pPr>
                    <w:widowControl w:val="0"/>
                    <w:jc w:val="center"/>
                    <w:rPr>
                      <w:rFonts w:ascii="Arial Narrow" w:hAnsi="Arial Narrow"/>
                      <w:b/>
                      <w:color w:val="000000"/>
                      <w:sz w:val="20"/>
                      <w:szCs w:val="20"/>
                      <w:highlight w:val="darkGray"/>
                    </w:rPr>
                  </w:pPr>
                  <w:r>
                    <w:rPr>
                      <w:rFonts w:ascii="Arial Narrow" w:hAnsi="Arial Narrow"/>
                      <w:b/>
                      <w:sz w:val="20"/>
                      <w:szCs w:val="20"/>
                    </w:rPr>
                    <w:t xml:space="preserve"> </w:t>
                  </w:r>
                  <w:r w:rsidRPr="00E038A0">
                    <w:rPr>
                      <w:rFonts w:ascii="Arial Narrow" w:hAnsi="Arial Narrow"/>
                      <w:b/>
                      <w:color w:val="000000"/>
                      <w:spacing w:val="108"/>
                      <w:sz w:val="20"/>
                      <w:szCs w:val="20"/>
                      <w:shd w:val="solid" w:color="000000" w:fill="000000"/>
                      <w:fitText w:val="200" w:id="-1032069629"/>
                      <w14:textFill>
                        <w14:solidFill>
                          <w14:srgbClr w14:val="000000">
                            <w14:alpha w14:val="100000"/>
                          </w14:srgbClr>
                        </w14:solidFill>
                      </w14:textFill>
                    </w:rPr>
                    <w:t>|</w:t>
                  </w:r>
                  <w:r w:rsidRPr="00E038A0">
                    <w:rPr>
                      <w:rFonts w:ascii="Arial Narrow" w:hAnsi="Arial Narrow"/>
                      <w:b/>
                      <w:color w:val="000000"/>
                      <w:spacing w:val="1"/>
                      <w:sz w:val="20"/>
                      <w:szCs w:val="20"/>
                      <w:shd w:val="solid" w:color="000000" w:fill="000000"/>
                      <w:fitText w:val="200" w:id="-1032069629"/>
                      <w14:textFill>
                        <w14:solidFill>
                          <w14:srgbClr w14:val="000000">
                            <w14:alpha w14:val="100000"/>
                          </w14:srgbClr>
                        </w14:solidFill>
                      </w14:textFill>
                    </w:rPr>
                    <w:t>|</w:t>
                  </w:r>
                </w:p>
              </w:tc>
              <w:tc>
                <w:tcPr>
                  <w:tcW w:w="884" w:type="dxa"/>
                </w:tcPr>
                <w:p w14:paraId="6909DA7E" w14:textId="246462EF" w:rsidR="00851B17" w:rsidRPr="00645AAD" w:rsidRDefault="00E038A0" w:rsidP="00570777">
                  <w:pPr>
                    <w:widowControl w:val="0"/>
                    <w:jc w:val="center"/>
                    <w:rPr>
                      <w:rFonts w:ascii="Arial Narrow" w:hAnsi="Arial Narrow"/>
                      <w:b/>
                      <w:color w:val="000000"/>
                      <w:sz w:val="20"/>
                      <w:szCs w:val="20"/>
                      <w:highlight w:val="darkGray"/>
                    </w:rPr>
                  </w:pPr>
                  <w:r>
                    <w:rPr>
                      <w:rFonts w:ascii="Arial Narrow" w:hAnsi="Arial Narrow"/>
                      <w:b/>
                      <w:sz w:val="20"/>
                      <w:szCs w:val="20"/>
                    </w:rPr>
                    <w:t xml:space="preserve"> </w:t>
                  </w:r>
                  <w:r w:rsidRPr="00E038A0">
                    <w:rPr>
                      <w:rFonts w:ascii="Arial Narrow" w:hAnsi="Arial Narrow"/>
                      <w:b/>
                      <w:color w:val="000000"/>
                      <w:spacing w:val="108"/>
                      <w:sz w:val="20"/>
                      <w:szCs w:val="20"/>
                      <w:shd w:val="solid" w:color="000000" w:fill="000000"/>
                      <w:fitText w:val="200" w:id="-1032069628"/>
                      <w14:textFill>
                        <w14:solidFill>
                          <w14:srgbClr w14:val="000000">
                            <w14:alpha w14:val="100000"/>
                          </w14:srgbClr>
                        </w14:solidFill>
                      </w14:textFill>
                    </w:rPr>
                    <w:t>|</w:t>
                  </w:r>
                  <w:r w:rsidRPr="00E038A0">
                    <w:rPr>
                      <w:rFonts w:ascii="Arial Narrow" w:hAnsi="Arial Narrow"/>
                      <w:b/>
                      <w:color w:val="000000"/>
                      <w:spacing w:val="1"/>
                      <w:sz w:val="20"/>
                      <w:szCs w:val="20"/>
                      <w:shd w:val="solid" w:color="000000" w:fill="000000"/>
                      <w:fitText w:val="200" w:id="-1032069628"/>
                      <w14:textFill>
                        <w14:solidFill>
                          <w14:srgbClr w14:val="000000">
                            <w14:alpha w14:val="100000"/>
                          </w14:srgbClr>
                        </w14:solidFill>
                      </w14:textFill>
                    </w:rPr>
                    <w:t>|</w:t>
                  </w:r>
                </w:p>
              </w:tc>
              <w:tc>
                <w:tcPr>
                  <w:tcW w:w="884" w:type="dxa"/>
                </w:tcPr>
                <w:p w14:paraId="3A1001D8" w14:textId="045261EB" w:rsidR="00851B17" w:rsidRPr="00645AAD" w:rsidRDefault="00E038A0" w:rsidP="00570777">
                  <w:pPr>
                    <w:widowControl w:val="0"/>
                    <w:jc w:val="center"/>
                    <w:rPr>
                      <w:rFonts w:ascii="Arial Narrow" w:hAnsi="Arial Narrow"/>
                      <w:b/>
                      <w:color w:val="000000"/>
                      <w:sz w:val="20"/>
                      <w:szCs w:val="20"/>
                      <w:highlight w:val="darkGray"/>
                    </w:rPr>
                  </w:pPr>
                  <w:r>
                    <w:rPr>
                      <w:rFonts w:ascii="Arial Narrow" w:hAnsi="Arial Narrow"/>
                      <w:b/>
                      <w:sz w:val="20"/>
                      <w:szCs w:val="20"/>
                    </w:rPr>
                    <w:t xml:space="preserve"> </w:t>
                  </w:r>
                  <w:r w:rsidRPr="00E038A0">
                    <w:rPr>
                      <w:rFonts w:ascii="Arial Narrow" w:hAnsi="Arial Narrow"/>
                      <w:b/>
                      <w:color w:val="000000"/>
                      <w:spacing w:val="108"/>
                      <w:sz w:val="20"/>
                      <w:szCs w:val="20"/>
                      <w:shd w:val="solid" w:color="000000" w:fill="000000"/>
                      <w:fitText w:val="200" w:id="-1032069627"/>
                      <w14:textFill>
                        <w14:solidFill>
                          <w14:srgbClr w14:val="000000">
                            <w14:alpha w14:val="100000"/>
                          </w14:srgbClr>
                        </w14:solidFill>
                      </w14:textFill>
                    </w:rPr>
                    <w:t>|</w:t>
                  </w:r>
                  <w:r w:rsidRPr="00E038A0">
                    <w:rPr>
                      <w:rFonts w:ascii="Arial Narrow" w:hAnsi="Arial Narrow"/>
                      <w:b/>
                      <w:color w:val="000000"/>
                      <w:spacing w:val="1"/>
                      <w:sz w:val="20"/>
                      <w:szCs w:val="20"/>
                      <w:shd w:val="solid" w:color="000000" w:fill="000000"/>
                      <w:fitText w:val="200" w:id="-1032069627"/>
                      <w14:textFill>
                        <w14:solidFill>
                          <w14:srgbClr w14:val="000000">
                            <w14:alpha w14:val="100000"/>
                          </w14:srgbClr>
                        </w14:solidFill>
                      </w14:textFill>
                    </w:rPr>
                    <w:t>|</w:t>
                  </w:r>
                </w:p>
              </w:tc>
              <w:tc>
                <w:tcPr>
                  <w:tcW w:w="884" w:type="dxa"/>
                </w:tcPr>
                <w:p w14:paraId="13238ECB" w14:textId="74BB4C39" w:rsidR="00851B17" w:rsidRPr="00645AAD" w:rsidRDefault="00E038A0" w:rsidP="00570777">
                  <w:pPr>
                    <w:widowControl w:val="0"/>
                    <w:jc w:val="center"/>
                    <w:rPr>
                      <w:rFonts w:ascii="Arial Narrow" w:hAnsi="Arial Narrow"/>
                      <w:b/>
                      <w:color w:val="000000"/>
                      <w:sz w:val="20"/>
                      <w:szCs w:val="20"/>
                      <w:highlight w:val="darkGray"/>
                    </w:rPr>
                  </w:pPr>
                  <w:r>
                    <w:rPr>
                      <w:rFonts w:ascii="Arial Narrow" w:hAnsi="Arial Narrow"/>
                      <w:b/>
                      <w:sz w:val="20"/>
                      <w:szCs w:val="20"/>
                    </w:rPr>
                    <w:t xml:space="preserve"> </w:t>
                  </w:r>
                  <w:r w:rsidRPr="00E038A0">
                    <w:rPr>
                      <w:rFonts w:ascii="Arial Narrow" w:hAnsi="Arial Narrow"/>
                      <w:b/>
                      <w:color w:val="000000"/>
                      <w:spacing w:val="108"/>
                      <w:sz w:val="20"/>
                      <w:szCs w:val="20"/>
                      <w:shd w:val="solid" w:color="000000" w:fill="000000"/>
                      <w:fitText w:val="200" w:id="-1032069626"/>
                      <w14:textFill>
                        <w14:solidFill>
                          <w14:srgbClr w14:val="000000">
                            <w14:alpha w14:val="100000"/>
                          </w14:srgbClr>
                        </w14:solidFill>
                      </w14:textFill>
                    </w:rPr>
                    <w:t>|</w:t>
                  </w:r>
                  <w:r w:rsidRPr="00E038A0">
                    <w:rPr>
                      <w:rFonts w:ascii="Arial Narrow" w:hAnsi="Arial Narrow"/>
                      <w:b/>
                      <w:color w:val="000000"/>
                      <w:spacing w:val="1"/>
                      <w:sz w:val="20"/>
                      <w:szCs w:val="20"/>
                      <w:shd w:val="solid" w:color="000000" w:fill="000000"/>
                      <w:fitText w:val="200" w:id="-1032069626"/>
                      <w14:textFill>
                        <w14:solidFill>
                          <w14:srgbClr w14:val="000000">
                            <w14:alpha w14:val="100000"/>
                          </w14:srgbClr>
                        </w14:solidFill>
                      </w14:textFill>
                    </w:rPr>
                    <w:t>|</w:t>
                  </w:r>
                </w:p>
              </w:tc>
              <w:tc>
                <w:tcPr>
                  <w:tcW w:w="884" w:type="dxa"/>
                </w:tcPr>
                <w:p w14:paraId="5629B49F" w14:textId="190C1A26" w:rsidR="00851B17" w:rsidRPr="00645AAD" w:rsidRDefault="00E038A0" w:rsidP="00570777">
                  <w:pPr>
                    <w:widowControl w:val="0"/>
                    <w:jc w:val="center"/>
                    <w:rPr>
                      <w:rFonts w:ascii="Arial Narrow" w:hAnsi="Arial Narrow"/>
                      <w:b/>
                      <w:color w:val="000000"/>
                      <w:sz w:val="20"/>
                      <w:szCs w:val="20"/>
                      <w:highlight w:val="darkGray"/>
                    </w:rPr>
                  </w:pPr>
                  <w:r>
                    <w:rPr>
                      <w:rFonts w:ascii="Arial Narrow" w:hAnsi="Arial Narrow"/>
                      <w:b/>
                      <w:sz w:val="20"/>
                      <w:szCs w:val="20"/>
                    </w:rPr>
                    <w:t xml:space="preserve"> </w:t>
                  </w:r>
                  <w:r w:rsidRPr="00E038A0">
                    <w:rPr>
                      <w:rFonts w:ascii="Arial Narrow" w:hAnsi="Arial Narrow"/>
                      <w:b/>
                      <w:color w:val="000000"/>
                      <w:spacing w:val="108"/>
                      <w:sz w:val="20"/>
                      <w:szCs w:val="20"/>
                      <w:shd w:val="solid" w:color="000000" w:fill="000000"/>
                      <w:fitText w:val="200" w:id="-1032069625"/>
                      <w14:textFill>
                        <w14:solidFill>
                          <w14:srgbClr w14:val="000000">
                            <w14:alpha w14:val="100000"/>
                          </w14:srgbClr>
                        </w14:solidFill>
                      </w14:textFill>
                    </w:rPr>
                    <w:t>|</w:t>
                  </w:r>
                  <w:r w:rsidRPr="00E038A0">
                    <w:rPr>
                      <w:rFonts w:ascii="Arial Narrow" w:hAnsi="Arial Narrow"/>
                      <w:b/>
                      <w:color w:val="000000"/>
                      <w:spacing w:val="1"/>
                      <w:sz w:val="20"/>
                      <w:szCs w:val="20"/>
                      <w:shd w:val="solid" w:color="000000" w:fill="000000"/>
                      <w:fitText w:val="200" w:id="-1032069625"/>
                      <w14:textFill>
                        <w14:solidFill>
                          <w14:srgbClr w14:val="000000">
                            <w14:alpha w14:val="100000"/>
                          </w14:srgbClr>
                        </w14:solidFill>
                      </w14:textFill>
                    </w:rPr>
                    <w:t>|</w:t>
                  </w:r>
                </w:p>
              </w:tc>
            </w:tr>
            <w:tr w:rsidR="00851B17" w:rsidRPr="00851B17" w14:paraId="4A6A45B4" w14:textId="77777777" w:rsidTr="00570777">
              <w:tc>
                <w:tcPr>
                  <w:tcW w:w="2039" w:type="dxa"/>
                </w:tcPr>
                <w:p w14:paraId="27B29C81"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ab/>
                    <w:t>Resistant</w:t>
                  </w:r>
                </w:p>
              </w:tc>
              <w:tc>
                <w:tcPr>
                  <w:tcW w:w="883" w:type="dxa"/>
                </w:tcPr>
                <w:p w14:paraId="0A2ACC18" w14:textId="66055663"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4"/>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4"/>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3" w:type="dxa"/>
                </w:tcPr>
                <w:p w14:paraId="26E47648" w14:textId="46C02618"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3"/>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3"/>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259A7F86" w14:textId="1E4A02EA"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2"/>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2"/>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331B0994" w14:textId="29B3D272"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1"/>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1"/>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2F4B3AB3" w14:textId="016AC978"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0"/>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0"/>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7417A6E3" w14:textId="1D17F959"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19"/>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19"/>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r>
            <w:tr w:rsidR="00851B17" w:rsidRPr="00851B17" w14:paraId="027418DE" w14:textId="77777777" w:rsidTr="00570777">
              <w:tc>
                <w:tcPr>
                  <w:tcW w:w="2039" w:type="dxa"/>
                </w:tcPr>
                <w:p w14:paraId="6A00F250"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ab/>
                    <w:t>Refractory</w:t>
                  </w:r>
                </w:p>
              </w:tc>
              <w:tc>
                <w:tcPr>
                  <w:tcW w:w="883" w:type="dxa"/>
                </w:tcPr>
                <w:p w14:paraId="415CE4CB" w14:textId="10348F10"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18"/>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18"/>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3" w:type="dxa"/>
                </w:tcPr>
                <w:p w14:paraId="23C211A5" w14:textId="6FD98751"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17"/>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17"/>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672BAEDF" w14:textId="042A9C0F"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16"/>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16"/>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11E0893D" w14:textId="4F948C40"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32"/>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32"/>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6DFDB609" w14:textId="2CD79F7F"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31"/>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31"/>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393D5F0C" w14:textId="489B7CE2"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30"/>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30"/>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r>
            <w:tr w:rsidR="00851B17" w:rsidRPr="00851B17" w14:paraId="0F2301AB" w14:textId="77777777" w:rsidTr="00570777">
              <w:tc>
                <w:tcPr>
                  <w:tcW w:w="2039" w:type="dxa"/>
                </w:tcPr>
                <w:p w14:paraId="3AEAB765"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sz w:val="20"/>
                      <w:szCs w:val="20"/>
                    </w:rPr>
                    <w:tab/>
                    <w:t>Intolerant</w:t>
                  </w:r>
                </w:p>
              </w:tc>
              <w:tc>
                <w:tcPr>
                  <w:tcW w:w="883" w:type="dxa"/>
                </w:tcPr>
                <w:p w14:paraId="598A60C1" w14:textId="73DAD73B"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9"/>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9"/>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3" w:type="dxa"/>
                </w:tcPr>
                <w:p w14:paraId="2CAEAC66" w14:textId="5E9DB589"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8"/>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8"/>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44188831" w14:textId="2F12CBDB"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7"/>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7"/>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7C2D900C" w14:textId="473CBCCF"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6"/>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6"/>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7AFC0ACD" w14:textId="3A874828"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5"/>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5"/>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323750C9" w14:textId="4DB2CCDF" w:rsidR="00851B17" w:rsidRPr="0091390D"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04"/>
                      <w:sz w:val="20"/>
                      <w:szCs w:val="20"/>
                      <w:shd w:val="solid" w:color="000000" w:fill="000000"/>
                      <w:fitText w:val="190" w:id="-1032069624"/>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190" w:id="-1032069624"/>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r>
            <w:tr w:rsidR="00851B17" w:rsidRPr="00851B17" w14:paraId="1832CA32" w14:textId="77777777" w:rsidTr="00570777">
              <w:tc>
                <w:tcPr>
                  <w:tcW w:w="2039" w:type="dxa"/>
                </w:tcPr>
                <w:p w14:paraId="4D03BE02" w14:textId="77777777" w:rsidR="00851B17" w:rsidRPr="00851B17" w:rsidRDefault="00851B17" w:rsidP="00570777">
                  <w:pPr>
                    <w:widowControl w:val="0"/>
                    <w:tabs>
                      <w:tab w:val="left" w:pos="161"/>
                    </w:tabs>
                    <w:jc w:val="left"/>
                    <w:rPr>
                      <w:rFonts w:ascii="Arial Narrow" w:hAnsi="Arial Narrow"/>
                      <w:b/>
                      <w:bCs/>
                      <w:sz w:val="20"/>
                      <w:szCs w:val="20"/>
                    </w:rPr>
                  </w:pPr>
                  <w:r w:rsidRPr="00851B17">
                    <w:rPr>
                      <w:rFonts w:ascii="Arial Narrow" w:hAnsi="Arial Narrow"/>
                      <w:b/>
                      <w:bCs/>
                      <w:sz w:val="20"/>
                      <w:szCs w:val="20"/>
                    </w:rPr>
                    <w:t>Total treated</w:t>
                  </w:r>
                </w:p>
              </w:tc>
              <w:tc>
                <w:tcPr>
                  <w:tcW w:w="883" w:type="dxa"/>
                </w:tcPr>
                <w:p w14:paraId="239D381B" w14:textId="0DD4545C" w:rsidR="00851B17" w:rsidRPr="0091390D" w:rsidRDefault="00E038A0" w:rsidP="00570777">
                  <w:pPr>
                    <w:widowControl w:val="0"/>
                    <w:jc w:val="center"/>
                    <w:rPr>
                      <w:rFonts w:ascii="Arial Narrow" w:hAnsi="Arial Narrow"/>
                      <w:b/>
                      <w:bCs/>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6"/>
                      <w:sz w:val="20"/>
                      <w:szCs w:val="20"/>
                      <w:shd w:val="solid" w:color="000000" w:fill="000000"/>
                      <w:fitText w:val="230" w:id="-1032069623"/>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230" w:id="-1032069623"/>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3" w:type="dxa"/>
                </w:tcPr>
                <w:p w14:paraId="617E346E" w14:textId="04E52632" w:rsidR="00851B17" w:rsidRPr="0091390D" w:rsidRDefault="00E038A0" w:rsidP="00570777">
                  <w:pPr>
                    <w:widowControl w:val="0"/>
                    <w:jc w:val="center"/>
                    <w:rPr>
                      <w:rFonts w:ascii="Arial Narrow" w:hAnsi="Arial Narrow"/>
                      <w:b/>
                      <w:bCs/>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6"/>
                      <w:sz w:val="20"/>
                      <w:szCs w:val="20"/>
                      <w:shd w:val="solid" w:color="000000" w:fill="000000"/>
                      <w:fitText w:val="230" w:id="-1032069622"/>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230" w:id="-1032069622"/>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41AE4AE2" w14:textId="58315B48" w:rsidR="00851B17" w:rsidRPr="0091390D" w:rsidRDefault="00E038A0" w:rsidP="00570777">
                  <w:pPr>
                    <w:widowControl w:val="0"/>
                    <w:jc w:val="center"/>
                    <w:rPr>
                      <w:rFonts w:ascii="Arial Narrow" w:hAnsi="Arial Narrow"/>
                      <w:b/>
                      <w:bCs/>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6"/>
                      <w:sz w:val="20"/>
                      <w:szCs w:val="20"/>
                      <w:shd w:val="solid" w:color="000000" w:fill="000000"/>
                      <w:fitText w:val="230" w:id="-1032069621"/>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230" w:id="-1032069621"/>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567BA1A8" w14:textId="24630EAC" w:rsidR="00851B17" w:rsidRPr="0091390D" w:rsidRDefault="00E038A0" w:rsidP="00570777">
                  <w:pPr>
                    <w:widowControl w:val="0"/>
                    <w:jc w:val="center"/>
                    <w:rPr>
                      <w:rFonts w:ascii="Arial Narrow" w:hAnsi="Arial Narrow"/>
                      <w:b/>
                      <w:bCs/>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6"/>
                      <w:sz w:val="20"/>
                      <w:szCs w:val="20"/>
                      <w:shd w:val="solid" w:color="000000" w:fill="000000"/>
                      <w:fitText w:val="230" w:id="-1032069620"/>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230" w:id="-1032069620"/>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5FF596E7" w14:textId="13C91DE1" w:rsidR="00851B17" w:rsidRPr="0091390D" w:rsidRDefault="00E038A0" w:rsidP="00570777">
                  <w:pPr>
                    <w:widowControl w:val="0"/>
                    <w:jc w:val="center"/>
                    <w:rPr>
                      <w:rFonts w:ascii="Arial Narrow" w:hAnsi="Arial Narrow"/>
                      <w:b/>
                      <w:bCs/>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6"/>
                      <w:sz w:val="20"/>
                      <w:szCs w:val="20"/>
                      <w:shd w:val="solid" w:color="000000" w:fill="000000"/>
                      <w:fitText w:val="230" w:id="-1032069619"/>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230" w:id="-1032069619"/>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6BAAF2D5" w14:textId="0C68DE41" w:rsidR="00851B17" w:rsidRPr="0091390D" w:rsidRDefault="00E038A0" w:rsidP="00570777">
                  <w:pPr>
                    <w:widowControl w:val="0"/>
                    <w:jc w:val="center"/>
                    <w:rPr>
                      <w:rFonts w:ascii="Arial Narrow" w:hAnsi="Arial Narrow"/>
                      <w:b/>
                      <w:bCs/>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6"/>
                      <w:sz w:val="20"/>
                      <w:szCs w:val="20"/>
                      <w:shd w:val="solid" w:color="000000" w:fill="000000"/>
                      <w:fitText w:val="230" w:id="-1032069618"/>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230" w:id="-1032069618"/>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r>
          </w:tbl>
          <w:p w14:paraId="6F839A88" w14:textId="77777777" w:rsidR="00851B17" w:rsidRPr="00851B17" w:rsidRDefault="00851B17" w:rsidP="00570777">
            <w:pPr>
              <w:widowControl w:val="0"/>
              <w:tabs>
                <w:tab w:val="left" w:pos="205"/>
              </w:tabs>
              <w:jc w:val="left"/>
              <w:rPr>
                <w:rFonts w:ascii="Arial Narrow" w:hAnsi="Arial Narrow"/>
                <w:sz w:val="18"/>
                <w:szCs w:val="18"/>
              </w:rPr>
            </w:pPr>
          </w:p>
        </w:tc>
      </w:tr>
      <w:tr w:rsidR="00851B17" w:rsidRPr="00851B17" w14:paraId="0D6319F2" w14:textId="77777777" w:rsidTr="00F22B06">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4CD9ABC"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 xml:space="preserve">Number of scripts </w:t>
            </w:r>
          </w:p>
        </w:tc>
        <w:tc>
          <w:tcPr>
            <w:tcW w:w="4374" w:type="pct"/>
            <w:tcBorders>
              <w:top w:val="single" w:sz="4" w:space="0" w:color="auto"/>
              <w:left w:val="single" w:sz="4" w:space="0" w:color="auto"/>
              <w:bottom w:val="single" w:sz="4" w:space="0" w:color="auto"/>
              <w:right w:val="single" w:sz="4" w:space="0" w:color="auto"/>
            </w:tcBorders>
            <w:shd w:val="clear" w:color="auto" w:fill="auto"/>
            <w:vAlign w:val="center"/>
          </w:tcPr>
          <w:p w14:paraId="5EB5D033"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u w:val="single"/>
              </w:rPr>
              <w:t>PBS/RPBS</w:t>
            </w:r>
            <w:r w:rsidRPr="00851B17">
              <w:rPr>
                <w:rFonts w:ascii="Arial Narrow" w:hAnsi="Arial Narrow"/>
                <w:sz w:val="20"/>
                <w:szCs w:val="20"/>
              </w:rPr>
              <w:t>: Given the use of ganciclovir and valganciclovir for prophylaxis reported in the Section 4 Excel workbook, where RPBS use was 0.49%, the submission assumed that no RPBS scripts would be used, thus all estimated scripts are PBS scripts.</w:t>
            </w:r>
          </w:p>
          <w:p w14:paraId="00010D52"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u w:val="single"/>
              </w:rPr>
              <w:t>Treatment duration</w:t>
            </w:r>
            <w:r w:rsidRPr="00851B17">
              <w:rPr>
                <w:rFonts w:ascii="Arial Narrow" w:hAnsi="Arial Narrow"/>
                <w:sz w:val="20"/>
                <w:szCs w:val="20"/>
              </w:rPr>
              <w:t xml:space="preserve">: The number of scripts assumed 7.5 weeks of treatment (1 script per week) sourced from SOLSTICE. </w:t>
            </w:r>
          </w:p>
          <w:p w14:paraId="4368BFA2" w14:textId="77777777" w:rsidR="00851B17" w:rsidRPr="00851B17" w:rsidRDefault="00851B17" w:rsidP="00570777">
            <w:pPr>
              <w:widowControl w:val="0"/>
              <w:jc w:val="left"/>
              <w:rPr>
                <w:rFonts w:ascii="Arial Narrow" w:hAnsi="Arial Narrow"/>
                <w:sz w:val="20"/>
                <w:szCs w:val="20"/>
              </w:rPr>
            </w:pPr>
          </w:p>
          <w:tbl>
            <w:tblPr>
              <w:tblStyle w:val="TableGrid"/>
              <w:tblW w:w="0" w:type="auto"/>
              <w:tblLook w:val="04A0" w:firstRow="1" w:lastRow="0" w:firstColumn="1" w:lastColumn="0" w:noHBand="0" w:noVBand="1"/>
            </w:tblPr>
            <w:tblGrid>
              <w:gridCol w:w="2039"/>
              <w:gridCol w:w="883"/>
              <w:gridCol w:w="883"/>
              <w:gridCol w:w="884"/>
              <w:gridCol w:w="884"/>
              <w:gridCol w:w="884"/>
              <w:gridCol w:w="916"/>
            </w:tblGrid>
            <w:tr w:rsidR="00851B17" w:rsidRPr="00851B17" w14:paraId="246C9EFF" w14:textId="77777777" w:rsidTr="00570777">
              <w:tc>
                <w:tcPr>
                  <w:tcW w:w="2039" w:type="dxa"/>
                </w:tcPr>
                <w:p w14:paraId="248C7036" w14:textId="77777777" w:rsidR="00851B17" w:rsidRPr="00851B17" w:rsidRDefault="00851B17" w:rsidP="00570777">
                  <w:pPr>
                    <w:widowControl w:val="0"/>
                    <w:jc w:val="left"/>
                    <w:rPr>
                      <w:rFonts w:ascii="Arial Narrow" w:hAnsi="Arial Narrow"/>
                    </w:rPr>
                  </w:pPr>
                </w:p>
              </w:tc>
              <w:tc>
                <w:tcPr>
                  <w:tcW w:w="883" w:type="dxa"/>
                </w:tcPr>
                <w:p w14:paraId="3AB99E76"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1</w:t>
                  </w:r>
                </w:p>
              </w:tc>
              <w:tc>
                <w:tcPr>
                  <w:tcW w:w="883" w:type="dxa"/>
                </w:tcPr>
                <w:p w14:paraId="7E00DC58"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2</w:t>
                  </w:r>
                </w:p>
              </w:tc>
              <w:tc>
                <w:tcPr>
                  <w:tcW w:w="884" w:type="dxa"/>
                </w:tcPr>
                <w:p w14:paraId="0212271D"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3</w:t>
                  </w:r>
                </w:p>
              </w:tc>
              <w:tc>
                <w:tcPr>
                  <w:tcW w:w="884" w:type="dxa"/>
                </w:tcPr>
                <w:p w14:paraId="0D7342DA"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4</w:t>
                  </w:r>
                </w:p>
              </w:tc>
              <w:tc>
                <w:tcPr>
                  <w:tcW w:w="884" w:type="dxa"/>
                </w:tcPr>
                <w:p w14:paraId="19D86B55"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5</w:t>
                  </w:r>
                </w:p>
              </w:tc>
              <w:tc>
                <w:tcPr>
                  <w:tcW w:w="916" w:type="dxa"/>
                </w:tcPr>
                <w:p w14:paraId="1E9A66F6"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6</w:t>
                  </w:r>
                </w:p>
              </w:tc>
            </w:tr>
            <w:tr w:rsidR="00851B17" w:rsidRPr="00851B17" w14:paraId="5D31992D" w14:textId="77777777" w:rsidTr="00570777">
              <w:tc>
                <w:tcPr>
                  <w:tcW w:w="2039" w:type="dxa"/>
                </w:tcPr>
                <w:p w14:paraId="761C55E1"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Patients</w:t>
                  </w:r>
                </w:p>
              </w:tc>
              <w:tc>
                <w:tcPr>
                  <w:tcW w:w="883" w:type="dxa"/>
                </w:tcPr>
                <w:p w14:paraId="38179040" w14:textId="01397EF6" w:rsidR="00851B17" w:rsidRPr="00CD4256"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84"/>
                      <w:sz w:val="20"/>
                      <w:szCs w:val="20"/>
                      <w:shd w:val="solid" w:color="000000" w:fill="000000"/>
                      <w:fitText w:val="270" w:id="-1032069617"/>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270" w:id="-1032069617"/>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3" w:type="dxa"/>
                </w:tcPr>
                <w:p w14:paraId="7B05B64C" w14:textId="7040E577" w:rsidR="00851B17" w:rsidRPr="00CD4256"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84"/>
                      <w:sz w:val="20"/>
                      <w:szCs w:val="20"/>
                      <w:shd w:val="solid" w:color="000000" w:fill="000000"/>
                      <w:fitText w:val="270" w:id="-1032069616"/>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270" w:id="-1032069616"/>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252F73A7" w14:textId="47D1BF84" w:rsidR="00851B17" w:rsidRPr="00CD4256"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84"/>
                      <w:sz w:val="20"/>
                      <w:szCs w:val="20"/>
                      <w:shd w:val="solid" w:color="000000" w:fill="000000"/>
                      <w:fitText w:val="270" w:id="-1032069632"/>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270" w:id="-1032069632"/>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287492D4" w14:textId="0E6BF5FA" w:rsidR="00851B17" w:rsidRPr="00CD4256"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84"/>
                      <w:sz w:val="20"/>
                      <w:szCs w:val="20"/>
                      <w:shd w:val="solid" w:color="000000" w:fill="000000"/>
                      <w:fitText w:val="270" w:id="-1032069631"/>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270" w:id="-1032069631"/>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884" w:type="dxa"/>
                </w:tcPr>
                <w:p w14:paraId="1B319B98" w14:textId="61441442" w:rsidR="00851B17" w:rsidRPr="00CD4256"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84"/>
                      <w:sz w:val="20"/>
                      <w:szCs w:val="20"/>
                      <w:shd w:val="solid" w:color="000000" w:fill="000000"/>
                      <w:fitText w:val="270" w:id="-1032069630"/>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270" w:id="-1032069630"/>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c>
                <w:tcPr>
                  <w:tcW w:w="916" w:type="dxa"/>
                </w:tcPr>
                <w:p w14:paraId="592AE21F" w14:textId="1B420758" w:rsidR="00851B17" w:rsidRPr="00CD4256" w:rsidRDefault="00E038A0" w:rsidP="00570777">
                  <w:pPr>
                    <w:widowControl w:val="0"/>
                    <w:jc w:val="center"/>
                    <w:rPr>
                      <w:rFonts w:ascii="Arial Narrow" w:hAnsi="Arial Narrow"/>
                      <w:sz w:val="20"/>
                      <w:szCs w:val="20"/>
                      <w:highlight w:val="darkGray"/>
                    </w:rPr>
                  </w:pPr>
                  <w:r>
                    <w:rPr>
                      <w:rFonts w:ascii="Arial Narrow" w:hAnsi="Arial Narrow"/>
                      <w:sz w:val="20"/>
                      <w:szCs w:val="20"/>
                    </w:rPr>
                    <w:t xml:space="preserve"> </w:t>
                  </w:r>
                  <w:r w:rsidRPr="00E038A0">
                    <w:rPr>
                      <w:rFonts w:ascii="Arial Narrow" w:hAnsi="Arial Narrow"/>
                      <w:color w:val="000000"/>
                      <w:spacing w:val="164"/>
                      <w:sz w:val="20"/>
                      <w:szCs w:val="20"/>
                      <w:shd w:val="solid" w:color="000000" w:fill="000000"/>
                      <w:fitText w:val="250" w:id="-1032069629"/>
                      <w14:textFill>
                        <w14:solidFill>
                          <w14:srgbClr w14:val="000000">
                            <w14:alpha w14:val="100000"/>
                          </w14:srgbClr>
                        </w14:solidFill>
                      </w14:textFill>
                    </w:rPr>
                    <w:t>|</w:t>
                  </w:r>
                  <w:r w:rsidRPr="00E038A0">
                    <w:rPr>
                      <w:rFonts w:ascii="Arial Narrow" w:hAnsi="Arial Narrow"/>
                      <w:color w:val="000000"/>
                      <w:spacing w:val="1"/>
                      <w:sz w:val="20"/>
                      <w:szCs w:val="20"/>
                      <w:shd w:val="solid" w:color="000000" w:fill="000000"/>
                      <w:fitText w:val="250" w:id="-1032069629"/>
                      <w14:textFill>
                        <w14:solidFill>
                          <w14:srgbClr w14:val="000000">
                            <w14:alpha w14:val="100000"/>
                          </w14:srgbClr>
                        </w14:solidFill>
                      </w14:textFill>
                    </w:rPr>
                    <w:t>|</w:t>
                  </w:r>
                  <w:r w:rsidR="0091390D" w:rsidRPr="0091390D">
                    <w:rPr>
                      <w:rFonts w:ascii="Arial Narrow" w:hAnsi="Arial Narrow"/>
                      <w:sz w:val="20"/>
                      <w:szCs w:val="20"/>
                      <w:vertAlign w:val="superscript"/>
                    </w:rPr>
                    <w:t>1</w:t>
                  </w:r>
                </w:p>
              </w:tc>
            </w:tr>
            <w:tr w:rsidR="00851B17" w:rsidRPr="00851B17" w14:paraId="5BD0FA93" w14:textId="77777777" w:rsidTr="00570777">
              <w:tc>
                <w:tcPr>
                  <w:tcW w:w="2039" w:type="dxa"/>
                  <w:tcBorders>
                    <w:bottom w:val="single" w:sz="4" w:space="0" w:color="auto"/>
                  </w:tcBorders>
                </w:tcPr>
                <w:p w14:paraId="52CE2BFD" w14:textId="77777777" w:rsidR="00851B17" w:rsidRPr="00851B17" w:rsidRDefault="00851B17" w:rsidP="00570777">
                  <w:pPr>
                    <w:widowControl w:val="0"/>
                    <w:jc w:val="left"/>
                    <w:rPr>
                      <w:rFonts w:ascii="Arial Narrow" w:hAnsi="Arial Narrow"/>
                      <w:b/>
                      <w:bCs/>
                      <w:sz w:val="20"/>
                      <w:szCs w:val="20"/>
                    </w:rPr>
                  </w:pPr>
                  <w:r w:rsidRPr="00851B17">
                    <w:rPr>
                      <w:rFonts w:ascii="Arial Narrow" w:hAnsi="Arial Narrow"/>
                      <w:b/>
                      <w:bCs/>
                      <w:sz w:val="20"/>
                      <w:szCs w:val="20"/>
                    </w:rPr>
                    <w:t>PBS scripts</w:t>
                  </w:r>
                </w:p>
              </w:tc>
              <w:tc>
                <w:tcPr>
                  <w:tcW w:w="883" w:type="dxa"/>
                  <w:tcBorders>
                    <w:bottom w:val="single" w:sz="4" w:space="0" w:color="auto"/>
                  </w:tcBorders>
                </w:tcPr>
                <w:p w14:paraId="4A7A5E2E" w14:textId="13AAB7A6" w:rsidR="00851B17" w:rsidRPr="00CD4256" w:rsidRDefault="00E038A0" w:rsidP="00570777">
                  <w:pPr>
                    <w:widowControl w:val="0"/>
                    <w:jc w:val="center"/>
                    <w:rPr>
                      <w:rFonts w:ascii="Arial Narrow" w:hAnsi="Arial Narrow"/>
                      <w:b/>
                      <w:bCs/>
                      <w:color w:val="000000"/>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2"/>
                      <w:sz w:val="20"/>
                      <w:szCs w:val="20"/>
                      <w:shd w:val="solid" w:color="000000" w:fill="000000"/>
                      <w:fitText w:val="310" w:id="-1032069628"/>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310" w:id="-1032069628"/>
                      <w14:textFill>
                        <w14:solidFill>
                          <w14:srgbClr w14:val="000000">
                            <w14:alpha w14:val="100000"/>
                          </w14:srgbClr>
                        </w14:solidFill>
                      </w14:textFill>
                    </w:rPr>
                    <w:t>|</w:t>
                  </w:r>
                  <w:r w:rsidR="0091390D" w:rsidRPr="0091390D">
                    <w:rPr>
                      <w:rFonts w:ascii="Arial Narrow" w:hAnsi="Arial Narrow"/>
                      <w:b/>
                      <w:bCs/>
                      <w:sz w:val="20"/>
                      <w:szCs w:val="20"/>
                      <w:vertAlign w:val="superscript"/>
                    </w:rPr>
                    <w:t>2</w:t>
                  </w:r>
                </w:p>
              </w:tc>
              <w:tc>
                <w:tcPr>
                  <w:tcW w:w="883" w:type="dxa"/>
                  <w:tcBorders>
                    <w:bottom w:val="single" w:sz="4" w:space="0" w:color="auto"/>
                  </w:tcBorders>
                </w:tcPr>
                <w:p w14:paraId="537BD94F" w14:textId="4E8EC9EA" w:rsidR="00851B17" w:rsidRPr="00CD4256" w:rsidRDefault="00E038A0" w:rsidP="00570777">
                  <w:pPr>
                    <w:widowControl w:val="0"/>
                    <w:jc w:val="center"/>
                    <w:rPr>
                      <w:rFonts w:ascii="Arial Narrow" w:hAnsi="Arial Narrow"/>
                      <w:b/>
                      <w:bCs/>
                      <w:color w:val="000000"/>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2"/>
                      <w:sz w:val="20"/>
                      <w:szCs w:val="20"/>
                      <w:shd w:val="solid" w:color="000000" w:fill="000000"/>
                      <w:fitText w:val="310" w:id="-1032069627"/>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310" w:id="-1032069627"/>
                      <w14:textFill>
                        <w14:solidFill>
                          <w14:srgbClr w14:val="000000">
                            <w14:alpha w14:val="100000"/>
                          </w14:srgbClr>
                        </w14:solidFill>
                      </w14:textFill>
                    </w:rPr>
                    <w:t>|</w:t>
                  </w:r>
                  <w:r w:rsidR="0091390D" w:rsidRPr="0091390D">
                    <w:rPr>
                      <w:rFonts w:ascii="Arial Narrow" w:hAnsi="Arial Narrow"/>
                      <w:b/>
                      <w:bCs/>
                      <w:sz w:val="20"/>
                      <w:szCs w:val="20"/>
                      <w:vertAlign w:val="superscript"/>
                    </w:rPr>
                    <w:t>2</w:t>
                  </w:r>
                </w:p>
              </w:tc>
              <w:tc>
                <w:tcPr>
                  <w:tcW w:w="884" w:type="dxa"/>
                  <w:tcBorders>
                    <w:bottom w:val="single" w:sz="4" w:space="0" w:color="auto"/>
                  </w:tcBorders>
                </w:tcPr>
                <w:p w14:paraId="514C9A4B" w14:textId="06A2EDE0" w:rsidR="00851B17" w:rsidRPr="00CD4256" w:rsidRDefault="00E038A0" w:rsidP="00570777">
                  <w:pPr>
                    <w:widowControl w:val="0"/>
                    <w:jc w:val="center"/>
                    <w:rPr>
                      <w:rFonts w:ascii="Arial Narrow" w:hAnsi="Arial Narrow"/>
                      <w:b/>
                      <w:bCs/>
                      <w:color w:val="000000"/>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2"/>
                      <w:sz w:val="20"/>
                      <w:szCs w:val="20"/>
                      <w:shd w:val="solid" w:color="000000" w:fill="000000"/>
                      <w:fitText w:val="310" w:id="-1032069626"/>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310" w:id="-1032069626"/>
                      <w14:textFill>
                        <w14:solidFill>
                          <w14:srgbClr w14:val="000000">
                            <w14:alpha w14:val="100000"/>
                          </w14:srgbClr>
                        </w14:solidFill>
                      </w14:textFill>
                    </w:rPr>
                    <w:t>|</w:t>
                  </w:r>
                  <w:r w:rsidR="0091390D" w:rsidRPr="0091390D">
                    <w:rPr>
                      <w:rFonts w:ascii="Arial Narrow" w:hAnsi="Arial Narrow"/>
                      <w:b/>
                      <w:bCs/>
                      <w:sz w:val="20"/>
                      <w:szCs w:val="20"/>
                      <w:vertAlign w:val="superscript"/>
                    </w:rPr>
                    <w:t>2</w:t>
                  </w:r>
                </w:p>
              </w:tc>
              <w:tc>
                <w:tcPr>
                  <w:tcW w:w="884" w:type="dxa"/>
                  <w:tcBorders>
                    <w:bottom w:val="single" w:sz="4" w:space="0" w:color="auto"/>
                  </w:tcBorders>
                </w:tcPr>
                <w:p w14:paraId="02C80CFC" w14:textId="7DC85874" w:rsidR="00851B17" w:rsidRPr="00CD4256" w:rsidRDefault="00E038A0" w:rsidP="00570777">
                  <w:pPr>
                    <w:widowControl w:val="0"/>
                    <w:jc w:val="center"/>
                    <w:rPr>
                      <w:rFonts w:ascii="Arial Narrow" w:hAnsi="Arial Narrow"/>
                      <w:b/>
                      <w:bCs/>
                      <w:color w:val="000000"/>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2"/>
                      <w:sz w:val="20"/>
                      <w:szCs w:val="20"/>
                      <w:shd w:val="solid" w:color="000000" w:fill="000000"/>
                      <w:fitText w:val="310" w:id="-1032069625"/>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310" w:id="-1032069625"/>
                      <w14:textFill>
                        <w14:solidFill>
                          <w14:srgbClr w14:val="000000">
                            <w14:alpha w14:val="100000"/>
                          </w14:srgbClr>
                        </w14:solidFill>
                      </w14:textFill>
                    </w:rPr>
                    <w:t>|</w:t>
                  </w:r>
                  <w:r w:rsidR="0091390D" w:rsidRPr="0091390D">
                    <w:rPr>
                      <w:rFonts w:ascii="Arial Narrow" w:hAnsi="Arial Narrow"/>
                      <w:b/>
                      <w:bCs/>
                      <w:sz w:val="20"/>
                      <w:szCs w:val="20"/>
                      <w:vertAlign w:val="superscript"/>
                    </w:rPr>
                    <w:t>2</w:t>
                  </w:r>
                </w:p>
              </w:tc>
              <w:tc>
                <w:tcPr>
                  <w:tcW w:w="884" w:type="dxa"/>
                  <w:tcBorders>
                    <w:bottom w:val="single" w:sz="4" w:space="0" w:color="auto"/>
                  </w:tcBorders>
                </w:tcPr>
                <w:p w14:paraId="4FA6DBF0" w14:textId="4B3B38A6" w:rsidR="00851B17" w:rsidRPr="00CD4256" w:rsidRDefault="00E038A0" w:rsidP="00570777">
                  <w:pPr>
                    <w:widowControl w:val="0"/>
                    <w:jc w:val="center"/>
                    <w:rPr>
                      <w:rFonts w:ascii="Arial Narrow" w:hAnsi="Arial Narrow"/>
                      <w:b/>
                      <w:bCs/>
                      <w:color w:val="000000"/>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42"/>
                      <w:sz w:val="20"/>
                      <w:szCs w:val="20"/>
                      <w:shd w:val="solid" w:color="000000" w:fill="000000"/>
                      <w:fitText w:val="310" w:id="-1032069624"/>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310" w:id="-1032069624"/>
                      <w14:textFill>
                        <w14:solidFill>
                          <w14:srgbClr w14:val="000000">
                            <w14:alpha w14:val="100000"/>
                          </w14:srgbClr>
                        </w14:solidFill>
                      </w14:textFill>
                    </w:rPr>
                    <w:t>|</w:t>
                  </w:r>
                  <w:r w:rsidR="0091390D" w:rsidRPr="0091390D">
                    <w:rPr>
                      <w:rFonts w:ascii="Arial Narrow" w:hAnsi="Arial Narrow"/>
                      <w:b/>
                      <w:bCs/>
                      <w:sz w:val="20"/>
                      <w:szCs w:val="20"/>
                      <w:vertAlign w:val="superscript"/>
                    </w:rPr>
                    <w:t>2</w:t>
                  </w:r>
                </w:p>
              </w:tc>
              <w:tc>
                <w:tcPr>
                  <w:tcW w:w="916" w:type="dxa"/>
                  <w:tcBorders>
                    <w:bottom w:val="single" w:sz="4" w:space="0" w:color="auto"/>
                  </w:tcBorders>
                </w:tcPr>
                <w:p w14:paraId="4F506F77" w14:textId="79913B8E" w:rsidR="00851B17" w:rsidRPr="00CD4256" w:rsidRDefault="00E038A0" w:rsidP="00570777">
                  <w:pPr>
                    <w:widowControl w:val="0"/>
                    <w:jc w:val="center"/>
                    <w:rPr>
                      <w:rFonts w:ascii="Arial Narrow" w:hAnsi="Arial Narrow"/>
                      <w:b/>
                      <w:bCs/>
                      <w:color w:val="000000"/>
                      <w:sz w:val="20"/>
                      <w:szCs w:val="20"/>
                      <w:highlight w:val="darkGray"/>
                    </w:rPr>
                  </w:pPr>
                  <w:r>
                    <w:rPr>
                      <w:rFonts w:ascii="Arial Narrow" w:hAnsi="Arial Narrow"/>
                      <w:b/>
                      <w:bCs/>
                      <w:sz w:val="20"/>
                      <w:szCs w:val="20"/>
                    </w:rPr>
                    <w:t xml:space="preserve"> </w:t>
                  </w:r>
                  <w:r w:rsidRPr="00E038A0">
                    <w:rPr>
                      <w:rFonts w:ascii="Arial Narrow" w:hAnsi="Arial Narrow"/>
                      <w:b/>
                      <w:bCs/>
                      <w:color w:val="000000"/>
                      <w:spacing w:val="208"/>
                      <w:sz w:val="20"/>
                      <w:szCs w:val="20"/>
                      <w:shd w:val="solid" w:color="000000" w:fill="000000"/>
                      <w:fitText w:val="300" w:id="-1032069623"/>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300" w:id="-1032069623"/>
                      <w14:textFill>
                        <w14:solidFill>
                          <w14:srgbClr w14:val="000000">
                            <w14:alpha w14:val="100000"/>
                          </w14:srgbClr>
                        </w14:solidFill>
                      </w14:textFill>
                    </w:rPr>
                    <w:t>|</w:t>
                  </w:r>
                  <w:r w:rsidR="0091390D" w:rsidRPr="0091390D">
                    <w:rPr>
                      <w:rFonts w:ascii="Arial Narrow" w:hAnsi="Arial Narrow"/>
                      <w:b/>
                      <w:bCs/>
                      <w:sz w:val="20"/>
                      <w:szCs w:val="20"/>
                      <w:vertAlign w:val="superscript"/>
                    </w:rPr>
                    <w:t>2</w:t>
                  </w:r>
                </w:p>
              </w:tc>
            </w:tr>
          </w:tbl>
          <w:p w14:paraId="7B29CB24" w14:textId="77777777" w:rsidR="00851B17" w:rsidRPr="00851B17" w:rsidRDefault="00851B17" w:rsidP="00570777">
            <w:pPr>
              <w:widowControl w:val="0"/>
              <w:tabs>
                <w:tab w:val="left" w:pos="205"/>
              </w:tabs>
              <w:jc w:val="left"/>
              <w:rPr>
                <w:rFonts w:ascii="Arial Narrow" w:hAnsi="Arial Narrow"/>
                <w:sz w:val="18"/>
                <w:szCs w:val="18"/>
              </w:rPr>
            </w:pPr>
          </w:p>
        </w:tc>
      </w:tr>
      <w:tr w:rsidR="00851B17" w:rsidRPr="00851B17" w14:paraId="123AFC5E" w14:textId="77777777" w:rsidTr="0057077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701C0" w14:textId="77777777" w:rsidR="00851B17" w:rsidRPr="00851B17" w:rsidRDefault="00851B17" w:rsidP="00570777">
            <w:pPr>
              <w:widowControl w:val="0"/>
              <w:jc w:val="left"/>
              <w:rPr>
                <w:rFonts w:ascii="Arial Narrow" w:hAnsi="Arial Narrow"/>
                <w:b/>
                <w:sz w:val="20"/>
                <w:szCs w:val="20"/>
              </w:rPr>
            </w:pPr>
            <w:r w:rsidRPr="00851B17">
              <w:rPr>
                <w:rFonts w:ascii="Arial Narrow" w:hAnsi="Arial Narrow"/>
                <w:b/>
                <w:sz w:val="20"/>
                <w:szCs w:val="20"/>
              </w:rPr>
              <w:t xml:space="preserve">Cost of medicines </w:t>
            </w:r>
          </w:p>
        </w:tc>
      </w:tr>
      <w:tr w:rsidR="00851B17" w:rsidRPr="00851B17" w14:paraId="30A0809C" w14:textId="77777777" w:rsidTr="00F22B06">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BF05EE9"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Maribavir</w:t>
            </w:r>
          </w:p>
        </w:tc>
        <w:tc>
          <w:tcPr>
            <w:tcW w:w="4374" w:type="pct"/>
            <w:tcBorders>
              <w:top w:val="single" w:sz="4" w:space="0" w:color="auto"/>
              <w:left w:val="single" w:sz="4" w:space="0" w:color="auto"/>
              <w:bottom w:val="single" w:sz="4" w:space="0" w:color="auto"/>
              <w:right w:val="single" w:sz="4" w:space="0" w:color="auto"/>
            </w:tcBorders>
            <w:shd w:val="clear" w:color="auto" w:fill="auto"/>
            <w:vAlign w:val="center"/>
          </w:tcPr>
          <w:p w14:paraId="4F761CC3" w14:textId="36C1E5EE"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Requested published price</w:t>
            </w:r>
            <w:r w:rsidRPr="009B6FEB">
              <w:rPr>
                <w:rFonts w:ascii="Arial Narrow" w:hAnsi="Arial Narrow"/>
                <w:sz w:val="20"/>
                <w:szCs w:val="20"/>
              </w:rPr>
              <w:t xml:space="preserve">: </w:t>
            </w:r>
            <w:r w:rsidRPr="006E571D">
              <w:rPr>
                <w:rFonts w:ascii="Arial Narrow" w:hAnsi="Arial Narrow"/>
                <w:sz w:val="20"/>
                <w:szCs w:val="20"/>
              </w:rPr>
              <w:t>$28,209.27</w:t>
            </w:r>
            <w:r w:rsidR="00F22B06" w:rsidRPr="006E571D">
              <w:rPr>
                <w:rFonts w:ascii="Arial Narrow" w:hAnsi="Arial Narrow"/>
                <w:strike/>
                <w:sz w:val="20"/>
                <w:szCs w:val="20"/>
              </w:rPr>
              <w:t xml:space="preserve"> </w:t>
            </w:r>
            <w:r w:rsidRPr="00851B17">
              <w:rPr>
                <w:rFonts w:ascii="Arial Narrow" w:hAnsi="Arial Narrow"/>
                <w:sz w:val="20"/>
                <w:szCs w:val="20"/>
              </w:rPr>
              <w:t>per 4 packs of 28 tablets</w:t>
            </w:r>
          </w:p>
          <w:p w14:paraId="013A3218" w14:textId="35D626DD"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Requested effective price:</w:t>
            </w:r>
            <w:r w:rsidR="00E038A0">
              <w:rPr>
                <w:rFonts w:ascii="Arial Narrow" w:hAnsi="Arial Narrow"/>
                <w:sz w:val="20"/>
                <w:szCs w:val="20"/>
              </w:rPr>
              <w:t xml:space="preserve"> </w:t>
            </w:r>
            <w:r w:rsidR="00566FB2">
              <w:rPr>
                <w:rFonts w:ascii="Arial Narrow" w:hAnsi="Arial Narrow"/>
                <w:sz w:val="20"/>
                <w:szCs w:val="20"/>
              </w:rPr>
              <w:t>$</w:t>
            </w:r>
            <w:r w:rsidR="00E038A0" w:rsidRPr="00566FB2">
              <w:rPr>
                <w:rFonts w:ascii="Arial Narrow" w:hAnsi="Arial Narrow"/>
                <w:color w:val="000000"/>
                <w:spacing w:val="53"/>
                <w:sz w:val="20"/>
                <w:szCs w:val="20"/>
                <w:shd w:val="solid" w:color="000000" w:fill="000000"/>
                <w:fitText w:val="330" w:id="-1032069622"/>
                <w14:textFill>
                  <w14:solidFill>
                    <w14:srgbClr w14:val="000000">
                      <w14:alpha w14:val="100000"/>
                    </w14:srgbClr>
                  </w14:solidFill>
                </w14:textFill>
              </w:rPr>
              <w:t>|||</w:t>
            </w:r>
            <w:r w:rsidR="00E038A0" w:rsidRPr="00566FB2">
              <w:rPr>
                <w:rFonts w:ascii="Arial Narrow" w:hAnsi="Arial Narrow"/>
                <w:color w:val="000000"/>
                <w:spacing w:val="1"/>
                <w:sz w:val="20"/>
                <w:szCs w:val="20"/>
                <w:shd w:val="solid" w:color="000000" w:fill="000000"/>
                <w:fitText w:val="330" w:id="-1032069622"/>
                <w14:textFill>
                  <w14:solidFill>
                    <w14:srgbClr w14:val="000000">
                      <w14:alpha w14:val="100000"/>
                    </w14:srgbClr>
                  </w14:solidFill>
                </w14:textFill>
              </w:rPr>
              <w:t>|</w:t>
            </w:r>
            <w:r w:rsidR="00F22B06">
              <w:rPr>
                <w:rFonts w:ascii="Arial Narrow" w:hAnsi="Arial Narrow"/>
                <w:sz w:val="20"/>
                <w:szCs w:val="20"/>
              </w:rPr>
              <w:t xml:space="preserve"> </w:t>
            </w:r>
            <w:r w:rsidRPr="00851B17">
              <w:rPr>
                <w:rFonts w:ascii="Arial Narrow" w:hAnsi="Arial Narrow"/>
                <w:sz w:val="20"/>
                <w:szCs w:val="20"/>
              </w:rPr>
              <w:t>per 4 packs of 28 tablets</w:t>
            </w:r>
          </w:p>
        </w:tc>
      </w:tr>
      <w:tr w:rsidR="00851B17" w:rsidRPr="00851B17" w14:paraId="350562E9" w14:textId="77777777" w:rsidTr="00F22B06">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872BBDD"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Substituted medicines</w:t>
            </w:r>
          </w:p>
        </w:tc>
        <w:tc>
          <w:tcPr>
            <w:tcW w:w="4374" w:type="pct"/>
            <w:tcBorders>
              <w:top w:val="single" w:sz="4" w:space="0" w:color="auto"/>
              <w:left w:val="single" w:sz="4" w:space="0" w:color="auto"/>
              <w:bottom w:val="single" w:sz="4" w:space="0" w:color="auto"/>
              <w:right w:val="single" w:sz="4" w:space="0" w:color="auto"/>
            </w:tcBorders>
            <w:shd w:val="clear" w:color="auto" w:fill="auto"/>
            <w:vAlign w:val="center"/>
          </w:tcPr>
          <w:p w14:paraId="049DCE70" w14:textId="11F526DC"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 xml:space="preserve">With no PBS-listed comparators, the submission assumed no medicines for substitution. However, the submission applied a cost offset of </w:t>
            </w:r>
            <w:r w:rsidRPr="006E571D">
              <w:rPr>
                <w:rFonts w:ascii="Arial Narrow" w:hAnsi="Arial Narrow"/>
                <w:sz w:val="20"/>
                <w:szCs w:val="20"/>
              </w:rPr>
              <w:t>$11,721.23</w:t>
            </w:r>
            <w:r w:rsidRPr="00851B17">
              <w:rPr>
                <w:rFonts w:ascii="Arial Narrow" w:hAnsi="Arial Narrow"/>
                <w:sz w:val="20"/>
                <w:szCs w:val="20"/>
              </w:rPr>
              <w:t xml:space="preserve"> per patient based on average cost of standard of care in the economic model. This was not reasonable as the drug cost included foscarnet and cidofovir prices that represent public hospital costs that should not be used as a cost offset, and the values used were estimated by the sponsor and may not be accurate. </w:t>
            </w:r>
          </w:p>
        </w:tc>
      </w:tr>
      <w:tr w:rsidR="00851B17" w:rsidRPr="00851B17" w14:paraId="5936ABBD" w14:textId="77777777" w:rsidTr="00F22B06">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AB05A07"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 xml:space="preserve">Patient copayment </w:t>
            </w:r>
          </w:p>
        </w:tc>
        <w:tc>
          <w:tcPr>
            <w:tcW w:w="4374" w:type="pct"/>
            <w:tcBorders>
              <w:top w:val="single" w:sz="4" w:space="0" w:color="auto"/>
              <w:left w:val="single" w:sz="4" w:space="0" w:color="auto"/>
              <w:bottom w:val="single" w:sz="4" w:space="0" w:color="auto"/>
              <w:right w:val="single" w:sz="4" w:space="0" w:color="auto"/>
            </w:tcBorders>
            <w:shd w:val="clear" w:color="auto" w:fill="auto"/>
            <w:vAlign w:val="center"/>
          </w:tcPr>
          <w:p w14:paraId="4A7A846A"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 xml:space="preserve">Copayment was calculated </w:t>
            </w:r>
            <w:r w:rsidRPr="00CD4256">
              <w:rPr>
                <w:rFonts w:ascii="Arial Narrow" w:hAnsi="Arial Narrow"/>
                <w:sz w:val="20"/>
                <w:szCs w:val="20"/>
              </w:rPr>
              <w:t>as $14.95</w:t>
            </w:r>
            <w:r w:rsidRPr="00851B17">
              <w:rPr>
                <w:rFonts w:ascii="Arial Narrow" w:hAnsi="Arial Narrow"/>
                <w:sz w:val="20"/>
                <w:szCs w:val="20"/>
              </w:rPr>
              <w:t xml:space="preserve"> for PBS, based on scripts dispensed for ganciclovir and valganciclovir for CMV prophylaxis in calendar year 2022. </w:t>
            </w:r>
          </w:p>
        </w:tc>
      </w:tr>
      <w:tr w:rsidR="00851B17" w:rsidRPr="00851B17" w14:paraId="1371D78B" w14:textId="77777777" w:rsidTr="0057077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74FEC" w14:textId="77777777" w:rsidR="00851B17" w:rsidRPr="00851B17" w:rsidRDefault="00851B17" w:rsidP="00570777">
            <w:pPr>
              <w:widowControl w:val="0"/>
              <w:jc w:val="left"/>
              <w:rPr>
                <w:rFonts w:ascii="Arial Narrow" w:hAnsi="Arial Narrow"/>
                <w:b/>
                <w:sz w:val="20"/>
                <w:szCs w:val="20"/>
              </w:rPr>
            </w:pPr>
            <w:r w:rsidRPr="00851B17">
              <w:rPr>
                <w:rFonts w:ascii="Arial Narrow" w:hAnsi="Arial Narrow"/>
                <w:b/>
                <w:sz w:val="20"/>
                <w:szCs w:val="20"/>
              </w:rPr>
              <w:t>Impact on other medicines</w:t>
            </w:r>
          </w:p>
        </w:tc>
      </w:tr>
      <w:tr w:rsidR="00851B17" w:rsidRPr="00851B17" w14:paraId="3AA59CC3" w14:textId="77777777" w:rsidTr="00F22B06">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166BBED" w14:textId="77777777" w:rsidR="00851B17" w:rsidRPr="00851B17" w:rsidRDefault="00851B17" w:rsidP="00570777">
            <w:pPr>
              <w:widowControl w:val="0"/>
              <w:jc w:val="left"/>
              <w:rPr>
                <w:rFonts w:ascii="Arial Narrow" w:hAnsi="Arial Narrow" w:cstheme="minorHAnsi"/>
                <w:color w:val="000000"/>
                <w:sz w:val="20"/>
                <w:szCs w:val="20"/>
              </w:rPr>
            </w:pPr>
            <w:r w:rsidRPr="00851B17">
              <w:rPr>
                <w:rFonts w:ascii="Arial Narrow" w:hAnsi="Arial Narrow" w:cstheme="minorHAnsi"/>
                <w:color w:val="000000"/>
                <w:sz w:val="20"/>
                <w:szCs w:val="20"/>
              </w:rPr>
              <w:t>IAT usage</w:t>
            </w:r>
          </w:p>
        </w:tc>
        <w:tc>
          <w:tcPr>
            <w:tcW w:w="4374" w:type="pct"/>
            <w:tcBorders>
              <w:top w:val="single" w:sz="4" w:space="0" w:color="auto"/>
              <w:left w:val="single" w:sz="4" w:space="0" w:color="auto"/>
              <w:right w:val="single" w:sz="4" w:space="0" w:color="auto"/>
            </w:tcBorders>
            <w:shd w:val="clear" w:color="auto" w:fill="auto"/>
            <w:vAlign w:val="center"/>
          </w:tcPr>
          <w:p w14:paraId="2D443111"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 xml:space="preserve">Cost offsets were based on the IAT cost generated by the economic model for initial treatment with ganciclovir, valganciclovir, foscarnet and cidofovir, including administration and monitoring costs. The submission applied a value of </w:t>
            </w:r>
            <w:r w:rsidRPr="0017143F">
              <w:rPr>
                <w:rFonts w:ascii="Arial Narrow" w:hAnsi="Arial Narrow"/>
                <w:sz w:val="20"/>
                <w:szCs w:val="20"/>
              </w:rPr>
              <w:t>$</w:t>
            </w:r>
            <w:r w:rsidRPr="00851B17">
              <w:rPr>
                <w:rFonts w:ascii="Arial Narrow" w:hAnsi="Arial Narrow"/>
                <w:sz w:val="20"/>
                <w:szCs w:val="20"/>
              </w:rPr>
              <w:t xml:space="preserve">11,721.23 per patient, although the value calculated by the model was $11,728.27 (cell M17 of the worksheet ‘Deterministic Results’). </w:t>
            </w:r>
          </w:p>
          <w:p w14:paraId="2C1B14F8" w14:textId="77777777" w:rsidR="00851B17" w:rsidRPr="00851B17" w:rsidRDefault="00851B17" w:rsidP="00570777">
            <w:pPr>
              <w:widowControl w:val="0"/>
              <w:jc w:val="left"/>
              <w:rPr>
                <w:rFonts w:ascii="Arial Narrow" w:hAnsi="Arial Narrow"/>
                <w:sz w:val="20"/>
                <w:szCs w:val="20"/>
              </w:rPr>
            </w:pPr>
          </w:p>
          <w:tbl>
            <w:tblPr>
              <w:tblStyle w:val="TableGrid"/>
              <w:tblW w:w="7363" w:type="dxa"/>
              <w:tblCellMar>
                <w:left w:w="28" w:type="dxa"/>
                <w:right w:w="28" w:type="dxa"/>
              </w:tblCellMar>
              <w:tblLook w:val="04A0" w:firstRow="1" w:lastRow="0" w:firstColumn="1" w:lastColumn="0" w:noHBand="0" w:noVBand="1"/>
            </w:tblPr>
            <w:tblGrid>
              <w:gridCol w:w="1023"/>
              <w:gridCol w:w="993"/>
              <w:gridCol w:w="1119"/>
              <w:gridCol w:w="1006"/>
              <w:gridCol w:w="1083"/>
              <w:gridCol w:w="1098"/>
              <w:gridCol w:w="1041"/>
            </w:tblGrid>
            <w:tr w:rsidR="00851B17" w:rsidRPr="00851B17" w14:paraId="1041D009" w14:textId="77777777" w:rsidTr="00F22B06">
              <w:tc>
                <w:tcPr>
                  <w:tcW w:w="1023" w:type="dxa"/>
                  <w:vAlign w:val="center"/>
                </w:tcPr>
                <w:p w14:paraId="260045FD" w14:textId="77777777" w:rsidR="00851B17" w:rsidRPr="00851B17" w:rsidRDefault="00851B17" w:rsidP="00570777">
                  <w:pPr>
                    <w:widowControl w:val="0"/>
                    <w:jc w:val="left"/>
                    <w:rPr>
                      <w:rFonts w:ascii="Arial Narrow" w:hAnsi="Arial Narrow"/>
                      <w:sz w:val="20"/>
                      <w:szCs w:val="20"/>
                    </w:rPr>
                  </w:pPr>
                </w:p>
              </w:tc>
              <w:tc>
                <w:tcPr>
                  <w:tcW w:w="993" w:type="dxa"/>
                  <w:vAlign w:val="center"/>
                </w:tcPr>
                <w:p w14:paraId="7389B0DB"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1</w:t>
                  </w:r>
                </w:p>
              </w:tc>
              <w:tc>
                <w:tcPr>
                  <w:tcW w:w="1119" w:type="dxa"/>
                  <w:vAlign w:val="center"/>
                </w:tcPr>
                <w:p w14:paraId="0452B95F"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2</w:t>
                  </w:r>
                </w:p>
              </w:tc>
              <w:tc>
                <w:tcPr>
                  <w:tcW w:w="1006" w:type="dxa"/>
                  <w:vAlign w:val="center"/>
                </w:tcPr>
                <w:p w14:paraId="749E3611"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3</w:t>
                  </w:r>
                </w:p>
              </w:tc>
              <w:tc>
                <w:tcPr>
                  <w:tcW w:w="1083" w:type="dxa"/>
                  <w:vAlign w:val="center"/>
                </w:tcPr>
                <w:p w14:paraId="748D3218"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4</w:t>
                  </w:r>
                </w:p>
              </w:tc>
              <w:tc>
                <w:tcPr>
                  <w:tcW w:w="1098" w:type="dxa"/>
                  <w:vAlign w:val="center"/>
                </w:tcPr>
                <w:p w14:paraId="67C7AFBD"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5</w:t>
                  </w:r>
                </w:p>
              </w:tc>
              <w:tc>
                <w:tcPr>
                  <w:tcW w:w="1041" w:type="dxa"/>
                  <w:vAlign w:val="center"/>
                </w:tcPr>
                <w:p w14:paraId="72ADCA96" w14:textId="77777777" w:rsidR="00851B17" w:rsidRPr="00851B17" w:rsidRDefault="00851B17" w:rsidP="00570777">
                  <w:pPr>
                    <w:widowControl w:val="0"/>
                    <w:jc w:val="center"/>
                    <w:rPr>
                      <w:rFonts w:ascii="Arial Narrow" w:hAnsi="Arial Narrow"/>
                      <w:b/>
                      <w:bCs/>
                      <w:sz w:val="20"/>
                      <w:szCs w:val="20"/>
                    </w:rPr>
                  </w:pPr>
                  <w:r w:rsidRPr="00851B17">
                    <w:rPr>
                      <w:rFonts w:ascii="Arial Narrow" w:hAnsi="Arial Narrow"/>
                      <w:b/>
                      <w:bCs/>
                      <w:sz w:val="20"/>
                      <w:szCs w:val="20"/>
                    </w:rPr>
                    <w:t>Year 6</w:t>
                  </w:r>
                </w:p>
              </w:tc>
            </w:tr>
            <w:tr w:rsidR="00851B17" w:rsidRPr="00851B17" w14:paraId="025A6663" w14:textId="77777777" w:rsidTr="00F22B06">
              <w:tc>
                <w:tcPr>
                  <w:tcW w:w="1023" w:type="dxa"/>
                  <w:vAlign w:val="center"/>
                </w:tcPr>
                <w:p w14:paraId="47D6A057"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IAT</w:t>
                  </w:r>
                </w:p>
              </w:tc>
              <w:tc>
                <w:tcPr>
                  <w:tcW w:w="993" w:type="dxa"/>
                </w:tcPr>
                <w:p w14:paraId="0FD216DB" w14:textId="6D1FF11E" w:rsidR="00851B17" w:rsidRPr="00851B17" w:rsidRDefault="00851B17" w:rsidP="00570777">
                  <w:pPr>
                    <w:widowControl w:val="0"/>
                    <w:jc w:val="center"/>
                    <w:rPr>
                      <w:rFonts w:ascii="Arial Narrow" w:hAnsi="Arial Narrow"/>
                      <w:sz w:val="20"/>
                      <w:szCs w:val="20"/>
                    </w:rPr>
                  </w:pPr>
                  <w:r w:rsidRPr="00851B17">
                    <w:rPr>
                      <w:rFonts w:ascii="Arial Narrow" w:hAnsi="Arial Narrow"/>
                      <w:sz w:val="20"/>
                      <w:szCs w:val="20"/>
                    </w:rPr>
                    <w:t>-</w:t>
                  </w:r>
                  <w:bookmarkStart w:id="59" w:name="_Hlk155868026"/>
                  <w:r w:rsidR="00E038A0">
                    <w:rPr>
                      <w:rFonts w:ascii="Arial Narrow" w:hAnsi="Arial Narrow"/>
                      <w:sz w:val="20"/>
                      <w:szCs w:val="20"/>
                    </w:rPr>
                    <w:t xml:space="preserve"> </w:t>
                  </w:r>
                  <w:r w:rsidR="00E038A0" w:rsidRPr="00E038A0">
                    <w:rPr>
                      <w:rFonts w:ascii="Arial Narrow" w:hAnsi="Arial Narrow"/>
                      <w:color w:val="000000"/>
                      <w:spacing w:val="74"/>
                      <w:sz w:val="20"/>
                      <w:szCs w:val="20"/>
                      <w:shd w:val="solid" w:color="000000" w:fill="000000"/>
                      <w:fitText w:val="160" w:id="-1032069621"/>
                      <w14:textFill>
                        <w14:solidFill>
                          <w14:srgbClr w14:val="000000">
                            <w14:alpha w14:val="100000"/>
                          </w14:srgbClr>
                        </w14:solidFill>
                      </w14:textFill>
                    </w:rPr>
                    <w:t>|</w:t>
                  </w:r>
                  <w:r w:rsidR="00E038A0" w:rsidRPr="00E038A0">
                    <w:rPr>
                      <w:rFonts w:ascii="Arial Narrow" w:hAnsi="Arial Narrow"/>
                      <w:color w:val="000000"/>
                      <w:spacing w:val="1"/>
                      <w:sz w:val="20"/>
                      <w:szCs w:val="20"/>
                      <w:shd w:val="solid" w:color="000000" w:fill="000000"/>
                      <w:fitText w:val="160" w:id="-1032069621"/>
                      <w14:textFill>
                        <w14:solidFill>
                          <w14:srgbClr w14:val="000000">
                            <w14:alpha w14:val="100000"/>
                          </w14:srgbClr>
                        </w14:solidFill>
                      </w14:textFill>
                    </w:rPr>
                    <w:t>|</w:t>
                  </w:r>
                  <w:r w:rsidR="006E571D">
                    <w:rPr>
                      <w:rFonts w:ascii="Arial Narrow" w:hAnsi="Arial Narrow"/>
                      <w:sz w:val="20"/>
                      <w:szCs w:val="20"/>
                      <w:vertAlign w:val="superscript"/>
                    </w:rPr>
                    <w:t>3</w:t>
                  </w:r>
                  <w:r w:rsidR="00F22B06">
                    <w:rPr>
                      <w:rFonts w:ascii="Arial Narrow" w:hAnsi="Arial Narrow"/>
                      <w:sz w:val="20"/>
                      <w:szCs w:val="20"/>
                    </w:rPr>
                    <w:t xml:space="preserve"> </w:t>
                  </w:r>
                  <w:bookmarkEnd w:id="59"/>
                </w:p>
              </w:tc>
              <w:tc>
                <w:tcPr>
                  <w:tcW w:w="1119" w:type="dxa"/>
                </w:tcPr>
                <w:p w14:paraId="09C37C98" w14:textId="54BB7022" w:rsidR="00851B17" w:rsidRPr="0091390D" w:rsidRDefault="00851B17" w:rsidP="00570777">
                  <w:pPr>
                    <w:widowControl w:val="0"/>
                    <w:jc w:val="center"/>
                    <w:rPr>
                      <w:rFonts w:ascii="Arial Narrow" w:hAnsi="Arial Narrow"/>
                      <w:sz w:val="20"/>
                      <w:szCs w:val="20"/>
                      <w:highlight w:val="darkGray"/>
                    </w:rPr>
                  </w:pPr>
                  <w:r w:rsidRPr="0091390D">
                    <w:rPr>
                      <w:rFonts w:ascii="Arial Narrow" w:hAnsi="Arial Narrow"/>
                      <w:sz w:val="20"/>
                      <w:szCs w:val="20"/>
                    </w:rPr>
                    <w:t>-</w:t>
                  </w:r>
                  <w:r w:rsidR="00E038A0">
                    <w:rPr>
                      <w:rFonts w:ascii="Arial Narrow" w:hAnsi="Arial Narrow"/>
                      <w:sz w:val="20"/>
                      <w:szCs w:val="20"/>
                    </w:rPr>
                    <w:t xml:space="preserve"> </w:t>
                  </w:r>
                  <w:r w:rsidR="00E038A0" w:rsidRPr="00E038A0">
                    <w:rPr>
                      <w:rFonts w:ascii="Arial Narrow" w:hAnsi="Arial Narrow" w:hint="eastAsia"/>
                      <w:color w:val="000000"/>
                      <w:w w:val="22"/>
                      <w:sz w:val="20"/>
                      <w:szCs w:val="20"/>
                      <w:shd w:val="solid" w:color="000000" w:fill="000000"/>
                      <w:fitText w:val="100" w:id="-1032069620"/>
                      <w14:textFill>
                        <w14:solidFill>
                          <w14:srgbClr w14:val="000000">
                            <w14:alpha w14:val="100000"/>
                          </w14:srgbClr>
                        </w14:solidFill>
                      </w14:textFill>
                    </w:rPr>
                    <w:t xml:space="preserve">　</w:t>
                  </w:r>
                  <w:r w:rsidR="00E038A0" w:rsidRPr="00E038A0">
                    <w:rPr>
                      <w:rFonts w:ascii="Arial Narrow" w:hAnsi="Arial Narrow"/>
                      <w:color w:val="000000"/>
                      <w:w w:val="22"/>
                      <w:sz w:val="20"/>
                      <w:szCs w:val="20"/>
                      <w:shd w:val="solid" w:color="000000" w:fill="000000"/>
                      <w:fitText w:val="100" w:id="-1032069620"/>
                      <w14:textFill>
                        <w14:solidFill>
                          <w14:srgbClr w14:val="000000">
                            <w14:alpha w14:val="100000"/>
                          </w14:srgbClr>
                        </w14:solidFill>
                      </w14:textFill>
                    </w:rPr>
                    <w:t>|</w:t>
                  </w:r>
                  <w:r w:rsidR="00E038A0" w:rsidRPr="00E038A0">
                    <w:rPr>
                      <w:rFonts w:ascii="Arial Narrow" w:hAnsi="Arial Narrow" w:hint="eastAsia"/>
                      <w:color w:val="000000"/>
                      <w:spacing w:val="3"/>
                      <w:w w:val="22"/>
                      <w:sz w:val="20"/>
                      <w:szCs w:val="20"/>
                      <w:shd w:val="solid" w:color="000000" w:fill="000000"/>
                      <w:fitText w:val="100" w:id="-1032069620"/>
                      <w14:textFill>
                        <w14:solidFill>
                          <w14:srgbClr w14:val="000000">
                            <w14:alpha w14:val="100000"/>
                          </w14:srgbClr>
                        </w14:solidFill>
                      </w14:textFill>
                    </w:rPr>
                    <w:t xml:space="preserve">　</w:t>
                  </w:r>
                  <w:r w:rsidR="00B7198B">
                    <w:rPr>
                      <w:rFonts w:ascii="Arial Narrow" w:hAnsi="Arial Narrow"/>
                      <w:sz w:val="20"/>
                      <w:szCs w:val="20"/>
                      <w:vertAlign w:val="superscript"/>
                    </w:rPr>
                    <w:t>3</w:t>
                  </w:r>
                </w:p>
              </w:tc>
              <w:tc>
                <w:tcPr>
                  <w:tcW w:w="1006" w:type="dxa"/>
                </w:tcPr>
                <w:p w14:paraId="2B8F8D11" w14:textId="403BB931" w:rsidR="00851B17" w:rsidRPr="0091390D" w:rsidRDefault="00851B17" w:rsidP="00570777">
                  <w:pPr>
                    <w:widowControl w:val="0"/>
                    <w:jc w:val="center"/>
                    <w:rPr>
                      <w:rFonts w:ascii="Arial Narrow" w:hAnsi="Arial Narrow"/>
                      <w:sz w:val="20"/>
                      <w:szCs w:val="20"/>
                      <w:highlight w:val="darkGray"/>
                    </w:rPr>
                  </w:pPr>
                  <w:r w:rsidRPr="0091390D">
                    <w:rPr>
                      <w:rFonts w:ascii="Arial Narrow" w:hAnsi="Arial Narrow"/>
                      <w:sz w:val="20"/>
                      <w:szCs w:val="20"/>
                    </w:rPr>
                    <w:t>-</w:t>
                  </w:r>
                  <w:r w:rsidR="00E038A0">
                    <w:rPr>
                      <w:rFonts w:ascii="Arial Narrow" w:hAnsi="Arial Narrow"/>
                      <w:sz w:val="20"/>
                      <w:szCs w:val="20"/>
                    </w:rPr>
                    <w:t xml:space="preserve"> </w:t>
                  </w:r>
                  <w:r w:rsidR="00E038A0" w:rsidRPr="00E038A0">
                    <w:rPr>
                      <w:rFonts w:ascii="Arial Narrow" w:hAnsi="Arial Narrow" w:hint="eastAsia"/>
                      <w:color w:val="000000"/>
                      <w:w w:val="31"/>
                      <w:sz w:val="20"/>
                      <w:szCs w:val="20"/>
                      <w:shd w:val="solid" w:color="000000" w:fill="000000"/>
                      <w:fitText w:val="140" w:id="-1032069619"/>
                      <w14:textFill>
                        <w14:solidFill>
                          <w14:srgbClr w14:val="000000">
                            <w14:alpha w14:val="100000"/>
                          </w14:srgbClr>
                        </w14:solidFill>
                      </w14:textFill>
                    </w:rPr>
                    <w:t xml:space="preserve">　</w:t>
                  </w:r>
                  <w:r w:rsidR="00E038A0" w:rsidRPr="00E038A0">
                    <w:rPr>
                      <w:rFonts w:ascii="Arial Narrow" w:hAnsi="Arial Narrow"/>
                      <w:color w:val="000000"/>
                      <w:w w:val="31"/>
                      <w:sz w:val="20"/>
                      <w:szCs w:val="20"/>
                      <w:shd w:val="solid" w:color="000000" w:fill="000000"/>
                      <w:fitText w:val="140" w:id="-1032069619"/>
                      <w14:textFill>
                        <w14:solidFill>
                          <w14:srgbClr w14:val="000000">
                            <w14:alpha w14:val="100000"/>
                          </w14:srgbClr>
                        </w14:solidFill>
                      </w14:textFill>
                    </w:rPr>
                    <w:t>|</w:t>
                  </w:r>
                  <w:r w:rsidR="00E038A0" w:rsidRPr="00E038A0">
                    <w:rPr>
                      <w:rFonts w:ascii="Arial Narrow" w:hAnsi="Arial Narrow" w:hint="eastAsia"/>
                      <w:color w:val="000000"/>
                      <w:spacing w:val="4"/>
                      <w:w w:val="31"/>
                      <w:sz w:val="20"/>
                      <w:szCs w:val="20"/>
                      <w:shd w:val="solid" w:color="000000" w:fill="000000"/>
                      <w:fitText w:val="140" w:id="-1032069619"/>
                      <w14:textFill>
                        <w14:solidFill>
                          <w14:srgbClr w14:val="000000">
                            <w14:alpha w14:val="100000"/>
                          </w14:srgbClr>
                        </w14:solidFill>
                      </w14:textFill>
                    </w:rPr>
                    <w:t xml:space="preserve">　</w:t>
                  </w:r>
                  <w:r w:rsidR="00B7198B">
                    <w:rPr>
                      <w:rFonts w:ascii="Arial Narrow" w:hAnsi="Arial Narrow"/>
                      <w:sz w:val="20"/>
                      <w:szCs w:val="20"/>
                      <w:vertAlign w:val="superscript"/>
                    </w:rPr>
                    <w:t>3</w:t>
                  </w:r>
                </w:p>
              </w:tc>
              <w:tc>
                <w:tcPr>
                  <w:tcW w:w="1083" w:type="dxa"/>
                </w:tcPr>
                <w:p w14:paraId="3D238158" w14:textId="189B5D4A" w:rsidR="00851B17" w:rsidRPr="0091390D" w:rsidRDefault="00851B17" w:rsidP="00570777">
                  <w:pPr>
                    <w:widowControl w:val="0"/>
                    <w:jc w:val="center"/>
                    <w:rPr>
                      <w:rFonts w:ascii="Arial Narrow" w:hAnsi="Arial Narrow"/>
                      <w:sz w:val="20"/>
                      <w:szCs w:val="20"/>
                      <w:highlight w:val="darkGray"/>
                    </w:rPr>
                  </w:pPr>
                  <w:r w:rsidRPr="0091390D">
                    <w:rPr>
                      <w:rFonts w:ascii="Arial Narrow" w:hAnsi="Arial Narrow"/>
                      <w:sz w:val="20"/>
                      <w:szCs w:val="20"/>
                    </w:rPr>
                    <w:t>-</w:t>
                  </w:r>
                  <w:r w:rsidR="00E038A0">
                    <w:rPr>
                      <w:rFonts w:ascii="Arial Narrow" w:hAnsi="Arial Narrow"/>
                      <w:sz w:val="20"/>
                      <w:szCs w:val="20"/>
                    </w:rPr>
                    <w:t xml:space="preserve"> </w:t>
                  </w:r>
                  <w:r w:rsidR="00E038A0" w:rsidRPr="00E038A0">
                    <w:rPr>
                      <w:rFonts w:ascii="Arial Narrow" w:hAnsi="Arial Narrow" w:hint="eastAsia"/>
                      <w:color w:val="000000"/>
                      <w:w w:val="24"/>
                      <w:sz w:val="20"/>
                      <w:szCs w:val="20"/>
                      <w:shd w:val="solid" w:color="000000" w:fill="000000"/>
                      <w:fitText w:val="110" w:id="-1032069618"/>
                      <w14:textFill>
                        <w14:solidFill>
                          <w14:srgbClr w14:val="000000">
                            <w14:alpha w14:val="100000"/>
                          </w14:srgbClr>
                        </w14:solidFill>
                      </w14:textFill>
                    </w:rPr>
                    <w:t xml:space="preserve">　</w:t>
                  </w:r>
                  <w:r w:rsidR="00E038A0" w:rsidRPr="00E038A0">
                    <w:rPr>
                      <w:rFonts w:ascii="Arial Narrow" w:hAnsi="Arial Narrow"/>
                      <w:color w:val="000000"/>
                      <w:w w:val="24"/>
                      <w:sz w:val="20"/>
                      <w:szCs w:val="20"/>
                      <w:shd w:val="solid" w:color="000000" w:fill="000000"/>
                      <w:fitText w:val="110" w:id="-1032069618"/>
                      <w14:textFill>
                        <w14:solidFill>
                          <w14:srgbClr w14:val="000000">
                            <w14:alpha w14:val="100000"/>
                          </w14:srgbClr>
                        </w14:solidFill>
                      </w14:textFill>
                    </w:rPr>
                    <w:t>|</w:t>
                  </w:r>
                  <w:r w:rsidR="00E038A0" w:rsidRPr="00E038A0">
                    <w:rPr>
                      <w:rFonts w:ascii="Arial Narrow" w:hAnsi="Arial Narrow" w:hint="eastAsia"/>
                      <w:color w:val="000000"/>
                      <w:spacing w:val="6"/>
                      <w:w w:val="24"/>
                      <w:sz w:val="20"/>
                      <w:szCs w:val="20"/>
                      <w:shd w:val="solid" w:color="000000" w:fill="000000"/>
                      <w:fitText w:val="110" w:id="-1032069618"/>
                      <w14:textFill>
                        <w14:solidFill>
                          <w14:srgbClr w14:val="000000">
                            <w14:alpha w14:val="100000"/>
                          </w14:srgbClr>
                        </w14:solidFill>
                      </w14:textFill>
                    </w:rPr>
                    <w:t xml:space="preserve">　</w:t>
                  </w:r>
                  <w:r w:rsidR="00B7198B">
                    <w:rPr>
                      <w:rFonts w:ascii="Arial Narrow" w:hAnsi="Arial Narrow"/>
                      <w:sz w:val="20"/>
                      <w:szCs w:val="20"/>
                      <w:vertAlign w:val="superscript"/>
                    </w:rPr>
                    <w:t>3</w:t>
                  </w:r>
                </w:p>
              </w:tc>
              <w:tc>
                <w:tcPr>
                  <w:tcW w:w="1098" w:type="dxa"/>
                </w:tcPr>
                <w:p w14:paraId="1625E157" w14:textId="398BDD75" w:rsidR="00851B17" w:rsidRPr="0091390D" w:rsidRDefault="00851B17" w:rsidP="00570777">
                  <w:pPr>
                    <w:widowControl w:val="0"/>
                    <w:jc w:val="center"/>
                    <w:rPr>
                      <w:rFonts w:ascii="Arial Narrow" w:hAnsi="Arial Narrow"/>
                      <w:sz w:val="20"/>
                      <w:szCs w:val="20"/>
                      <w:highlight w:val="darkGray"/>
                    </w:rPr>
                  </w:pPr>
                  <w:r w:rsidRPr="0091390D">
                    <w:rPr>
                      <w:rFonts w:ascii="Arial Narrow" w:hAnsi="Arial Narrow"/>
                      <w:sz w:val="20"/>
                      <w:szCs w:val="20"/>
                    </w:rPr>
                    <w:t>-</w:t>
                  </w:r>
                  <w:r w:rsidR="00E038A0">
                    <w:rPr>
                      <w:rFonts w:ascii="Arial Narrow" w:hAnsi="Arial Narrow"/>
                      <w:sz w:val="20"/>
                      <w:szCs w:val="20"/>
                    </w:rPr>
                    <w:t xml:space="preserve"> </w:t>
                  </w:r>
                  <w:r w:rsidR="00E038A0" w:rsidRPr="00E038A0">
                    <w:rPr>
                      <w:rFonts w:ascii="Arial Narrow" w:hAnsi="Arial Narrow" w:hint="eastAsia"/>
                      <w:color w:val="000000"/>
                      <w:w w:val="24"/>
                      <w:sz w:val="20"/>
                      <w:szCs w:val="20"/>
                      <w:shd w:val="solid" w:color="000000" w:fill="000000"/>
                      <w:fitText w:val="110" w:id="-1032069617"/>
                      <w14:textFill>
                        <w14:solidFill>
                          <w14:srgbClr w14:val="000000">
                            <w14:alpha w14:val="100000"/>
                          </w14:srgbClr>
                        </w14:solidFill>
                      </w14:textFill>
                    </w:rPr>
                    <w:t xml:space="preserve">　</w:t>
                  </w:r>
                  <w:r w:rsidR="00E038A0" w:rsidRPr="00E038A0">
                    <w:rPr>
                      <w:rFonts w:ascii="Arial Narrow" w:hAnsi="Arial Narrow"/>
                      <w:color w:val="000000"/>
                      <w:w w:val="24"/>
                      <w:sz w:val="20"/>
                      <w:szCs w:val="20"/>
                      <w:shd w:val="solid" w:color="000000" w:fill="000000"/>
                      <w:fitText w:val="110" w:id="-1032069617"/>
                      <w14:textFill>
                        <w14:solidFill>
                          <w14:srgbClr w14:val="000000">
                            <w14:alpha w14:val="100000"/>
                          </w14:srgbClr>
                        </w14:solidFill>
                      </w14:textFill>
                    </w:rPr>
                    <w:t>|</w:t>
                  </w:r>
                  <w:r w:rsidR="00E038A0" w:rsidRPr="00E038A0">
                    <w:rPr>
                      <w:rFonts w:ascii="Arial Narrow" w:hAnsi="Arial Narrow" w:hint="eastAsia"/>
                      <w:color w:val="000000"/>
                      <w:spacing w:val="6"/>
                      <w:w w:val="24"/>
                      <w:sz w:val="20"/>
                      <w:szCs w:val="20"/>
                      <w:shd w:val="solid" w:color="000000" w:fill="000000"/>
                      <w:fitText w:val="110" w:id="-1032069617"/>
                      <w14:textFill>
                        <w14:solidFill>
                          <w14:srgbClr w14:val="000000">
                            <w14:alpha w14:val="100000"/>
                          </w14:srgbClr>
                        </w14:solidFill>
                      </w14:textFill>
                    </w:rPr>
                    <w:t xml:space="preserve">　</w:t>
                  </w:r>
                  <w:r w:rsidR="00B7198B">
                    <w:rPr>
                      <w:rFonts w:ascii="Arial Narrow" w:hAnsi="Arial Narrow"/>
                      <w:sz w:val="20"/>
                      <w:szCs w:val="20"/>
                      <w:vertAlign w:val="superscript"/>
                    </w:rPr>
                    <w:t>3</w:t>
                  </w:r>
                </w:p>
              </w:tc>
              <w:tc>
                <w:tcPr>
                  <w:tcW w:w="1041" w:type="dxa"/>
                </w:tcPr>
                <w:p w14:paraId="46428E50" w14:textId="54DC2263" w:rsidR="00851B17" w:rsidRPr="0091390D" w:rsidRDefault="00851B17" w:rsidP="00570777">
                  <w:pPr>
                    <w:widowControl w:val="0"/>
                    <w:jc w:val="center"/>
                    <w:rPr>
                      <w:rFonts w:ascii="Arial Narrow" w:hAnsi="Arial Narrow"/>
                      <w:sz w:val="20"/>
                      <w:szCs w:val="20"/>
                      <w:highlight w:val="darkGray"/>
                    </w:rPr>
                  </w:pPr>
                  <w:r w:rsidRPr="0091390D">
                    <w:rPr>
                      <w:rFonts w:ascii="Arial Narrow" w:hAnsi="Arial Narrow"/>
                      <w:sz w:val="20"/>
                      <w:szCs w:val="20"/>
                    </w:rPr>
                    <w:t>-</w:t>
                  </w:r>
                  <w:r w:rsidR="00E038A0">
                    <w:rPr>
                      <w:rFonts w:ascii="Arial Narrow" w:hAnsi="Arial Narrow"/>
                      <w:sz w:val="20"/>
                      <w:szCs w:val="20"/>
                    </w:rPr>
                    <w:t xml:space="preserve"> </w:t>
                  </w:r>
                  <w:r w:rsidR="00E038A0" w:rsidRPr="00E038A0">
                    <w:rPr>
                      <w:rFonts w:ascii="Arial Narrow" w:hAnsi="Arial Narrow" w:hint="eastAsia"/>
                      <w:color w:val="000000"/>
                      <w:w w:val="31"/>
                      <w:sz w:val="20"/>
                      <w:szCs w:val="20"/>
                      <w:shd w:val="solid" w:color="000000" w:fill="000000"/>
                      <w:fitText w:val="140" w:id="-1032069616"/>
                      <w14:textFill>
                        <w14:solidFill>
                          <w14:srgbClr w14:val="000000">
                            <w14:alpha w14:val="100000"/>
                          </w14:srgbClr>
                        </w14:solidFill>
                      </w14:textFill>
                    </w:rPr>
                    <w:t xml:space="preserve">　</w:t>
                  </w:r>
                  <w:r w:rsidR="00E038A0" w:rsidRPr="00E038A0">
                    <w:rPr>
                      <w:rFonts w:ascii="Arial Narrow" w:hAnsi="Arial Narrow"/>
                      <w:color w:val="000000"/>
                      <w:w w:val="31"/>
                      <w:sz w:val="20"/>
                      <w:szCs w:val="20"/>
                      <w:shd w:val="solid" w:color="000000" w:fill="000000"/>
                      <w:fitText w:val="140" w:id="-1032069616"/>
                      <w14:textFill>
                        <w14:solidFill>
                          <w14:srgbClr w14:val="000000">
                            <w14:alpha w14:val="100000"/>
                          </w14:srgbClr>
                        </w14:solidFill>
                      </w14:textFill>
                    </w:rPr>
                    <w:t>|</w:t>
                  </w:r>
                  <w:r w:rsidR="00E038A0" w:rsidRPr="00E038A0">
                    <w:rPr>
                      <w:rFonts w:ascii="Arial Narrow" w:hAnsi="Arial Narrow" w:hint="eastAsia"/>
                      <w:color w:val="000000"/>
                      <w:spacing w:val="4"/>
                      <w:w w:val="31"/>
                      <w:sz w:val="20"/>
                      <w:szCs w:val="20"/>
                      <w:shd w:val="solid" w:color="000000" w:fill="000000"/>
                      <w:fitText w:val="140" w:id="-1032069616"/>
                      <w14:textFill>
                        <w14:solidFill>
                          <w14:srgbClr w14:val="000000">
                            <w14:alpha w14:val="100000"/>
                          </w14:srgbClr>
                        </w14:solidFill>
                      </w14:textFill>
                    </w:rPr>
                    <w:t xml:space="preserve">　</w:t>
                  </w:r>
                  <w:r w:rsidR="00B7198B">
                    <w:rPr>
                      <w:rFonts w:ascii="Arial Narrow" w:hAnsi="Arial Narrow"/>
                      <w:sz w:val="20"/>
                      <w:szCs w:val="20"/>
                      <w:vertAlign w:val="superscript"/>
                    </w:rPr>
                    <w:t>3</w:t>
                  </w:r>
                </w:p>
              </w:tc>
            </w:tr>
          </w:tbl>
          <w:p w14:paraId="611696D7" w14:textId="77777777" w:rsidR="00851B17" w:rsidRPr="00851B17" w:rsidRDefault="00851B17" w:rsidP="00570777">
            <w:pPr>
              <w:widowControl w:val="0"/>
              <w:jc w:val="left"/>
              <w:rPr>
                <w:rFonts w:ascii="Arial Narrow" w:hAnsi="Arial Narrow"/>
                <w:sz w:val="20"/>
                <w:szCs w:val="20"/>
              </w:rPr>
            </w:pPr>
          </w:p>
        </w:tc>
      </w:tr>
      <w:tr w:rsidR="00851B17" w:rsidRPr="00851B17" w14:paraId="69216F7B" w14:textId="77777777" w:rsidTr="00570777">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BA978" w14:textId="77777777" w:rsidR="00851B17" w:rsidRPr="00851B17" w:rsidRDefault="00851B17" w:rsidP="00570777">
            <w:pPr>
              <w:widowControl w:val="0"/>
              <w:jc w:val="left"/>
              <w:rPr>
                <w:rFonts w:ascii="Arial Narrow" w:hAnsi="Arial Narrow"/>
                <w:b/>
                <w:sz w:val="20"/>
                <w:szCs w:val="20"/>
              </w:rPr>
            </w:pPr>
            <w:r w:rsidRPr="00851B17">
              <w:rPr>
                <w:rFonts w:ascii="Arial Narrow" w:hAnsi="Arial Narrow"/>
                <w:b/>
                <w:sz w:val="20"/>
                <w:szCs w:val="20"/>
              </w:rPr>
              <w:lastRenderedPageBreak/>
              <w:t>MBS usage and costs</w:t>
            </w:r>
          </w:p>
        </w:tc>
      </w:tr>
      <w:tr w:rsidR="00851B17" w:rsidRPr="00851B17" w14:paraId="444B5138" w14:textId="77777777" w:rsidTr="00F22B06">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42BEAA82"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MBS items</w:t>
            </w:r>
          </w:p>
        </w:tc>
        <w:tc>
          <w:tcPr>
            <w:tcW w:w="4374" w:type="pct"/>
            <w:tcBorders>
              <w:top w:val="single" w:sz="4" w:space="0" w:color="auto"/>
              <w:left w:val="single" w:sz="4" w:space="0" w:color="auto"/>
              <w:bottom w:val="single" w:sz="4" w:space="0" w:color="auto"/>
              <w:right w:val="single" w:sz="4" w:space="0" w:color="auto"/>
            </w:tcBorders>
            <w:shd w:val="clear" w:color="auto" w:fill="auto"/>
            <w:vAlign w:val="center"/>
          </w:tcPr>
          <w:p w14:paraId="27A01B7D" w14:textId="77777777" w:rsidR="00851B17" w:rsidRPr="00851B17" w:rsidRDefault="00851B17" w:rsidP="00570777">
            <w:pPr>
              <w:widowControl w:val="0"/>
              <w:jc w:val="left"/>
              <w:rPr>
                <w:rFonts w:ascii="Arial Narrow" w:hAnsi="Arial Narrow"/>
                <w:sz w:val="20"/>
                <w:szCs w:val="20"/>
              </w:rPr>
            </w:pPr>
            <w:r w:rsidRPr="00851B17">
              <w:rPr>
                <w:rFonts w:ascii="Arial Narrow" w:hAnsi="Arial Narrow"/>
                <w:sz w:val="20"/>
                <w:szCs w:val="20"/>
              </w:rPr>
              <w:t xml:space="preserve">The submission indicated that as the monitoring requirements for maribavir are expected to be the same as that for IAT, changes to MBS items were not considered. This was reasonable. </w:t>
            </w:r>
          </w:p>
        </w:tc>
      </w:tr>
    </w:tbl>
    <w:p w14:paraId="18779DC6" w14:textId="77777777" w:rsidR="00851B17" w:rsidRPr="00851B17" w:rsidRDefault="00851B17" w:rsidP="00851B17">
      <w:pPr>
        <w:pStyle w:val="FooterTableFigure"/>
      </w:pPr>
      <w:r w:rsidRPr="00851B17">
        <w:t xml:space="preserve">Source: Table 4.2.6, p161; Table 4.2.12, p163; Table 4.2.13, p164; Table 4.2.14, p164; Table 4.2.20, p166; Table 4.4.2, p168 of the submission. </w:t>
      </w:r>
    </w:p>
    <w:p w14:paraId="3FEC72E5" w14:textId="03E1D0E5" w:rsidR="00851B17" w:rsidRDefault="00851B17" w:rsidP="00851B17">
      <w:pPr>
        <w:pStyle w:val="FooterTableFigure"/>
      </w:pPr>
      <w:r w:rsidRPr="00851B17">
        <w:t xml:space="preserve">CMV = cytomegalovirus; HSCT = haematopoietic stem cell transplant; </w:t>
      </w:r>
      <w:r w:rsidRPr="00851B17">
        <w:rPr>
          <w:szCs w:val="18"/>
        </w:rPr>
        <w:t xml:space="preserve">IAT = investigator assigned treatment; </w:t>
      </w:r>
      <w:r w:rsidRPr="00851B17">
        <w:t>SOT = solid organ transplant</w:t>
      </w:r>
    </w:p>
    <w:p w14:paraId="799D5129" w14:textId="77777777" w:rsidR="0091390D" w:rsidRPr="0091390D" w:rsidRDefault="0091390D" w:rsidP="0091390D">
      <w:pPr>
        <w:pStyle w:val="FooterTableFigure"/>
        <w:rPr>
          <w:bCs/>
          <w:i/>
          <w:iCs/>
        </w:rPr>
      </w:pPr>
      <w:r w:rsidRPr="0091390D">
        <w:rPr>
          <w:bCs/>
          <w:i/>
          <w:iCs/>
        </w:rPr>
        <w:t>The redacted values correspond to the following ranges:</w:t>
      </w:r>
    </w:p>
    <w:p w14:paraId="233F947F" w14:textId="77777777" w:rsidR="0091390D" w:rsidRPr="0091390D" w:rsidRDefault="0091390D" w:rsidP="0091390D">
      <w:pPr>
        <w:pStyle w:val="FooterTableFigure"/>
        <w:rPr>
          <w:bCs/>
          <w:i/>
          <w:iCs/>
        </w:rPr>
      </w:pPr>
      <w:r w:rsidRPr="0091390D">
        <w:rPr>
          <w:bCs/>
          <w:i/>
          <w:iCs/>
          <w:vertAlign w:val="superscript"/>
        </w:rPr>
        <w:t>1</w:t>
      </w:r>
      <w:r w:rsidRPr="0091390D">
        <w:rPr>
          <w:bCs/>
          <w:i/>
          <w:iCs/>
        </w:rPr>
        <w:t xml:space="preserve"> &lt;500 </w:t>
      </w:r>
    </w:p>
    <w:p w14:paraId="593096B0" w14:textId="03BD9D55" w:rsidR="0091390D" w:rsidRDefault="0091390D" w:rsidP="0091390D">
      <w:pPr>
        <w:pStyle w:val="FooterTableFigure"/>
        <w:rPr>
          <w:bCs/>
          <w:i/>
          <w:iCs/>
        </w:rPr>
      </w:pPr>
      <w:r w:rsidRPr="0091390D">
        <w:rPr>
          <w:bCs/>
          <w:i/>
          <w:iCs/>
          <w:vertAlign w:val="superscript"/>
        </w:rPr>
        <w:t>2</w:t>
      </w:r>
      <w:r w:rsidRPr="0091390D">
        <w:rPr>
          <w:bCs/>
          <w:i/>
          <w:iCs/>
        </w:rPr>
        <w:t xml:space="preserve"> 500 to &lt; 5,000</w:t>
      </w:r>
    </w:p>
    <w:p w14:paraId="09179040" w14:textId="3E8BEB17" w:rsidR="0091390D" w:rsidRPr="00851B17" w:rsidRDefault="00B7198B" w:rsidP="00851B17">
      <w:pPr>
        <w:pStyle w:val="FooterTableFigure"/>
      </w:pPr>
      <w:r w:rsidRPr="00B7198B">
        <w:rPr>
          <w:bCs/>
          <w:i/>
          <w:iCs/>
          <w:vertAlign w:val="superscript"/>
        </w:rPr>
        <w:t>3</w:t>
      </w:r>
      <w:r>
        <w:rPr>
          <w:bCs/>
          <w:i/>
          <w:iCs/>
        </w:rPr>
        <w:t xml:space="preserve"> Net cost s</w:t>
      </w:r>
      <w:r w:rsidR="00F22B06">
        <w:rPr>
          <w:bCs/>
          <w:i/>
          <w:iCs/>
        </w:rPr>
        <w:t xml:space="preserve">aving </w:t>
      </w:r>
    </w:p>
    <w:p w14:paraId="6D009D58" w14:textId="6F7FDEC6" w:rsidR="00851B17" w:rsidRPr="00851B17" w:rsidRDefault="00851B17" w:rsidP="00851B17">
      <w:pPr>
        <w:pStyle w:val="3-BodyText"/>
      </w:pPr>
      <w:r w:rsidRPr="00851B17">
        <w:t xml:space="preserve">The key issues with the submission’s financial estimates </w:t>
      </w:r>
      <w:r w:rsidR="00747F54">
        <w:t>we</w:t>
      </w:r>
      <w:r w:rsidRPr="00851B17">
        <w:t>re as follows:</w:t>
      </w:r>
    </w:p>
    <w:p w14:paraId="02D06219" w14:textId="3C728A5A" w:rsidR="00851B17" w:rsidRPr="00851B17" w:rsidRDefault="00851B17" w:rsidP="003926B6">
      <w:pPr>
        <w:pStyle w:val="3-BodyText"/>
        <w:numPr>
          <w:ilvl w:val="0"/>
          <w:numId w:val="4"/>
        </w:numPr>
        <w:ind w:left="993" w:hanging="284"/>
      </w:pPr>
      <w:r w:rsidRPr="00851B17">
        <w:t>The assumed cost offset for IAT treatment was based on the cost generated by the economic model. This was not likely to be accurate</w:t>
      </w:r>
      <w:r w:rsidR="007E4CD0">
        <w:t>. In addition, p</w:t>
      </w:r>
      <w:r w:rsidRPr="00851B17">
        <w:t xml:space="preserve">ublic hospital use </w:t>
      </w:r>
      <w:r w:rsidR="007F6603">
        <w:t xml:space="preserve">of foscarnet and cidofovir </w:t>
      </w:r>
      <w:r w:rsidRPr="00851B17">
        <w:t>is not a valid cost offset, resulting in the submission’s financial estimates being underestimated.</w:t>
      </w:r>
    </w:p>
    <w:p w14:paraId="0CC7FE16" w14:textId="45994A74" w:rsidR="00851B17" w:rsidRPr="00851B17" w:rsidRDefault="00851B17" w:rsidP="003926B6">
      <w:pPr>
        <w:pStyle w:val="3-BodyText"/>
        <w:numPr>
          <w:ilvl w:val="0"/>
          <w:numId w:val="4"/>
        </w:numPr>
        <w:ind w:left="993" w:hanging="284"/>
      </w:pPr>
      <w:r w:rsidRPr="00851B17">
        <w:t>Uptake may be overestimated. The submission considered this in a sensitivity analysis.</w:t>
      </w:r>
    </w:p>
    <w:p w14:paraId="7F32B6D5" w14:textId="77777777" w:rsidR="00851B17" w:rsidRPr="00851B17" w:rsidRDefault="00851B17" w:rsidP="00851B17">
      <w:pPr>
        <w:pStyle w:val="3-BodyText"/>
      </w:pPr>
      <w:r w:rsidRPr="00851B17">
        <w:t xml:space="preserve">The estimated patient numbers, prescription numbers and costs for the PBS listing of maribavir are provided in </w:t>
      </w:r>
      <w:r w:rsidRPr="00851B17">
        <w:fldChar w:fldCharType="begin" w:fldLock="1"/>
      </w:r>
      <w:r w:rsidRPr="00851B17">
        <w:instrText xml:space="preserve"> REF _Ref142603299 \h  \* MERGEFORMAT </w:instrText>
      </w:r>
      <w:r w:rsidRPr="00851B17">
        <w:fldChar w:fldCharType="separate"/>
      </w:r>
      <w:r w:rsidRPr="00851B17">
        <w:t>Table 19</w:t>
      </w:r>
      <w:r w:rsidRPr="00851B17">
        <w:fldChar w:fldCharType="end"/>
      </w:r>
      <w:r w:rsidRPr="00851B17">
        <w:t>. Included is an additional analysis excluding the cost of foscarnet and cidofovir from the IAT cost offset.</w:t>
      </w:r>
    </w:p>
    <w:p w14:paraId="579D18DE" w14:textId="77777777" w:rsidR="00851B17" w:rsidRPr="00851B17" w:rsidRDefault="00851B17" w:rsidP="00851B17">
      <w:pPr>
        <w:pStyle w:val="3-BodyText"/>
        <w:keepNext/>
        <w:numPr>
          <w:ilvl w:val="0"/>
          <w:numId w:val="0"/>
        </w:numPr>
        <w:spacing w:after="0"/>
      </w:pPr>
      <w:bookmarkStart w:id="60" w:name="_Ref142603299"/>
      <w:r w:rsidRPr="00851B17">
        <w:rPr>
          <w:rStyle w:val="CommentReference"/>
          <w:bCs/>
          <w:szCs w:val="20"/>
        </w:rPr>
        <w:lastRenderedPageBreak/>
        <w:t xml:space="preserve">Table </w:t>
      </w:r>
      <w:r w:rsidRPr="00851B17">
        <w:rPr>
          <w:rFonts w:ascii="Arial Narrow" w:hAnsi="Arial Narrow"/>
          <w:b/>
          <w:sz w:val="20"/>
          <w:szCs w:val="20"/>
        </w:rPr>
        <w:fldChar w:fldCharType="begin" w:fldLock="1"/>
      </w:r>
      <w:r w:rsidRPr="00851B17">
        <w:rPr>
          <w:rFonts w:ascii="Arial Narrow" w:hAnsi="Arial Narrow"/>
          <w:b/>
          <w:sz w:val="20"/>
          <w:szCs w:val="20"/>
        </w:rPr>
        <w:instrText xml:space="preserve"> SEQ Table \* ARABIC </w:instrText>
      </w:r>
      <w:r w:rsidRPr="00851B17">
        <w:rPr>
          <w:rFonts w:ascii="Arial Narrow" w:hAnsi="Arial Narrow"/>
          <w:b/>
          <w:sz w:val="20"/>
          <w:szCs w:val="20"/>
        </w:rPr>
        <w:fldChar w:fldCharType="separate"/>
      </w:r>
      <w:r w:rsidRPr="00851B17">
        <w:rPr>
          <w:rFonts w:ascii="Arial Narrow" w:hAnsi="Arial Narrow"/>
          <w:b/>
          <w:noProof/>
          <w:sz w:val="20"/>
          <w:szCs w:val="20"/>
        </w:rPr>
        <w:t>19</w:t>
      </w:r>
      <w:r w:rsidRPr="00851B17">
        <w:rPr>
          <w:rFonts w:ascii="Arial Narrow" w:hAnsi="Arial Narrow"/>
          <w:b/>
          <w:noProof/>
          <w:sz w:val="20"/>
          <w:szCs w:val="20"/>
        </w:rPr>
        <w:fldChar w:fldCharType="end"/>
      </w:r>
      <w:bookmarkEnd w:id="60"/>
      <w:r w:rsidRPr="00851B17">
        <w:rPr>
          <w:rStyle w:val="CommentReference"/>
          <w:bCs/>
          <w:szCs w:val="20"/>
        </w:rPr>
        <w:t xml:space="preserve">: </w:t>
      </w:r>
      <w:r w:rsidRPr="00851B17">
        <w:rPr>
          <w:rStyle w:val="CommentReference"/>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Estimated use and financial implications"/>
        <w:tblDescription w:val="Table 19: Estimated use and financial implications"/>
      </w:tblPr>
      <w:tblGrid>
        <w:gridCol w:w="2012"/>
        <w:gridCol w:w="1167"/>
        <w:gridCol w:w="1167"/>
        <w:gridCol w:w="1167"/>
        <w:gridCol w:w="1167"/>
        <w:gridCol w:w="1167"/>
        <w:gridCol w:w="1170"/>
      </w:tblGrid>
      <w:tr w:rsidR="0076138F" w:rsidRPr="00851B17" w14:paraId="2368262F" w14:textId="77777777" w:rsidTr="0076138F">
        <w:trPr>
          <w:tblHeader/>
        </w:trPr>
        <w:tc>
          <w:tcPr>
            <w:tcW w:w="1116" w:type="pct"/>
            <w:shd w:val="clear" w:color="auto" w:fill="auto"/>
            <w:vAlign w:val="center"/>
          </w:tcPr>
          <w:p w14:paraId="40CFD07E" w14:textId="77777777" w:rsidR="00851B17" w:rsidRPr="00851B17" w:rsidRDefault="00851B17" w:rsidP="00570777">
            <w:pPr>
              <w:pStyle w:val="In-tableHeading"/>
              <w:jc w:val="center"/>
            </w:pPr>
          </w:p>
        </w:tc>
        <w:tc>
          <w:tcPr>
            <w:tcW w:w="647" w:type="pct"/>
            <w:shd w:val="clear" w:color="auto" w:fill="auto"/>
            <w:vAlign w:val="center"/>
          </w:tcPr>
          <w:p w14:paraId="7F7E556D" w14:textId="77777777" w:rsidR="00851B17" w:rsidRPr="00851B17" w:rsidRDefault="00851B17" w:rsidP="00570777">
            <w:pPr>
              <w:pStyle w:val="In-tableHeading"/>
              <w:jc w:val="center"/>
            </w:pPr>
            <w:r w:rsidRPr="00851B17">
              <w:t>Year 1</w:t>
            </w:r>
          </w:p>
        </w:tc>
        <w:tc>
          <w:tcPr>
            <w:tcW w:w="647" w:type="pct"/>
            <w:shd w:val="clear" w:color="auto" w:fill="auto"/>
            <w:vAlign w:val="center"/>
          </w:tcPr>
          <w:p w14:paraId="2CA026C4" w14:textId="77777777" w:rsidR="00851B17" w:rsidRPr="00851B17" w:rsidRDefault="00851B17" w:rsidP="00570777">
            <w:pPr>
              <w:pStyle w:val="In-tableHeading"/>
              <w:jc w:val="center"/>
            </w:pPr>
            <w:r w:rsidRPr="00851B17">
              <w:t>Year 2</w:t>
            </w:r>
          </w:p>
        </w:tc>
        <w:tc>
          <w:tcPr>
            <w:tcW w:w="647" w:type="pct"/>
            <w:shd w:val="clear" w:color="auto" w:fill="auto"/>
            <w:vAlign w:val="center"/>
          </w:tcPr>
          <w:p w14:paraId="16FC03E6" w14:textId="77777777" w:rsidR="00851B17" w:rsidRPr="00851B17" w:rsidRDefault="00851B17" w:rsidP="00570777">
            <w:pPr>
              <w:pStyle w:val="In-tableHeading"/>
              <w:jc w:val="center"/>
            </w:pPr>
            <w:r w:rsidRPr="00851B17">
              <w:t>Year 3</w:t>
            </w:r>
          </w:p>
        </w:tc>
        <w:tc>
          <w:tcPr>
            <w:tcW w:w="647" w:type="pct"/>
            <w:shd w:val="clear" w:color="auto" w:fill="auto"/>
            <w:vAlign w:val="center"/>
          </w:tcPr>
          <w:p w14:paraId="5D2E4819" w14:textId="77777777" w:rsidR="00851B17" w:rsidRPr="00851B17" w:rsidRDefault="00851B17" w:rsidP="00570777">
            <w:pPr>
              <w:pStyle w:val="In-tableHeading"/>
              <w:jc w:val="center"/>
            </w:pPr>
            <w:r w:rsidRPr="00851B17">
              <w:t>Year 4</w:t>
            </w:r>
          </w:p>
        </w:tc>
        <w:tc>
          <w:tcPr>
            <w:tcW w:w="647" w:type="pct"/>
            <w:shd w:val="clear" w:color="auto" w:fill="auto"/>
            <w:vAlign w:val="center"/>
          </w:tcPr>
          <w:p w14:paraId="5390D41A" w14:textId="77777777" w:rsidR="00851B17" w:rsidRPr="00851B17" w:rsidRDefault="00851B17" w:rsidP="00570777">
            <w:pPr>
              <w:pStyle w:val="In-tableHeading"/>
              <w:jc w:val="center"/>
            </w:pPr>
            <w:r w:rsidRPr="00851B17">
              <w:t>Year 5</w:t>
            </w:r>
          </w:p>
        </w:tc>
        <w:tc>
          <w:tcPr>
            <w:tcW w:w="649" w:type="pct"/>
            <w:vAlign w:val="center"/>
          </w:tcPr>
          <w:p w14:paraId="7625CE4C" w14:textId="77777777" w:rsidR="00851B17" w:rsidRPr="00851B17" w:rsidRDefault="00851B17" w:rsidP="00570777">
            <w:pPr>
              <w:pStyle w:val="In-tableHeading"/>
              <w:jc w:val="center"/>
            </w:pPr>
            <w:r w:rsidRPr="00851B17">
              <w:t>Year 6</w:t>
            </w:r>
          </w:p>
        </w:tc>
      </w:tr>
      <w:tr w:rsidR="00851B17" w:rsidRPr="00851B17" w14:paraId="6B7B01B3" w14:textId="77777777" w:rsidTr="0076138F">
        <w:tc>
          <w:tcPr>
            <w:tcW w:w="5000" w:type="pct"/>
            <w:gridSpan w:val="7"/>
            <w:shd w:val="clear" w:color="auto" w:fill="auto"/>
            <w:vAlign w:val="center"/>
          </w:tcPr>
          <w:p w14:paraId="6D8D9431" w14:textId="77777777" w:rsidR="00851B17" w:rsidRPr="00851B17" w:rsidRDefault="00851B17" w:rsidP="00570777">
            <w:pPr>
              <w:pStyle w:val="In-tableHeading"/>
              <w:rPr>
                <w:bCs/>
                <w:color w:val="000000"/>
              </w:rPr>
            </w:pPr>
            <w:r w:rsidRPr="00851B17">
              <w:rPr>
                <w:bCs/>
                <w:color w:val="000000"/>
              </w:rPr>
              <w:t>Estimated extent of use</w:t>
            </w:r>
          </w:p>
        </w:tc>
      </w:tr>
      <w:tr w:rsidR="0076138F" w:rsidRPr="00851B17" w14:paraId="5526E62B" w14:textId="77777777" w:rsidTr="0076138F">
        <w:tc>
          <w:tcPr>
            <w:tcW w:w="1116" w:type="pct"/>
            <w:shd w:val="clear" w:color="auto" w:fill="auto"/>
            <w:vAlign w:val="center"/>
          </w:tcPr>
          <w:p w14:paraId="68FD316D" w14:textId="77777777" w:rsidR="00851B17" w:rsidRPr="00851B17" w:rsidRDefault="00851B17" w:rsidP="00570777">
            <w:pPr>
              <w:pStyle w:val="TableText0"/>
              <w:rPr>
                <w:rFonts w:ascii="Times" w:hAnsi="Times"/>
              </w:rPr>
            </w:pPr>
            <w:r w:rsidRPr="00851B17">
              <w:t>Number of patients initiating treatment</w:t>
            </w:r>
          </w:p>
        </w:tc>
        <w:tc>
          <w:tcPr>
            <w:tcW w:w="647" w:type="pct"/>
            <w:shd w:val="clear" w:color="auto" w:fill="auto"/>
            <w:vAlign w:val="center"/>
          </w:tcPr>
          <w:p w14:paraId="545E171C" w14:textId="753F15EC" w:rsidR="00851B17" w:rsidRPr="001E19B2" w:rsidRDefault="00E038A0" w:rsidP="00570777">
            <w:pPr>
              <w:pStyle w:val="TableText0"/>
              <w:jc w:val="center"/>
              <w:rPr>
                <w:color w:val="000000"/>
                <w:highlight w:val="darkGray"/>
              </w:rPr>
            </w:pPr>
            <w:r>
              <w:rPr>
                <w:szCs w:val="20"/>
              </w:rPr>
              <w:t xml:space="preserve"> </w:t>
            </w:r>
            <w:r w:rsidRPr="00E038A0">
              <w:rPr>
                <w:rFonts w:hint="eastAsia"/>
                <w:color w:val="000000"/>
                <w:w w:val="15"/>
                <w:szCs w:val="20"/>
                <w:shd w:val="solid" w:color="000000" w:fill="000000"/>
                <w:fitText w:val="50" w:id="-1032069632"/>
                <w14:textFill>
                  <w14:solidFill>
                    <w14:srgbClr w14:val="000000">
                      <w14:alpha w14:val="100000"/>
                    </w14:srgbClr>
                  </w14:solidFill>
                </w14:textFill>
              </w:rPr>
              <w:t xml:space="preserve">　</w:t>
            </w:r>
            <w:r w:rsidRPr="00E038A0">
              <w:rPr>
                <w:color w:val="000000"/>
                <w:w w:val="15"/>
                <w:szCs w:val="20"/>
                <w:shd w:val="solid" w:color="000000" w:fill="000000"/>
                <w:fitText w:val="50" w:id="-1032069632"/>
                <w14:textFill>
                  <w14:solidFill>
                    <w14:srgbClr w14:val="000000">
                      <w14:alpha w14:val="100000"/>
                    </w14:srgbClr>
                  </w14:solidFill>
                </w14:textFill>
              </w:rPr>
              <w:t>|</w:t>
            </w:r>
            <w:r w:rsidRPr="00E038A0">
              <w:rPr>
                <w:rFonts w:hint="eastAsia"/>
                <w:color w:val="000000"/>
                <w:spacing w:val="-15"/>
                <w:w w:val="15"/>
                <w:szCs w:val="20"/>
                <w:shd w:val="solid" w:color="000000" w:fill="000000"/>
                <w:fitText w:val="50" w:id="-1032069632"/>
                <w14:textFill>
                  <w14:solidFill>
                    <w14:srgbClr w14:val="000000">
                      <w14:alpha w14:val="100000"/>
                    </w14:srgbClr>
                  </w14:solidFill>
                </w14:textFill>
              </w:rPr>
              <w:t xml:space="preserve">　</w:t>
            </w:r>
            <w:r w:rsidR="001E19B2" w:rsidRPr="003B0938">
              <w:rPr>
                <w:szCs w:val="20"/>
                <w:vertAlign w:val="superscript"/>
              </w:rPr>
              <w:t>1</w:t>
            </w:r>
          </w:p>
        </w:tc>
        <w:tc>
          <w:tcPr>
            <w:tcW w:w="647" w:type="pct"/>
            <w:shd w:val="clear" w:color="auto" w:fill="auto"/>
            <w:vAlign w:val="center"/>
          </w:tcPr>
          <w:p w14:paraId="38A97852" w14:textId="6E0254A6" w:rsidR="00851B17" w:rsidRPr="00851B17" w:rsidRDefault="00E038A0" w:rsidP="00570777">
            <w:pPr>
              <w:pStyle w:val="TableText0"/>
              <w:jc w:val="center"/>
              <w:rPr>
                <w:color w:val="000000"/>
              </w:rPr>
            </w:pPr>
            <w:r>
              <w:rPr>
                <w:szCs w:val="20"/>
              </w:rPr>
              <w:t xml:space="preserve"> </w:t>
            </w:r>
            <w:r w:rsidRPr="00E038A0">
              <w:rPr>
                <w:rFonts w:hint="eastAsia"/>
                <w:color w:val="000000"/>
                <w:w w:val="15"/>
                <w:szCs w:val="20"/>
                <w:shd w:val="solid" w:color="000000" w:fill="000000"/>
                <w:fitText w:val="50" w:id="-1032069631"/>
                <w14:textFill>
                  <w14:solidFill>
                    <w14:srgbClr w14:val="000000">
                      <w14:alpha w14:val="100000"/>
                    </w14:srgbClr>
                  </w14:solidFill>
                </w14:textFill>
              </w:rPr>
              <w:t xml:space="preserve">　</w:t>
            </w:r>
            <w:r w:rsidRPr="00E038A0">
              <w:rPr>
                <w:color w:val="000000"/>
                <w:w w:val="15"/>
                <w:szCs w:val="20"/>
                <w:shd w:val="solid" w:color="000000" w:fill="000000"/>
                <w:fitText w:val="50" w:id="-1032069631"/>
                <w14:textFill>
                  <w14:solidFill>
                    <w14:srgbClr w14:val="000000">
                      <w14:alpha w14:val="100000"/>
                    </w14:srgbClr>
                  </w14:solidFill>
                </w14:textFill>
              </w:rPr>
              <w:t>|</w:t>
            </w:r>
            <w:r w:rsidRPr="00E038A0">
              <w:rPr>
                <w:rFonts w:hint="eastAsia"/>
                <w:color w:val="000000"/>
                <w:spacing w:val="-15"/>
                <w:w w:val="15"/>
                <w:szCs w:val="20"/>
                <w:shd w:val="solid" w:color="000000" w:fill="000000"/>
                <w:fitText w:val="50" w:id="-1032069631"/>
                <w14:textFill>
                  <w14:solidFill>
                    <w14:srgbClr w14:val="000000">
                      <w14:alpha w14:val="100000"/>
                    </w14:srgbClr>
                  </w14:solidFill>
                </w14:textFill>
              </w:rPr>
              <w:t xml:space="preserve">　</w:t>
            </w:r>
            <w:r w:rsidR="001E19B2" w:rsidRPr="003B0938">
              <w:rPr>
                <w:szCs w:val="20"/>
                <w:vertAlign w:val="superscript"/>
              </w:rPr>
              <w:t>1</w:t>
            </w:r>
          </w:p>
        </w:tc>
        <w:tc>
          <w:tcPr>
            <w:tcW w:w="647" w:type="pct"/>
            <w:shd w:val="clear" w:color="auto" w:fill="auto"/>
            <w:vAlign w:val="center"/>
          </w:tcPr>
          <w:p w14:paraId="5879B1E3" w14:textId="5A9FBE10" w:rsidR="00851B17" w:rsidRPr="00851B17" w:rsidRDefault="00E038A0" w:rsidP="00570777">
            <w:pPr>
              <w:pStyle w:val="TableText0"/>
              <w:jc w:val="center"/>
              <w:rPr>
                <w:color w:val="000000"/>
              </w:rPr>
            </w:pPr>
            <w:r>
              <w:rPr>
                <w:szCs w:val="20"/>
              </w:rPr>
              <w:t xml:space="preserve"> </w:t>
            </w:r>
            <w:r w:rsidRPr="00E038A0">
              <w:rPr>
                <w:rFonts w:hint="eastAsia"/>
                <w:color w:val="000000"/>
                <w:w w:val="15"/>
                <w:szCs w:val="20"/>
                <w:shd w:val="solid" w:color="000000" w:fill="000000"/>
                <w:fitText w:val="60" w:id="-1032069376"/>
                <w14:textFill>
                  <w14:solidFill>
                    <w14:srgbClr w14:val="000000">
                      <w14:alpha w14:val="100000"/>
                    </w14:srgbClr>
                  </w14:solidFill>
                </w14:textFill>
              </w:rPr>
              <w:t xml:space="preserve">　</w:t>
            </w:r>
            <w:r w:rsidRPr="00E038A0">
              <w:rPr>
                <w:color w:val="000000"/>
                <w:w w:val="15"/>
                <w:szCs w:val="20"/>
                <w:shd w:val="solid" w:color="000000" w:fill="000000"/>
                <w:fitText w:val="60" w:id="-1032069376"/>
                <w14:textFill>
                  <w14:solidFill>
                    <w14:srgbClr w14:val="000000">
                      <w14:alpha w14:val="100000"/>
                    </w14:srgbClr>
                  </w14:solidFill>
                </w14:textFill>
              </w:rPr>
              <w:t>|</w:t>
            </w:r>
            <w:r w:rsidRPr="00E038A0">
              <w:rPr>
                <w:rFonts w:hint="eastAsia"/>
                <w:color w:val="000000"/>
                <w:spacing w:val="-5"/>
                <w:w w:val="15"/>
                <w:szCs w:val="20"/>
                <w:shd w:val="solid" w:color="000000" w:fill="000000"/>
                <w:fitText w:val="60" w:id="-1032069376"/>
                <w14:textFill>
                  <w14:solidFill>
                    <w14:srgbClr w14:val="000000">
                      <w14:alpha w14:val="100000"/>
                    </w14:srgbClr>
                  </w14:solidFill>
                </w14:textFill>
              </w:rPr>
              <w:t xml:space="preserve">　</w:t>
            </w:r>
            <w:r w:rsidR="00851B17" w:rsidRPr="00851B17">
              <w:rPr>
                <w:szCs w:val="20"/>
              </w:rPr>
              <w:t xml:space="preserve"> </w:t>
            </w:r>
            <w:r w:rsidR="001E19B2" w:rsidRPr="003B0938">
              <w:rPr>
                <w:szCs w:val="20"/>
                <w:vertAlign w:val="superscript"/>
              </w:rPr>
              <w:t>1</w:t>
            </w:r>
          </w:p>
        </w:tc>
        <w:tc>
          <w:tcPr>
            <w:tcW w:w="647" w:type="pct"/>
            <w:shd w:val="clear" w:color="auto" w:fill="auto"/>
            <w:vAlign w:val="center"/>
          </w:tcPr>
          <w:p w14:paraId="4FAA31F9" w14:textId="2A115658" w:rsidR="00851B17" w:rsidRPr="00851B17" w:rsidRDefault="00E038A0" w:rsidP="00570777">
            <w:pPr>
              <w:pStyle w:val="TableText0"/>
              <w:jc w:val="center"/>
              <w:rPr>
                <w:color w:val="000000"/>
              </w:rPr>
            </w:pPr>
            <w:r>
              <w:rPr>
                <w:szCs w:val="20"/>
              </w:rPr>
              <w:t xml:space="preserve"> </w:t>
            </w:r>
            <w:r w:rsidRPr="00E038A0">
              <w:rPr>
                <w:rFonts w:hint="eastAsia"/>
                <w:color w:val="000000"/>
                <w:w w:val="15"/>
                <w:szCs w:val="20"/>
                <w:shd w:val="solid" w:color="000000" w:fill="000000"/>
                <w:fitText w:val="50" w:id="-1032069375"/>
                <w14:textFill>
                  <w14:solidFill>
                    <w14:srgbClr w14:val="000000">
                      <w14:alpha w14:val="100000"/>
                    </w14:srgbClr>
                  </w14:solidFill>
                </w14:textFill>
              </w:rPr>
              <w:t xml:space="preserve">　</w:t>
            </w:r>
            <w:r w:rsidRPr="00E038A0">
              <w:rPr>
                <w:color w:val="000000"/>
                <w:w w:val="15"/>
                <w:szCs w:val="20"/>
                <w:shd w:val="solid" w:color="000000" w:fill="000000"/>
                <w:fitText w:val="50" w:id="-1032069375"/>
                <w14:textFill>
                  <w14:solidFill>
                    <w14:srgbClr w14:val="000000">
                      <w14:alpha w14:val="100000"/>
                    </w14:srgbClr>
                  </w14:solidFill>
                </w14:textFill>
              </w:rPr>
              <w:t>|</w:t>
            </w:r>
            <w:r w:rsidRPr="00E038A0">
              <w:rPr>
                <w:rFonts w:hint="eastAsia"/>
                <w:color w:val="000000"/>
                <w:spacing w:val="-15"/>
                <w:w w:val="15"/>
                <w:szCs w:val="20"/>
                <w:shd w:val="solid" w:color="000000" w:fill="000000"/>
                <w:fitText w:val="50" w:id="-1032069375"/>
                <w14:textFill>
                  <w14:solidFill>
                    <w14:srgbClr w14:val="000000">
                      <w14:alpha w14:val="100000"/>
                    </w14:srgbClr>
                  </w14:solidFill>
                </w14:textFill>
              </w:rPr>
              <w:t xml:space="preserve">　</w:t>
            </w:r>
            <w:r w:rsidR="001E19B2" w:rsidRPr="003B0938">
              <w:rPr>
                <w:szCs w:val="20"/>
                <w:vertAlign w:val="superscript"/>
              </w:rPr>
              <w:t>1</w:t>
            </w:r>
          </w:p>
        </w:tc>
        <w:tc>
          <w:tcPr>
            <w:tcW w:w="647" w:type="pct"/>
            <w:shd w:val="clear" w:color="auto" w:fill="auto"/>
            <w:vAlign w:val="center"/>
          </w:tcPr>
          <w:p w14:paraId="4F4BF57F" w14:textId="7DB59467" w:rsidR="00851B17" w:rsidRPr="001E19B2" w:rsidRDefault="00E038A0" w:rsidP="00570777">
            <w:pPr>
              <w:pStyle w:val="TableText0"/>
              <w:jc w:val="center"/>
              <w:rPr>
                <w:color w:val="000000"/>
                <w:highlight w:val="darkGray"/>
              </w:rPr>
            </w:pPr>
            <w:r>
              <w:rPr>
                <w:szCs w:val="20"/>
              </w:rPr>
              <w:t xml:space="preserve"> </w:t>
            </w:r>
            <w:r w:rsidRPr="00E038A0">
              <w:rPr>
                <w:rFonts w:hint="eastAsia"/>
                <w:color w:val="000000"/>
                <w:w w:val="15"/>
                <w:szCs w:val="20"/>
                <w:shd w:val="solid" w:color="000000" w:fill="000000"/>
                <w:fitText w:val="50" w:id="-1032069374"/>
                <w14:textFill>
                  <w14:solidFill>
                    <w14:srgbClr w14:val="000000">
                      <w14:alpha w14:val="100000"/>
                    </w14:srgbClr>
                  </w14:solidFill>
                </w14:textFill>
              </w:rPr>
              <w:t xml:space="preserve">　</w:t>
            </w:r>
            <w:r w:rsidRPr="00E038A0">
              <w:rPr>
                <w:color w:val="000000"/>
                <w:w w:val="15"/>
                <w:szCs w:val="20"/>
                <w:shd w:val="solid" w:color="000000" w:fill="000000"/>
                <w:fitText w:val="50" w:id="-1032069374"/>
                <w14:textFill>
                  <w14:solidFill>
                    <w14:srgbClr w14:val="000000">
                      <w14:alpha w14:val="100000"/>
                    </w14:srgbClr>
                  </w14:solidFill>
                </w14:textFill>
              </w:rPr>
              <w:t>|</w:t>
            </w:r>
            <w:r w:rsidRPr="00E038A0">
              <w:rPr>
                <w:rFonts w:hint="eastAsia"/>
                <w:color w:val="000000"/>
                <w:spacing w:val="-15"/>
                <w:w w:val="15"/>
                <w:szCs w:val="20"/>
                <w:shd w:val="solid" w:color="000000" w:fill="000000"/>
                <w:fitText w:val="50" w:id="-1032069374"/>
                <w14:textFill>
                  <w14:solidFill>
                    <w14:srgbClr w14:val="000000">
                      <w14:alpha w14:val="100000"/>
                    </w14:srgbClr>
                  </w14:solidFill>
                </w14:textFill>
              </w:rPr>
              <w:t xml:space="preserve">　</w:t>
            </w:r>
            <w:r w:rsidR="001E19B2" w:rsidRPr="00AC1C34">
              <w:rPr>
                <w:szCs w:val="20"/>
                <w:vertAlign w:val="superscript"/>
              </w:rPr>
              <w:t>1</w:t>
            </w:r>
          </w:p>
        </w:tc>
        <w:tc>
          <w:tcPr>
            <w:tcW w:w="649" w:type="pct"/>
            <w:vAlign w:val="center"/>
          </w:tcPr>
          <w:p w14:paraId="3015F363" w14:textId="6E251D11" w:rsidR="00851B17" w:rsidRPr="001E19B2" w:rsidRDefault="00E038A0" w:rsidP="00570777">
            <w:pPr>
              <w:pStyle w:val="TableText0"/>
              <w:jc w:val="center"/>
              <w:rPr>
                <w:color w:val="000000"/>
                <w:highlight w:val="darkGray"/>
              </w:rPr>
            </w:pPr>
            <w:r>
              <w:rPr>
                <w:szCs w:val="20"/>
              </w:rPr>
              <w:t xml:space="preserve"> </w:t>
            </w:r>
            <w:r w:rsidRPr="00E038A0">
              <w:rPr>
                <w:rFonts w:hint="eastAsia"/>
                <w:color w:val="000000"/>
                <w:w w:val="15"/>
                <w:szCs w:val="20"/>
                <w:shd w:val="solid" w:color="000000" w:fill="000000"/>
                <w:fitText w:val="70" w:id="-1032069373"/>
                <w14:textFill>
                  <w14:solidFill>
                    <w14:srgbClr w14:val="000000">
                      <w14:alpha w14:val="100000"/>
                    </w14:srgbClr>
                  </w14:solidFill>
                </w14:textFill>
              </w:rPr>
              <w:t xml:space="preserve">　</w:t>
            </w:r>
            <w:r w:rsidRPr="00E038A0">
              <w:rPr>
                <w:color w:val="000000"/>
                <w:w w:val="15"/>
                <w:szCs w:val="20"/>
                <w:shd w:val="solid" w:color="000000" w:fill="000000"/>
                <w:fitText w:val="70" w:id="-1032069373"/>
                <w14:textFill>
                  <w14:solidFill>
                    <w14:srgbClr w14:val="000000">
                      <w14:alpha w14:val="100000"/>
                    </w14:srgbClr>
                  </w14:solidFill>
                </w14:textFill>
              </w:rPr>
              <w:t>|</w:t>
            </w:r>
            <w:r w:rsidRPr="00E038A0">
              <w:rPr>
                <w:rFonts w:hint="eastAsia"/>
                <w:color w:val="000000"/>
                <w:spacing w:val="4"/>
                <w:w w:val="15"/>
                <w:szCs w:val="20"/>
                <w:shd w:val="solid" w:color="000000" w:fill="000000"/>
                <w:fitText w:val="70" w:id="-1032069373"/>
                <w14:textFill>
                  <w14:solidFill>
                    <w14:srgbClr w14:val="000000">
                      <w14:alpha w14:val="100000"/>
                    </w14:srgbClr>
                  </w14:solidFill>
                </w14:textFill>
              </w:rPr>
              <w:t xml:space="preserve">　</w:t>
            </w:r>
            <w:r w:rsidR="00851B17" w:rsidRPr="00AC1C34">
              <w:rPr>
                <w:szCs w:val="20"/>
              </w:rPr>
              <w:t xml:space="preserve"> </w:t>
            </w:r>
            <w:r w:rsidR="001E19B2" w:rsidRPr="00AC1C34">
              <w:rPr>
                <w:szCs w:val="20"/>
                <w:vertAlign w:val="superscript"/>
              </w:rPr>
              <w:t>1</w:t>
            </w:r>
          </w:p>
        </w:tc>
      </w:tr>
      <w:tr w:rsidR="0076138F" w:rsidRPr="00851B17" w14:paraId="081A339A" w14:textId="77777777" w:rsidTr="0076138F">
        <w:tc>
          <w:tcPr>
            <w:tcW w:w="1116" w:type="pct"/>
            <w:shd w:val="clear" w:color="auto" w:fill="auto"/>
            <w:vAlign w:val="center"/>
          </w:tcPr>
          <w:p w14:paraId="5058EB38" w14:textId="77777777" w:rsidR="00851B17" w:rsidRPr="00851B17" w:rsidRDefault="00851B17" w:rsidP="00570777">
            <w:pPr>
              <w:pStyle w:val="TableText0"/>
              <w:rPr>
                <w:rFonts w:ascii="Times" w:hAnsi="Times"/>
              </w:rPr>
            </w:pPr>
            <w:r w:rsidRPr="00851B17">
              <w:t>Number of scripts dispensed</w:t>
            </w:r>
            <w:r w:rsidRPr="00851B17">
              <w:rPr>
                <w:vertAlign w:val="superscript"/>
              </w:rPr>
              <w:t>a</w:t>
            </w:r>
          </w:p>
        </w:tc>
        <w:tc>
          <w:tcPr>
            <w:tcW w:w="647" w:type="pct"/>
            <w:shd w:val="clear" w:color="auto" w:fill="auto"/>
            <w:vAlign w:val="center"/>
          </w:tcPr>
          <w:p w14:paraId="7E4496E3" w14:textId="0ACD2F36" w:rsidR="00851B17" w:rsidRPr="00851B17" w:rsidRDefault="00E038A0" w:rsidP="00570777">
            <w:pPr>
              <w:pStyle w:val="TableText0"/>
              <w:jc w:val="center"/>
              <w:rPr>
                <w:color w:val="000000"/>
              </w:rPr>
            </w:pPr>
            <w:r>
              <w:rPr>
                <w:szCs w:val="20"/>
              </w:rPr>
              <w:t xml:space="preserve"> </w:t>
            </w:r>
            <w:r w:rsidRPr="00E038A0">
              <w:rPr>
                <w:rFonts w:hint="eastAsia"/>
                <w:color w:val="000000"/>
                <w:w w:val="15"/>
                <w:szCs w:val="20"/>
                <w:shd w:val="solid" w:color="000000" w:fill="000000"/>
                <w:fitText w:val="60" w:id="-1032069372"/>
                <w14:textFill>
                  <w14:solidFill>
                    <w14:srgbClr w14:val="000000">
                      <w14:alpha w14:val="100000"/>
                    </w14:srgbClr>
                  </w14:solidFill>
                </w14:textFill>
              </w:rPr>
              <w:t xml:space="preserve">　</w:t>
            </w:r>
            <w:r w:rsidRPr="00E038A0">
              <w:rPr>
                <w:color w:val="000000"/>
                <w:w w:val="15"/>
                <w:szCs w:val="20"/>
                <w:shd w:val="solid" w:color="000000" w:fill="000000"/>
                <w:fitText w:val="60" w:id="-1032069372"/>
                <w14:textFill>
                  <w14:solidFill>
                    <w14:srgbClr w14:val="000000">
                      <w14:alpha w14:val="100000"/>
                    </w14:srgbClr>
                  </w14:solidFill>
                </w14:textFill>
              </w:rPr>
              <w:t>|</w:t>
            </w:r>
            <w:r w:rsidRPr="00E038A0">
              <w:rPr>
                <w:rFonts w:hint="eastAsia"/>
                <w:color w:val="000000"/>
                <w:spacing w:val="-5"/>
                <w:w w:val="15"/>
                <w:szCs w:val="20"/>
                <w:shd w:val="solid" w:color="000000" w:fill="000000"/>
                <w:fitText w:val="60" w:id="-1032069372"/>
                <w14:textFill>
                  <w14:solidFill>
                    <w14:srgbClr w14:val="000000">
                      <w14:alpha w14:val="100000"/>
                    </w14:srgbClr>
                  </w14:solidFill>
                </w14:textFill>
              </w:rPr>
              <w:t xml:space="preserve">　</w:t>
            </w:r>
            <w:r w:rsidR="00851B17" w:rsidRPr="00851B17">
              <w:rPr>
                <w:szCs w:val="20"/>
              </w:rPr>
              <w:t xml:space="preserve"> </w:t>
            </w:r>
            <w:r w:rsidR="001E19B2" w:rsidRPr="003B0938">
              <w:rPr>
                <w:szCs w:val="20"/>
                <w:vertAlign w:val="superscript"/>
              </w:rPr>
              <w:t>2</w:t>
            </w:r>
          </w:p>
        </w:tc>
        <w:tc>
          <w:tcPr>
            <w:tcW w:w="647" w:type="pct"/>
            <w:shd w:val="clear" w:color="auto" w:fill="auto"/>
            <w:vAlign w:val="center"/>
          </w:tcPr>
          <w:p w14:paraId="285D709C" w14:textId="29E72BF9" w:rsidR="00851B17" w:rsidRPr="001E19B2" w:rsidRDefault="00E038A0" w:rsidP="00570777">
            <w:pPr>
              <w:pStyle w:val="TableText0"/>
              <w:jc w:val="center"/>
              <w:rPr>
                <w:color w:val="000000"/>
                <w:highlight w:val="darkGray"/>
              </w:rPr>
            </w:pPr>
            <w:r>
              <w:rPr>
                <w:szCs w:val="20"/>
              </w:rPr>
              <w:t xml:space="preserve"> </w:t>
            </w:r>
            <w:r w:rsidRPr="00E038A0">
              <w:rPr>
                <w:rFonts w:hint="eastAsia"/>
                <w:color w:val="000000"/>
                <w:w w:val="15"/>
                <w:szCs w:val="20"/>
                <w:shd w:val="solid" w:color="000000" w:fill="000000"/>
                <w:fitText w:val="60" w:id="-1032069371"/>
                <w14:textFill>
                  <w14:solidFill>
                    <w14:srgbClr w14:val="000000">
                      <w14:alpha w14:val="100000"/>
                    </w14:srgbClr>
                  </w14:solidFill>
                </w14:textFill>
              </w:rPr>
              <w:t xml:space="preserve">　</w:t>
            </w:r>
            <w:r w:rsidRPr="00E038A0">
              <w:rPr>
                <w:color w:val="000000"/>
                <w:w w:val="15"/>
                <w:szCs w:val="20"/>
                <w:shd w:val="solid" w:color="000000" w:fill="000000"/>
                <w:fitText w:val="60" w:id="-1032069371"/>
                <w14:textFill>
                  <w14:solidFill>
                    <w14:srgbClr w14:val="000000">
                      <w14:alpha w14:val="100000"/>
                    </w14:srgbClr>
                  </w14:solidFill>
                </w14:textFill>
              </w:rPr>
              <w:t>|</w:t>
            </w:r>
            <w:r w:rsidRPr="00E038A0">
              <w:rPr>
                <w:rFonts w:hint="eastAsia"/>
                <w:color w:val="000000"/>
                <w:spacing w:val="-5"/>
                <w:w w:val="15"/>
                <w:szCs w:val="20"/>
                <w:shd w:val="solid" w:color="000000" w:fill="000000"/>
                <w:fitText w:val="60" w:id="-1032069371"/>
                <w14:textFill>
                  <w14:solidFill>
                    <w14:srgbClr w14:val="000000">
                      <w14:alpha w14:val="100000"/>
                    </w14:srgbClr>
                  </w14:solidFill>
                </w14:textFill>
              </w:rPr>
              <w:t xml:space="preserve">　</w:t>
            </w:r>
            <w:r w:rsidR="00851B17" w:rsidRPr="00AC1C34">
              <w:rPr>
                <w:szCs w:val="20"/>
              </w:rPr>
              <w:t xml:space="preserve"> </w:t>
            </w:r>
            <w:r w:rsidR="001E19B2" w:rsidRPr="00AC1C34">
              <w:rPr>
                <w:szCs w:val="20"/>
                <w:vertAlign w:val="superscript"/>
              </w:rPr>
              <w:t>2</w:t>
            </w:r>
          </w:p>
        </w:tc>
        <w:tc>
          <w:tcPr>
            <w:tcW w:w="647" w:type="pct"/>
            <w:shd w:val="clear" w:color="auto" w:fill="auto"/>
            <w:vAlign w:val="center"/>
          </w:tcPr>
          <w:p w14:paraId="23B5EB1D" w14:textId="375E3D20" w:rsidR="00851B17" w:rsidRPr="00851B17" w:rsidRDefault="00E038A0" w:rsidP="00570777">
            <w:pPr>
              <w:pStyle w:val="TableText0"/>
              <w:jc w:val="center"/>
              <w:rPr>
                <w:color w:val="000000"/>
              </w:rPr>
            </w:pPr>
            <w:r>
              <w:rPr>
                <w:szCs w:val="20"/>
              </w:rPr>
              <w:t xml:space="preserve"> </w:t>
            </w:r>
            <w:r w:rsidRPr="00E038A0">
              <w:rPr>
                <w:rFonts w:hint="eastAsia"/>
                <w:color w:val="000000"/>
                <w:w w:val="15"/>
                <w:szCs w:val="20"/>
                <w:shd w:val="solid" w:color="000000" w:fill="000000"/>
                <w:fitText w:val="60" w:id="-1032069370"/>
                <w14:textFill>
                  <w14:solidFill>
                    <w14:srgbClr w14:val="000000">
                      <w14:alpha w14:val="100000"/>
                    </w14:srgbClr>
                  </w14:solidFill>
                </w14:textFill>
              </w:rPr>
              <w:t xml:space="preserve">　</w:t>
            </w:r>
            <w:r w:rsidRPr="00E038A0">
              <w:rPr>
                <w:color w:val="000000"/>
                <w:w w:val="15"/>
                <w:szCs w:val="20"/>
                <w:shd w:val="solid" w:color="000000" w:fill="000000"/>
                <w:fitText w:val="60" w:id="-1032069370"/>
                <w14:textFill>
                  <w14:solidFill>
                    <w14:srgbClr w14:val="000000">
                      <w14:alpha w14:val="100000"/>
                    </w14:srgbClr>
                  </w14:solidFill>
                </w14:textFill>
              </w:rPr>
              <w:t>|</w:t>
            </w:r>
            <w:r w:rsidRPr="00E038A0">
              <w:rPr>
                <w:rFonts w:hint="eastAsia"/>
                <w:color w:val="000000"/>
                <w:spacing w:val="-5"/>
                <w:w w:val="15"/>
                <w:szCs w:val="20"/>
                <w:shd w:val="solid" w:color="000000" w:fill="000000"/>
                <w:fitText w:val="60" w:id="-1032069370"/>
                <w14:textFill>
                  <w14:solidFill>
                    <w14:srgbClr w14:val="000000">
                      <w14:alpha w14:val="100000"/>
                    </w14:srgbClr>
                  </w14:solidFill>
                </w14:textFill>
              </w:rPr>
              <w:t xml:space="preserve">　</w:t>
            </w:r>
            <w:r w:rsidR="00851B17" w:rsidRPr="00851B17">
              <w:rPr>
                <w:szCs w:val="20"/>
              </w:rPr>
              <w:t xml:space="preserve"> </w:t>
            </w:r>
            <w:r w:rsidR="001E19B2" w:rsidRPr="003B0938">
              <w:rPr>
                <w:szCs w:val="20"/>
                <w:vertAlign w:val="superscript"/>
              </w:rPr>
              <w:t>2</w:t>
            </w:r>
          </w:p>
        </w:tc>
        <w:tc>
          <w:tcPr>
            <w:tcW w:w="647" w:type="pct"/>
            <w:shd w:val="clear" w:color="auto" w:fill="auto"/>
            <w:vAlign w:val="center"/>
          </w:tcPr>
          <w:p w14:paraId="1509743B" w14:textId="3A138FA1" w:rsidR="00851B17" w:rsidRPr="00851B17" w:rsidRDefault="00E038A0" w:rsidP="00570777">
            <w:pPr>
              <w:pStyle w:val="TableText0"/>
              <w:jc w:val="center"/>
              <w:rPr>
                <w:color w:val="000000"/>
              </w:rPr>
            </w:pPr>
            <w:r>
              <w:rPr>
                <w:szCs w:val="20"/>
              </w:rPr>
              <w:t xml:space="preserve"> </w:t>
            </w:r>
            <w:r w:rsidRPr="00E038A0">
              <w:rPr>
                <w:rFonts w:hint="eastAsia"/>
                <w:color w:val="000000"/>
                <w:w w:val="15"/>
                <w:szCs w:val="20"/>
                <w:shd w:val="solid" w:color="000000" w:fill="000000"/>
                <w:fitText w:val="60" w:id="-1032069369"/>
                <w14:textFill>
                  <w14:solidFill>
                    <w14:srgbClr w14:val="000000">
                      <w14:alpha w14:val="100000"/>
                    </w14:srgbClr>
                  </w14:solidFill>
                </w14:textFill>
              </w:rPr>
              <w:t xml:space="preserve">　</w:t>
            </w:r>
            <w:r w:rsidRPr="00E038A0">
              <w:rPr>
                <w:color w:val="000000"/>
                <w:w w:val="15"/>
                <w:szCs w:val="20"/>
                <w:shd w:val="solid" w:color="000000" w:fill="000000"/>
                <w:fitText w:val="60" w:id="-1032069369"/>
                <w14:textFill>
                  <w14:solidFill>
                    <w14:srgbClr w14:val="000000">
                      <w14:alpha w14:val="100000"/>
                    </w14:srgbClr>
                  </w14:solidFill>
                </w14:textFill>
              </w:rPr>
              <w:t>|</w:t>
            </w:r>
            <w:r w:rsidRPr="00E038A0">
              <w:rPr>
                <w:rFonts w:hint="eastAsia"/>
                <w:color w:val="000000"/>
                <w:spacing w:val="-5"/>
                <w:w w:val="15"/>
                <w:szCs w:val="20"/>
                <w:shd w:val="solid" w:color="000000" w:fill="000000"/>
                <w:fitText w:val="60" w:id="-1032069369"/>
                <w14:textFill>
                  <w14:solidFill>
                    <w14:srgbClr w14:val="000000">
                      <w14:alpha w14:val="100000"/>
                    </w14:srgbClr>
                  </w14:solidFill>
                </w14:textFill>
              </w:rPr>
              <w:t xml:space="preserve">　</w:t>
            </w:r>
            <w:r w:rsidR="00851B17" w:rsidRPr="003B0938">
              <w:rPr>
                <w:szCs w:val="20"/>
                <w:vertAlign w:val="superscript"/>
              </w:rPr>
              <w:t xml:space="preserve"> </w:t>
            </w:r>
            <w:r w:rsidR="001E19B2" w:rsidRPr="003B0938">
              <w:rPr>
                <w:szCs w:val="20"/>
                <w:vertAlign w:val="superscript"/>
              </w:rPr>
              <w:t>2</w:t>
            </w:r>
          </w:p>
        </w:tc>
        <w:tc>
          <w:tcPr>
            <w:tcW w:w="647" w:type="pct"/>
            <w:shd w:val="clear" w:color="auto" w:fill="auto"/>
            <w:vAlign w:val="center"/>
          </w:tcPr>
          <w:p w14:paraId="26BCB3DB" w14:textId="6918350E" w:rsidR="00851B17" w:rsidRPr="00851B17" w:rsidRDefault="00E038A0" w:rsidP="00570777">
            <w:pPr>
              <w:pStyle w:val="TableText0"/>
              <w:jc w:val="center"/>
              <w:rPr>
                <w:color w:val="000000"/>
              </w:rPr>
            </w:pPr>
            <w:r>
              <w:rPr>
                <w:szCs w:val="20"/>
              </w:rPr>
              <w:t xml:space="preserve"> </w:t>
            </w:r>
            <w:r w:rsidRPr="00E038A0">
              <w:rPr>
                <w:rFonts w:hint="eastAsia"/>
                <w:color w:val="000000"/>
                <w:w w:val="15"/>
                <w:szCs w:val="20"/>
                <w:shd w:val="solid" w:color="000000" w:fill="000000"/>
                <w:fitText w:val="60" w:id="-1032069368"/>
                <w14:textFill>
                  <w14:solidFill>
                    <w14:srgbClr w14:val="000000">
                      <w14:alpha w14:val="100000"/>
                    </w14:srgbClr>
                  </w14:solidFill>
                </w14:textFill>
              </w:rPr>
              <w:t xml:space="preserve">　</w:t>
            </w:r>
            <w:r w:rsidRPr="00E038A0">
              <w:rPr>
                <w:color w:val="000000"/>
                <w:w w:val="15"/>
                <w:szCs w:val="20"/>
                <w:shd w:val="solid" w:color="000000" w:fill="000000"/>
                <w:fitText w:val="60" w:id="-1032069368"/>
                <w14:textFill>
                  <w14:solidFill>
                    <w14:srgbClr w14:val="000000">
                      <w14:alpha w14:val="100000"/>
                    </w14:srgbClr>
                  </w14:solidFill>
                </w14:textFill>
              </w:rPr>
              <w:t>|</w:t>
            </w:r>
            <w:r w:rsidRPr="00E038A0">
              <w:rPr>
                <w:rFonts w:hint="eastAsia"/>
                <w:color w:val="000000"/>
                <w:spacing w:val="-5"/>
                <w:w w:val="15"/>
                <w:szCs w:val="20"/>
                <w:shd w:val="solid" w:color="000000" w:fill="000000"/>
                <w:fitText w:val="60" w:id="-1032069368"/>
                <w14:textFill>
                  <w14:solidFill>
                    <w14:srgbClr w14:val="000000">
                      <w14:alpha w14:val="100000"/>
                    </w14:srgbClr>
                  </w14:solidFill>
                </w14:textFill>
              </w:rPr>
              <w:t xml:space="preserve">　</w:t>
            </w:r>
            <w:r w:rsidR="00851B17" w:rsidRPr="00851B17">
              <w:rPr>
                <w:szCs w:val="20"/>
              </w:rPr>
              <w:t xml:space="preserve"> </w:t>
            </w:r>
            <w:r w:rsidR="001E19B2" w:rsidRPr="003B0938">
              <w:rPr>
                <w:szCs w:val="20"/>
                <w:vertAlign w:val="superscript"/>
              </w:rPr>
              <w:t>2</w:t>
            </w:r>
          </w:p>
        </w:tc>
        <w:tc>
          <w:tcPr>
            <w:tcW w:w="649" w:type="pct"/>
            <w:vAlign w:val="center"/>
          </w:tcPr>
          <w:p w14:paraId="304CA9C8" w14:textId="35931C54" w:rsidR="00851B17" w:rsidRPr="001E19B2" w:rsidRDefault="00E038A0" w:rsidP="00570777">
            <w:pPr>
              <w:pStyle w:val="TableText0"/>
              <w:jc w:val="center"/>
              <w:rPr>
                <w:color w:val="000000"/>
                <w:highlight w:val="darkGray"/>
              </w:rPr>
            </w:pPr>
            <w:r>
              <w:rPr>
                <w:szCs w:val="20"/>
              </w:rPr>
              <w:t xml:space="preserve"> </w:t>
            </w:r>
            <w:r w:rsidRPr="00E038A0">
              <w:rPr>
                <w:rFonts w:hint="eastAsia"/>
                <w:color w:val="000000"/>
                <w:w w:val="15"/>
                <w:szCs w:val="20"/>
                <w:shd w:val="solid" w:color="000000" w:fill="000000"/>
                <w:fitText w:val="40" w:id="-1032069367"/>
                <w14:textFill>
                  <w14:solidFill>
                    <w14:srgbClr w14:val="000000">
                      <w14:alpha w14:val="100000"/>
                    </w14:srgbClr>
                  </w14:solidFill>
                </w14:textFill>
              </w:rPr>
              <w:t xml:space="preserve">　</w:t>
            </w:r>
            <w:r w:rsidRPr="00E038A0">
              <w:rPr>
                <w:color w:val="000000"/>
                <w:w w:val="15"/>
                <w:szCs w:val="20"/>
                <w:shd w:val="solid" w:color="000000" w:fill="000000"/>
                <w:fitText w:val="40" w:id="-1032069367"/>
                <w14:textFill>
                  <w14:solidFill>
                    <w14:srgbClr w14:val="000000">
                      <w14:alpha w14:val="100000"/>
                    </w14:srgbClr>
                  </w14:solidFill>
                </w14:textFill>
              </w:rPr>
              <w:t>|</w:t>
            </w:r>
            <w:r w:rsidRPr="00E038A0">
              <w:rPr>
                <w:rFonts w:hint="eastAsia"/>
                <w:color w:val="000000"/>
                <w:spacing w:val="-25"/>
                <w:w w:val="15"/>
                <w:szCs w:val="20"/>
                <w:shd w:val="solid" w:color="000000" w:fill="000000"/>
                <w:fitText w:val="40" w:id="-1032069367"/>
                <w14:textFill>
                  <w14:solidFill>
                    <w14:srgbClr w14:val="000000">
                      <w14:alpha w14:val="100000"/>
                    </w14:srgbClr>
                  </w14:solidFill>
                </w14:textFill>
              </w:rPr>
              <w:t xml:space="preserve">　</w:t>
            </w:r>
            <w:r w:rsidR="001E19B2" w:rsidRPr="003B0938">
              <w:rPr>
                <w:szCs w:val="20"/>
                <w:vertAlign w:val="superscript"/>
              </w:rPr>
              <w:t>2</w:t>
            </w:r>
          </w:p>
        </w:tc>
      </w:tr>
      <w:tr w:rsidR="00851B17" w:rsidRPr="00851B17" w14:paraId="09D66047" w14:textId="77777777" w:rsidTr="0076138F">
        <w:tc>
          <w:tcPr>
            <w:tcW w:w="5000" w:type="pct"/>
            <w:gridSpan w:val="7"/>
            <w:shd w:val="clear" w:color="auto" w:fill="auto"/>
            <w:vAlign w:val="center"/>
          </w:tcPr>
          <w:p w14:paraId="703A5B88" w14:textId="77777777" w:rsidR="00851B17" w:rsidRPr="00851B17" w:rsidRDefault="00851B17" w:rsidP="00570777">
            <w:pPr>
              <w:pStyle w:val="In-tableHeading"/>
            </w:pPr>
            <w:r w:rsidRPr="00851B17">
              <w:t>Estimated financial implications of maribavir</w:t>
            </w:r>
          </w:p>
        </w:tc>
      </w:tr>
      <w:tr w:rsidR="0076138F" w:rsidRPr="00851B17" w14:paraId="49AC0161" w14:textId="77777777" w:rsidTr="0076138F">
        <w:tc>
          <w:tcPr>
            <w:tcW w:w="1116" w:type="pct"/>
            <w:shd w:val="clear" w:color="auto" w:fill="auto"/>
            <w:vAlign w:val="center"/>
          </w:tcPr>
          <w:p w14:paraId="00383E9E" w14:textId="77777777" w:rsidR="00851B17" w:rsidRPr="00851B17" w:rsidRDefault="00851B17" w:rsidP="00570777">
            <w:pPr>
              <w:pStyle w:val="TableText0"/>
              <w:rPr>
                <w:sz w:val="19"/>
                <w:szCs w:val="19"/>
              </w:rPr>
            </w:pPr>
            <w:r w:rsidRPr="00851B17">
              <w:rPr>
                <w:sz w:val="19"/>
                <w:szCs w:val="19"/>
              </w:rPr>
              <w:t>Cost to PBS less copayments</w:t>
            </w:r>
          </w:p>
        </w:tc>
        <w:tc>
          <w:tcPr>
            <w:tcW w:w="647" w:type="pct"/>
            <w:shd w:val="clear" w:color="auto" w:fill="auto"/>
            <w:vAlign w:val="center"/>
          </w:tcPr>
          <w:p w14:paraId="08C6D711" w14:textId="0A377055" w:rsidR="00851B17" w:rsidRPr="00851B17" w:rsidRDefault="00E038A0" w:rsidP="00570777">
            <w:pPr>
              <w:pStyle w:val="TableText0"/>
              <w:jc w:val="center"/>
            </w:pPr>
            <w:r>
              <w:rPr>
                <w:szCs w:val="20"/>
              </w:rPr>
              <w:t xml:space="preserve"> </w:t>
            </w:r>
            <w:r w:rsidRPr="00E038A0">
              <w:rPr>
                <w:rFonts w:hint="eastAsia"/>
                <w:color w:val="000000"/>
                <w:w w:val="15"/>
                <w:szCs w:val="20"/>
                <w:shd w:val="solid" w:color="000000" w:fill="000000"/>
                <w:fitText w:val="50" w:id="-1032069366"/>
                <w14:textFill>
                  <w14:solidFill>
                    <w14:srgbClr w14:val="000000">
                      <w14:alpha w14:val="100000"/>
                    </w14:srgbClr>
                  </w14:solidFill>
                </w14:textFill>
              </w:rPr>
              <w:t xml:space="preserve">　</w:t>
            </w:r>
            <w:r w:rsidRPr="00E038A0">
              <w:rPr>
                <w:color w:val="000000"/>
                <w:w w:val="15"/>
                <w:szCs w:val="20"/>
                <w:shd w:val="solid" w:color="000000" w:fill="000000"/>
                <w:fitText w:val="50" w:id="-1032069366"/>
                <w14:textFill>
                  <w14:solidFill>
                    <w14:srgbClr w14:val="000000">
                      <w14:alpha w14:val="100000"/>
                    </w14:srgbClr>
                  </w14:solidFill>
                </w14:textFill>
              </w:rPr>
              <w:t>|</w:t>
            </w:r>
            <w:r w:rsidRPr="00E038A0">
              <w:rPr>
                <w:rFonts w:hint="eastAsia"/>
                <w:color w:val="000000"/>
                <w:spacing w:val="-15"/>
                <w:w w:val="15"/>
                <w:szCs w:val="20"/>
                <w:shd w:val="solid" w:color="000000" w:fill="000000"/>
                <w:fitText w:val="50" w:id="-1032069366"/>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4F356C56" w14:textId="7E80214D" w:rsidR="00851B17" w:rsidRPr="00851B17" w:rsidRDefault="00E038A0" w:rsidP="00570777">
            <w:pPr>
              <w:pStyle w:val="TableText0"/>
              <w:jc w:val="center"/>
            </w:pPr>
            <w:r>
              <w:rPr>
                <w:szCs w:val="20"/>
              </w:rPr>
              <w:t xml:space="preserve"> </w:t>
            </w:r>
            <w:r w:rsidRPr="00E038A0">
              <w:rPr>
                <w:rFonts w:hint="eastAsia"/>
                <w:color w:val="000000"/>
                <w:w w:val="15"/>
                <w:szCs w:val="20"/>
                <w:shd w:val="solid" w:color="000000" w:fill="000000"/>
                <w:fitText w:val="50" w:id="-1032069365"/>
                <w14:textFill>
                  <w14:solidFill>
                    <w14:srgbClr w14:val="000000">
                      <w14:alpha w14:val="100000"/>
                    </w14:srgbClr>
                  </w14:solidFill>
                </w14:textFill>
              </w:rPr>
              <w:t xml:space="preserve">　</w:t>
            </w:r>
            <w:r w:rsidRPr="00E038A0">
              <w:rPr>
                <w:color w:val="000000"/>
                <w:w w:val="15"/>
                <w:szCs w:val="20"/>
                <w:shd w:val="solid" w:color="000000" w:fill="000000"/>
                <w:fitText w:val="50" w:id="-1032069365"/>
                <w14:textFill>
                  <w14:solidFill>
                    <w14:srgbClr w14:val="000000">
                      <w14:alpha w14:val="100000"/>
                    </w14:srgbClr>
                  </w14:solidFill>
                </w14:textFill>
              </w:rPr>
              <w:t>|</w:t>
            </w:r>
            <w:r w:rsidRPr="00E038A0">
              <w:rPr>
                <w:rFonts w:hint="eastAsia"/>
                <w:color w:val="000000"/>
                <w:spacing w:val="-15"/>
                <w:w w:val="15"/>
                <w:szCs w:val="20"/>
                <w:shd w:val="solid" w:color="000000" w:fill="000000"/>
                <w:fitText w:val="50" w:id="-1032069365"/>
                <w14:textFill>
                  <w14:solidFill>
                    <w14:srgbClr w14:val="000000">
                      <w14:alpha w14:val="100000"/>
                    </w14:srgbClr>
                  </w14:solidFill>
                </w14:textFill>
              </w:rPr>
              <w:t xml:space="preserve">　</w:t>
            </w:r>
            <w:r w:rsidR="003B0938" w:rsidRPr="00E47009">
              <w:rPr>
                <w:szCs w:val="20"/>
                <w:vertAlign w:val="superscript"/>
              </w:rPr>
              <w:t>3</w:t>
            </w:r>
          </w:p>
        </w:tc>
        <w:tc>
          <w:tcPr>
            <w:tcW w:w="647" w:type="pct"/>
            <w:shd w:val="clear" w:color="auto" w:fill="auto"/>
            <w:vAlign w:val="center"/>
          </w:tcPr>
          <w:p w14:paraId="4F89FA32" w14:textId="5398B4C9" w:rsidR="00851B17" w:rsidRPr="00851B17" w:rsidRDefault="00E038A0" w:rsidP="00570777">
            <w:pPr>
              <w:pStyle w:val="TableText0"/>
              <w:jc w:val="center"/>
            </w:pPr>
            <w:r>
              <w:rPr>
                <w:szCs w:val="20"/>
              </w:rPr>
              <w:t xml:space="preserve"> </w:t>
            </w:r>
            <w:r w:rsidRPr="00E038A0">
              <w:rPr>
                <w:rFonts w:hint="eastAsia"/>
                <w:color w:val="000000"/>
                <w:w w:val="15"/>
                <w:szCs w:val="20"/>
                <w:shd w:val="solid" w:color="000000" w:fill="000000"/>
                <w:fitText w:val="50" w:id="-1032069364"/>
                <w14:textFill>
                  <w14:solidFill>
                    <w14:srgbClr w14:val="000000">
                      <w14:alpha w14:val="100000"/>
                    </w14:srgbClr>
                  </w14:solidFill>
                </w14:textFill>
              </w:rPr>
              <w:t xml:space="preserve">　</w:t>
            </w:r>
            <w:r w:rsidRPr="00E038A0">
              <w:rPr>
                <w:color w:val="000000"/>
                <w:w w:val="15"/>
                <w:szCs w:val="20"/>
                <w:shd w:val="solid" w:color="000000" w:fill="000000"/>
                <w:fitText w:val="50" w:id="-1032069364"/>
                <w14:textFill>
                  <w14:solidFill>
                    <w14:srgbClr w14:val="000000">
                      <w14:alpha w14:val="100000"/>
                    </w14:srgbClr>
                  </w14:solidFill>
                </w14:textFill>
              </w:rPr>
              <w:t>|</w:t>
            </w:r>
            <w:r w:rsidRPr="00E038A0">
              <w:rPr>
                <w:rFonts w:hint="eastAsia"/>
                <w:color w:val="000000"/>
                <w:spacing w:val="-15"/>
                <w:w w:val="15"/>
                <w:szCs w:val="20"/>
                <w:shd w:val="solid" w:color="000000" w:fill="000000"/>
                <w:fitText w:val="50" w:id="-1032069364"/>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7B502E58" w14:textId="27852328" w:rsidR="00851B17" w:rsidRPr="00851B17" w:rsidRDefault="00E038A0" w:rsidP="00570777">
            <w:pPr>
              <w:pStyle w:val="TableText0"/>
              <w:jc w:val="center"/>
            </w:pPr>
            <w:r>
              <w:rPr>
                <w:szCs w:val="20"/>
              </w:rPr>
              <w:t xml:space="preserve"> </w:t>
            </w:r>
            <w:r w:rsidRPr="00E038A0">
              <w:rPr>
                <w:rFonts w:hint="eastAsia"/>
                <w:color w:val="000000"/>
                <w:w w:val="15"/>
                <w:szCs w:val="20"/>
                <w:shd w:val="solid" w:color="000000" w:fill="000000"/>
                <w:fitText w:val="50" w:id="-1032069363"/>
                <w14:textFill>
                  <w14:solidFill>
                    <w14:srgbClr w14:val="000000">
                      <w14:alpha w14:val="100000"/>
                    </w14:srgbClr>
                  </w14:solidFill>
                </w14:textFill>
              </w:rPr>
              <w:t xml:space="preserve">　</w:t>
            </w:r>
            <w:r w:rsidRPr="00E038A0">
              <w:rPr>
                <w:color w:val="000000"/>
                <w:w w:val="15"/>
                <w:szCs w:val="20"/>
                <w:shd w:val="solid" w:color="000000" w:fill="000000"/>
                <w:fitText w:val="50" w:id="-1032069363"/>
                <w14:textFill>
                  <w14:solidFill>
                    <w14:srgbClr w14:val="000000">
                      <w14:alpha w14:val="100000"/>
                    </w14:srgbClr>
                  </w14:solidFill>
                </w14:textFill>
              </w:rPr>
              <w:t>|</w:t>
            </w:r>
            <w:r w:rsidRPr="00E038A0">
              <w:rPr>
                <w:rFonts w:hint="eastAsia"/>
                <w:color w:val="000000"/>
                <w:spacing w:val="-15"/>
                <w:w w:val="15"/>
                <w:szCs w:val="20"/>
                <w:shd w:val="solid" w:color="000000" w:fill="000000"/>
                <w:fitText w:val="50" w:id="-1032069363"/>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4E0EF289" w14:textId="39BF926C" w:rsidR="00851B17" w:rsidRPr="00851B17" w:rsidRDefault="00E038A0" w:rsidP="00570777">
            <w:pPr>
              <w:pStyle w:val="TableText0"/>
              <w:jc w:val="center"/>
            </w:pPr>
            <w:r>
              <w:rPr>
                <w:szCs w:val="20"/>
              </w:rPr>
              <w:t xml:space="preserve"> </w:t>
            </w:r>
            <w:r w:rsidRPr="00E038A0">
              <w:rPr>
                <w:rFonts w:hint="eastAsia"/>
                <w:color w:val="000000"/>
                <w:w w:val="15"/>
                <w:szCs w:val="20"/>
                <w:shd w:val="solid" w:color="000000" w:fill="000000"/>
                <w:fitText w:val="50" w:id="-1032069362"/>
                <w14:textFill>
                  <w14:solidFill>
                    <w14:srgbClr w14:val="000000">
                      <w14:alpha w14:val="100000"/>
                    </w14:srgbClr>
                  </w14:solidFill>
                </w14:textFill>
              </w:rPr>
              <w:t xml:space="preserve">　</w:t>
            </w:r>
            <w:r w:rsidRPr="00E038A0">
              <w:rPr>
                <w:color w:val="000000"/>
                <w:w w:val="15"/>
                <w:szCs w:val="20"/>
                <w:shd w:val="solid" w:color="000000" w:fill="000000"/>
                <w:fitText w:val="50" w:id="-1032069362"/>
                <w14:textFill>
                  <w14:solidFill>
                    <w14:srgbClr w14:val="000000">
                      <w14:alpha w14:val="100000"/>
                    </w14:srgbClr>
                  </w14:solidFill>
                </w14:textFill>
              </w:rPr>
              <w:t>|</w:t>
            </w:r>
            <w:r w:rsidRPr="00E038A0">
              <w:rPr>
                <w:rFonts w:hint="eastAsia"/>
                <w:color w:val="000000"/>
                <w:spacing w:val="-15"/>
                <w:w w:val="15"/>
                <w:szCs w:val="20"/>
                <w:shd w:val="solid" w:color="000000" w:fill="000000"/>
                <w:fitText w:val="50" w:id="-1032069362"/>
                <w14:textFill>
                  <w14:solidFill>
                    <w14:srgbClr w14:val="000000">
                      <w14:alpha w14:val="100000"/>
                    </w14:srgbClr>
                  </w14:solidFill>
                </w14:textFill>
              </w:rPr>
              <w:t xml:space="preserve">　</w:t>
            </w:r>
            <w:r w:rsidR="003B0938" w:rsidRPr="003B0938">
              <w:rPr>
                <w:szCs w:val="20"/>
                <w:vertAlign w:val="superscript"/>
              </w:rPr>
              <w:t>3</w:t>
            </w:r>
          </w:p>
        </w:tc>
        <w:tc>
          <w:tcPr>
            <w:tcW w:w="649" w:type="pct"/>
            <w:vAlign w:val="center"/>
          </w:tcPr>
          <w:p w14:paraId="2E7B4252" w14:textId="0C0E6605" w:rsidR="00851B17" w:rsidRPr="00851B17" w:rsidRDefault="00E038A0" w:rsidP="00570777">
            <w:pPr>
              <w:pStyle w:val="TableText0"/>
              <w:jc w:val="center"/>
            </w:pPr>
            <w:r>
              <w:rPr>
                <w:szCs w:val="20"/>
              </w:rPr>
              <w:t xml:space="preserve"> </w:t>
            </w:r>
            <w:r w:rsidRPr="00E038A0">
              <w:rPr>
                <w:rFonts w:hint="eastAsia"/>
                <w:color w:val="000000"/>
                <w:w w:val="15"/>
                <w:szCs w:val="20"/>
                <w:shd w:val="solid" w:color="000000" w:fill="000000"/>
                <w:fitText w:val="40" w:id="-1032069361"/>
                <w14:textFill>
                  <w14:solidFill>
                    <w14:srgbClr w14:val="000000">
                      <w14:alpha w14:val="100000"/>
                    </w14:srgbClr>
                  </w14:solidFill>
                </w14:textFill>
              </w:rPr>
              <w:t xml:space="preserve">　</w:t>
            </w:r>
            <w:r w:rsidRPr="00E038A0">
              <w:rPr>
                <w:color w:val="000000"/>
                <w:w w:val="15"/>
                <w:szCs w:val="20"/>
                <w:shd w:val="solid" w:color="000000" w:fill="000000"/>
                <w:fitText w:val="40" w:id="-1032069361"/>
                <w14:textFill>
                  <w14:solidFill>
                    <w14:srgbClr w14:val="000000">
                      <w14:alpha w14:val="100000"/>
                    </w14:srgbClr>
                  </w14:solidFill>
                </w14:textFill>
              </w:rPr>
              <w:t>|</w:t>
            </w:r>
            <w:r w:rsidRPr="00E038A0">
              <w:rPr>
                <w:rFonts w:hint="eastAsia"/>
                <w:color w:val="000000"/>
                <w:spacing w:val="-25"/>
                <w:w w:val="15"/>
                <w:szCs w:val="20"/>
                <w:shd w:val="solid" w:color="000000" w:fill="000000"/>
                <w:fitText w:val="40" w:id="-1032069361"/>
                <w14:textFill>
                  <w14:solidFill>
                    <w14:srgbClr w14:val="000000">
                      <w14:alpha w14:val="100000"/>
                    </w14:srgbClr>
                  </w14:solidFill>
                </w14:textFill>
              </w:rPr>
              <w:t xml:space="preserve">　</w:t>
            </w:r>
            <w:r w:rsidR="003B0938" w:rsidRPr="003B0938">
              <w:rPr>
                <w:szCs w:val="20"/>
                <w:vertAlign w:val="superscript"/>
              </w:rPr>
              <w:t>4</w:t>
            </w:r>
          </w:p>
        </w:tc>
      </w:tr>
      <w:tr w:rsidR="00851B17" w:rsidRPr="00851B17" w14:paraId="1A44BC82" w14:textId="77777777" w:rsidTr="0076138F">
        <w:tc>
          <w:tcPr>
            <w:tcW w:w="5000" w:type="pct"/>
            <w:gridSpan w:val="7"/>
            <w:shd w:val="clear" w:color="auto" w:fill="auto"/>
            <w:vAlign w:val="center"/>
          </w:tcPr>
          <w:p w14:paraId="66BDCBEA" w14:textId="77777777" w:rsidR="00851B17" w:rsidRPr="00851B17" w:rsidRDefault="00851B17" w:rsidP="00570777">
            <w:pPr>
              <w:pStyle w:val="TableText0"/>
            </w:pPr>
            <w:r w:rsidRPr="00851B17">
              <w:t>Estimated financial implications for substituted IAT</w:t>
            </w:r>
          </w:p>
        </w:tc>
      </w:tr>
      <w:tr w:rsidR="0076138F" w:rsidRPr="00851B17" w14:paraId="6855318E" w14:textId="77777777" w:rsidTr="0076138F">
        <w:tc>
          <w:tcPr>
            <w:tcW w:w="1116" w:type="pct"/>
            <w:shd w:val="clear" w:color="auto" w:fill="auto"/>
            <w:vAlign w:val="center"/>
          </w:tcPr>
          <w:p w14:paraId="5A007B4D" w14:textId="77777777" w:rsidR="00851B17" w:rsidRPr="00851B17" w:rsidRDefault="00851B17" w:rsidP="00570777">
            <w:pPr>
              <w:pStyle w:val="TableText0"/>
              <w:rPr>
                <w:sz w:val="19"/>
                <w:szCs w:val="19"/>
              </w:rPr>
            </w:pPr>
            <w:r w:rsidRPr="00851B17">
              <w:rPr>
                <w:sz w:val="19"/>
                <w:szCs w:val="19"/>
              </w:rPr>
              <w:t>Cost to PBS less copayments</w:t>
            </w:r>
          </w:p>
        </w:tc>
        <w:tc>
          <w:tcPr>
            <w:tcW w:w="647" w:type="pct"/>
            <w:shd w:val="clear" w:color="auto" w:fill="auto"/>
            <w:vAlign w:val="center"/>
          </w:tcPr>
          <w:p w14:paraId="5F871C07" w14:textId="6CFC66AA" w:rsidR="00851B17" w:rsidRPr="00851B17" w:rsidRDefault="00851B17" w:rsidP="00570777">
            <w:pPr>
              <w:pStyle w:val="TableText0"/>
              <w:jc w:val="center"/>
            </w:pPr>
            <w:r w:rsidRPr="009E3AF7">
              <w:rPr>
                <w:szCs w:val="20"/>
              </w:rPr>
              <w:t>-</w:t>
            </w:r>
            <w:r w:rsidR="00E038A0">
              <w:rPr>
                <w:szCs w:val="20"/>
              </w:rPr>
              <w:t xml:space="preserve"> </w:t>
            </w:r>
            <w:r w:rsidR="00E038A0" w:rsidRPr="00E038A0">
              <w:rPr>
                <w:rFonts w:hint="eastAsia"/>
                <w:color w:val="000000"/>
                <w:w w:val="15"/>
                <w:szCs w:val="20"/>
                <w:shd w:val="solid" w:color="000000" w:fill="000000"/>
                <w:fitText w:val="60" w:id="-1032069360"/>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60"/>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60"/>
                <w14:textFill>
                  <w14:solidFill>
                    <w14:srgbClr w14:val="000000">
                      <w14:alpha w14:val="100000"/>
                    </w14:srgbClr>
                  </w14:solidFill>
                </w14:textFill>
              </w:rPr>
              <w:t xml:space="preserve">　</w:t>
            </w:r>
            <w:r w:rsidR="009B6FEB">
              <w:rPr>
                <w:szCs w:val="20"/>
                <w:vertAlign w:val="superscript"/>
              </w:rPr>
              <w:t>5</w:t>
            </w:r>
          </w:p>
        </w:tc>
        <w:tc>
          <w:tcPr>
            <w:tcW w:w="647" w:type="pct"/>
            <w:shd w:val="clear" w:color="auto" w:fill="auto"/>
            <w:vAlign w:val="center"/>
          </w:tcPr>
          <w:p w14:paraId="5D4B1753" w14:textId="7F38C6BB"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60" w:id="-1032069376"/>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76"/>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76"/>
                <w14:textFill>
                  <w14:solidFill>
                    <w14:srgbClr w14:val="000000">
                      <w14:alpha w14:val="100000"/>
                    </w14:srgbClr>
                  </w14:solidFill>
                </w14:textFill>
              </w:rPr>
              <w:t xml:space="preserve">　</w:t>
            </w:r>
            <w:r w:rsidR="00F22B06">
              <w:rPr>
                <w:szCs w:val="20"/>
                <w:vertAlign w:val="superscript"/>
              </w:rPr>
              <w:t>5</w:t>
            </w:r>
          </w:p>
        </w:tc>
        <w:tc>
          <w:tcPr>
            <w:tcW w:w="647" w:type="pct"/>
            <w:shd w:val="clear" w:color="auto" w:fill="auto"/>
            <w:vAlign w:val="center"/>
          </w:tcPr>
          <w:p w14:paraId="24CAC2BD" w14:textId="075F588E"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60" w:id="-1032069375"/>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75"/>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75"/>
                <w14:textFill>
                  <w14:solidFill>
                    <w14:srgbClr w14:val="000000">
                      <w14:alpha w14:val="100000"/>
                    </w14:srgbClr>
                  </w14:solidFill>
                </w14:textFill>
              </w:rPr>
              <w:t xml:space="preserve">　</w:t>
            </w:r>
            <w:r w:rsidR="008426BB">
              <w:rPr>
                <w:szCs w:val="20"/>
                <w:vertAlign w:val="superscript"/>
              </w:rPr>
              <w:t>5</w:t>
            </w:r>
          </w:p>
        </w:tc>
        <w:tc>
          <w:tcPr>
            <w:tcW w:w="647" w:type="pct"/>
            <w:shd w:val="clear" w:color="auto" w:fill="auto"/>
            <w:vAlign w:val="center"/>
          </w:tcPr>
          <w:p w14:paraId="119DA29B" w14:textId="14849B44"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60" w:id="-1032069374"/>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74"/>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74"/>
                <w14:textFill>
                  <w14:solidFill>
                    <w14:srgbClr w14:val="000000">
                      <w14:alpha w14:val="100000"/>
                    </w14:srgbClr>
                  </w14:solidFill>
                </w14:textFill>
              </w:rPr>
              <w:t xml:space="preserve">　</w:t>
            </w:r>
            <w:r w:rsidR="008426BB">
              <w:rPr>
                <w:szCs w:val="20"/>
                <w:vertAlign w:val="superscript"/>
              </w:rPr>
              <w:t>5</w:t>
            </w:r>
          </w:p>
        </w:tc>
        <w:tc>
          <w:tcPr>
            <w:tcW w:w="647" w:type="pct"/>
            <w:shd w:val="clear" w:color="auto" w:fill="auto"/>
            <w:vAlign w:val="center"/>
          </w:tcPr>
          <w:p w14:paraId="6773D4E5" w14:textId="4DC5FFF9"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60" w:id="-1032069373"/>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73"/>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73"/>
                <w14:textFill>
                  <w14:solidFill>
                    <w14:srgbClr w14:val="000000">
                      <w14:alpha w14:val="100000"/>
                    </w14:srgbClr>
                  </w14:solidFill>
                </w14:textFill>
              </w:rPr>
              <w:t xml:space="preserve">　</w:t>
            </w:r>
            <w:r w:rsidR="008426BB">
              <w:rPr>
                <w:szCs w:val="20"/>
                <w:vertAlign w:val="superscript"/>
              </w:rPr>
              <w:t>5</w:t>
            </w:r>
          </w:p>
        </w:tc>
        <w:tc>
          <w:tcPr>
            <w:tcW w:w="649" w:type="pct"/>
            <w:vAlign w:val="center"/>
          </w:tcPr>
          <w:p w14:paraId="61BB450F" w14:textId="33754BB9"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70" w:id="-1032069372"/>
                <w14:textFill>
                  <w14:solidFill>
                    <w14:srgbClr w14:val="000000">
                      <w14:alpha w14:val="100000"/>
                    </w14:srgbClr>
                  </w14:solidFill>
                </w14:textFill>
              </w:rPr>
              <w:t xml:space="preserve">　</w:t>
            </w:r>
            <w:r w:rsidR="00E038A0" w:rsidRPr="00E038A0">
              <w:rPr>
                <w:color w:val="000000"/>
                <w:w w:val="15"/>
                <w:szCs w:val="20"/>
                <w:shd w:val="solid" w:color="000000" w:fill="000000"/>
                <w:fitText w:val="70" w:id="-1032069372"/>
                <w14:textFill>
                  <w14:solidFill>
                    <w14:srgbClr w14:val="000000">
                      <w14:alpha w14:val="100000"/>
                    </w14:srgbClr>
                  </w14:solidFill>
                </w14:textFill>
              </w:rPr>
              <w:t>|</w:t>
            </w:r>
            <w:r w:rsidR="00E038A0" w:rsidRPr="00E038A0">
              <w:rPr>
                <w:rFonts w:hint="eastAsia"/>
                <w:color w:val="000000"/>
                <w:spacing w:val="4"/>
                <w:w w:val="15"/>
                <w:szCs w:val="20"/>
                <w:shd w:val="solid" w:color="000000" w:fill="000000"/>
                <w:fitText w:val="70" w:id="-1032069372"/>
                <w14:textFill>
                  <w14:solidFill>
                    <w14:srgbClr w14:val="000000">
                      <w14:alpha w14:val="100000"/>
                    </w14:srgbClr>
                  </w14:solidFill>
                </w14:textFill>
              </w:rPr>
              <w:t xml:space="preserve">　</w:t>
            </w:r>
            <w:r w:rsidR="008426BB">
              <w:rPr>
                <w:szCs w:val="20"/>
                <w:vertAlign w:val="superscript"/>
              </w:rPr>
              <w:t>5</w:t>
            </w:r>
          </w:p>
        </w:tc>
      </w:tr>
      <w:tr w:rsidR="00851B17" w:rsidRPr="00851B17" w14:paraId="68CF825E" w14:textId="77777777" w:rsidTr="0076138F">
        <w:tc>
          <w:tcPr>
            <w:tcW w:w="5000" w:type="pct"/>
            <w:gridSpan w:val="7"/>
            <w:shd w:val="clear" w:color="auto" w:fill="auto"/>
            <w:vAlign w:val="center"/>
          </w:tcPr>
          <w:p w14:paraId="275AFE03" w14:textId="77777777" w:rsidR="00851B17" w:rsidRPr="00851B17" w:rsidRDefault="00851B17" w:rsidP="00570777">
            <w:pPr>
              <w:pStyle w:val="In-tableHeading"/>
            </w:pPr>
            <w:r w:rsidRPr="00851B17">
              <w:t>Net financial implications</w:t>
            </w:r>
          </w:p>
        </w:tc>
      </w:tr>
      <w:tr w:rsidR="0076138F" w:rsidRPr="00851B17" w14:paraId="6507C25B" w14:textId="77777777" w:rsidTr="0076138F">
        <w:tc>
          <w:tcPr>
            <w:tcW w:w="1116" w:type="pct"/>
            <w:shd w:val="clear" w:color="auto" w:fill="auto"/>
            <w:vAlign w:val="center"/>
          </w:tcPr>
          <w:p w14:paraId="7BC942B6" w14:textId="77777777" w:rsidR="00851B17" w:rsidRPr="00851B17" w:rsidRDefault="00851B17" w:rsidP="00570777">
            <w:pPr>
              <w:pStyle w:val="TableText0"/>
              <w:rPr>
                <w:b/>
                <w:bCs w:val="0"/>
                <w:sz w:val="19"/>
                <w:szCs w:val="19"/>
              </w:rPr>
            </w:pPr>
            <w:r w:rsidRPr="00851B17">
              <w:rPr>
                <w:b/>
                <w:bCs w:val="0"/>
                <w:sz w:val="19"/>
                <w:szCs w:val="19"/>
              </w:rPr>
              <w:t>Net cost to PBS</w:t>
            </w:r>
          </w:p>
        </w:tc>
        <w:tc>
          <w:tcPr>
            <w:tcW w:w="647" w:type="pct"/>
            <w:shd w:val="clear" w:color="auto" w:fill="auto"/>
            <w:vAlign w:val="center"/>
          </w:tcPr>
          <w:p w14:paraId="731135E7" w14:textId="4F240815" w:rsidR="00851B17" w:rsidRPr="00851B17" w:rsidRDefault="00E038A0" w:rsidP="00570777">
            <w:pPr>
              <w:pStyle w:val="TableText0"/>
              <w:jc w:val="center"/>
              <w:rPr>
                <w:b/>
                <w:bCs w:val="0"/>
              </w:rPr>
            </w:pPr>
            <w:r>
              <w:rPr>
                <w:b/>
                <w:bCs w:val="0"/>
                <w:szCs w:val="20"/>
              </w:rPr>
              <w:t xml:space="preserve"> </w:t>
            </w:r>
            <w:r w:rsidRPr="00E038A0">
              <w:rPr>
                <w:rFonts w:hint="eastAsia"/>
                <w:b/>
                <w:bCs w:val="0"/>
                <w:color w:val="000000"/>
                <w:w w:val="20"/>
                <w:szCs w:val="20"/>
                <w:shd w:val="solid" w:color="000000" w:fill="000000"/>
                <w:fitText w:val="90" w:id="-1032069371"/>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71"/>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71"/>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764DCD6F" w14:textId="04B17313" w:rsidR="00851B17" w:rsidRPr="00851B17" w:rsidRDefault="00E038A0" w:rsidP="00570777">
            <w:pPr>
              <w:pStyle w:val="TableText0"/>
              <w:jc w:val="center"/>
              <w:rPr>
                <w:b/>
                <w:bCs w:val="0"/>
              </w:rPr>
            </w:pPr>
            <w:r>
              <w:rPr>
                <w:b/>
                <w:bCs w:val="0"/>
                <w:szCs w:val="20"/>
              </w:rPr>
              <w:t xml:space="preserve"> </w:t>
            </w:r>
            <w:r w:rsidRPr="00E038A0">
              <w:rPr>
                <w:rFonts w:hint="eastAsia"/>
                <w:b/>
                <w:bCs w:val="0"/>
                <w:color w:val="000000"/>
                <w:w w:val="20"/>
                <w:szCs w:val="20"/>
                <w:shd w:val="solid" w:color="000000" w:fill="000000"/>
                <w:fitText w:val="90" w:id="-1032069370"/>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70"/>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70"/>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21CF1888" w14:textId="39753D34" w:rsidR="00851B17" w:rsidRPr="00851B17" w:rsidRDefault="00E038A0" w:rsidP="00570777">
            <w:pPr>
              <w:pStyle w:val="TableText0"/>
              <w:jc w:val="center"/>
              <w:rPr>
                <w:b/>
                <w:bCs w:val="0"/>
              </w:rPr>
            </w:pPr>
            <w:r>
              <w:rPr>
                <w:b/>
                <w:bCs w:val="0"/>
                <w:szCs w:val="20"/>
              </w:rPr>
              <w:t xml:space="preserve"> </w:t>
            </w:r>
            <w:r w:rsidRPr="00E038A0">
              <w:rPr>
                <w:rFonts w:hint="eastAsia"/>
                <w:b/>
                <w:bCs w:val="0"/>
                <w:color w:val="000000"/>
                <w:w w:val="20"/>
                <w:szCs w:val="20"/>
                <w:shd w:val="solid" w:color="000000" w:fill="000000"/>
                <w:fitText w:val="90" w:id="-1032069369"/>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69"/>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69"/>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20ECE0F7" w14:textId="233AE4F3" w:rsidR="00851B17" w:rsidRPr="00851B17" w:rsidRDefault="00E038A0" w:rsidP="00570777">
            <w:pPr>
              <w:pStyle w:val="TableText0"/>
              <w:jc w:val="center"/>
              <w:rPr>
                <w:b/>
                <w:bCs w:val="0"/>
              </w:rPr>
            </w:pPr>
            <w:r>
              <w:rPr>
                <w:b/>
                <w:bCs w:val="0"/>
                <w:szCs w:val="20"/>
              </w:rPr>
              <w:t xml:space="preserve"> </w:t>
            </w:r>
            <w:r w:rsidRPr="00E038A0">
              <w:rPr>
                <w:rFonts w:hint="eastAsia"/>
                <w:b/>
                <w:bCs w:val="0"/>
                <w:color w:val="000000"/>
                <w:w w:val="20"/>
                <w:szCs w:val="20"/>
                <w:shd w:val="solid" w:color="000000" w:fill="000000"/>
                <w:fitText w:val="90" w:id="-1032069368"/>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68"/>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68"/>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3A7F291D" w14:textId="3449AB18" w:rsidR="00851B17" w:rsidRPr="00851B17" w:rsidRDefault="00E038A0" w:rsidP="00570777">
            <w:pPr>
              <w:pStyle w:val="TableText0"/>
              <w:jc w:val="center"/>
              <w:rPr>
                <w:b/>
                <w:bCs w:val="0"/>
              </w:rPr>
            </w:pPr>
            <w:r>
              <w:rPr>
                <w:b/>
                <w:bCs w:val="0"/>
                <w:szCs w:val="20"/>
              </w:rPr>
              <w:t xml:space="preserve"> </w:t>
            </w:r>
            <w:r w:rsidRPr="00E038A0">
              <w:rPr>
                <w:rFonts w:hint="eastAsia"/>
                <w:b/>
                <w:bCs w:val="0"/>
                <w:color w:val="000000"/>
                <w:w w:val="20"/>
                <w:szCs w:val="20"/>
                <w:shd w:val="solid" w:color="000000" w:fill="000000"/>
                <w:fitText w:val="90" w:id="-1032069367"/>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67"/>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67"/>
                <w14:textFill>
                  <w14:solidFill>
                    <w14:srgbClr w14:val="000000">
                      <w14:alpha w14:val="100000"/>
                    </w14:srgbClr>
                  </w14:solidFill>
                </w14:textFill>
              </w:rPr>
              <w:t xml:space="preserve">　</w:t>
            </w:r>
            <w:r w:rsidR="003B0938" w:rsidRPr="003B0938">
              <w:rPr>
                <w:szCs w:val="20"/>
                <w:vertAlign w:val="superscript"/>
              </w:rPr>
              <w:t>3</w:t>
            </w:r>
          </w:p>
        </w:tc>
        <w:tc>
          <w:tcPr>
            <w:tcW w:w="649" w:type="pct"/>
            <w:vAlign w:val="center"/>
          </w:tcPr>
          <w:p w14:paraId="3B591F04" w14:textId="1C1DE7C0" w:rsidR="00851B17" w:rsidRPr="00851B17" w:rsidRDefault="00E038A0" w:rsidP="00570777">
            <w:pPr>
              <w:pStyle w:val="TableText0"/>
              <w:jc w:val="center"/>
              <w:rPr>
                <w:b/>
                <w:bCs w:val="0"/>
              </w:rPr>
            </w:pPr>
            <w:r>
              <w:rPr>
                <w:b/>
                <w:bCs w:val="0"/>
                <w:szCs w:val="20"/>
              </w:rPr>
              <w:t xml:space="preserve"> </w:t>
            </w:r>
            <w:r w:rsidRPr="00E038A0">
              <w:rPr>
                <w:rFonts w:hint="eastAsia"/>
                <w:b/>
                <w:bCs w:val="0"/>
                <w:color w:val="000000"/>
                <w:w w:val="20"/>
                <w:szCs w:val="20"/>
                <w:shd w:val="solid" w:color="000000" w:fill="000000"/>
                <w:fitText w:val="90" w:id="-1032069366"/>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66"/>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66"/>
                <w14:textFill>
                  <w14:solidFill>
                    <w14:srgbClr w14:val="000000">
                      <w14:alpha w14:val="100000"/>
                    </w14:srgbClr>
                  </w14:solidFill>
                </w14:textFill>
              </w:rPr>
              <w:t xml:space="preserve">　</w:t>
            </w:r>
            <w:r w:rsidR="0076138F" w:rsidRPr="003B0938">
              <w:rPr>
                <w:szCs w:val="20"/>
                <w:vertAlign w:val="superscript"/>
              </w:rPr>
              <w:t>4</w:t>
            </w:r>
          </w:p>
        </w:tc>
      </w:tr>
      <w:tr w:rsidR="0076138F" w:rsidRPr="00851B17" w14:paraId="51FFBCDB" w14:textId="77777777" w:rsidTr="0076138F">
        <w:tc>
          <w:tcPr>
            <w:tcW w:w="1116" w:type="pct"/>
            <w:shd w:val="clear" w:color="auto" w:fill="auto"/>
            <w:vAlign w:val="center"/>
          </w:tcPr>
          <w:p w14:paraId="75B7F818" w14:textId="77777777" w:rsidR="00851B17" w:rsidRPr="00851B17" w:rsidRDefault="00851B17" w:rsidP="00570777">
            <w:pPr>
              <w:pStyle w:val="TableText0"/>
              <w:rPr>
                <w:rFonts w:ascii="Times" w:hAnsi="Times"/>
              </w:rPr>
            </w:pPr>
            <w:r w:rsidRPr="00851B17">
              <w:rPr>
                <w:sz w:val="19"/>
                <w:szCs w:val="19"/>
              </w:rPr>
              <w:t>Substituted IAT</w:t>
            </w:r>
          </w:p>
        </w:tc>
        <w:tc>
          <w:tcPr>
            <w:tcW w:w="647" w:type="pct"/>
            <w:shd w:val="clear" w:color="auto" w:fill="auto"/>
          </w:tcPr>
          <w:p w14:paraId="2DB5A529" w14:textId="32FE4879"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60" w:id="-1032069365"/>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65"/>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65"/>
                <w14:textFill>
                  <w14:solidFill>
                    <w14:srgbClr w14:val="000000">
                      <w14:alpha w14:val="100000"/>
                    </w14:srgbClr>
                  </w14:solidFill>
                </w14:textFill>
              </w:rPr>
              <w:t xml:space="preserve">　</w:t>
            </w:r>
            <w:r w:rsidR="0076138F" w:rsidRPr="0076138F">
              <w:rPr>
                <w:szCs w:val="20"/>
                <w:vertAlign w:val="superscript"/>
              </w:rPr>
              <w:t>5</w:t>
            </w:r>
          </w:p>
        </w:tc>
        <w:tc>
          <w:tcPr>
            <w:tcW w:w="647" w:type="pct"/>
            <w:shd w:val="clear" w:color="auto" w:fill="auto"/>
          </w:tcPr>
          <w:p w14:paraId="2C8DD3DD" w14:textId="66DF74D5"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60" w:id="-1032069364"/>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64"/>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64"/>
                <w14:textFill>
                  <w14:solidFill>
                    <w14:srgbClr w14:val="000000">
                      <w14:alpha w14:val="100000"/>
                    </w14:srgbClr>
                  </w14:solidFill>
                </w14:textFill>
              </w:rPr>
              <w:t xml:space="preserve">　</w:t>
            </w:r>
            <w:r w:rsidR="0076138F" w:rsidRPr="0076138F">
              <w:rPr>
                <w:szCs w:val="20"/>
                <w:vertAlign w:val="superscript"/>
              </w:rPr>
              <w:t>5</w:t>
            </w:r>
          </w:p>
        </w:tc>
        <w:tc>
          <w:tcPr>
            <w:tcW w:w="647" w:type="pct"/>
            <w:shd w:val="clear" w:color="auto" w:fill="auto"/>
          </w:tcPr>
          <w:p w14:paraId="58058114" w14:textId="19D07F9C"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60" w:id="-1032069363"/>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63"/>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63"/>
                <w14:textFill>
                  <w14:solidFill>
                    <w14:srgbClr w14:val="000000">
                      <w14:alpha w14:val="100000"/>
                    </w14:srgbClr>
                  </w14:solidFill>
                </w14:textFill>
              </w:rPr>
              <w:t xml:space="preserve">　</w:t>
            </w:r>
            <w:r w:rsidR="0076138F" w:rsidRPr="0076138F">
              <w:rPr>
                <w:szCs w:val="20"/>
                <w:vertAlign w:val="superscript"/>
              </w:rPr>
              <w:t>5</w:t>
            </w:r>
          </w:p>
        </w:tc>
        <w:tc>
          <w:tcPr>
            <w:tcW w:w="647" w:type="pct"/>
            <w:shd w:val="clear" w:color="auto" w:fill="auto"/>
          </w:tcPr>
          <w:p w14:paraId="6635B428" w14:textId="6BA240EB" w:rsidR="00851B17" w:rsidRPr="0076138F" w:rsidRDefault="00851B17" w:rsidP="00570777">
            <w:pPr>
              <w:pStyle w:val="TableText0"/>
              <w:jc w:val="center"/>
              <w:rPr>
                <w:vertAlign w:val="superscript"/>
              </w:rP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60" w:id="-1032069362"/>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62"/>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62"/>
                <w14:textFill>
                  <w14:solidFill>
                    <w14:srgbClr w14:val="000000">
                      <w14:alpha w14:val="100000"/>
                    </w14:srgbClr>
                  </w14:solidFill>
                </w14:textFill>
              </w:rPr>
              <w:t xml:space="preserve">　</w:t>
            </w:r>
            <w:r w:rsidR="0076138F" w:rsidRPr="0076138F">
              <w:rPr>
                <w:szCs w:val="20"/>
                <w:vertAlign w:val="superscript"/>
              </w:rPr>
              <w:t>5</w:t>
            </w:r>
          </w:p>
        </w:tc>
        <w:tc>
          <w:tcPr>
            <w:tcW w:w="647" w:type="pct"/>
            <w:shd w:val="clear" w:color="auto" w:fill="auto"/>
          </w:tcPr>
          <w:p w14:paraId="354D3ED8" w14:textId="02ED0B8A"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60" w:id="-1032069361"/>
                <w14:textFill>
                  <w14:solidFill>
                    <w14:srgbClr w14:val="000000">
                      <w14:alpha w14:val="100000"/>
                    </w14:srgbClr>
                  </w14:solidFill>
                </w14:textFill>
              </w:rPr>
              <w:t xml:space="preserve">　</w:t>
            </w:r>
            <w:r w:rsidR="00E038A0" w:rsidRPr="00E038A0">
              <w:rPr>
                <w:color w:val="000000"/>
                <w:w w:val="15"/>
                <w:szCs w:val="20"/>
                <w:shd w:val="solid" w:color="000000" w:fill="000000"/>
                <w:fitText w:val="60" w:id="-1032069361"/>
                <w14:textFill>
                  <w14:solidFill>
                    <w14:srgbClr w14:val="000000">
                      <w14:alpha w14:val="100000"/>
                    </w14:srgbClr>
                  </w14:solidFill>
                </w14:textFill>
              </w:rPr>
              <w:t>|</w:t>
            </w:r>
            <w:r w:rsidR="00E038A0" w:rsidRPr="00E038A0">
              <w:rPr>
                <w:rFonts w:hint="eastAsia"/>
                <w:color w:val="000000"/>
                <w:spacing w:val="-5"/>
                <w:w w:val="15"/>
                <w:szCs w:val="20"/>
                <w:shd w:val="solid" w:color="000000" w:fill="000000"/>
                <w:fitText w:val="60" w:id="-1032069361"/>
                <w14:textFill>
                  <w14:solidFill>
                    <w14:srgbClr w14:val="000000">
                      <w14:alpha w14:val="100000"/>
                    </w14:srgbClr>
                  </w14:solidFill>
                </w14:textFill>
              </w:rPr>
              <w:t xml:space="preserve">　</w:t>
            </w:r>
            <w:r w:rsidR="0076138F" w:rsidRPr="0076138F">
              <w:rPr>
                <w:szCs w:val="20"/>
                <w:vertAlign w:val="superscript"/>
              </w:rPr>
              <w:t>5</w:t>
            </w:r>
          </w:p>
        </w:tc>
        <w:tc>
          <w:tcPr>
            <w:tcW w:w="649" w:type="pct"/>
          </w:tcPr>
          <w:p w14:paraId="6F70B5EA" w14:textId="720C5BAE" w:rsidR="00851B17" w:rsidRPr="00851B17" w:rsidRDefault="00851B17" w:rsidP="00570777">
            <w:pPr>
              <w:pStyle w:val="TableText0"/>
              <w:jc w:val="center"/>
            </w:pPr>
            <w:r w:rsidRPr="00851B17">
              <w:rPr>
                <w:szCs w:val="20"/>
              </w:rPr>
              <w:t>-</w:t>
            </w:r>
            <w:r w:rsidR="00E038A0">
              <w:rPr>
                <w:szCs w:val="20"/>
              </w:rPr>
              <w:t xml:space="preserve"> </w:t>
            </w:r>
            <w:r w:rsidR="00E038A0" w:rsidRPr="00E038A0">
              <w:rPr>
                <w:rFonts w:hint="eastAsia"/>
                <w:color w:val="000000"/>
                <w:w w:val="15"/>
                <w:szCs w:val="20"/>
                <w:shd w:val="solid" w:color="000000" w:fill="000000"/>
                <w:fitText w:val="70" w:id="-1032069360"/>
                <w14:textFill>
                  <w14:solidFill>
                    <w14:srgbClr w14:val="000000">
                      <w14:alpha w14:val="100000"/>
                    </w14:srgbClr>
                  </w14:solidFill>
                </w14:textFill>
              </w:rPr>
              <w:t xml:space="preserve">　</w:t>
            </w:r>
            <w:r w:rsidR="00E038A0" w:rsidRPr="00E038A0">
              <w:rPr>
                <w:color w:val="000000"/>
                <w:w w:val="15"/>
                <w:szCs w:val="20"/>
                <w:shd w:val="solid" w:color="000000" w:fill="000000"/>
                <w:fitText w:val="70" w:id="-1032069360"/>
                <w14:textFill>
                  <w14:solidFill>
                    <w14:srgbClr w14:val="000000">
                      <w14:alpha w14:val="100000"/>
                    </w14:srgbClr>
                  </w14:solidFill>
                </w14:textFill>
              </w:rPr>
              <w:t>|</w:t>
            </w:r>
            <w:r w:rsidR="00E038A0" w:rsidRPr="00E038A0">
              <w:rPr>
                <w:rFonts w:hint="eastAsia"/>
                <w:color w:val="000000"/>
                <w:spacing w:val="4"/>
                <w:w w:val="15"/>
                <w:szCs w:val="20"/>
                <w:shd w:val="solid" w:color="000000" w:fill="000000"/>
                <w:fitText w:val="70" w:id="-1032069360"/>
                <w14:textFill>
                  <w14:solidFill>
                    <w14:srgbClr w14:val="000000">
                      <w14:alpha w14:val="100000"/>
                    </w14:srgbClr>
                  </w14:solidFill>
                </w14:textFill>
              </w:rPr>
              <w:t xml:space="preserve">　</w:t>
            </w:r>
            <w:r w:rsidR="0076138F" w:rsidRPr="0076138F">
              <w:rPr>
                <w:szCs w:val="20"/>
                <w:vertAlign w:val="superscript"/>
              </w:rPr>
              <w:t>5</w:t>
            </w:r>
          </w:p>
        </w:tc>
      </w:tr>
      <w:tr w:rsidR="0076138F" w:rsidRPr="00851B17" w14:paraId="6EC50DD9" w14:textId="77777777" w:rsidTr="0076138F">
        <w:tc>
          <w:tcPr>
            <w:tcW w:w="1116" w:type="pct"/>
            <w:shd w:val="clear" w:color="auto" w:fill="auto"/>
            <w:vAlign w:val="center"/>
          </w:tcPr>
          <w:p w14:paraId="5AFCF84C" w14:textId="77777777" w:rsidR="00851B17" w:rsidRPr="00851B17" w:rsidRDefault="00851B17" w:rsidP="00570777">
            <w:pPr>
              <w:pStyle w:val="TableText0"/>
              <w:rPr>
                <w:b/>
                <w:bCs w:val="0"/>
                <w:sz w:val="19"/>
                <w:szCs w:val="19"/>
              </w:rPr>
            </w:pPr>
            <w:r w:rsidRPr="00851B17">
              <w:rPr>
                <w:b/>
                <w:bCs w:val="0"/>
                <w:sz w:val="19"/>
                <w:szCs w:val="19"/>
              </w:rPr>
              <w:t>Net cost to Government</w:t>
            </w:r>
          </w:p>
        </w:tc>
        <w:tc>
          <w:tcPr>
            <w:tcW w:w="647" w:type="pct"/>
            <w:shd w:val="clear" w:color="auto" w:fill="auto"/>
            <w:vAlign w:val="center"/>
          </w:tcPr>
          <w:p w14:paraId="35CE542D" w14:textId="4B02C52B" w:rsidR="00851B17" w:rsidRPr="00851B17" w:rsidRDefault="00E038A0" w:rsidP="00570777">
            <w:pPr>
              <w:pStyle w:val="TableText0"/>
              <w:jc w:val="center"/>
            </w:pPr>
            <w:r>
              <w:rPr>
                <w:b/>
                <w:bCs w:val="0"/>
                <w:szCs w:val="20"/>
              </w:rPr>
              <w:t xml:space="preserve"> </w:t>
            </w:r>
            <w:r w:rsidRPr="00E038A0">
              <w:rPr>
                <w:rFonts w:hint="eastAsia"/>
                <w:b/>
                <w:bCs w:val="0"/>
                <w:color w:val="000000"/>
                <w:w w:val="20"/>
                <w:szCs w:val="20"/>
                <w:shd w:val="solid" w:color="000000" w:fill="000000"/>
                <w:fitText w:val="90" w:id="-1032069376"/>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76"/>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76"/>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478010A6" w14:textId="31EEE78E" w:rsidR="00851B17" w:rsidRPr="00851B17" w:rsidRDefault="00E038A0" w:rsidP="00570777">
            <w:pPr>
              <w:pStyle w:val="TableText0"/>
              <w:jc w:val="center"/>
            </w:pPr>
            <w:r>
              <w:rPr>
                <w:b/>
                <w:bCs w:val="0"/>
                <w:szCs w:val="20"/>
              </w:rPr>
              <w:t xml:space="preserve"> </w:t>
            </w:r>
            <w:r w:rsidRPr="00E038A0">
              <w:rPr>
                <w:rFonts w:hint="eastAsia"/>
                <w:b/>
                <w:bCs w:val="0"/>
                <w:color w:val="000000"/>
                <w:w w:val="20"/>
                <w:szCs w:val="20"/>
                <w:shd w:val="solid" w:color="000000" w:fill="000000"/>
                <w:fitText w:val="90" w:id="-1032069375"/>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75"/>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75"/>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170B8307" w14:textId="35F83C1C" w:rsidR="00851B17" w:rsidRPr="00851B17" w:rsidRDefault="00E038A0" w:rsidP="00570777">
            <w:pPr>
              <w:pStyle w:val="TableText0"/>
              <w:jc w:val="center"/>
            </w:pPr>
            <w:r>
              <w:rPr>
                <w:b/>
                <w:bCs w:val="0"/>
                <w:szCs w:val="20"/>
              </w:rPr>
              <w:t xml:space="preserve"> </w:t>
            </w:r>
            <w:r w:rsidRPr="00E038A0">
              <w:rPr>
                <w:rFonts w:hint="eastAsia"/>
                <w:b/>
                <w:bCs w:val="0"/>
                <w:color w:val="000000"/>
                <w:w w:val="20"/>
                <w:szCs w:val="20"/>
                <w:shd w:val="solid" w:color="000000" w:fill="000000"/>
                <w:fitText w:val="90" w:id="-1032069374"/>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74"/>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74"/>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2FAE6B67" w14:textId="03FE3A9A" w:rsidR="00851B17" w:rsidRPr="00851B17" w:rsidRDefault="00E038A0" w:rsidP="00570777">
            <w:pPr>
              <w:pStyle w:val="TableText0"/>
              <w:jc w:val="center"/>
            </w:pPr>
            <w:r>
              <w:rPr>
                <w:b/>
                <w:bCs w:val="0"/>
                <w:szCs w:val="20"/>
              </w:rPr>
              <w:t xml:space="preserve"> </w:t>
            </w:r>
            <w:r w:rsidRPr="00E038A0">
              <w:rPr>
                <w:rFonts w:hint="eastAsia"/>
                <w:b/>
                <w:bCs w:val="0"/>
                <w:color w:val="000000"/>
                <w:w w:val="20"/>
                <w:szCs w:val="20"/>
                <w:shd w:val="solid" w:color="000000" w:fill="000000"/>
                <w:fitText w:val="90" w:id="-1032069373"/>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73"/>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73"/>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515B0950" w14:textId="3ECF2593" w:rsidR="00851B17" w:rsidRPr="00851B17" w:rsidRDefault="00E038A0" w:rsidP="00570777">
            <w:pPr>
              <w:pStyle w:val="TableText0"/>
              <w:jc w:val="center"/>
            </w:pPr>
            <w:r>
              <w:rPr>
                <w:b/>
                <w:bCs w:val="0"/>
                <w:szCs w:val="20"/>
              </w:rPr>
              <w:t xml:space="preserve"> </w:t>
            </w:r>
            <w:r w:rsidRPr="00E038A0">
              <w:rPr>
                <w:rFonts w:hint="eastAsia"/>
                <w:b/>
                <w:bCs w:val="0"/>
                <w:color w:val="000000"/>
                <w:w w:val="20"/>
                <w:szCs w:val="20"/>
                <w:shd w:val="solid" w:color="000000" w:fill="000000"/>
                <w:fitText w:val="90" w:id="-1032069372"/>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72"/>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72"/>
                <w14:textFill>
                  <w14:solidFill>
                    <w14:srgbClr w14:val="000000">
                      <w14:alpha w14:val="100000"/>
                    </w14:srgbClr>
                  </w14:solidFill>
                </w14:textFill>
              </w:rPr>
              <w:t xml:space="preserve">　</w:t>
            </w:r>
            <w:r w:rsidR="003B0938" w:rsidRPr="003B0938">
              <w:rPr>
                <w:szCs w:val="20"/>
                <w:vertAlign w:val="superscript"/>
              </w:rPr>
              <w:t>3</w:t>
            </w:r>
          </w:p>
        </w:tc>
        <w:tc>
          <w:tcPr>
            <w:tcW w:w="649" w:type="pct"/>
            <w:vAlign w:val="center"/>
          </w:tcPr>
          <w:p w14:paraId="2C811310" w14:textId="2532CA26" w:rsidR="00851B17" w:rsidRPr="00851B17" w:rsidRDefault="00E038A0" w:rsidP="00570777">
            <w:pPr>
              <w:pStyle w:val="TableText0"/>
              <w:jc w:val="center"/>
            </w:pPr>
            <w:r>
              <w:rPr>
                <w:b/>
                <w:bCs w:val="0"/>
                <w:szCs w:val="20"/>
              </w:rPr>
              <w:t xml:space="preserve"> </w:t>
            </w:r>
            <w:r w:rsidRPr="00E038A0">
              <w:rPr>
                <w:rFonts w:hint="eastAsia"/>
                <w:b/>
                <w:bCs w:val="0"/>
                <w:color w:val="000000"/>
                <w:w w:val="20"/>
                <w:szCs w:val="20"/>
                <w:shd w:val="solid" w:color="000000" w:fill="000000"/>
                <w:fitText w:val="90" w:id="-1032069371"/>
                <w14:textFill>
                  <w14:solidFill>
                    <w14:srgbClr w14:val="000000">
                      <w14:alpha w14:val="100000"/>
                    </w14:srgbClr>
                  </w14:solidFill>
                </w14:textFill>
              </w:rPr>
              <w:t xml:space="preserve">　</w:t>
            </w:r>
            <w:r w:rsidRPr="00E038A0">
              <w:rPr>
                <w:b/>
                <w:bCs w:val="0"/>
                <w:color w:val="000000"/>
                <w:w w:val="20"/>
                <w:szCs w:val="20"/>
                <w:shd w:val="solid" w:color="000000" w:fill="000000"/>
                <w:fitText w:val="90" w:id="-1032069371"/>
                <w14:textFill>
                  <w14:solidFill>
                    <w14:srgbClr w14:val="000000">
                      <w14:alpha w14:val="100000"/>
                    </w14:srgbClr>
                  </w14:solidFill>
                </w14:textFill>
              </w:rPr>
              <w:t>|</w:t>
            </w:r>
            <w:r w:rsidRPr="00E038A0">
              <w:rPr>
                <w:rFonts w:hint="eastAsia"/>
                <w:b/>
                <w:bCs w:val="0"/>
                <w:color w:val="000000"/>
                <w:spacing w:val="2"/>
                <w:w w:val="20"/>
                <w:szCs w:val="20"/>
                <w:shd w:val="solid" w:color="000000" w:fill="000000"/>
                <w:fitText w:val="90" w:id="-1032069371"/>
                <w14:textFill>
                  <w14:solidFill>
                    <w14:srgbClr w14:val="000000">
                      <w14:alpha w14:val="100000"/>
                    </w14:srgbClr>
                  </w14:solidFill>
                </w14:textFill>
              </w:rPr>
              <w:t xml:space="preserve">　</w:t>
            </w:r>
            <w:r w:rsidR="003B0938" w:rsidRPr="003B0938">
              <w:rPr>
                <w:szCs w:val="20"/>
                <w:vertAlign w:val="superscript"/>
              </w:rPr>
              <w:t>3</w:t>
            </w:r>
          </w:p>
        </w:tc>
      </w:tr>
      <w:tr w:rsidR="0076138F" w:rsidRPr="00851B17" w14:paraId="17F7ECBB" w14:textId="77777777" w:rsidTr="0076138F">
        <w:tc>
          <w:tcPr>
            <w:tcW w:w="1116" w:type="pct"/>
            <w:tcBorders>
              <w:bottom w:val="single" w:sz="4" w:space="0" w:color="auto"/>
            </w:tcBorders>
            <w:shd w:val="clear" w:color="auto" w:fill="auto"/>
            <w:vAlign w:val="center"/>
          </w:tcPr>
          <w:p w14:paraId="18B13126" w14:textId="77777777" w:rsidR="00851B17" w:rsidRPr="00851B17" w:rsidRDefault="00851B17" w:rsidP="00570777">
            <w:pPr>
              <w:pStyle w:val="TableText0"/>
              <w:rPr>
                <w:b/>
                <w:bCs w:val="0"/>
                <w:sz w:val="19"/>
                <w:szCs w:val="19"/>
              </w:rPr>
            </w:pPr>
            <w:r w:rsidRPr="00851B17">
              <w:rPr>
                <w:szCs w:val="20"/>
              </w:rPr>
              <w:t>IAT offset excluding foscarnet + cidofovir cost</w:t>
            </w:r>
          </w:p>
        </w:tc>
        <w:tc>
          <w:tcPr>
            <w:tcW w:w="647" w:type="pct"/>
            <w:tcBorders>
              <w:bottom w:val="single" w:sz="4" w:space="0" w:color="auto"/>
            </w:tcBorders>
            <w:shd w:val="clear" w:color="auto" w:fill="auto"/>
            <w:vAlign w:val="center"/>
          </w:tcPr>
          <w:p w14:paraId="60B74742" w14:textId="65C6C29F" w:rsidR="00851B17" w:rsidRPr="009B6FEB" w:rsidRDefault="00851B17" w:rsidP="00570777">
            <w:pPr>
              <w:pStyle w:val="TableText0"/>
              <w:jc w:val="center"/>
              <w:rPr>
                <w:b/>
                <w:bCs w:val="0"/>
                <w:szCs w:val="20"/>
                <w:highlight w:val="darkGray"/>
              </w:rPr>
            </w:pPr>
            <w:r w:rsidRPr="006E571D">
              <w:rPr>
                <w:rFonts w:cs="Arial"/>
                <w:szCs w:val="20"/>
              </w:rPr>
              <w:t>-</w:t>
            </w:r>
            <w:r w:rsidR="00E038A0">
              <w:rPr>
                <w:rFonts w:cs="Arial"/>
                <w:szCs w:val="20"/>
              </w:rPr>
              <w:t xml:space="preserve"> </w:t>
            </w:r>
            <w:r w:rsidR="00E038A0" w:rsidRPr="00E038A0">
              <w:rPr>
                <w:rFonts w:cs="Arial" w:hint="eastAsia"/>
                <w:color w:val="000000"/>
                <w:w w:val="15"/>
                <w:szCs w:val="20"/>
                <w:shd w:val="solid" w:color="000000" w:fill="000000"/>
                <w:fitText w:val="60" w:id="-1032069370"/>
                <w14:textFill>
                  <w14:solidFill>
                    <w14:srgbClr w14:val="000000">
                      <w14:alpha w14:val="100000"/>
                    </w14:srgbClr>
                  </w14:solidFill>
                </w14:textFill>
              </w:rPr>
              <w:t xml:space="preserve">　</w:t>
            </w:r>
            <w:r w:rsidR="00E038A0" w:rsidRPr="00E038A0">
              <w:rPr>
                <w:rFonts w:cs="Arial"/>
                <w:color w:val="000000"/>
                <w:w w:val="15"/>
                <w:szCs w:val="20"/>
                <w:shd w:val="solid" w:color="000000" w:fill="000000"/>
                <w:fitText w:val="60" w:id="-1032069370"/>
                <w14:textFill>
                  <w14:solidFill>
                    <w14:srgbClr w14:val="000000">
                      <w14:alpha w14:val="100000"/>
                    </w14:srgbClr>
                  </w14:solidFill>
                </w14:textFill>
              </w:rPr>
              <w:t>|</w:t>
            </w:r>
            <w:r w:rsidR="00E038A0" w:rsidRPr="00E038A0">
              <w:rPr>
                <w:rFonts w:cs="Arial" w:hint="eastAsia"/>
                <w:color w:val="000000"/>
                <w:spacing w:val="-5"/>
                <w:w w:val="15"/>
                <w:szCs w:val="20"/>
                <w:shd w:val="solid" w:color="000000" w:fill="000000"/>
                <w:fitText w:val="60" w:id="-1032069370"/>
                <w14:textFill>
                  <w14:solidFill>
                    <w14:srgbClr w14:val="000000">
                      <w14:alpha w14:val="100000"/>
                    </w14:srgbClr>
                  </w14:solidFill>
                </w14:textFill>
              </w:rPr>
              <w:t xml:space="preserve">　</w:t>
            </w:r>
            <w:r w:rsidR="008426BB">
              <w:rPr>
                <w:szCs w:val="20"/>
                <w:vertAlign w:val="superscript"/>
              </w:rPr>
              <w:t>5</w:t>
            </w:r>
          </w:p>
        </w:tc>
        <w:tc>
          <w:tcPr>
            <w:tcW w:w="647" w:type="pct"/>
            <w:tcBorders>
              <w:bottom w:val="single" w:sz="4" w:space="0" w:color="auto"/>
            </w:tcBorders>
            <w:shd w:val="clear" w:color="auto" w:fill="auto"/>
            <w:vAlign w:val="center"/>
          </w:tcPr>
          <w:p w14:paraId="7235A19D" w14:textId="4F06E897" w:rsidR="00851B17" w:rsidRPr="009B6FEB" w:rsidRDefault="00851B17" w:rsidP="00570777">
            <w:pPr>
              <w:pStyle w:val="TableText0"/>
              <w:jc w:val="center"/>
              <w:rPr>
                <w:b/>
                <w:bCs w:val="0"/>
                <w:szCs w:val="20"/>
                <w:highlight w:val="darkGray"/>
              </w:rPr>
            </w:pPr>
            <w:r w:rsidRPr="006E571D">
              <w:rPr>
                <w:rFonts w:cs="Arial"/>
                <w:szCs w:val="20"/>
              </w:rPr>
              <w:t>-</w:t>
            </w:r>
            <w:r w:rsidR="00E038A0">
              <w:rPr>
                <w:rFonts w:cs="Arial"/>
                <w:szCs w:val="20"/>
              </w:rPr>
              <w:t xml:space="preserve"> </w:t>
            </w:r>
            <w:r w:rsidR="00E038A0" w:rsidRPr="00E038A0">
              <w:rPr>
                <w:rFonts w:cs="Arial" w:hint="eastAsia"/>
                <w:color w:val="000000"/>
                <w:w w:val="15"/>
                <w:szCs w:val="20"/>
                <w:shd w:val="solid" w:color="000000" w:fill="000000"/>
                <w:fitText w:val="60" w:id="-1032069369"/>
                <w14:textFill>
                  <w14:solidFill>
                    <w14:srgbClr w14:val="000000">
                      <w14:alpha w14:val="100000"/>
                    </w14:srgbClr>
                  </w14:solidFill>
                </w14:textFill>
              </w:rPr>
              <w:t xml:space="preserve">　</w:t>
            </w:r>
            <w:r w:rsidR="00E038A0" w:rsidRPr="00E038A0">
              <w:rPr>
                <w:rFonts w:cs="Arial"/>
                <w:color w:val="000000"/>
                <w:w w:val="15"/>
                <w:szCs w:val="20"/>
                <w:shd w:val="solid" w:color="000000" w:fill="000000"/>
                <w:fitText w:val="60" w:id="-1032069369"/>
                <w14:textFill>
                  <w14:solidFill>
                    <w14:srgbClr w14:val="000000">
                      <w14:alpha w14:val="100000"/>
                    </w14:srgbClr>
                  </w14:solidFill>
                </w14:textFill>
              </w:rPr>
              <w:t>|</w:t>
            </w:r>
            <w:r w:rsidR="00E038A0" w:rsidRPr="00E038A0">
              <w:rPr>
                <w:rFonts w:cs="Arial" w:hint="eastAsia"/>
                <w:color w:val="000000"/>
                <w:spacing w:val="-5"/>
                <w:w w:val="15"/>
                <w:szCs w:val="20"/>
                <w:shd w:val="solid" w:color="000000" w:fill="000000"/>
                <w:fitText w:val="60" w:id="-1032069369"/>
                <w14:textFill>
                  <w14:solidFill>
                    <w14:srgbClr w14:val="000000">
                      <w14:alpha w14:val="100000"/>
                    </w14:srgbClr>
                  </w14:solidFill>
                </w14:textFill>
              </w:rPr>
              <w:t xml:space="preserve">　</w:t>
            </w:r>
            <w:r w:rsidR="008426BB">
              <w:rPr>
                <w:szCs w:val="20"/>
                <w:vertAlign w:val="superscript"/>
              </w:rPr>
              <w:t>5</w:t>
            </w:r>
          </w:p>
        </w:tc>
        <w:tc>
          <w:tcPr>
            <w:tcW w:w="647" w:type="pct"/>
            <w:tcBorders>
              <w:bottom w:val="single" w:sz="4" w:space="0" w:color="auto"/>
            </w:tcBorders>
            <w:shd w:val="clear" w:color="auto" w:fill="auto"/>
            <w:vAlign w:val="center"/>
          </w:tcPr>
          <w:p w14:paraId="0E8600CB" w14:textId="7A05860E" w:rsidR="00851B17" w:rsidRPr="009B6FEB" w:rsidRDefault="00E038A0" w:rsidP="00570777">
            <w:pPr>
              <w:pStyle w:val="TableText0"/>
              <w:jc w:val="center"/>
              <w:rPr>
                <w:b/>
                <w:bCs w:val="0"/>
                <w:szCs w:val="20"/>
                <w:highlight w:val="darkGray"/>
              </w:rPr>
            </w:pPr>
            <w:r>
              <w:rPr>
                <w:rFonts w:cs="Arial"/>
                <w:szCs w:val="20"/>
              </w:rPr>
              <w:t xml:space="preserve"> </w:t>
            </w:r>
            <w:r w:rsidRPr="00E038A0">
              <w:rPr>
                <w:rFonts w:cs="Arial" w:hint="eastAsia"/>
                <w:color w:val="000000"/>
                <w:w w:val="15"/>
                <w:szCs w:val="20"/>
                <w:shd w:val="solid" w:color="000000" w:fill="000000"/>
                <w:fitText w:val="50" w:id="-1032069368"/>
                <w14:textFill>
                  <w14:solidFill>
                    <w14:srgbClr w14:val="000000">
                      <w14:alpha w14:val="100000"/>
                    </w14:srgbClr>
                  </w14:solidFill>
                </w14:textFill>
              </w:rPr>
              <w:t xml:space="preserve">　</w:t>
            </w:r>
            <w:r w:rsidRPr="00E038A0">
              <w:rPr>
                <w:rFonts w:cs="Arial"/>
                <w:color w:val="000000"/>
                <w:w w:val="15"/>
                <w:szCs w:val="20"/>
                <w:shd w:val="solid" w:color="000000" w:fill="000000"/>
                <w:fitText w:val="50" w:id="-1032069368"/>
                <w14:textFill>
                  <w14:solidFill>
                    <w14:srgbClr w14:val="000000">
                      <w14:alpha w14:val="100000"/>
                    </w14:srgbClr>
                  </w14:solidFill>
                </w14:textFill>
              </w:rPr>
              <w:t>|</w:t>
            </w:r>
            <w:r w:rsidRPr="00E038A0">
              <w:rPr>
                <w:rFonts w:cs="Arial" w:hint="eastAsia"/>
                <w:color w:val="000000"/>
                <w:spacing w:val="-15"/>
                <w:w w:val="15"/>
                <w:szCs w:val="20"/>
                <w:shd w:val="solid" w:color="000000" w:fill="000000"/>
                <w:fitText w:val="50" w:id="-1032069368"/>
                <w14:textFill>
                  <w14:solidFill>
                    <w14:srgbClr w14:val="000000">
                      <w14:alpha w14:val="100000"/>
                    </w14:srgbClr>
                  </w14:solidFill>
                </w14:textFill>
              </w:rPr>
              <w:t xml:space="preserve">　</w:t>
            </w:r>
            <w:r w:rsidR="008426BB">
              <w:rPr>
                <w:szCs w:val="20"/>
                <w:vertAlign w:val="superscript"/>
              </w:rPr>
              <w:t>5</w:t>
            </w:r>
          </w:p>
        </w:tc>
        <w:tc>
          <w:tcPr>
            <w:tcW w:w="647" w:type="pct"/>
            <w:tcBorders>
              <w:bottom w:val="single" w:sz="4" w:space="0" w:color="auto"/>
            </w:tcBorders>
            <w:shd w:val="clear" w:color="auto" w:fill="auto"/>
            <w:vAlign w:val="center"/>
          </w:tcPr>
          <w:p w14:paraId="45D92FDB" w14:textId="7A6997B3" w:rsidR="00851B17" w:rsidRPr="009B6FEB" w:rsidRDefault="00E038A0" w:rsidP="00570777">
            <w:pPr>
              <w:pStyle w:val="TableText0"/>
              <w:jc w:val="center"/>
              <w:rPr>
                <w:b/>
                <w:bCs w:val="0"/>
                <w:szCs w:val="20"/>
                <w:highlight w:val="darkGray"/>
              </w:rPr>
            </w:pPr>
            <w:r>
              <w:rPr>
                <w:rFonts w:cs="Arial"/>
                <w:szCs w:val="20"/>
              </w:rPr>
              <w:t xml:space="preserve"> </w:t>
            </w:r>
            <w:r w:rsidRPr="00E038A0">
              <w:rPr>
                <w:rFonts w:cs="Arial" w:hint="eastAsia"/>
                <w:color w:val="000000"/>
                <w:w w:val="15"/>
                <w:szCs w:val="20"/>
                <w:shd w:val="solid" w:color="000000" w:fill="000000"/>
                <w:fitText w:val="50" w:id="-1032069367"/>
                <w14:textFill>
                  <w14:solidFill>
                    <w14:srgbClr w14:val="000000">
                      <w14:alpha w14:val="100000"/>
                    </w14:srgbClr>
                  </w14:solidFill>
                </w14:textFill>
              </w:rPr>
              <w:t xml:space="preserve">　</w:t>
            </w:r>
            <w:r w:rsidRPr="00E038A0">
              <w:rPr>
                <w:rFonts w:cs="Arial"/>
                <w:color w:val="000000"/>
                <w:w w:val="15"/>
                <w:szCs w:val="20"/>
                <w:shd w:val="solid" w:color="000000" w:fill="000000"/>
                <w:fitText w:val="50" w:id="-1032069367"/>
                <w14:textFill>
                  <w14:solidFill>
                    <w14:srgbClr w14:val="000000">
                      <w14:alpha w14:val="100000"/>
                    </w14:srgbClr>
                  </w14:solidFill>
                </w14:textFill>
              </w:rPr>
              <w:t>|</w:t>
            </w:r>
            <w:r w:rsidRPr="00E038A0">
              <w:rPr>
                <w:rFonts w:cs="Arial" w:hint="eastAsia"/>
                <w:color w:val="000000"/>
                <w:spacing w:val="-15"/>
                <w:w w:val="15"/>
                <w:szCs w:val="20"/>
                <w:shd w:val="solid" w:color="000000" w:fill="000000"/>
                <w:fitText w:val="50" w:id="-1032069367"/>
                <w14:textFill>
                  <w14:solidFill>
                    <w14:srgbClr w14:val="000000">
                      <w14:alpha w14:val="100000"/>
                    </w14:srgbClr>
                  </w14:solidFill>
                </w14:textFill>
              </w:rPr>
              <w:t xml:space="preserve">　</w:t>
            </w:r>
            <w:r w:rsidR="008426BB">
              <w:rPr>
                <w:szCs w:val="20"/>
                <w:vertAlign w:val="superscript"/>
              </w:rPr>
              <w:t>5</w:t>
            </w:r>
          </w:p>
        </w:tc>
        <w:tc>
          <w:tcPr>
            <w:tcW w:w="647" w:type="pct"/>
            <w:tcBorders>
              <w:bottom w:val="single" w:sz="4" w:space="0" w:color="auto"/>
            </w:tcBorders>
            <w:shd w:val="clear" w:color="auto" w:fill="auto"/>
            <w:vAlign w:val="center"/>
          </w:tcPr>
          <w:p w14:paraId="380DC2AB" w14:textId="2A10C4DE" w:rsidR="00851B17" w:rsidRPr="009B6FEB" w:rsidRDefault="00E038A0" w:rsidP="00570777">
            <w:pPr>
              <w:pStyle w:val="TableText0"/>
              <w:jc w:val="center"/>
              <w:rPr>
                <w:b/>
                <w:bCs w:val="0"/>
                <w:szCs w:val="20"/>
                <w:highlight w:val="darkGray"/>
              </w:rPr>
            </w:pPr>
            <w:r>
              <w:rPr>
                <w:rFonts w:cs="Arial"/>
                <w:szCs w:val="20"/>
              </w:rPr>
              <w:t xml:space="preserve"> </w:t>
            </w:r>
            <w:r w:rsidRPr="00E038A0">
              <w:rPr>
                <w:rFonts w:cs="Arial" w:hint="eastAsia"/>
                <w:color w:val="000000"/>
                <w:w w:val="15"/>
                <w:szCs w:val="20"/>
                <w:shd w:val="solid" w:color="000000" w:fill="000000"/>
                <w:fitText w:val="50" w:id="-1032069366"/>
                <w14:textFill>
                  <w14:solidFill>
                    <w14:srgbClr w14:val="000000">
                      <w14:alpha w14:val="100000"/>
                    </w14:srgbClr>
                  </w14:solidFill>
                </w14:textFill>
              </w:rPr>
              <w:t xml:space="preserve">　</w:t>
            </w:r>
            <w:r w:rsidRPr="00E038A0">
              <w:rPr>
                <w:rFonts w:cs="Arial"/>
                <w:color w:val="000000"/>
                <w:w w:val="15"/>
                <w:szCs w:val="20"/>
                <w:shd w:val="solid" w:color="000000" w:fill="000000"/>
                <w:fitText w:val="50" w:id="-1032069366"/>
                <w14:textFill>
                  <w14:solidFill>
                    <w14:srgbClr w14:val="000000">
                      <w14:alpha w14:val="100000"/>
                    </w14:srgbClr>
                  </w14:solidFill>
                </w14:textFill>
              </w:rPr>
              <w:t>|</w:t>
            </w:r>
            <w:r w:rsidRPr="00E038A0">
              <w:rPr>
                <w:rFonts w:cs="Arial" w:hint="eastAsia"/>
                <w:color w:val="000000"/>
                <w:spacing w:val="-15"/>
                <w:w w:val="15"/>
                <w:szCs w:val="20"/>
                <w:shd w:val="solid" w:color="000000" w:fill="000000"/>
                <w:fitText w:val="50" w:id="-1032069366"/>
                <w14:textFill>
                  <w14:solidFill>
                    <w14:srgbClr w14:val="000000">
                      <w14:alpha w14:val="100000"/>
                    </w14:srgbClr>
                  </w14:solidFill>
                </w14:textFill>
              </w:rPr>
              <w:t xml:space="preserve">　</w:t>
            </w:r>
            <w:r w:rsidR="008426BB">
              <w:rPr>
                <w:szCs w:val="20"/>
                <w:vertAlign w:val="superscript"/>
              </w:rPr>
              <w:t>5</w:t>
            </w:r>
          </w:p>
        </w:tc>
        <w:tc>
          <w:tcPr>
            <w:tcW w:w="649" w:type="pct"/>
            <w:tcBorders>
              <w:bottom w:val="single" w:sz="4" w:space="0" w:color="auto"/>
            </w:tcBorders>
            <w:vAlign w:val="center"/>
          </w:tcPr>
          <w:p w14:paraId="02F1F95C" w14:textId="03505907" w:rsidR="00851B17" w:rsidRPr="009B6FEB" w:rsidRDefault="00E038A0" w:rsidP="00570777">
            <w:pPr>
              <w:pStyle w:val="TableText0"/>
              <w:jc w:val="center"/>
              <w:rPr>
                <w:b/>
                <w:bCs w:val="0"/>
                <w:szCs w:val="20"/>
                <w:highlight w:val="darkGray"/>
              </w:rPr>
            </w:pPr>
            <w:r>
              <w:rPr>
                <w:rFonts w:cs="Arial"/>
                <w:szCs w:val="20"/>
              </w:rPr>
              <w:t xml:space="preserve"> </w:t>
            </w:r>
            <w:r w:rsidRPr="00E038A0">
              <w:rPr>
                <w:rFonts w:cs="Arial" w:hint="eastAsia"/>
                <w:color w:val="000000"/>
                <w:w w:val="15"/>
                <w:szCs w:val="20"/>
                <w:shd w:val="solid" w:color="000000" w:fill="000000"/>
                <w:fitText w:val="40" w:id="-1032069365"/>
                <w14:textFill>
                  <w14:solidFill>
                    <w14:srgbClr w14:val="000000">
                      <w14:alpha w14:val="100000"/>
                    </w14:srgbClr>
                  </w14:solidFill>
                </w14:textFill>
              </w:rPr>
              <w:t xml:space="preserve">　</w:t>
            </w:r>
            <w:r w:rsidRPr="00E038A0">
              <w:rPr>
                <w:rFonts w:cs="Arial"/>
                <w:color w:val="000000"/>
                <w:w w:val="15"/>
                <w:szCs w:val="20"/>
                <w:shd w:val="solid" w:color="000000" w:fill="000000"/>
                <w:fitText w:val="40" w:id="-1032069365"/>
                <w14:textFill>
                  <w14:solidFill>
                    <w14:srgbClr w14:val="000000">
                      <w14:alpha w14:val="100000"/>
                    </w14:srgbClr>
                  </w14:solidFill>
                </w14:textFill>
              </w:rPr>
              <w:t>|</w:t>
            </w:r>
            <w:r w:rsidRPr="00E038A0">
              <w:rPr>
                <w:rFonts w:cs="Arial" w:hint="eastAsia"/>
                <w:color w:val="000000"/>
                <w:spacing w:val="-25"/>
                <w:w w:val="15"/>
                <w:szCs w:val="20"/>
                <w:shd w:val="solid" w:color="000000" w:fill="000000"/>
                <w:fitText w:val="40" w:id="-1032069365"/>
                <w14:textFill>
                  <w14:solidFill>
                    <w14:srgbClr w14:val="000000">
                      <w14:alpha w14:val="100000"/>
                    </w14:srgbClr>
                  </w14:solidFill>
                </w14:textFill>
              </w:rPr>
              <w:t xml:space="preserve">　</w:t>
            </w:r>
            <w:r w:rsidR="008426BB">
              <w:rPr>
                <w:szCs w:val="20"/>
                <w:vertAlign w:val="superscript"/>
              </w:rPr>
              <w:t>5</w:t>
            </w:r>
          </w:p>
        </w:tc>
      </w:tr>
      <w:tr w:rsidR="0076138F" w:rsidRPr="00851B17" w14:paraId="3E24242E" w14:textId="77777777" w:rsidTr="0076138F">
        <w:tc>
          <w:tcPr>
            <w:tcW w:w="1116" w:type="pct"/>
            <w:shd w:val="clear" w:color="auto" w:fill="auto"/>
            <w:vAlign w:val="center"/>
          </w:tcPr>
          <w:p w14:paraId="1D417F28" w14:textId="77777777" w:rsidR="00851B17" w:rsidRPr="00851B17" w:rsidRDefault="00851B17" w:rsidP="00570777">
            <w:pPr>
              <w:pStyle w:val="TableText0"/>
              <w:rPr>
                <w:b/>
                <w:bCs w:val="0"/>
                <w:sz w:val="19"/>
                <w:szCs w:val="19"/>
              </w:rPr>
            </w:pPr>
            <w:r w:rsidRPr="00851B17">
              <w:rPr>
                <w:szCs w:val="20"/>
              </w:rPr>
              <w:t>Net cost to Government</w:t>
            </w:r>
          </w:p>
        </w:tc>
        <w:tc>
          <w:tcPr>
            <w:tcW w:w="647" w:type="pct"/>
            <w:shd w:val="clear" w:color="auto" w:fill="auto"/>
            <w:vAlign w:val="center"/>
          </w:tcPr>
          <w:p w14:paraId="74B7D501" w14:textId="4CDADFEF" w:rsidR="00851B17" w:rsidRPr="00851B17" w:rsidRDefault="00E038A0" w:rsidP="00570777">
            <w:pPr>
              <w:pStyle w:val="TableText0"/>
              <w:jc w:val="center"/>
              <w:rPr>
                <w:b/>
                <w:bCs w:val="0"/>
                <w:szCs w:val="20"/>
              </w:rPr>
            </w:pPr>
            <w:r>
              <w:rPr>
                <w:rFonts w:cs="Arial"/>
                <w:szCs w:val="20"/>
              </w:rPr>
              <w:t xml:space="preserve"> </w:t>
            </w:r>
            <w:r w:rsidRPr="00E038A0">
              <w:rPr>
                <w:rFonts w:cs="Arial" w:hint="eastAsia"/>
                <w:color w:val="000000"/>
                <w:w w:val="15"/>
                <w:szCs w:val="20"/>
                <w:shd w:val="solid" w:color="000000" w:fill="000000"/>
                <w:fitText w:val="50" w:id="-1032069364"/>
                <w14:textFill>
                  <w14:solidFill>
                    <w14:srgbClr w14:val="000000">
                      <w14:alpha w14:val="100000"/>
                    </w14:srgbClr>
                  </w14:solidFill>
                </w14:textFill>
              </w:rPr>
              <w:t xml:space="preserve">　</w:t>
            </w:r>
            <w:r w:rsidRPr="00E038A0">
              <w:rPr>
                <w:rFonts w:cs="Arial"/>
                <w:color w:val="000000"/>
                <w:w w:val="15"/>
                <w:szCs w:val="20"/>
                <w:shd w:val="solid" w:color="000000" w:fill="000000"/>
                <w:fitText w:val="50" w:id="-1032069364"/>
                <w14:textFill>
                  <w14:solidFill>
                    <w14:srgbClr w14:val="000000">
                      <w14:alpha w14:val="100000"/>
                    </w14:srgbClr>
                  </w14:solidFill>
                </w14:textFill>
              </w:rPr>
              <w:t>|</w:t>
            </w:r>
            <w:r w:rsidRPr="00E038A0">
              <w:rPr>
                <w:rFonts w:cs="Arial" w:hint="eastAsia"/>
                <w:color w:val="000000"/>
                <w:spacing w:val="-15"/>
                <w:w w:val="15"/>
                <w:szCs w:val="20"/>
                <w:shd w:val="solid" w:color="000000" w:fill="000000"/>
                <w:fitText w:val="50" w:id="-1032069364"/>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4B737F66" w14:textId="50E9DFE5" w:rsidR="00851B17" w:rsidRPr="00851B17" w:rsidRDefault="00E038A0" w:rsidP="00570777">
            <w:pPr>
              <w:pStyle w:val="TableText0"/>
              <w:jc w:val="center"/>
              <w:rPr>
                <w:b/>
                <w:bCs w:val="0"/>
                <w:szCs w:val="20"/>
              </w:rPr>
            </w:pPr>
            <w:r>
              <w:rPr>
                <w:rFonts w:cs="Arial"/>
                <w:szCs w:val="20"/>
              </w:rPr>
              <w:t xml:space="preserve"> </w:t>
            </w:r>
            <w:r w:rsidRPr="00E038A0">
              <w:rPr>
                <w:rFonts w:cs="Arial" w:hint="eastAsia"/>
                <w:color w:val="000000"/>
                <w:w w:val="15"/>
                <w:szCs w:val="20"/>
                <w:shd w:val="solid" w:color="000000" w:fill="000000"/>
                <w:fitText w:val="50" w:id="-1032069363"/>
                <w14:textFill>
                  <w14:solidFill>
                    <w14:srgbClr w14:val="000000">
                      <w14:alpha w14:val="100000"/>
                    </w14:srgbClr>
                  </w14:solidFill>
                </w14:textFill>
              </w:rPr>
              <w:t xml:space="preserve">　</w:t>
            </w:r>
            <w:r w:rsidRPr="00E038A0">
              <w:rPr>
                <w:rFonts w:cs="Arial"/>
                <w:color w:val="000000"/>
                <w:w w:val="15"/>
                <w:szCs w:val="20"/>
                <w:shd w:val="solid" w:color="000000" w:fill="000000"/>
                <w:fitText w:val="50" w:id="-1032069363"/>
                <w14:textFill>
                  <w14:solidFill>
                    <w14:srgbClr w14:val="000000">
                      <w14:alpha w14:val="100000"/>
                    </w14:srgbClr>
                  </w14:solidFill>
                </w14:textFill>
              </w:rPr>
              <w:t>|</w:t>
            </w:r>
            <w:r w:rsidRPr="00E038A0">
              <w:rPr>
                <w:rFonts w:cs="Arial" w:hint="eastAsia"/>
                <w:color w:val="000000"/>
                <w:spacing w:val="-15"/>
                <w:w w:val="15"/>
                <w:szCs w:val="20"/>
                <w:shd w:val="solid" w:color="000000" w:fill="000000"/>
                <w:fitText w:val="50" w:id="-1032069363"/>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28EB4599" w14:textId="59921FC1" w:rsidR="00851B17" w:rsidRPr="00851B17" w:rsidRDefault="00E038A0" w:rsidP="00570777">
            <w:pPr>
              <w:pStyle w:val="TableText0"/>
              <w:jc w:val="center"/>
              <w:rPr>
                <w:b/>
                <w:bCs w:val="0"/>
                <w:szCs w:val="20"/>
              </w:rPr>
            </w:pPr>
            <w:r>
              <w:rPr>
                <w:rFonts w:cs="Arial"/>
                <w:szCs w:val="20"/>
              </w:rPr>
              <w:t xml:space="preserve"> </w:t>
            </w:r>
            <w:r w:rsidRPr="00E038A0">
              <w:rPr>
                <w:rFonts w:cs="Arial" w:hint="eastAsia"/>
                <w:color w:val="000000"/>
                <w:w w:val="15"/>
                <w:szCs w:val="20"/>
                <w:shd w:val="solid" w:color="000000" w:fill="000000"/>
                <w:fitText w:val="50" w:id="-1032069362"/>
                <w14:textFill>
                  <w14:solidFill>
                    <w14:srgbClr w14:val="000000">
                      <w14:alpha w14:val="100000"/>
                    </w14:srgbClr>
                  </w14:solidFill>
                </w14:textFill>
              </w:rPr>
              <w:t xml:space="preserve">　</w:t>
            </w:r>
            <w:r w:rsidRPr="00E038A0">
              <w:rPr>
                <w:rFonts w:cs="Arial"/>
                <w:color w:val="000000"/>
                <w:w w:val="15"/>
                <w:szCs w:val="20"/>
                <w:shd w:val="solid" w:color="000000" w:fill="000000"/>
                <w:fitText w:val="50" w:id="-1032069362"/>
                <w14:textFill>
                  <w14:solidFill>
                    <w14:srgbClr w14:val="000000">
                      <w14:alpha w14:val="100000"/>
                    </w14:srgbClr>
                  </w14:solidFill>
                </w14:textFill>
              </w:rPr>
              <w:t>|</w:t>
            </w:r>
            <w:r w:rsidRPr="00E038A0">
              <w:rPr>
                <w:rFonts w:cs="Arial" w:hint="eastAsia"/>
                <w:color w:val="000000"/>
                <w:spacing w:val="-15"/>
                <w:w w:val="15"/>
                <w:szCs w:val="20"/>
                <w:shd w:val="solid" w:color="000000" w:fill="000000"/>
                <w:fitText w:val="50" w:id="-1032069362"/>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64D9B461" w14:textId="29AF99B3" w:rsidR="00851B17" w:rsidRPr="00851B17" w:rsidRDefault="00E038A0" w:rsidP="00570777">
            <w:pPr>
              <w:pStyle w:val="TableText0"/>
              <w:jc w:val="center"/>
              <w:rPr>
                <w:b/>
                <w:bCs w:val="0"/>
                <w:szCs w:val="20"/>
              </w:rPr>
            </w:pPr>
            <w:r>
              <w:rPr>
                <w:rFonts w:cs="Arial"/>
                <w:szCs w:val="20"/>
              </w:rPr>
              <w:t xml:space="preserve"> </w:t>
            </w:r>
            <w:r w:rsidRPr="00E038A0">
              <w:rPr>
                <w:rFonts w:cs="Arial" w:hint="eastAsia"/>
                <w:color w:val="000000"/>
                <w:w w:val="15"/>
                <w:szCs w:val="20"/>
                <w:shd w:val="solid" w:color="000000" w:fill="000000"/>
                <w:fitText w:val="50" w:id="-1032069361"/>
                <w14:textFill>
                  <w14:solidFill>
                    <w14:srgbClr w14:val="000000">
                      <w14:alpha w14:val="100000"/>
                    </w14:srgbClr>
                  </w14:solidFill>
                </w14:textFill>
              </w:rPr>
              <w:t xml:space="preserve">　</w:t>
            </w:r>
            <w:r w:rsidRPr="00E038A0">
              <w:rPr>
                <w:rFonts w:cs="Arial"/>
                <w:color w:val="000000"/>
                <w:w w:val="15"/>
                <w:szCs w:val="20"/>
                <w:shd w:val="solid" w:color="000000" w:fill="000000"/>
                <w:fitText w:val="50" w:id="-1032069361"/>
                <w14:textFill>
                  <w14:solidFill>
                    <w14:srgbClr w14:val="000000">
                      <w14:alpha w14:val="100000"/>
                    </w14:srgbClr>
                  </w14:solidFill>
                </w14:textFill>
              </w:rPr>
              <w:t>|</w:t>
            </w:r>
            <w:r w:rsidRPr="00E038A0">
              <w:rPr>
                <w:rFonts w:cs="Arial" w:hint="eastAsia"/>
                <w:color w:val="000000"/>
                <w:spacing w:val="-15"/>
                <w:w w:val="15"/>
                <w:szCs w:val="20"/>
                <w:shd w:val="solid" w:color="000000" w:fill="000000"/>
                <w:fitText w:val="50" w:id="-1032069361"/>
                <w14:textFill>
                  <w14:solidFill>
                    <w14:srgbClr w14:val="000000">
                      <w14:alpha w14:val="100000"/>
                    </w14:srgbClr>
                  </w14:solidFill>
                </w14:textFill>
              </w:rPr>
              <w:t xml:space="preserve">　</w:t>
            </w:r>
            <w:r w:rsidR="003B0938" w:rsidRPr="003B0938">
              <w:rPr>
                <w:szCs w:val="20"/>
                <w:vertAlign w:val="superscript"/>
              </w:rPr>
              <w:t>3</w:t>
            </w:r>
          </w:p>
        </w:tc>
        <w:tc>
          <w:tcPr>
            <w:tcW w:w="647" w:type="pct"/>
            <w:shd w:val="clear" w:color="auto" w:fill="auto"/>
            <w:vAlign w:val="center"/>
          </w:tcPr>
          <w:p w14:paraId="0EE9D71E" w14:textId="51642A4D" w:rsidR="00851B17" w:rsidRPr="00851B17" w:rsidRDefault="00E038A0" w:rsidP="00570777">
            <w:pPr>
              <w:pStyle w:val="TableText0"/>
              <w:jc w:val="center"/>
              <w:rPr>
                <w:b/>
                <w:bCs w:val="0"/>
                <w:szCs w:val="20"/>
              </w:rPr>
            </w:pPr>
            <w:r>
              <w:rPr>
                <w:rFonts w:cs="Arial"/>
                <w:szCs w:val="20"/>
              </w:rPr>
              <w:t xml:space="preserve"> </w:t>
            </w:r>
            <w:r w:rsidRPr="00E038A0">
              <w:rPr>
                <w:rFonts w:cs="Arial" w:hint="eastAsia"/>
                <w:color w:val="000000"/>
                <w:w w:val="15"/>
                <w:szCs w:val="20"/>
                <w:shd w:val="solid" w:color="000000" w:fill="000000"/>
                <w:fitText w:val="50" w:id="-1032069360"/>
                <w14:textFill>
                  <w14:solidFill>
                    <w14:srgbClr w14:val="000000">
                      <w14:alpha w14:val="100000"/>
                    </w14:srgbClr>
                  </w14:solidFill>
                </w14:textFill>
              </w:rPr>
              <w:t xml:space="preserve">　</w:t>
            </w:r>
            <w:r w:rsidRPr="00E038A0">
              <w:rPr>
                <w:rFonts w:cs="Arial"/>
                <w:color w:val="000000"/>
                <w:w w:val="15"/>
                <w:szCs w:val="20"/>
                <w:shd w:val="solid" w:color="000000" w:fill="000000"/>
                <w:fitText w:val="50" w:id="-1032069360"/>
                <w14:textFill>
                  <w14:solidFill>
                    <w14:srgbClr w14:val="000000">
                      <w14:alpha w14:val="100000"/>
                    </w14:srgbClr>
                  </w14:solidFill>
                </w14:textFill>
              </w:rPr>
              <w:t>|</w:t>
            </w:r>
            <w:r w:rsidRPr="00E038A0">
              <w:rPr>
                <w:rFonts w:cs="Arial" w:hint="eastAsia"/>
                <w:color w:val="000000"/>
                <w:spacing w:val="-15"/>
                <w:w w:val="15"/>
                <w:szCs w:val="20"/>
                <w:shd w:val="solid" w:color="000000" w:fill="000000"/>
                <w:fitText w:val="50" w:id="-1032069360"/>
                <w14:textFill>
                  <w14:solidFill>
                    <w14:srgbClr w14:val="000000">
                      <w14:alpha w14:val="100000"/>
                    </w14:srgbClr>
                  </w14:solidFill>
                </w14:textFill>
              </w:rPr>
              <w:t xml:space="preserve">　</w:t>
            </w:r>
            <w:r w:rsidR="003B0938" w:rsidRPr="003B0938">
              <w:rPr>
                <w:szCs w:val="20"/>
                <w:vertAlign w:val="superscript"/>
              </w:rPr>
              <w:t>3</w:t>
            </w:r>
          </w:p>
        </w:tc>
        <w:tc>
          <w:tcPr>
            <w:tcW w:w="649" w:type="pct"/>
            <w:vAlign w:val="center"/>
          </w:tcPr>
          <w:p w14:paraId="3BEE4043" w14:textId="436B1017" w:rsidR="00851B17" w:rsidRPr="00851B17" w:rsidRDefault="00E038A0" w:rsidP="00570777">
            <w:pPr>
              <w:pStyle w:val="TableText0"/>
              <w:jc w:val="center"/>
              <w:rPr>
                <w:b/>
                <w:bCs w:val="0"/>
                <w:szCs w:val="20"/>
              </w:rPr>
            </w:pPr>
            <w:r>
              <w:rPr>
                <w:rFonts w:cs="Arial"/>
                <w:szCs w:val="20"/>
              </w:rPr>
              <w:t xml:space="preserve"> </w:t>
            </w:r>
            <w:r w:rsidRPr="00E038A0">
              <w:rPr>
                <w:rFonts w:cs="Arial" w:hint="eastAsia"/>
                <w:color w:val="000000"/>
                <w:w w:val="15"/>
                <w:szCs w:val="20"/>
                <w:shd w:val="solid" w:color="000000" w:fill="000000"/>
                <w:fitText w:val="40" w:id="-1032069376"/>
                <w14:textFill>
                  <w14:solidFill>
                    <w14:srgbClr w14:val="000000">
                      <w14:alpha w14:val="100000"/>
                    </w14:srgbClr>
                  </w14:solidFill>
                </w14:textFill>
              </w:rPr>
              <w:t xml:space="preserve">　</w:t>
            </w:r>
            <w:r w:rsidRPr="00E038A0">
              <w:rPr>
                <w:rFonts w:cs="Arial"/>
                <w:color w:val="000000"/>
                <w:w w:val="15"/>
                <w:szCs w:val="20"/>
                <w:shd w:val="solid" w:color="000000" w:fill="000000"/>
                <w:fitText w:val="40" w:id="-1032069376"/>
                <w14:textFill>
                  <w14:solidFill>
                    <w14:srgbClr w14:val="000000">
                      <w14:alpha w14:val="100000"/>
                    </w14:srgbClr>
                  </w14:solidFill>
                </w14:textFill>
              </w:rPr>
              <w:t>|</w:t>
            </w:r>
            <w:r w:rsidRPr="00E038A0">
              <w:rPr>
                <w:rFonts w:cs="Arial" w:hint="eastAsia"/>
                <w:color w:val="000000"/>
                <w:spacing w:val="-25"/>
                <w:w w:val="15"/>
                <w:szCs w:val="20"/>
                <w:shd w:val="solid" w:color="000000" w:fill="000000"/>
                <w:fitText w:val="40" w:id="-1032069376"/>
                <w14:textFill>
                  <w14:solidFill>
                    <w14:srgbClr w14:val="000000">
                      <w14:alpha w14:val="100000"/>
                    </w14:srgbClr>
                  </w14:solidFill>
                </w14:textFill>
              </w:rPr>
              <w:t xml:space="preserve">　</w:t>
            </w:r>
            <w:r w:rsidR="003B0938" w:rsidRPr="003B0938">
              <w:rPr>
                <w:szCs w:val="20"/>
                <w:vertAlign w:val="superscript"/>
              </w:rPr>
              <w:t>3</w:t>
            </w:r>
          </w:p>
        </w:tc>
      </w:tr>
    </w:tbl>
    <w:p w14:paraId="0B8CCA63" w14:textId="77777777" w:rsidR="00851B17" w:rsidRPr="00851B17" w:rsidRDefault="00851B17" w:rsidP="00851B17">
      <w:pPr>
        <w:pStyle w:val="TableFooter"/>
        <w:keepNext/>
      </w:pPr>
      <w:r w:rsidRPr="00851B17">
        <w:t>Source: Table 4.2.13, p164; Table 4.2.14, p164; Table 4.2.20, p166; Table 4.4.2, p168 of the submission.</w:t>
      </w:r>
    </w:p>
    <w:p w14:paraId="333CEAFE" w14:textId="77777777" w:rsidR="00851B17" w:rsidRPr="00851B17" w:rsidRDefault="00851B17" w:rsidP="00851B17">
      <w:pPr>
        <w:pStyle w:val="TableFooter"/>
        <w:keepNext/>
      </w:pPr>
      <w:r w:rsidRPr="00851B17">
        <w:t>IAT = investigator assigned treatment</w:t>
      </w:r>
    </w:p>
    <w:p w14:paraId="430FE080" w14:textId="09D40CD5" w:rsidR="00851B17" w:rsidRDefault="00851B17" w:rsidP="000A18A1">
      <w:pPr>
        <w:pStyle w:val="TableFooter"/>
        <w:keepNext/>
        <w:tabs>
          <w:tab w:val="left" w:pos="142"/>
        </w:tabs>
      </w:pPr>
      <w:r w:rsidRPr="00851B17">
        <w:rPr>
          <w:vertAlign w:val="superscript"/>
        </w:rPr>
        <w:t>a</w:t>
      </w:r>
      <w:r w:rsidRPr="00851B17">
        <w:tab/>
        <w:t>Assuming 7.5 weeks of treatment, based on SOLSTICE and as estimated by the submission.</w:t>
      </w:r>
    </w:p>
    <w:p w14:paraId="563FCD08" w14:textId="77777777" w:rsidR="001E19B2" w:rsidRPr="001E19B2" w:rsidRDefault="001E19B2" w:rsidP="001E19B2">
      <w:pPr>
        <w:pStyle w:val="TableFooter"/>
        <w:keepNext/>
        <w:tabs>
          <w:tab w:val="left" w:pos="142"/>
        </w:tabs>
        <w:rPr>
          <w:bCs/>
          <w:i/>
          <w:iCs/>
        </w:rPr>
      </w:pPr>
      <w:bookmarkStart w:id="61" w:name="_Hlk155607473"/>
      <w:r w:rsidRPr="001E19B2">
        <w:rPr>
          <w:bCs/>
          <w:i/>
          <w:iCs/>
        </w:rPr>
        <w:t>The redacted values correspond to the following ranges:</w:t>
      </w:r>
    </w:p>
    <w:p w14:paraId="68A99D1F" w14:textId="507FD1D7" w:rsidR="001E19B2" w:rsidRPr="001E19B2" w:rsidRDefault="003B0938" w:rsidP="003B0938">
      <w:pPr>
        <w:keepNext/>
        <w:tabs>
          <w:tab w:val="left" w:pos="142"/>
        </w:tabs>
        <w:rPr>
          <w:rFonts w:ascii="Arial Narrow" w:hAnsi="Arial Narrow"/>
          <w:bCs/>
          <w:i/>
          <w:iCs/>
          <w:sz w:val="18"/>
        </w:rPr>
      </w:pPr>
      <w:r w:rsidRPr="003B0938">
        <w:rPr>
          <w:rFonts w:ascii="Arial Narrow" w:hAnsi="Arial Narrow"/>
          <w:bCs/>
          <w:i/>
          <w:iCs/>
          <w:sz w:val="18"/>
          <w:vertAlign w:val="superscript"/>
        </w:rPr>
        <w:t>1</w:t>
      </w:r>
      <w:r w:rsidRPr="003B0938">
        <w:rPr>
          <w:rFonts w:ascii="Arial Narrow" w:hAnsi="Arial Narrow"/>
          <w:bCs/>
          <w:i/>
          <w:iCs/>
          <w:sz w:val="18"/>
        </w:rPr>
        <w:t xml:space="preserve"> </w:t>
      </w:r>
      <w:r>
        <w:rPr>
          <w:rFonts w:ascii="Arial Narrow" w:hAnsi="Arial Narrow"/>
          <w:bCs/>
          <w:i/>
          <w:iCs/>
          <w:sz w:val="18"/>
        </w:rPr>
        <w:t>&lt;</w:t>
      </w:r>
      <w:r w:rsidRPr="003B0938">
        <w:rPr>
          <w:rFonts w:ascii="Arial Narrow" w:hAnsi="Arial Narrow"/>
          <w:bCs/>
          <w:i/>
          <w:iCs/>
          <w:sz w:val="18"/>
        </w:rPr>
        <w:t xml:space="preserve">500 </w:t>
      </w:r>
    </w:p>
    <w:p w14:paraId="4DFD99B5" w14:textId="723D503D" w:rsidR="001E19B2" w:rsidRPr="001E19B2" w:rsidRDefault="001E19B2" w:rsidP="001E19B2">
      <w:pPr>
        <w:pStyle w:val="TableFooter"/>
        <w:keepNext/>
        <w:tabs>
          <w:tab w:val="left" w:pos="142"/>
        </w:tabs>
        <w:rPr>
          <w:bCs/>
          <w:i/>
          <w:iCs/>
        </w:rPr>
      </w:pPr>
      <w:r w:rsidRPr="001E19B2">
        <w:rPr>
          <w:bCs/>
          <w:i/>
          <w:iCs/>
          <w:vertAlign w:val="superscript"/>
        </w:rPr>
        <w:t>2</w:t>
      </w:r>
      <w:r w:rsidRPr="001E19B2">
        <w:rPr>
          <w:bCs/>
          <w:i/>
          <w:iCs/>
        </w:rPr>
        <w:t xml:space="preserve"> 500 to &lt; </w:t>
      </w:r>
      <w:r w:rsidR="003B0938">
        <w:rPr>
          <w:bCs/>
          <w:i/>
          <w:iCs/>
        </w:rPr>
        <w:t>5</w:t>
      </w:r>
      <w:r w:rsidRPr="001E19B2">
        <w:rPr>
          <w:bCs/>
          <w:i/>
          <w:iCs/>
        </w:rPr>
        <w:t>,000</w:t>
      </w:r>
    </w:p>
    <w:p w14:paraId="0768CF99" w14:textId="73E87C45" w:rsidR="001E19B2" w:rsidRPr="001E19B2" w:rsidRDefault="003B0938" w:rsidP="001E19B2">
      <w:pPr>
        <w:pStyle w:val="TableFooter"/>
        <w:keepNext/>
        <w:tabs>
          <w:tab w:val="left" w:pos="142"/>
        </w:tabs>
        <w:rPr>
          <w:bCs/>
          <w:i/>
          <w:iCs/>
        </w:rPr>
      </w:pPr>
      <w:r>
        <w:rPr>
          <w:bCs/>
          <w:i/>
          <w:iCs/>
          <w:vertAlign w:val="superscript"/>
        </w:rPr>
        <w:t>3</w:t>
      </w:r>
      <w:r w:rsidR="001E19B2" w:rsidRPr="001E19B2">
        <w:rPr>
          <w:bCs/>
          <w:i/>
          <w:iCs/>
        </w:rPr>
        <w:t xml:space="preserve"> $</w:t>
      </w:r>
      <w:r>
        <w:rPr>
          <w:bCs/>
          <w:i/>
          <w:iCs/>
        </w:rPr>
        <w:t>0</w:t>
      </w:r>
      <w:r w:rsidR="001E19B2" w:rsidRPr="001E19B2">
        <w:rPr>
          <w:bCs/>
          <w:i/>
          <w:iCs/>
        </w:rPr>
        <w:t xml:space="preserve"> to &lt; $</w:t>
      </w:r>
      <w:r>
        <w:rPr>
          <w:bCs/>
          <w:i/>
          <w:iCs/>
        </w:rPr>
        <w:t>1</w:t>
      </w:r>
      <w:r w:rsidR="001E19B2" w:rsidRPr="001E19B2">
        <w:rPr>
          <w:bCs/>
          <w:i/>
          <w:iCs/>
        </w:rPr>
        <w:t>0 million</w:t>
      </w:r>
    </w:p>
    <w:bookmarkEnd w:id="61"/>
    <w:p w14:paraId="6B35F81A" w14:textId="77777777" w:rsidR="00F22B06" w:rsidRDefault="003B0938" w:rsidP="001E19B2">
      <w:pPr>
        <w:pStyle w:val="TableFooter"/>
        <w:keepNext/>
        <w:tabs>
          <w:tab w:val="left" w:pos="142"/>
        </w:tabs>
        <w:rPr>
          <w:bCs/>
          <w:i/>
          <w:iCs/>
          <w:color w:val="FF0000"/>
          <w:vertAlign w:val="superscript"/>
        </w:rPr>
      </w:pPr>
      <w:r>
        <w:rPr>
          <w:bCs/>
          <w:i/>
          <w:iCs/>
          <w:vertAlign w:val="superscript"/>
        </w:rPr>
        <w:t>4</w:t>
      </w:r>
      <w:r w:rsidR="001E19B2" w:rsidRPr="001E19B2">
        <w:rPr>
          <w:bCs/>
          <w:i/>
          <w:iCs/>
        </w:rPr>
        <w:t xml:space="preserve"> $</w:t>
      </w:r>
      <w:r>
        <w:rPr>
          <w:bCs/>
          <w:i/>
          <w:iCs/>
        </w:rPr>
        <w:t>1</w:t>
      </w:r>
      <w:r w:rsidR="001E19B2" w:rsidRPr="001E19B2">
        <w:rPr>
          <w:bCs/>
          <w:i/>
          <w:iCs/>
        </w:rPr>
        <w:t>0 million to &lt; $</w:t>
      </w:r>
      <w:r>
        <w:rPr>
          <w:bCs/>
          <w:i/>
          <w:iCs/>
        </w:rPr>
        <w:t>2</w:t>
      </w:r>
      <w:r w:rsidR="001E19B2" w:rsidRPr="001E19B2">
        <w:rPr>
          <w:bCs/>
          <w:i/>
          <w:iCs/>
        </w:rPr>
        <w:t>0 million</w:t>
      </w:r>
    </w:p>
    <w:p w14:paraId="2CEBE12D" w14:textId="75B0F04C" w:rsidR="001E19B2" w:rsidRPr="00851B17" w:rsidRDefault="000A18A1" w:rsidP="006A3C21">
      <w:pPr>
        <w:pStyle w:val="TableFooter"/>
        <w:tabs>
          <w:tab w:val="left" w:pos="142"/>
        </w:tabs>
        <w:spacing w:after="120"/>
      </w:pPr>
      <w:r>
        <w:rPr>
          <w:bCs/>
          <w:i/>
          <w:iCs/>
          <w:vertAlign w:val="superscript"/>
        </w:rPr>
        <w:t xml:space="preserve">5 </w:t>
      </w:r>
      <w:r w:rsidR="001E19B2" w:rsidRPr="001E19B2">
        <w:rPr>
          <w:bCs/>
          <w:i/>
          <w:iCs/>
        </w:rPr>
        <w:t>net cost saving</w:t>
      </w:r>
    </w:p>
    <w:p w14:paraId="53245A40" w14:textId="4FEA5D74" w:rsidR="00851B17" w:rsidRPr="00851B17" w:rsidRDefault="00851B17" w:rsidP="00851B17">
      <w:pPr>
        <w:pStyle w:val="3-BodyText"/>
      </w:pPr>
      <w:r w:rsidRPr="00851B17">
        <w:t>The total cost to the PBS of listing maribavir was estimated to be $</w:t>
      </w:r>
      <w:bookmarkStart w:id="62" w:name="_Hlk155089882"/>
      <w:r w:rsidR="00815AC9" w:rsidRPr="00815AC9">
        <w:t>10 million to &lt; $20 </w:t>
      </w:r>
      <w:bookmarkEnd w:id="62"/>
      <w:r w:rsidRPr="00851B17">
        <w:t>million in Year</w:t>
      </w:r>
      <w:r w:rsidR="003926B6">
        <w:t> </w:t>
      </w:r>
      <w:r w:rsidRPr="00851B17">
        <w:t>6, and a total of $</w:t>
      </w:r>
      <w:r w:rsidR="00815AC9">
        <w:t>5</w:t>
      </w:r>
      <w:r w:rsidR="00815AC9" w:rsidRPr="00815AC9">
        <w:t>0 million to &lt; $</w:t>
      </w:r>
      <w:r w:rsidR="00815AC9">
        <w:t>6</w:t>
      </w:r>
      <w:r w:rsidR="00815AC9" w:rsidRPr="00815AC9">
        <w:t>0 </w:t>
      </w:r>
      <w:r w:rsidRPr="00851B17">
        <w:t>million in the first 6 years of listing. If the claimed IAT cost offsets are applied, the net cost to Government in Year 6 was estimated to be $</w:t>
      </w:r>
      <w:r w:rsidR="00815AC9">
        <w:t>0</w:t>
      </w:r>
      <w:r w:rsidR="00815AC9" w:rsidRPr="00815AC9">
        <w:t> to &lt; $</w:t>
      </w:r>
      <w:r w:rsidR="00815AC9">
        <w:t>1</w:t>
      </w:r>
      <w:r w:rsidR="00815AC9" w:rsidRPr="00815AC9">
        <w:t>0 </w:t>
      </w:r>
      <w:r w:rsidRPr="00851B17">
        <w:t>million, with a total of $</w:t>
      </w:r>
      <w:r w:rsidR="00815AC9">
        <w:t>3</w:t>
      </w:r>
      <w:r w:rsidR="00815AC9" w:rsidRPr="00815AC9">
        <w:t>0 million to &lt; $</w:t>
      </w:r>
      <w:r w:rsidR="00815AC9">
        <w:t>4</w:t>
      </w:r>
      <w:r w:rsidR="00815AC9" w:rsidRPr="00815AC9">
        <w:t>0 </w:t>
      </w:r>
      <w:r w:rsidRPr="00851B17">
        <w:t xml:space="preserve">million in the first 6 years of listing. </w:t>
      </w:r>
      <w:r w:rsidR="007B4357">
        <w:t>U</w:t>
      </w:r>
      <w:r w:rsidRPr="00851B17">
        <w:t xml:space="preserve">ptake may be overestimated; and cost offsets for foscarnet and cidofovir should not have been included. </w:t>
      </w:r>
    </w:p>
    <w:p w14:paraId="34A73B97" w14:textId="28E12963" w:rsidR="00851B17" w:rsidRPr="00851B17" w:rsidRDefault="00851B17" w:rsidP="00851B17">
      <w:pPr>
        <w:pStyle w:val="3-BodyText"/>
      </w:pPr>
      <w:r w:rsidRPr="00851B17">
        <w:t>When the cost of foscarnet and cidofovir were removed from IAT cost offsets, the estimated net cost to Government increased by 32% to $</w:t>
      </w:r>
      <w:r w:rsidR="00815AC9">
        <w:t>4</w:t>
      </w:r>
      <w:r w:rsidR="00815AC9" w:rsidRPr="00815AC9">
        <w:t>0 million to &lt; $</w:t>
      </w:r>
      <w:r w:rsidR="00815AC9">
        <w:t>5</w:t>
      </w:r>
      <w:r w:rsidR="00815AC9" w:rsidRPr="00815AC9">
        <w:t>0 </w:t>
      </w:r>
      <w:r w:rsidRPr="00851B17">
        <w:t>million over the first 6</w:t>
      </w:r>
      <w:r w:rsidR="003926B6">
        <w:t> </w:t>
      </w:r>
      <w:r w:rsidRPr="00851B17">
        <w:t>years of listing.</w:t>
      </w:r>
    </w:p>
    <w:p w14:paraId="0EA5F0BE" w14:textId="77C75C99" w:rsidR="00851B17" w:rsidRPr="00851B17" w:rsidRDefault="00851B17" w:rsidP="00851B17">
      <w:pPr>
        <w:pStyle w:val="3-BodyText"/>
      </w:pPr>
      <w:r w:rsidRPr="00851B17">
        <w:t xml:space="preserve">Sensitivity analyses are summarised in </w:t>
      </w:r>
      <w:r w:rsidRPr="00851B17">
        <w:fldChar w:fldCharType="begin" w:fldLock="1"/>
      </w:r>
      <w:r w:rsidRPr="00851B17">
        <w:instrText xml:space="preserve"> REF _Ref142603237 \h  \* MERGEFORMAT </w:instrText>
      </w:r>
      <w:r w:rsidRPr="00851B17">
        <w:fldChar w:fldCharType="separate"/>
      </w:r>
      <w:r w:rsidRPr="00851B17">
        <w:t>Table 20</w:t>
      </w:r>
      <w:r w:rsidRPr="00851B17">
        <w:fldChar w:fldCharType="end"/>
      </w:r>
      <w:r w:rsidRPr="00851B17">
        <w:t>. As indicated above, the submission presented its sensitivity analyses based on estimated net cost to the PBS</w:t>
      </w:r>
      <w:r w:rsidR="007F6603">
        <w:t xml:space="preserve"> for maribavir</w:t>
      </w:r>
      <w:r w:rsidRPr="00851B17">
        <w:t xml:space="preserve"> ($</w:t>
      </w:r>
      <w:r w:rsidR="00815AC9">
        <w:t>5</w:t>
      </w:r>
      <w:r w:rsidR="00815AC9" w:rsidRPr="00815AC9">
        <w:t>0 million to &lt; $</w:t>
      </w:r>
      <w:r w:rsidR="00815AC9">
        <w:t>6</w:t>
      </w:r>
      <w:r w:rsidR="00815AC9" w:rsidRPr="00815AC9">
        <w:t>0 </w:t>
      </w:r>
      <w:r w:rsidRPr="00851B17">
        <w:t>million over 6 years), which did not include estimated cost offsets for IAT usage.</w:t>
      </w:r>
    </w:p>
    <w:p w14:paraId="0F11572F" w14:textId="77777777" w:rsidR="00851B17" w:rsidRPr="00851B17" w:rsidRDefault="00851B17" w:rsidP="00851B17">
      <w:pPr>
        <w:pStyle w:val="3-BodyText"/>
        <w:keepNext/>
        <w:numPr>
          <w:ilvl w:val="0"/>
          <w:numId w:val="0"/>
        </w:numPr>
        <w:spacing w:after="0"/>
      </w:pPr>
      <w:bookmarkStart w:id="63" w:name="_Ref142603237"/>
      <w:r w:rsidRPr="00851B17">
        <w:rPr>
          <w:rStyle w:val="CommentReference"/>
          <w:bCs/>
          <w:szCs w:val="20"/>
        </w:rPr>
        <w:lastRenderedPageBreak/>
        <w:t xml:space="preserve">Table </w:t>
      </w:r>
      <w:r w:rsidRPr="00851B17">
        <w:rPr>
          <w:rFonts w:ascii="Arial Narrow" w:hAnsi="Arial Narrow"/>
          <w:b/>
          <w:sz w:val="20"/>
          <w:szCs w:val="20"/>
        </w:rPr>
        <w:fldChar w:fldCharType="begin" w:fldLock="1"/>
      </w:r>
      <w:r w:rsidRPr="00851B17">
        <w:rPr>
          <w:rFonts w:ascii="Arial Narrow" w:hAnsi="Arial Narrow"/>
          <w:b/>
          <w:sz w:val="20"/>
          <w:szCs w:val="20"/>
        </w:rPr>
        <w:instrText xml:space="preserve"> SEQ Table \* ARABIC </w:instrText>
      </w:r>
      <w:r w:rsidRPr="00851B17">
        <w:rPr>
          <w:rFonts w:ascii="Arial Narrow" w:hAnsi="Arial Narrow"/>
          <w:b/>
          <w:sz w:val="20"/>
          <w:szCs w:val="20"/>
        </w:rPr>
        <w:fldChar w:fldCharType="separate"/>
      </w:r>
      <w:r w:rsidRPr="00851B17">
        <w:rPr>
          <w:rFonts w:ascii="Arial Narrow" w:hAnsi="Arial Narrow"/>
          <w:b/>
          <w:noProof/>
          <w:sz w:val="20"/>
          <w:szCs w:val="20"/>
        </w:rPr>
        <w:t>20</w:t>
      </w:r>
      <w:r w:rsidRPr="00851B17">
        <w:rPr>
          <w:rFonts w:ascii="Arial Narrow" w:hAnsi="Arial Narrow"/>
          <w:b/>
          <w:noProof/>
          <w:sz w:val="20"/>
          <w:szCs w:val="20"/>
        </w:rPr>
        <w:fldChar w:fldCharType="end"/>
      </w:r>
      <w:bookmarkEnd w:id="63"/>
      <w:r w:rsidRPr="00851B17">
        <w:rPr>
          <w:rStyle w:val="CommentReference"/>
          <w:bCs/>
          <w:szCs w:val="20"/>
        </w:rPr>
        <w:t xml:space="preserve">: </w:t>
      </w:r>
      <w:r w:rsidRPr="00851B17">
        <w:rPr>
          <w:rStyle w:val="CommentReference"/>
          <w:szCs w:val="20"/>
        </w:rPr>
        <w:t>Sensitivity analyses – financial estimates</w:t>
      </w:r>
    </w:p>
    <w:tbl>
      <w:tblPr>
        <w:tblStyle w:val="TableGrid"/>
        <w:tblW w:w="5000" w:type="pct"/>
        <w:tblLayout w:type="fixed"/>
        <w:tblCellMar>
          <w:left w:w="28" w:type="dxa"/>
          <w:right w:w="28" w:type="dxa"/>
        </w:tblCellMar>
        <w:tblLook w:val="04A0" w:firstRow="1" w:lastRow="0" w:firstColumn="1" w:lastColumn="0" w:noHBand="0" w:noVBand="1"/>
        <w:tblCaption w:val="Table 20: Sensitivity analyses – financial estimates"/>
        <w:tblDescription w:val="Table 20: Sensitivity analyses – financial estimates"/>
      </w:tblPr>
      <w:tblGrid>
        <w:gridCol w:w="2555"/>
        <w:gridCol w:w="1045"/>
        <w:gridCol w:w="1062"/>
        <w:gridCol w:w="1124"/>
        <w:gridCol w:w="1124"/>
        <w:gridCol w:w="1124"/>
        <w:gridCol w:w="983"/>
      </w:tblGrid>
      <w:tr w:rsidR="00815AC9" w:rsidRPr="00851B17" w14:paraId="74BE3547" w14:textId="77777777" w:rsidTr="00CE4B8D">
        <w:trPr>
          <w:tblHeader/>
        </w:trPr>
        <w:tc>
          <w:tcPr>
            <w:tcW w:w="2555" w:type="dxa"/>
            <w:shd w:val="clear" w:color="auto" w:fill="auto"/>
            <w:vAlign w:val="center"/>
          </w:tcPr>
          <w:p w14:paraId="274A555B" w14:textId="77777777" w:rsidR="00851B17" w:rsidRPr="00851B17" w:rsidRDefault="00851B17" w:rsidP="00570777">
            <w:pPr>
              <w:keepNext/>
              <w:tabs>
                <w:tab w:val="left" w:pos="142"/>
              </w:tabs>
              <w:jc w:val="left"/>
              <w:rPr>
                <w:rFonts w:ascii="Arial Narrow" w:hAnsi="Arial Narrow"/>
                <w:b/>
                <w:sz w:val="20"/>
                <w:szCs w:val="20"/>
              </w:rPr>
            </w:pPr>
            <w:r w:rsidRPr="00851B17">
              <w:rPr>
                <w:rFonts w:ascii="Arial Narrow" w:hAnsi="Arial Narrow"/>
                <w:b/>
                <w:sz w:val="20"/>
                <w:szCs w:val="20"/>
              </w:rPr>
              <w:t>Analysis</w:t>
            </w:r>
          </w:p>
        </w:tc>
        <w:tc>
          <w:tcPr>
            <w:tcW w:w="1045" w:type="dxa"/>
            <w:shd w:val="clear" w:color="auto" w:fill="auto"/>
            <w:vAlign w:val="center"/>
          </w:tcPr>
          <w:p w14:paraId="69B94F22" w14:textId="77777777" w:rsidR="00851B17" w:rsidRPr="00851B17" w:rsidRDefault="00851B17" w:rsidP="00570777">
            <w:pPr>
              <w:keepNext/>
              <w:jc w:val="center"/>
              <w:rPr>
                <w:rFonts w:ascii="Arial Narrow" w:hAnsi="Arial Narrow"/>
                <w:b/>
                <w:sz w:val="20"/>
                <w:szCs w:val="20"/>
              </w:rPr>
            </w:pPr>
            <w:r w:rsidRPr="00851B17">
              <w:rPr>
                <w:rFonts w:ascii="Arial Narrow" w:hAnsi="Arial Narrow"/>
                <w:b/>
                <w:sz w:val="20"/>
                <w:szCs w:val="20"/>
              </w:rPr>
              <w:t>Year 1</w:t>
            </w:r>
          </w:p>
        </w:tc>
        <w:tc>
          <w:tcPr>
            <w:tcW w:w="1062" w:type="dxa"/>
            <w:shd w:val="clear" w:color="auto" w:fill="auto"/>
            <w:vAlign w:val="center"/>
          </w:tcPr>
          <w:p w14:paraId="051DCBB5" w14:textId="77777777" w:rsidR="00851B17" w:rsidRPr="00851B17" w:rsidRDefault="00851B17" w:rsidP="00570777">
            <w:pPr>
              <w:keepNext/>
              <w:jc w:val="center"/>
              <w:rPr>
                <w:rFonts w:ascii="Arial Narrow" w:hAnsi="Arial Narrow"/>
                <w:b/>
                <w:sz w:val="20"/>
                <w:szCs w:val="20"/>
              </w:rPr>
            </w:pPr>
            <w:r w:rsidRPr="00851B17">
              <w:rPr>
                <w:rFonts w:ascii="Arial Narrow" w:hAnsi="Arial Narrow"/>
                <w:b/>
                <w:sz w:val="20"/>
                <w:szCs w:val="20"/>
              </w:rPr>
              <w:t>Year 2</w:t>
            </w:r>
          </w:p>
        </w:tc>
        <w:tc>
          <w:tcPr>
            <w:tcW w:w="1124" w:type="dxa"/>
            <w:shd w:val="clear" w:color="auto" w:fill="auto"/>
            <w:vAlign w:val="center"/>
          </w:tcPr>
          <w:p w14:paraId="631C97FF" w14:textId="77777777" w:rsidR="00851B17" w:rsidRPr="00851B17" w:rsidRDefault="00851B17" w:rsidP="00570777">
            <w:pPr>
              <w:keepNext/>
              <w:jc w:val="center"/>
              <w:rPr>
                <w:rFonts w:ascii="Arial Narrow" w:hAnsi="Arial Narrow"/>
                <w:b/>
                <w:sz w:val="20"/>
                <w:szCs w:val="20"/>
              </w:rPr>
            </w:pPr>
            <w:r w:rsidRPr="00851B17">
              <w:rPr>
                <w:rFonts w:ascii="Arial Narrow" w:hAnsi="Arial Narrow"/>
                <w:b/>
                <w:sz w:val="20"/>
                <w:szCs w:val="20"/>
              </w:rPr>
              <w:t>Year 3</w:t>
            </w:r>
          </w:p>
        </w:tc>
        <w:tc>
          <w:tcPr>
            <w:tcW w:w="1124" w:type="dxa"/>
            <w:shd w:val="clear" w:color="auto" w:fill="auto"/>
            <w:vAlign w:val="center"/>
          </w:tcPr>
          <w:p w14:paraId="5B000925" w14:textId="77777777" w:rsidR="00851B17" w:rsidRPr="00851B17" w:rsidRDefault="00851B17" w:rsidP="00570777">
            <w:pPr>
              <w:keepNext/>
              <w:jc w:val="center"/>
              <w:rPr>
                <w:rFonts w:ascii="Arial Narrow" w:hAnsi="Arial Narrow"/>
                <w:b/>
                <w:sz w:val="20"/>
                <w:szCs w:val="20"/>
              </w:rPr>
            </w:pPr>
            <w:r w:rsidRPr="00851B17">
              <w:rPr>
                <w:rFonts w:ascii="Arial Narrow" w:hAnsi="Arial Narrow"/>
                <w:b/>
                <w:sz w:val="20"/>
                <w:szCs w:val="20"/>
              </w:rPr>
              <w:t>Year 4</w:t>
            </w:r>
          </w:p>
        </w:tc>
        <w:tc>
          <w:tcPr>
            <w:tcW w:w="1124" w:type="dxa"/>
            <w:shd w:val="clear" w:color="auto" w:fill="auto"/>
            <w:vAlign w:val="center"/>
          </w:tcPr>
          <w:p w14:paraId="2B6BC5C8" w14:textId="77777777" w:rsidR="00851B17" w:rsidRPr="00851B17" w:rsidRDefault="00851B17" w:rsidP="00570777">
            <w:pPr>
              <w:keepNext/>
              <w:jc w:val="center"/>
              <w:rPr>
                <w:rFonts w:ascii="Arial Narrow" w:hAnsi="Arial Narrow"/>
                <w:b/>
                <w:sz w:val="20"/>
                <w:szCs w:val="20"/>
              </w:rPr>
            </w:pPr>
            <w:r w:rsidRPr="00851B17">
              <w:rPr>
                <w:rFonts w:ascii="Arial Narrow" w:hAnsi="Arial Narrow"/>
                <w:b/>
                <w:sz w:val="20"/>
                <w:szCs w:val="20"/>
              </w:rPr>
              <w:t>Year 5</w:t>
            </w:r>
          </w:p>
        </w:tc>
        <w:tc>
          <w:tcPr>
            <w:tcW w:w="983" w:type="dxa"/>
            <w:shd w:val="clear" w:color="auto" w:fill="auto"/>
            <w:vAlign w:val="center"/>
          </w:tcPr>
          <w:p w14:paraId="608F4E5D" w14:textId="77777777" w:rsidR="00851B17" w:rsidRPr="00851B17" w:rsidRDefault="00851B17" w:rsidP="00570777">
            <w:pPr>
              <w:keepNext/>
              <w:jc w:val="center"/>
              <w:rPr>
                <w:rFonts w:ascii="Arial Narrow" w:hAnsi="Arial Narrow"/>
                <w:b/>
                <w:sz w:val="20"/>
                <w:szCs w:val="20"/>
              </w:rPr>
            </w:pPr>
            <w:r w:rsidRPr="00851B17">
              <w:rPr>
                <w:rFonts w:ascii="Arial Narrow" w:hAnsi="Arial Narrow"/>
                <w:b/>
                <w:sz w:val="20"/>
                <w:szCs w:val="20"/>
              </w:rPr>
              <w:t>Year 6</w:t>
            </w:r>
          </w:p>
        </w:tc>
      </w:tr>
      <w:tr w:rsidR="00815AC9" w:rsidRPr="00851B17" w14:paraId="222C240E" w14:textId="77777777" w:rsidTr="00CE4B8D">
        <w:tc>
          <w:tcPr>
            <w:tcW w:w="2555" w:type="dxa"/>
            <w:shd w:val="clear" w:color="auto" w:fill="auto"/>
            <w:vAlign w:val="center"/>
          </w:tcPr>
          <w:p w14:paraId="400EC96C" w14:textId="77777777" w:rsidR="00851B17" w:rsidRPr="00851B17" w:rsidRDefault="00851B17" w:rsidP="00570777">
            <w:pPr>
              <w:keepNext/>
              <w:tabs>
                <w:tab w:val="left" w:pos="142"/>
              </w:tabs>
              <w:jc w:val="left"/>
              <w:rPr>
                <w:rFonts w:ascii="Arial Narrow" w:hAnsi="Arial Narrow"/>
                <w:b/>
                <w:sz w:val="20"/>
                <w:szCs w:val="20"/>
              </w:rPr>
            </w:pPr>
            <w:r w:rsidRPr="00851B17">
              <w:rPr>
                <w:rFonts w:ascii="Arial Narrow" w:hAnsi="Arial Narrow"/>
                <w:b/>
                <w:sz w:val="20"/>
                <w:szCs w:val="20"/>
              </w:rPr>
              <w:t>Base case</w:t>
            </w:r>
          </w:p>
        </w:tc>
        <w:tc>
          <w:tcPr>
            <w:tcW w:w="1045" w:type="dxa"/>
            <w:shd w:val="clear" w:color="auto" w:fill="auto"/>
            <w:vAlign w:val="center"/>
          </w:tcPr>
          <w:p w14:paraId="12520BFB" w14:textId="3A8FC9EF" w:rsidR="00851B17" w:rsidRPr="00851B17" w:rsidRDefault="00E038A0" w:rsidP="00570777">
            <w:pPr>
              <w:keepNext/>
              <w:jc w:val="center"/>
              <w:rPr>
                <w:rFonts w:ascii="Arial Narrow" w:hAnsi="Arial Narrow"/>
                <w:b/>
                <w:bCs/>
                <w:sz w:val="20"/>
                <w:szCs w:val="20"/>
              </w:rPr>
            </w:pPr>
            <w:r>
              <w:rPr>
                <w:rFonts w:ascii="Arial Narrow" w:hAnsi="Arial Narrow"/>
                <w:b/>
                <w:bCs/>
                <w:sz w:val="20"/>
                <w:szCs w:val="20"/>
              </w:rPr>
              <w:t xml:space="preserve"> </w:t>
            </w:r>
            <w:r w:rsidRPr="00E038A0">
              <w:rPr>
                <w:rFonts w:ascii="Arial Narrow" w:hAnsi="Arial Narrow" w:hint="eastAsia"/>
                <w:b/>
                <w:bCs/>
                <w:color w:val="000000"/>
                <w:w w:val="31"/>
                <w:sz w:val="20"/>
                <w:szCs w:val="20"/>
                <w:shd w:val="solid" w:color="000000" w:fill="000000"/>
                <w:fitText w:val="140" w:id="-1032069375"/>
                <w14:textFill>
                  <w14:solidFill>
                    <w14:srgbClr w14:val="000000">
                      <w14:alpha w14:val="100000"/>
                    </w14:srgbClr>
                  </w14:solidFill>
                </w14:textFill>
              </w:rPr>
              <w:t xml:space="preserve">　</w:t>
            </w:r>
            <w:r w:rsidRPr="00E038A0">
              <w:rPr>
                <w:rFonts w:ascii="Arial Narrow" w:hAnsi="Arial Narrow"/>
                <w:b/>
                <w:bCs/>
                <w:color w:val="000000"/>
                <w:w w:val="31"/>
                <w:sz w:val="20"/>
                <w:szCs w:val="20"/>
                <w:shd w:val="solid" w:color="000000" w:fill="000000"/>
                <w:fitText w:val="140" w:id="-1032069375"/>
                <w14:textFill>
                  <w14:solidFill>
                    <w14:srgbClr w14:val="000000">
                      <w14:alpha w14:val="100000"/>
                    </w14:srgbClr>
                  </w14:solidFill>
                </w14:textFill>
              </w:rPr>
              <w:t>|</w:t>
            </w:r>
            <w:r w:rsidRPr="00E038A0">
              <w:rPr>
                <w:rFonts w:ascii="Arial Narrow" w:hAnsi="Arial Narrow" w:hint="eastAsia"/>
                <w:b/>
                <w:bCs/>
                <w:color w:val="000000"/>
                <w:spacing w:val="3"/>
                <w:w w:val="31"/>
                <w:sz w:val="20"/>
                <w:szCs w:val="20"/>
                <w:shd w:val="solid" w:color="000000" w:fill="000000"/>
                <w:fitText w:val="140" w:id="-1032069375"/>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062" w:type="dxa"/>
            <w:shd w:val="clear" w:color="auto" w:fill="auto"/>
            <w:vAlign w:val="center"/>
          </w:tcPr>
          <w:p w14:paraId="70A24431" w14:textId="1664576E" w:rsidR="00851B17" w:rsidRPr="00851B17" w:rsidRDefault="00E038A0" w:rsidP="00570777">
            <w:pPr>
              <w:keepNext/>
              <w:jc w:val="center"/>
              <w:rPr>
                <w:rFonts w:ascii="Arial Narrow" w:hAnsi="Arial Narrow"/>
                <w:b/>
                <w:bCs/>
                <w:sz w:val="20"/>
                <w:szCs w:val="20"/>
              </w:rPr>
            </w:pPr>
            <w:r>
              <w:rPr>
                <w:rFonts w:ascii="Arial Narrow" w:hAnsi="Arial Narrow"/>
                <w:b/>
                <w:bCs/>
                <w:sz w:val="20"/>
                <w:szCs w:val="20"/>
              </w:rPr>
              <w:t xml:space="preserve"> </w:t>
            </w:r>
            <w:r w:rsidRPr="00E038A0">
              <w:rPr>
                <w:rFonts w:ascii="Arial Narrow" w:hAnsi="Arial Narrow" w:hint="eastAsia"/>
                <w:b/>
                <w:bCs/>
                <w:color w:val="000000"/>
                <w:w w:val="31"/>
                <w:sz w:val="20"/>
                <w:szCs w:val="20"/>
                <w:shd w:val="solid" w:color="000000" w:fill="000000"/>
                <w:fitText w:val="140" w:id="-1032069374"/>
                <w14:textFill>
                  <w14:solidFill>
                    <w14:srgbClr w14:val="000000">
                      <w14:alpha w14:val="100000"/>
                    </w14:srgbClr>
                  </w14:solidFill>
                </w14:textFill>
              </w:rPr>
              <w:t xml:space="preserve">　</w:t>
            </w:r>
            <w:r w:rsidRPr="00E038A0">
              <w:rPr>
                <w:rFonts w:ascii="Arial Narrow" w:hAnsi="Arial Narrow"/>
                <w:b/>
                <w:bCs/>
                <w:color w:val="000000"/>
                <w:w w:val="31"/>
                <w:sz w:val="20"/>
                <w:szCs w:val="20"/>
                <w:shd w:val="solid" w:color="000000" w:fill="000000"/>
                <w:fitText w:val="140" w:id="-1032069374"/>
                <w14:textFill>
                  <w14:solidFill>
                    <w14:srgbClr w14:val="000000">
                      <w14:alpha w14:val="100000"/>
                    </w14:srgbClr>
                  </w14:solidFill>
                </w14:textFill>
              </w:rPr>
              <w:t>|</w:t>
            </w:r>
            <w:r w:rsidRPr="00E038A0">
              <w:rPr>
                <w:rFonts w:ascii="Arial Narrow" w:hAnsi="Arial Narrow" w:hint="eastAsia"/>
                <w:b/>
                <w:bCs/>
                <w:color w:val="000000"/>
                <w:spacing w:val="3"/>
                <w:w w:val="31"/>
                <w:sz w:val="20"/>
                <w:szCs w:val="20"/>
                <w:shd w:val="solid" w:color="000000" w:fill="000000"/>
                <w:fitText w:val="140" w:id="-1032069374"/>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vAlign w:val="center"/>
          </w:tcPr>
          <w:p w14:paraId="1C1F0BDB" w14:textId="0FDE64FA" w:rsidR="00851B17" w:rsidRPr="00851B17" w:rsidRDefault="00E038A0" w:rsidP="00570777">
            <w:pPr>
              <w:keepNext/>
              <w:jc w:val="center"/>
              <w:rPr>
                <w:rFonts w:ascii="Arial Narrow" w:hAnsi="Arial Narrow"/>
                <w:b/>
                <w:bCs/>
                <w:sz w:val="20"/>
                <w:szCs w:val="20"/>
              </w:rPr>
            </w:pPr>
            <w:r>
              <w:rPr>
                <w:rFonts w:ascii="Arial Narrow" w:hAnsi="Arial Narrow"/>
                <w:b/>
                <w:bCs/>
                <w:sz w:val="20"/>
                <w:szCs w:val="20"/>
              </w:rPr>
              <w:t xml:space="preserve"> </w:t>
            </w:r>
            <w:r w:rsidRPr="00E038A0">
              <w:rPr>
                <w:rFonts w:ascii="Arial Narrow" w:hAnsi="Arial Narrow" w:hint="eastAsia"/>
                <w:b/>
                <w:bCs/>
                <w:color w:val="000000"/>
                <w:w w:val="24"/>
                <w:sz w:val="20"/>
                <w:szCs w:val="20"/>
                <w:shd w:val="solid" w:color="000000" w:fill="000000"/>
                <w:fitText w:val="110" w:id="-1032069373"/>
                <w14:textFill>
                  <w14:solidFill>
                    <w14:srgbClr w14:val="000000">
                      <w14:alpha w14:val="100000"/>
                    </w14:srgbClr>
                  </w14:solidFill>
                </w14:textFill>
              </w:rPr>
              <w:t xml:space="preserve">　</w:t>
            </w:r>
            <w:r w:rsidRPr="00E038A0">
              <w:rPr>
                <w:rFonts w:ascii="Arial Narrow" w:hAnsi="Arial Narrow"/>
                <w:b/>
                <w:bCs/>
                <w:color w:val="000000"/>
                <w:w w:val="24"/>
                <w:sz w:val="20"/>
                <w:szCs w:val="20"/>
                <w:shd w:val="solid" w:color="000000" w:fill="000000"/>
                <w:fitText w:val="110" w:id="-1032069373"/>
                <w14:textFill>
                  <w14:solidFill>
                    <w14:srgbClr w14:val="000000">
                      <w14:alpha w14:val="100000"/>
                    </w14:srgbClr>
                  </w14:solidFill>
                </w14:textFill>
              </w:rPr>
              <w:t>|</w:t>
            </w:r>
            <w:r w:rsidRPr="00E038A0">
              <w:rPr>
                <w:rFonts w:ascii="Arial Narrow" w:hAnsi="Arial Narrow" w:hint="eastAsia"/>
                <w:b/>
                <w:bCs/>
                <w:color w:val="000000"/>
                <w:spacing w:val="5"/>
                <w:w w:val="24"/>
                <w:sz w:val="20"/>
                <w:szCs w:val="20"/>
                <w:shd w:val="solid" w:color="000000" w:fill="000000"/>
                <w:fitText w:val="110" w:id="-1032069373"/>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vAlign w:val="center"/>
          </w:tcPr>
          <w:p w14:paraId="6E16945E" w14:textId="7BD57E41" w:rsidR="00851B17" w:rsidRPr="00851B17" w:rsidRDefault="00E038A0" w:rsidP="00570777">
            <w:pPr>
              <w:keepNext/>
              <w:jc w:val="center"/>
              <w:rPr>
                <w:rFonts w:ascii="Arial Narrow" w:hAnsi="Arial Narrow"/>
                <w:b/>
                <w:bCs/>
                <w:sz w:val="20"/>
                <w:szCs w:val="20"/>
              </w:rPr>
            </w:pPr>
            <w:r>
              <w:rPr>
                <w:rFonts w:ascii="Arial Narrow" w:hAnsi="Arial Narrow"/>
                <w:b/>
                <w:bCs/>
                <w:sz w:val="20"/>
                <w:szCs w:val="20"/>
              </w:rPr>
              <w:t xml:space="preserve"> </w:t>
            </w:r>
            <w:r w:rsidRPr="00E038A0">
              <w:rPr>
                <w:rFonts w:ascii="Arial Narrow" w:hAnsi="Arial Narrow" w:hint="eastAsia"/>
                <w:b/>
                <w:bCs/>
                <w:color w:val="000000"/>
                <w:w w:val="24"/>
                <w:sz w:val="20"/>
                <w:szCs w:val="20"/>
                <w:shd w:val="solid" w:color="000000" w:fill="000000"/>
                <w:fitText w:val="110" w:id="-1032069372"/>
                <w14:textFill>
                  <w14:solidFill>
                    <w14:srgbClr w14:val="000000">
                      <w14:alpha w14:val="100000"/>
                    </w14:srgbClr>
                  </w14:solidFill>
                </w14:textFill>
              </w:rPr>
              <w:t xml:space="preserve">　</w:t>
            </w:r>
            <w:r w:rsidRPr="00E038A0">
              <w:rPr>
                <w:rFonts w:ascii="Arial Narrow" w:hAnsi="Arial Narrow"/>
                <w:b/>
                <w:bCs/>
                <w:color w:val="000000"/>
                <w:w w:val="24"/>
                <w:sz w:val="20"/>
                <w:szCs w:val="20"/>
                <w:shd w:val="solid" w:color="000000" w:fill="000000"/>
                <w:fitText w:val="110" w:id="-1032069372"/>
                <w14:textFill>
                  <w14:solidFill>
                    <w14:srgbClr w14:val="000000">
                      <w14:alpha w14:val="100000"/>
                    </w14:srgbClr>
                  </w14:solidFill>
                </w14:textFill>
              </w:rPr>
              <w:t>|</w:t>
            </w:r>
            <w:r w:rsidRPr="00E038A0">
              <w:rPr>
                <w:rFonts w:ascii="Arial Narrow" w:hAnsi="Arial Narrow" w:hint="eastAsia"/>
                <w:b/>
                <w:bCs/>
                <w:color w:val="000000"/>
                <w:spacing w:val="5"/>
                <w:w w:val="24"/>
                <w:sz w:val="20"/>
                <w:szCs w:val="20"/>
                <w:shd w:val="solid" w:color="000000" w:fill="000000"/>
                <w:fitText w:val="110" w:id="-1032069372"/>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vAlign w:val="center"/>
          </w:tcPr>
          <w:p w14:paraId="7346C2BF" w14:textId="35C8BDEF" w:rsidR="00851B17" w:rsidRPr="00851B17" w:rsidRDefault="00E038A0" w:rsidP="00570777">
            <w:pPr>
              <w:keepNext/>
              <w:jc w:val="center"/>
              <w:rPr>
                <w:rFonts w:ascii="Arial Narrow" w:hAnsi="Arial Narrow"/>
                <w:b/>
                <w:bCs/>
                <w:sz w:val="20"/>
                <w:szCs w:val="20"/>
              </w:rPr>
            </w:pPr>
            <w:r>
              <w:rPr>
                <w:rFonts w:ascii="Arial Narrow" w:hAnsi="Arial Narrow"/>
                <w:b/>
                <w:bCs/>
                <w:sz w:val="20"/>
                <w:szCs w:val="20"/>
              </w:rPr>
              <w:t xml:space="preserve"> </w:t>
            </w:r>
            <w:r w:rsidRPr="00E038A0">
              <w:rPr>
                <w:rFonts w:ascii="Arial Narrow" w:hAnsi="Arial Narrow" w:hint="eastAsia"/>
                <w:b/>
                <w:bCs/>
                <w:color w:val="000000"/>
                <w:w w:val="24"/>
                <w:sz w:val="20"/>
                <w:szCs w:val="20"/>
                <w:shd w:val="solid" w:color="000000" w:fill="000000"/>
                <w:fitText w:val="110" w:id="-1032069371"/>
                <w14:textFill>
                  <w14:solidFill>
                    <w14:srgbClr w14:val="000000">
                      <w14:alpha w14:val="100000"/>
                    </w14:srgbClr>
                  </w14:solidFill>
                </w14:textFill>
              </w:rPr>
              <w:t xml:space="preserve">　</w:t>
            </w:r>
            <w:r w:rsidRPr="00E038A0">
              <w:rPr>
                <w:rFonts w:ascii="Arial Narrow" w:hAnsi="Arial Narrow"/>
                <w:b/>
                <w:bCs/>
                <w:color w:val="000000"/>
                <w:w w:val="24"/>
                <w:sz w:val="20"/>
                <w:szCs w:val="20"/>
                <w:shd w:val="solid" w:color="000000" w:fill="000000"/>
                <w:fitText w:val="110" w:id="-1032069371"/>
                <w14:textFill>
                  <w14:solidFill>
                    <w14:srgbClr w14:val="000000">
                      <w14:alpha w14:val="100000"/>
                    </w14:srgbClr>
                  </w14:solidFill>
                </w14:textFill>
              </w:rPr>
              <w:t>|</w:t>
            </w:r>
            <w:r w:rsidRPr="00E038A0">
              <w:rPr>
                <w:rFonts w:ascii="Arial Narrow" w:hAnsi="Arial Narrow" w:hint="eastAsia"/>
                <w:b/>
                <w:bCs/>
                <w:color w:val="000000"/>
                <w:spacing w:val="5"/>
                <w:w w:val="24"/>
                <w:sz w:val="20"/>
                <w:szCs w:val="20"/>
                <w:shd w:val="solid" w:color="000000" w:fill="000000"/>
                <w:fitText w:val="110" w:id="-1032069371"/>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983" w:type="dxa"/>
            <w:shd w:val="clear" w:color="auto" w:fill="auto"/>
            <w:vAlign w:val="center"/>
          </w:tcPr>
          <w:p w14:paraId="7CAA091A" w14:textId="1CCA94C0" w:rsidR="00851B17" w:rsidRPr="00851B17" w:rsidRDefault="00E038A0" w:rsidP="00570777">
            <w:pPr>
              <w:keepNext/>
              <w:jc w:val="center"/>
              <w:rPr>
                <w:rFonts w:ascii="Arial Narrow" w:hAnsi="Arial Narrow"/>
                <w:b/>
                <w:bCs/>
                <w:sz w:val="20"/>
                <w:szCs w:val="20"/>
              </w:rPr>
            </w:pPr>
            <w:r>
              <w:rPr>
                <w:rFonts w:ascii="Arial Narrow" w:hAnsi="Arial Narrow"/>
                <w:b/>
                <w:bCs/>
                <w:sz w:val="20"/>
                <w:szCs w:val="20"/>
              </w:rPr>
              <w:t xml:space="preserve"> </w:t>
            </w:r>
            <w:r w:rsidRPr="00E038A0">
              <w:rPr>
                <w:rFonts w:ascii="Arial Narrow" w:hAnsi="Arial Narrow"/>
                <w:b/>
                <w:bCs/>
                <w:color w:val="000000"/>
                <w:spacing w:val="88"/>
                <w:sz w:val="20"/>
                <w:szCs w:val="20"/>
                <w:shd w:val="solid" w:color="000000" w:fill="000000"/>
                <w:fitText w:val="180" w:id="-1032069370"/>
                <w14:textFill>
                  <w14:solidFill>
                    <w14:srgbClr w14:val="000000">
                      <w14:alpha w14:val="100000"/>
                    </w14:srgbClr>
                  </w14:solidFill>
                </w14:textFill>
              </w:rPr>
              <w:t>|</w:t>
            </w:r>
            <w:r w:rsidRPr="00E038A0">
              <w:rPr>
                <w:rFonts w:ascii="Arial Narrow" w:hAnsi="Arial Narrow"/>
                <w:b/>
                <w:bCs/>
                <w:color w:val="000000"/>
                <w:spacing w:val="1"/>
                <w:sz w:val="20"/>
                <w:szCs w:val="20"/>
                <w:shd w:val="solid" w:color="000000" w:fill="000000"/>
                <w:fitText w:val="180" w:id="-1032069370"/>
                <w14:textFill>
                  <w14:solidFill>
                    <w14:srgbClr w14:val="000000">
                      <w14:alpha w14:val="100000"/>
                    </w14:srgbClr>
                  </w14:solidFill>
                </w14:textFill>
              </w:rPr>
              <w:t>|</w:t>
            </w:r>
            <w:r w:rsidR="00CE4B8D" w:rsidRPr="00CE4B8D">
              <w:rPr>
                <w:rFonts w:ascii="Arial Narrow" w:hAnsi="Arial Narrow"/>
                <w:b/>
                <w:bCs/>
                <w:sz w:val="20"/>
                <w:szCs w:val="20"/>
                <w:vertAlign w:val="superscript"/>
              </w:rPr>
              <w:t>2</w:t>
            </w:r>
          </w:p>
        </w:tc>
      </w:tr>
      <w:tr w:rsidR="00851B17" w:rsidRPr="00851B17" w14:paraId="6DA710B3" w14:textId="77777777" w:rsidTr="00CE4B8D">
        <w:tc>
          <w:tcPr>
            <w:tcW w:w="9017" w:type="dxa"/>
            <w:gridSpan w:val="7"/>
            <w:shd w:val="clear" w:color="auto" w:fill="auto"/>
            <w:vAlign w:val="center"/>
          </w:tcPr>
          <w:p w14:paraId="126FFF6F" w14:textId="63F16F19" w:rsidR="00851B17" w:rsidRPr="00851B17" w:rsidRDefault="00851B17" w:rsidP="00570777">
            <w:pPr>
              <w:keepNext/>
              <w:jc w:val="left"/>
              <w:rPr>
                <w:rFonts w:ascii="Arial Narrow" w:hAnsi="Arial Narrow"/>
                <w:b/>
                <w:bCs/>
                <w:sz w:val="20"/>
                <w:szCs w:val="20"/>
              </w:rPr>
            </w:pPr>
            <w:r w:rsidRPr="00851B17">
              <w:rPr>
                <w:rFonts w:ascii="Arial Narrow" w:hAnsi="Arial Narrow"/>
                <w:b/>
                <w:bCs/>
                <w:sz w:val="20"/>
                <w:szCs w:val="20"/>
              </w:rPr>
              <w:t>Uptake (base case:</w:t>
            </w:r>
            <w:r w:rsidR="00E038A0">
              <w:rPr>
                <w:rFonts w:ascii="Arial Narrow" w:hAnsi="Arial Narrow"/>
                <w:b/>
                <w:sz w:val="20"/>
                <w:szCs w:val="20"/>
              </w:rPr>
              <w:t xml:space="preserve"> </w:t>
            </w:r>
            <w:r w:rsidR="00E038A0" w:rsidRPr="00566FB2">
              <w:rPr>
                <w:rFonts w:ascii="Arial Narrow" w:hAnsi="Arial Narrow"/>
                <w:b/>
                <w:color w:val="000000"/>
                <w:spacing w:val="55"/>
                <w:sz w:val="20"/>
                <w:szCs w:val="20"/>
                <w:shd w:val="solid" w:color="000000" w:fill="000000"/>
                <w:fitText w:val="350" w:id="-1032069369"/>
                <w14:textFill>
                  <w14:solidFill>
                    <w14:srgbClr w14:val="000000">
                      <w14:alpha w14:val="100000"/>
                    </w14:srgbClr>
                  </w14:solidFill>
                </w14:textFill>
              </w:rPr>
              <w:t>|||</w:t>
            </w:r>
            <w:r w:rsidR="00E038A0" w:rsidRPr="00566FB2">
              <w:rPr>
                <w:rFonts w:ascii="Arial Narrow" w:hAnsi="Arial Narrow"/>
                <w:b/>
                <w:color w:val="000000"/>
                <w:spacing w:val="2"/>
                <w:sz w:val="20"/>
                <w:szCs w:val="20"/>
                <w:shd w:val="solid" w:color="000000" w:fill="000000"/>
                <w:fitText w:val="350" w:id="-1032069369"/>
                <w14:textFill>
                  <w14:solidFill>
                    <w14:srgbClr w14:val="000000">
                      <w14:alpha w14:val="100000"/>
                    </w14:srgbClr>
                  </w14:solidFill>
                </w14:textFill>
              </w:rPr>
              <w:t>|</w:t>
            </w:r>
            <w:r w:rsidRPr="00851B17">
              <w:rPr>
                <w:rFonts w:ascii="Arial Narrow" w:hAnsi="Arial Narrow"/>
                <w:b/>
                <w:bCs/>
                <w:sz w:val="20"/>
                <w:szCs w:val="20"/>
              </w:rPr>
              <w:t xml:space="preserve">% in Year 1, </w:t>
            </w:r>
            <w:r w:rsidR="00E038A0" w:rsidRPr="00566FB2">
              <w:rPr>
                <w:rFonts w:ascii="Arial Narrow" w:hAnsi="Arial Narrow"/>
                <w:b/>
                <w:color w:val="000000"/>
                <w:spacing w:val="55"/>
                <w:sz w:val="20"/>
                <w:szCs w:val="20"/>
                <w:shd w:val="solid" w:color="000000" w:fill="000000"/>
                <w:fitText w:val="350" w:id="-1032069368"/>
                <w14:textFill>
                  <w14:solidFill>
                    <w14:srgbClr w14:val="000000">
                      <w14:alpha w14:val="100000"/>
                    </w14:srgbClr>
                  </w14:solidFill>
                </w14:textFill>
              </w:rPr>
              <w:t>|||</w:t>
            </w:r>
            <w:r w:rsidR="00E038A0" w:rsidRPr="00566FB2">
              <w:rPr>
                <w:rFonts w:ascii="Arial Narrow" w:hAnsi="Arial Narrow"/>
                <w:b/>
                <w:color w:val="000000"/>
                <w:spacing w:val="2"/>
                <w:sz w:val="20"/>
                <w:szCs w:val="20"/>
                <w:shd w:val="solid" w:color="000000" w:fill="000000"/>
                <w:fitText w:val="350" w:id="-1032069368"/>
                <w14:textFill>
                  <w14:solidFill>
                    <w14:srgbClr w14:val="000000">
                      <w14:alpha w14:val="100000"/>
                    </w14:srgbClr>
                  </w14:solidFill>
                </w14:textFill>
              </w:rPr>
              <w:t>|</w:t>
            </w:r>
            <w:r w:rsidRPr="00851B17">
              <w:rPr>
                <w:rFonts w:ascii="Arial Narrow" w:hAnsi="Arial Narrow"/>
                <w:b/>
                <w:bCs/>
                <w:sz w:val="20"/>
                <w:szCs w:val="20"/>
              </w:rPr>
              <w:t>% in Year 2,</w:t>
            </w:r>
            <w:r w:rsidR="00E038A0">
              <w:rPr>
                <w:rFonts w:ascii="Arial Narrow" w:hAnsi="Arial Narrow"/>
                <w:b/>
                <w:sz w:val="20"/>
                <w:szCs w:val="20"/>
              </w:rPr>
              <w:t xml:space="preserve"> </w:t>
            </w:r>
            <w:r w:rsidR="00E038A0" w:rsidRPr="00566FB2">
              <w:rPr>
                <w:rFonts w:ascii="Arial Narrow" w:hAnsi="Arial Narrow"/>
                <w:b/>
                <w:color w:val="000000"/>
                <w:spacing w:val="58"/>
                <w:sz w:val="20"/>
                <w:szCs w:val="20"/>
                <w:shd w:val="solid" w:color="000000" w:fill="000000"/>
                <w:fitText w:val="360" w:id="-1032069367"/>
                <w14:textFill>
                  <w14:solidFill>
                    <w14:srgbClr w14:val="000000">
                      <w14:alpha w14:val="100000"/>
                    </w14:srgbClr>
                  </w14:solidFill>
                </w14:textFill>
              </w:rPr>
              <w:t>|||</w:t>
            </w:r>
            <w:r w:rsidR="00E038A0" w:rsidRPr="00566FB2">
              <w:rPr>
                <w:rFonts w:ascii="Arial Narrow" w:hAnsi="Arial Narrow"/>
                <w:b/>
                <w:color w:val="000000"/>
                <w:spacing w:val="3"/>
                <w:sz w:val="20"/>
                <w:szCs w:val="20"/>
                <w:shd w:val="solid" w:color="000000" w:fill="000000"/>
                <w:fitText w:val="360" w:id="-1032069367"/>
                <w14:textFill>
                  <w14:solidFill>
                    <w14:srgbClr w14:val="000000">
                      <w14:alpha w14:val="100000"/>
                    </w14:srgbClr>
                  </w14:solidFill>
                </w14:textFill>
              </w:rPr>
              <w:t>|</w:t>
            </w:r>
            <w:r w:rsidRPr="00851B17">
              <w:rPr>
                <w:rFonts w:ascii="Arial Narrow" w:hAnsi="Arial Narrow"/>
                <w:b/>
                <w:bCs/>
                <w:sz w:val="20"/>
                <w:szCs w:val="20"/>
              </w:rPr>
              <w:t>% in Year 3)</w:t>
            </w:r>
          </w:p>
        </w:tc>
      </w:tr>
      <w:tr w:rsidR="00815AC9" w:rsidRPr="00851B17" w14:paraId="6F164F02" w14:textId="77777777" w:rsidTr="00CE4B8D">
        <w:tc>
          <w:tcPr>
            <w:tcW w:w="2555" w:type="dxa"/>
            <w:shd w:val="clear" w:color="auto" w:fill="auto"/>
            <w:vAlign w:val="center"/>
          </w:tcPr>
          <w:p w14:paraId="3D3898E4" w14:textId="77777777" w:rsidR="00851B17" w:rsidRPr="00851B17" w:rsidRDefault="00851B17" w:rsidP="00570777">
            <w:pPr>
              <w:keepNext/>
              <w:tabs>
                <w:tab w:val="left" w:pos="142"/>
              </w:tabs>
              <w:jc w:val="left"/>
              <w:rPr>
                <w:rFonts w:ascii="Arial Narrow" w:hAnsi="Arial Narrow"/>
                <w:color w:val="000000"/>
                <w:sz w:val="20"/>
                <w:szCs w:val="20"/>
              </w:rPr>
            </w:pPr>
            <w:r w:rsidRPr="00851B17">
              <w:rPr>
                <w:rFonts w:ascii="Arial Narrow" w:hAnsi="Arial Narrow"/>
                <w:color w:val="000000"/>
                <w:sz w:val="20"/>
                <w:szCs w:val="20"/>
              </w:rPr>
              <w:tab/>
              <w:t>Increase by 20%</w:t>
            </w:r>
          </w:p>
        </w:tc>
        <w:tc>
          <w:tcPr>
            <w:tcW w:w="1045" w:type="dxa"/>
            <w:shd w:val="clear" w:color="auto" w:fill="auto"/>
          </w:tcPr>
          <w:p w14:paraId="3F4E3207" w14:textId="0A77F55D"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24"/>
                <w:sz w:val="20"/>
                <w:szCs w:val="20"/>
                <w:shd w:val="solid" w:color="000000" w:fill="000000"/>
                <w:fitText w:val="110" w:id="-1032069366"/>
                <w14:textFill>
                  <w14:solidFill>
                    <w14:srgbClr w14:val="000000">
                      <w14:alpha w14:val="100000"/>
                    </w14:srgbClr>
                  </w14:solidFill>
                </w14:textFill>
              </w:rPr>
              <w:t xml:space="preserve">　</w:t>
            </w:r>
            <w:r w:rsidRPr="00E038A0">
              <w:rPr>
                <w:rFonts w:ascii="Arial Narrow" w:hAnsi="Arial Narrow"/>
                <w:color w:val="000000"/>
                <w:w w:val="24"/>
                <w:sz w:val="20"/>
                <w:szCs w:val="20"/>
                <w:shd w:val="solid" w:color="000000" w:fill="000000"/>
                <w:fitText w:val="110" w:id="-1032069366"/>
                <w14:textFill>
                  <w14:solidFill>
                    <w14:srgbClr w14:val="000000">
                      <w14:alpha w14:val="100000"/>
                    </w14:srgbClr>
                  </w14:solidFill>
                </w14:textFill>
              </w:rPr>
              <w:t>|</w:t>
            </w:r>
            <w:r w:rsidRPr="00E038A0">
              <w:rPr>
                <w:rFonts w:ascii="Arial Narrow" w:hAnsi="Arial Narrow" w:hint="eastAsia"/>
                <w:color w:val="000000"/>
                <w:spacing w:val="6"/>
                <w:w w:val="24"/>
                <w:sz w:val="20"/>
                <w:szCs w:val="20"/>
                <w:shd w:val="solid" w:color="000000" w:fill="000000"/>
                <w:fitText w:val="110" w:id="-1032069366"/>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062" w:type="dxa"/>
            <w:shd w:val="clear" w:color="auto" w:fill="auto"/>
          </w:tcPr>
          <w:p w14:paraId="35E21028" w14:textId="39B20484"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20"/>
                <w:sz w:val="20"/>
                <w:szCs w:val="20"/>
                <w:shd w:val="solid" w:color="000000" w:fill="000000"/>
                <w:fitText w:val="90" w:id="-1032069365"/>
                <w14:textFill>
                  <w14:solidFill>
                    <w14:srgbClr w14:val="000000">
                      <w14:alpha w14:val="100000"/>
                    </w14:srgbClr>
                  </w14:solidFill>
                </w14:textFill>
              </w:rPr>
              <w:t xml:space="preserve">　</w:t>
            </w:r>
            <w:r w:rsidRPr="00E038A0">
              <w:rPr>
                <w:rFonts w:ascii="Arial Narrow" w:hAnsi="Arial Narrow"/>
                <w:color w:val="000000"/>
                <w:w w:val="20"/>
                <w:sz w:val="20"/>
                <w:szCs w:val="20"/>
                <w:shd w:val="solid" w:color="000000" w:fill="000000"/>
                <w:fitText w:val="90" w:id="-1032069365"/>
                <w14:textFill>
                  <w14:solidFill>
                    <w14:srgbClr w14:val="000000">
                      <w14:alpha w14:val="100000"/>
                    </w14:srgbClr>
                  </w14:solidFill>
                </w14:textFill>
              </w:rPr>
              <w:t>|</w:t>
            </w:r>
            <w:r w:rsidRPr="00E038A0">
              <w:rPr>
                <w:rFonts w:ascii="Arial Narrow" w:hAnsi="Arial Narrow" w:hint="eastAsia"/>
                <w:color w:val="000000"/>
                <w:spacing w:val="3"/>
                <w:w w:val="20"/>
                <w:sz w:val="20"/>
                <w:szCs w:val="20"/>
                <w:shd w:val="solid" w:color="000000" w:fill="000000"/>
                <w:fitText w:val="90" w:id="-1032069365"/>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tcPr>
          <w:p w14:paraId="3C92B1A9" w14:textId="11BD9274"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64"/>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64"/>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64"/>
                <w14:textFill>
                  <w14:solidFill>
                    <w14:srgbClr w14:val="000000">
                      <w14:alpha w14:val="100000"/>
                    </w14:srgbClr>
                  </w14:solidFill>
                </w14:textFill>
              </w:rPr>
              <w:t xml:space="preserve">　</w:t>
            </w:r>
            <w:r w:rsidR="00CE4B8D" w:rsidRPr="00CE4B8D">
              <w:rPr>
                <w:rFonts w:ascii="Arial Narrow" w:hAnsi="Arial Narrow"/>
                <w:sz w:val="20"/>
                <w:szCs w:val="20"/>
                <w:vertAlign w:val="superscript"/>
              </w:rPr>
              <w:t>2</w:t>
            </w:r>
          </w:p>
        </w:tc>
        <w:tc>
          <w:tcPr>
            <w:tcW w:w="1124" w:type="dxa"/>
            <w:shd w:val="clear" w:color="auto" w:fill="auto"/>
          </w:tcPr>
          <w:p w14:paraId="62B68625" w14:textId="6C72D34D"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63"/>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63"/>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63"/>
                <w14:textFill>
                  <w14:solidFill>
                    <w14:srgbClr w14:val="000000">
                      <w14:alpha w14:val="100000"/>
                    </w14:srgbClr>
                  </w14:solidFill>
                </w14:textFill>
              </w:rPr>
              <w:t xml:space="preserve">　</w:t>
            </w:r>
            <w:r w:rsidR="00CE4B8D" w:rsidRPr="00CE4B8D">
              <w:rPr>
                <w:rFonts w:ascii="Arial Narrow" w:hAnsi="Arial Narrow"/>
                <w:sz w:val="20"/>
                <w:szCs w:val="20"/>
                <w:vertAlign w:val="superscript"/>
              </w:rPr>
              <w:t>2</w:t>
            </w:r>
          </w:p>
        </w:tc>
        <w:tc>
          <w:tcPr>
            <w:tcW w:w="1124" w:type="dxa"/>
            <w:shd w:val="clear" w:color="auto" w:fill="auto"/>
          </w:tcPr>
          <w:p w14:paraId="0F452CE9" w14:textId="3FBEA9F3"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62"/>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62"/>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62"/>
                <w14:textFill>
                  <w14:solidFill>
                    <w14:srgbClr w14:val="000000">
                      <w14:alpha w14:val="100000"/>
                    </w14:srgbClr>
                  </w14:solidFill>
                </w14:textFill>
              </w:rPr>
              <w:t xml:space="preserve">　</w:t>
            </w:r>
            <w:r w:rsidR="00CE4B8D" w:rsidRPr="00CE4B8D">
              <w:rPr>
                <w:rFonts w:ascii="Arial Narrow" w:hAnsi="Arial Narrow"/>
                <w:sz w:val="20"/>
                <w:szCs w:val="20"/>
                <w:vertAlign w:val="superscript"/>
              </w:rPr>
              <w:t>2</w:t>
            </w:r>
          </w:p>
        </w:tc>
        <w:tc>
          <w:tcPr>
            <w:tcW w:w="983" w:type="dxa"/>
            <w:shd w:val="clear" w:color="auto" w:fill="auto"/>
          </w:tcPr>
          <w:p w14:paraId="6BD89699" w14:textId="080CFE40"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31"/>
                <w:sz w:val="20"/>
                <w:szCs w:val="20"/>
                <w:shd w:val="solid" w:color="000000" w:fill="000000"/>
                <w:fitText w:val="140" w:id="-1032069361"/>
                <w14:textFill>
                  <w14:solidFill>
                    <w14:srgbClr w14:val="000000">
                      <w14:alpha w14:val="100000"/>
                    </w14:srgbClr>
                  </w14:solidFill>
                </w14:textFill>
              </w:rPr>
              <w:t xml:space="preserve">　</w:t>
            </w:r>
            <w:r w:rsidRPr="00E038A0">
              <w:rPr>
                <w:rFonts w:ascii="Arial Narrow" w:hAnsi="Arial Narrow"/>
                <w:color w:val="000000"/>
                <w:w w:val="31"/>
                <w:sz w:val="20"/>
                <w:szCs w:val="20"/>
                <w:shd w:val="solid" w:color="000000" w:fill="000000"/>
                <w:fitText w:val="140" w:id="-1032069361"/>
                <w14:textFill>
                  <w14:solidFill>
                    <w14:srgbClr w14:val="000000">
                      <w14:alpha w14:val="100000"/>
                    </w14:srgbClr>
                  </w14:solidFill>
                </w14:textFill>
              </w:rPr>
              <w:t>|</w:t>
            </w:r>
            <w:r w:rsidRPr="00E038A0">
              <w:rPr>
                <w:rFonts w:ascii="Arial Narrow" w:hAnsi="Arial Narrow" w:hint="eastAsia"/>
                <w:color w:val="000000"/>
                <w:spacing w:val="4"/>
                <w:w w:val="31"/>
                <w:sz w:val="20"/>
                <w:szCs w:val="20"/>
                <w:shd w:val="solid" w:color="000000" w:fill="000000"/>
                <w:fitText w:val="140" w:id="-1032069361"/>
                <w14:textFill>
                  <w14:solidFill>
                    <w14:srgbClr w14:val="000000">
                      <w14:alpha w14:val="100000"/>
                    </w14:srgbClr>
                  </w14:solidFill>
                </w14:textFill>
              </w:rPr>
              <w:t xml:space="preserve">　</w:t>
            </w:r>
            <w:r w:rsidR="00CE4B8D" w:rsidRPr="00CE4B8D">
              <w:rPr>
                <w:rFonts w:ascii="Arial Narrow" w:hAnsi="Arial Narrow"/>
                <w:sz w:val="20"/>
                <w:szCs w:val="20"/>
                <w:vertAlign w:val="superscript"/>
              </w:rPr>
              <w:t>2</w:t>
            </w:r>
          </w:p>
        </w:tc>
      </w:tr>
      <w:tr w:rsidR="00815AC9" w:rsidRPr="00851B17" w14:paraId="40C2E08C" w14:textId="77777777" w:rsidTr="00CE4B8D">
        <w:tc>
          <w:tcPr>
            <w:tcW w:w="2555" w:type="dxa"/>
            <w:shd w:val="clear" w:color="auto" w:fill="auto"/>
            <w:vAlign w:val="center"/>
          </w:tcPr>
          <w:p w14:paraId="45E2016D" w14:textId="77777777" w:rsidR="00851B17" w:rsidRPr="00851B17" w:rsidRDefault="00851B17" w:rsidP="00570777">
            <w:pPr>
              <w:keepNext/>
              <w:tabs>
                <w:tab w:val="left" w:pos="142"/>
              </w:tabs>
              <w:jc w:val="left"/>
              <w:rPr>
                <w:rFonts w:ascii="Arial Narrow" w:hAnsi="Arial Narrow"/>
                <w:color w:val="000000"/>
                <w:sz w:val="20"/>
                <w:szCs w:val="20"/>
              </w:rPr>
            </w:pPr>
            <w:r w:rsidRPr="00851B17">
              <w:rPr>
                <w:rFonts w:ascii="Arial Narrow" w:hAnsi="Arial Narrow"/>
                <w:color w:val="000000"/>
                <w:sz w:val="20"/>
                <w:szCs w:val="20"/>
              </w:rPr>
              <w:tab/>
              <w:t>Decrease by 20%</w:t>
            </w:r>
          </w:p>
        </w:tc>
        <w:tc>
          <w:tcPr>
            <w:tcW w:w="1045" w:type="dxa"/>
            <w:shd w:val="clear" w:color="auto" w:fill="auto"/>
          </w:tcPr>
          <w:p w14:paraId="0A5D9CA0" w14:textId="700FBB83"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24"/>
                <w:sz w:val="20"/>
                <w:szCs w:val="20"/>
                <w:shd w:val="solid" w:color="000000" w:fill="000000"/>
                <w:fitText w:val="110" w:id="-1032069360"/>
                <w14:textFill>
                  <w14:solidFill>
                    <w14:srgbClr w14:val="000000">
                      <w14:alpha w14:val="100000"/>
                    </w14:srgbClr>
                  </w14:solidFill>
                </w14:textFill>
              </w:rPr>
              <w:t xml:space="preserve">　</w:t>
            </w:r>
            <w:r w:rsidRPr="00E038A0">
              <w:rPr>
                <w:rFonts w:ascii="Arial Narrow" w:hAnsi="Arial Narrow"/>
                <w:color w:val="000000"/>
                <w:w w:val="24"/>
                <w:sz w:val="20"/>
                <w:szCs w:val="20"/>
                <w:shd w:val="solid" w:color="000000" w:fill="000000"/>
                <w:fitText w:val="110" w:id="-1032069360"/>
                <w14:textFill>
                  <w14:solidFill>
                    <w14:srgbClr w14:val="000000">
                      <w14:alpha w14:val="100000"/>
                    </w14:srgbClr>
                  </w14:solidFill>
                </w14:textFill>
              </w:rPr>
              <w:t>|</w:t>
            </w:r>
            <w:r w:rsidRPr="00E038A0">
              <w:rPr>
                <w:rFonts w:ascii="Arial Narrow" w:hAnsi="Arial Narrow" w:hint="eastAsia"/>
                <w:color w:val="000000"/>
                <w:spacing w:val="6"/>
                <w:w w:val="24"/>
                <w:sz w:val="20"/>
                <w:szCs w:val="20"/>
                <w:shd w:val="solid" w:color="000000" w:fill="000000"/>
                <w:fitText w:val="110" w:id="-1032069360"/>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062" w:type="dxa"/>
            <w:shd w:val="clear" w:color="auto" w:fill="auto"/>
          </w:tcPr>
          <w:p w14:paraId="444E5A6D" w14:textId="461DB5A4"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20"/>
                <w:sz w:val="20"/>
                <w:szCs w:val="20"/>
                <w:shd w:val="solid" w:color="000000" w:fill="000000"/>
                <w:fitText w:val="90" w:id="-1032069376"/>
                <w14:textFill>
                  <w14:solidFill>
                    <w14:srgbClr w14:val="000000">
                      <w14:alpha w14:val="100000"/>
                    </w14:srgbClr>
                  </w14:solidFill>
                </w14:textFill>
              </w:rPr>
              <w:t xml:space="preserve">　</w:t>
            </w:r>
            <w:r w:rsidRPr="00E038A0">
              <w:rPr>
                <w:rFonts w:ascii="Arial Narrow" w:hAnsi="Arial Narrow"/>
                <w:color w:val="000000"/>
                <w:w w:val="20"/>
                <w:sz w:val="20"/>
                <w:szCs w:val="20"/>
                <w:shd w:val="solid" w:color="000000" w:fill="000000"/>
                <w:fitText w:val="90" w:id="-1032069376"/>
                <w14:textFill>
                  <w14:solidFill>
                    <w14:srgbClr w14:val="000000">
                      <w14:alpha w14:val="100000"/>
                    </w14:srgbClr>
                  </w14:solidFill>
                </w14:textFill>
              </w:rPr>
              <w:t>|</w:t>
            </w:r>
            <w:r w:rsidRPr="00E038A0">
              <w:rPr>
                <w:rFonts w:ascii="Arial Narrow" w:hAnsi="Arial Narrow" w:hint="eastAsia"/>
                <w:color w:val="000000"/>
                <w:spacing w:val="3"/>
                <w:w w:val="20"/>
                <w:sz w:val="20"/>
                <w:szCs w:val="20"/>
                <w:shd w:val="solid" w:color="000000" w:fill="000000"/>
                <w:fitText w:val="90" w:id="-1032069376"/>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tcPr>
          <w:p w14:paraId="0CEFD933" w14:textId="00CD648B"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75"/>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75"/>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75"/>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tcPr>
          <w:p w14:paraId="686C2595" w14:textId="0BA5C424"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74"/>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74"/>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74"/>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tcPr>
          <w:p w14:paraId="17EABDD7" w14:textId="44A151B5"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73"/>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73"/>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73"/>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983" w:type="dxa"/>
            <w:shd w:val="clear" w:color="auto" w:fill="auto"/>
          </w:tcPr>
          <w:p w14:paraId="2381AC7C" w14:textId="6CEC0D7A"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31"/>
                <w:sz w:val="20"/>
                <w:szCs w:val="20"/>
                <w:shd w:val="solid" w:color="000000" w:fill="000000"/>
                <w:fitText w:val="140" w:id="-1032069372"/>
                <w14:textFill>
                  <w14:solidFill>
                    <w14:srgbClr w14:val="000000">
                      <w14:alpha w14:val="100000"/>
                    </w14:srgbClr>
                  </w14:solidFill>
                </w14:textFill>
              </w:rPr>
              <w:t xml:space="preserve">　</w:t>
            </w:r>
            <w:r w:rsidRPr="00E038A0">
              <w:rPr>
                <w:rFonts w:ascii="Arial Narrow" w:hAnsi="Arial Narrow"/>
                <w:color w:val="000000"/>
                <w:w w:val="31"/>
                <w:sz w:val="20"/>
                <w:szCs w:val="20"/>
                <w:shd w:val="solid" w:color="000000" w:fill="000000"/>
                <w:fitText w:val="140" w:id="-1032069372"/>
                <w14:textFill>
                  <w14:solidFill>
                    <w14:srgbClr w14:val="000000">
                      <w14:alpha w14:val="100000"/>
                    </w14:srgbClr>
                  </w14:solidFill>
                </w14:textFill>
              </w:rPr>
              <w:t>|</w:t>
            </w:r>
            <w:r w:rsidRPr="00E038A0">
              <w:rPr>
                <w:rFonts w:ascii="Arial Narrow" w:hAnsi="Arial Narrow" w:hint="eastAsia"/>
                <w:color w:val="000000"/>
                <w:spacing w:val="4"/>
                <w:w w:val="31"/>
                <w:sz w:val="20"/>
                <w:szCs w:val="20"/>
                <w:shd w:val="solid" w:color="000000" w:fill="000000"/>
                <w:fitText w:val="140" w:id="-1032069372"/>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r>
      <w:tr w:rsidR="00851B17" w:rsidRPr="00851B17" w14:paraId="52B07B31" w14:textId="77777777" w:rsidTr="00CE4B8D">
        <w:tc>
          <w:tcPr>
            <w:tcW w:w="9017" w:type="dxa"/>
            <w:gridSpan w:val="7"/>
            <w:shd w:val="clear" w:color="auto" w:fill="auto"/>
            <w:vAlign w:val="center"/>
          </w:tcPr>
          <w:p w14:paraId="0F2D29FD" w14:textId="77777777" w:rsidR="00851B17" w:rsidRPr="00851B17" w:rsidRDefault="00851B17" w:rsidP="00570777">
            <w:pPr>
              <w:keepNext/>
              <w:jc w:val="left"/>
              <w:rPr>
                <w:rFonts w:ascii="Arial Narrow" w:hAnsi="Arial Narrow"/>
                <w:b/>
                <w:bCs/>
                <w:color w:val="000000"/>
                <w:sz w:val="20"/>
                <w:szCs w:val="20"/>
              </w:rPr>
            </w:pPr>
            <w:r w:rsidRPr="00851B17">
              <w:rPr>
                <w:rFonts w:ascii="Arial Narrow" w:hAnsi="Arial Narrow"/>
                <w:b/>
                <w:bCs/>
                <w:color w:val="000000"/>
                <w:sz w:val="20"/>
                <w:szCs w:val="20"/>
              </w:rPr>
              <w:t xml:space="preserve">Proportion relapsed/refractory/intolerant (base case: </w:t>
            </w:r>
            <w:r w:rsidRPr="00851B17">
              <w:rPr>
                <w:rFonts w:ascii="Arial Narrow" w:hAnsi="Arial Narrow"/>
                <w:b/>
                <w:bCs/>
                <w:sz w:val="20"/>
                <w:szCs w:val="20"/>
              </w:rPr>
              <w:t>based on North American and European literature estimates – SOT CMV infection 22.8%; RRI 37.0%; HSCT CMV infection 34.0%, RRI 57.2%)</w:t>
            </w:r>
          </w:p>
        </w:tc>
      </w:tr>
      <w:tr w:rsidR="00815AC9" w:rsidRPr="00851B17" w14:paraId="5F65B9C8" w14:textId="77777777" w:rsidTr="00CE4B8D">
        <w:tc>
          <w:tcPr>
            <w:tcW w:w="2555" w:type="dxa"/>
            <w:shd w:val="clear" w:color="auto" w:fill="auto"/>
            <w:vAlign w:val="center"/>
          </w:tcPr>
          <w:p w14:paraId="5772EE0D" w14:textId="77777777" w:rsidR="00851B17" w:rsidRPr="00851B17" w:rsidRDefault="00851B17" w:rsidP="00570777">
            <w:pPr>
              <w:keepNext/>
              <w:tabs>
                <w:tab w:val="left" w:pos="142"/>
              </w:tabs>
              <w:jc w:val="left"/>
              <w:rPr>
                <w:rFonts w:ascii="Arial Narrow" w:hAnsi="Arial Narrow"/>
                <w:color w:val="000000"/>
                <w:sz w:val="20"/>
                <w:szCs w:val="20"/>
              </w:rPr>
            </w:pPr>
            <w:r w:rsidRPr="00851B17">
              <w:rPr>
                <w:rFonts w:ascii="Arial Narrow" w:hAnsi="Arial Narrow"/>
                <w:color w:val="000000"/>
                <w:sz w:val="20"/>
                <w:szCs w:val="20"/>
              </w:rPr>
              <w:tab/>
              <w:t xml:space="preserve">North American only </w:t>
            </w:r>
          </w:p>
          <w:p w14:paraId="6F234E19" w14:textId="77777777" w:rsidR="00851B17" w:rsidRPr="00851B17" w:rsidRDefault="00851B17" w:rsidP="00570777">
            <w:pPr>
              <w:keepNext/>
              <w:tabs>
                <w:tab w:val="left" w:pos="142"/>
              </w:tabs>
              <w:ind w:left="102" w:hanging="102"/>
              <w:jc w:val="left"/>
              <w:rPr>
                <w:rFonts w:ascii="Arial Narrow" w:hAnsi="Arial Narrow"/>
                <w:color w:val="000000"/>
                <w:sz w:val="20"/>
                <w:szCs w:val="20"/>
              </w:rPr>
            </w:pPr>
            <w:r w:rsidRPr="00851B17">
              <w:rPr>
                <w:rFonts w:ascii="Arial Narrow" w:hAnsi="Arial Narrow"/>
                <w:sz w:val="20"/>
                <w:szCs w:val="20"/>
              </w:rPr>
              <w:tab/>
              <w:t>(SOT: CMV infection 18.8%, RRI 32.6%; HSCT: CMV infection 42.5%, RRI 51.3%)</w:t>
            </w:r>
          </w:p>
        </w:tc>
        <w:tc>
          <w:tcPr>
            <w:tcW w:w="1045" w:type="dxa"/>
            <w:shd w:val="clear" w:color="auto" w:fill="auto"/>
            <w:vAlign w:val="center"/>
          </w:tcPr>
          <w:p w14:paraId="38780C12" w14:textId="16145651"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24"/>
                <w:sz w:val="20"/>
                <w:szCs w:val="20"/>
                <w:shd w:val="solid" w:color="000000" w:fill="000000"/>
                <w:fitText w:val="110" w:id="-1032069371"/>
                <w14:textFill>
                  <w14:solidFill>
                    <w14:srgbClr w14:val="000000">
                      <w14:alpha w14:val="100000"/>
                    </w14:srgbClr>
                  </w14:solidFill>
                </w14:textFill>
              </w:rPr>
              <w:t xml:space="preserve">　</w:t>
            </w:r>
            <w:r w:rsidRPr="00E038A0">
              <w:rPr>
                <w:rFonts w:ascii="Arial Narrow" w:hAnsi="Arial Narrow"/>
                <w:color w:val="000000"/>
                <w:w w:val="24"/>
                <w:sz w:val="20"/>
                <w:szCs w:val="20"/>
                <w:shd w:val="solid" w:color="000000" w:fill="000000"/>
                <w:fitText w:val="110" w:id="-1032069371"/>
                <w14:textFill>
                  <w14:solidFill>
                    <w14:srgbClr w14:val="000000">
                      <w14:alpha w14:val="100000"/>
                    </w14:srgbClr>
                  </w14:solidFill>
                </w14:textFill>
              </w:rPr>
              <w:t>|</w:t>
            </w:r>
            <w:r w:rsidRPr="00E038A0">
              <w:rPr>
                <w:rFonts w:ascii="Arial Narrow" w:hAnsi="Arial Narrow" w:hint="eastAsia"/>
                <w:color w:val="000000"/>
                <w:spacing w:val="6"/>
                <w:w w:val="24"/>
                <w:sz w:val="20"/>
                <w:szCs w:val="20"/>
                <w:shd w:val="solid" w:color="000000" w:fill="000000"/>
                <w:fitText w:val="110" w:id="-1032069371"/>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062" w:type="dxa"/>
            <w:shd w:val="clear" w:color="auto" w:fill="auto"/>
            <w:vAlign w:val="center"/>
          </w:tcPr>
          <w:p w14:paraId="7073D319" w14:textId="37448734"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20"/>
                <w:sz w:val="20"/>
                <w:szCs w:val="20"/>
                <w:shd w:val="solid" w:color="000000" w:fill="000000"/>
                <w:fitText w:val="90" w:id="-1032069370"/>
                <w14:textFill>
                  <w14:solidFill>
                    <w14:srgbClr w14:val="000000">
                      <w14:alpha w14:val="100000"/>
                    </w14:srgbClr>
                  </w14:solidFill>
                </w14:textFill>
              </w:rPr>
              <w:t xml:space="preserve">　</w:t>
            </w:r>
            <w:r w:rsidRPr="00E038A0">
              <w:rPr>
                <w:rFonts w:ascii="Arial Narrow" w:hAnsi="Arial Narrow"/>
                <w:color w:val="000000"/>
                <w:w w:val="20"/>
                <w:sz w:val="20"/>
                <w:szCs w:val="20"/>
                <w:shd w:val="solid" w:color="000000" w:fill="000000"/>
                <w:fitText w:val="90" w:id="-1032069370"/>
                <w14:textFill>
                  <w14:solidFill>
                    <w14:srgbClr w14:val="000000">
                      <w14:alpha w14:val="100000"/>
                    </w14:srgbClr>
                  </w14:solidFill>
                </w14:textFill>
              </w:rPr>
              <w:t>|</w:t>
            </w:r>
            <w:r w:rsidRPr="00E038A0">
              <w:rPr>
                <w:rFonts w:ascii="Arial Narrow" w:hAnsi="Arial Narrow" w:hint="eastAsia"/>
                <w:color w:val="000000"/>
                <w:spacing w:val="3"/>
                <w:w w:val="20"/>
                <w:sz w:val="20"/>
                <w:szCs w:val="20"/>
                <w:shd w:val="solid" w:color="000000" w:fill="000000"/>
                <w:fitText w:val="90" w:id="-1032069370"/>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vAlign w:val="center"/>
          </w:tcPr>
          <w:p w14:paraId="267647A4" w14:textId="122E8B8E"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69"/>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69"/>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69"/>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vAlign w:val="center"/>
          </w:tcPr>
          <w:p w14:paraId="22A7253D" w14:textId="7DD69643"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68"/>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68"/>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68"/>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vAlign w:val="center"/>
          </w:tcPr>
          <w:p w14:paraId="014C53A8" w14:textId="47B26CDD"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67"/>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67"/>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67"/>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983" w:type="dxa"/>
            <w:shd w:val="clear" w:color="auto" w:fill="auto"/>
            <w:vAlign w:val="center"/>
          </w:tcPr>
          <w:p w14:paraId="6831F3E0" w14:textId="4D636CA4"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31"/>
                <w:sz w:val="20"/>
                <w:szCs w:val="20"/>
                <w:shd w:val="solid" w:color="000000" w:fill="000000"/>
                <w:fitText w:val="140" w:id="-1032069366"/>
                <w14:textFill>
                  <w14:solidFill>
                    <w14:srgbClr w14:val="000000">
                      <w14:alpha w14:val="100000"/>
                    </w14:srgbClr>
                  </w14:solidFill>
                </w14:textFill>
              </w:rPr>
              <w:t xml:space="preserve">　</w:t>
            </w:r>
            <w:r w:rsidRPr="00E038A0">
              <w:rPr>
                <w:rFonts w:ascii="Arial Narrow" w:hAnsi="Arial Narrow"/>
                <w:color w:val="000000"/>
                <w:w w:val="31"/>
                <w:sz w:val="20"/>
                <w:szCs w:val="20"/>
                <w:shd w:val="solid" w:color="000000" w:fill="000000"/>
                <w:fitText w:val="140" w:id="-1032069366"/>
                <w14:textFill>
                  <w14:solidFill>
                    <w14:srgbClr w14:val="000000">
                      <w14:alpha w14:val="100000"/>
                    </w14:srgbClr>
                  </w14:solidFill>
                </w14:textFill>
              </w:rPr>
              <w:t>|</w:t>
            </w:r>
            <w:r w:rsidRPr="00E038A0">
              <w:rPr>
                <w:rFonts w:ascii="Arial Narrow" w:hAnsi="Arial Narrow" w:hint="eastAsia"/>
                <w:color w:val="000000"/>
                <w:spacing w:val="4"/>
                <w:w w:val="31"/>
                <w:sz w:val="20"/>
                <w:szCs w:val="20"/>
                <w:shd w:val="solid" w:color="000000" w:fill="000000"/>
                <w:fitText w:val="140" w:id="-1032069366"/>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r>
      <w:tr w:rsidR="00815AC9" w:rsidRPr="00851B17" w14:paraId="528523B3" w14:textId="77777777" w:rsidTr="00CE4B8D">
        <w:tc>
          <w:tcPr>
            <w:tcW w:w="2555" w:type="dxa"/>
            <w:shd w:val="clear" w:color="auto" w:fill="auto"/>
            <w:vAlign w:val="center"/>
          </w:tcPr>
          <w:p w14:paraId="5C95180E" w14:textId="77777777" w:rsidR="00851B17" w:rsidRPr="00851B17" w:rsidRDefault="00851B17" w:rsidP="00570777">
            <w:pPr>
              <w:keepNext/>
              <w:tabs>
                <w:tab w:val="left" w:pos="142"/>
              </w:tabs>
              <w:ind w:left="102" w:hanging="102"/>
              <w:jc w:val="left"/>
              <w:rPr>
                <w:rFonts w:ascii="Arial Narrow" w:hAnsi="Arial Narrow"/>
                <w:color w:val="000000"/>
                <w:sz w:val="20"/>
                <w:szCs w:val="20"/>
              </w:rPr>
            </w:pPr>
            <w:r w:rsidRPr="00851B17">
              <w:rPr>
                <w:rFonts w:ascii="Arial Narrow" w:hAnsi="Arial Narrow"/>
                <w:color w:val="000000"/>
                <w:sz w:val="20"/>
                <w:szCs w:val="20"/>
              </w:rPr>
              <w:tab/>
              <w:t xml:space="preserve">European only </w:t>
            </w:r>
            <w:r w:rsidRPr="00851B17">
              <w:rPr>
                <w:rFonts w:ascii="Arial Narrow" w:hAnsi="Arial Narrow"/>
                <w:sz w:val="20"/>
                <w:szCs w:val="20"/>
              </w:rPr>
              <w:t>(SOT: CMV infection 26.4%, RRI 40.8%; HSCT: CMV infection 26.7%, RRI 48.9%)</w:t>
            </w:r>
          </w:p>
        </w:tc>
        <w:tc>
          <w:tcPr>
            <w:tcW w:w="1045" w:type="dxa"/>
            <w:shd w:val="clear" w:color="auto" w:fill="auto"/>
            <w:vAlign w:val="center"/>
          </w:tcPr>
          <w:p w14:paraId="5EC8A83A" w14:textId="73BECF4C"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24"/>
                <w:sz w:val="20"/>
                <w:szCs w:val="20"/>
                <w:shd w:val="solid" w:color="000000" w:fill="000000"/>
                <w:fitText w:val="110" w:id="-1032069365"/>
                <w14:textFill>
                  <w14:solidFill>
                    <w14:srgbClr w14:val="000000">
                      <w14:alpha w14:val="100000"/>
                    </w14:srgbClr>
                  </w14:solidFill>
                </w14:textFill>
              </w:rPr>
              <w:t xml:space="preserve">　</w:t>
            </w:r>
            <w:r w:rsidRPr="00E038A0">
              <w:rPr>
                <w:rFonts w:ascii="Arial Narrow" w:hAnsi="Arial Narrow"/>
                <w:color w:val="000000"/>
                <w:w w:val="24"/>
                <w:sz w:val="20"/>
                <w:szCs w:val="20"/>
                <w:shd w:val="solid" w:color="000000" w:fill="000000"/>
                <w:fitText w:val="110" w:id="-1032069365"/>
                <w14:textFill>
                  <w14:solidFill>
                    <w14:srgbClr w14:val="000000">
                      <w14:alpha w14:val="100000"/>
                    </w14:srgbClr>
                  </w14:solidFill>
                </w14:textFill>
              </w:rPr>
              <w:t>|</w:t>
            </w:r>
            <w:r w:rsidRPr="00E038A0">
              <w:rPr>
                <w:rFonts w:ascii="Arial Narrow" w:hAnsi="Arial Narrow" w:hint="eastAsia"/>
                <w:color w:val="000000"/>
                <w:spacing w:val="6"/>
                <w:w w:val="24"/>
                <w:sz w:val="20"/>
                <w:szCs w:val="20"/>
                <w:shd w:val="solid" w:color="000000" w:fill="000000"/>
                <w:fitText w:val="110" w:id="-1032069365"/>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062" w:type="dxa"/>
            <w:shd w:val="clear" w:color="auto" w:fill="auto"/>
            <w:vAlign w:val="center"/>
          </w:tcPr>
          <w:p w14:paraId="52EA9C6D" w14:textId="224E753A"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20"/>
                <w:sz w:val="20"/>
                <w:szCs w:val="20"/>
                <w:shd w:val="solid" w:color="000000" w:fill="000000"/>
                <w:fitText w:val="90" w:id="-1032069364"/>
                <w14:textFill>
                  <w14:solidFill>
                    <w14:srgbClr w14:val="000000">
                      <w14:alpha w14:val="100000"/>
                    </w14:srgbClr>
                  </w14:solidFill>
                </w14:textFill>
              </w:rPr>
              <w:t xml:space="preserve">　</w:t>
            </w:r>
            <w:r w:rsidRPr="00E038A0">
              <w:rPr>
                <w:rFonts w:ascii="Arial Narrow" w:hAnsi="Arial Narrow"/>
                <w:color w:val="000000"/>
                <w:w w:val="20"/>
                <w:sz w:val="20"/>
                <w:szCs w:val="20"/>
                <w:shd w:val="solid" w:color="000000" w:fill="000000"/>
                <w:fitText w:val="90" w:id="-1032069364"/>
                <w14:textFill>
                  <w14:solidFill>
                    <w14:srgbClr w14:val="000000">
                      <w14:alpha w14:val="100000"/>
                    </w14:srgbClr>
                  </w14:solidFill>
                </w14:textFill>
              </w:rPr>
              <w:t>|</w:t>
            </w:r>
            <w:r w:rsidRPr="00E038A0">
              <w:rPr>
                <w:rFonts w:ascii="Arial Narrow" w:hAnsi="Arial Narrow" w:hint="eastAsia"/>
                <w:color w:val="000000"/>
                <w:spacing w:val="3"/>
                <w:w w:val="20"/>
                <w:sz w:val="20"/>
                <w:szCs w:val="20"/>
                <w:shd w:val="solid" w:color="000000" w:fill="000000"/>
                <w:fitText w:val="90" w:id="-1032069364"/>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vAlign w:val="center"/>
          </w:tcPr>
          <w:p w14:paraId="0D7FD5E5" w14:textId="0620EA81"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63"/>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63"/>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63"/>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vAlign w:val="center"/>
          </w:tcPr>
          <w:p w14:paraId="7C3D72ED" w14:textId="4176555B"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62"/>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62"/>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62"/>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1124" w:type="dxa"/>
            <w:shd w:val="clear" w:color="auto" w:fill="auto"/>
            <w:vAlign w:val="center"/>
          </w:tcPr>
          <w:p w14:paraId="5C6EEBE7" w14:textId="179A0C58"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15"/>
                <w:sz w:val="20"/>
                <w:szCs w:val="20"/>
                <w:shd w:val="solid" w:color="000000" w:fill="000000"/>
                <w:fitText w:val="70" w:id="-1032069361"/>
                <w14:textFill>
                  <w14:solidFill>
                    <w14:srgbClr w14:val="000000">
                      <w14:alpha w14:val="100000"/>
                    </w14:srgbClr>
                  </w14:solidFill>
                </w14:textFill>
              </w:rPr>
              <w:t xml:space="preserve">　</w:t>
            </w:r>
            <w:r w:rsidRPr="00E038A0">
              <w:rPr>
                <w:rFonts w:ascii="Arial Narrow" w:hAnsi="Arial Narrow"/>
                <w:color w:val="000000"/>
                <w:w w:val="15"/>
                <w:sz w:val="20"/>
                <w:szCs w:val="20"/>
                <w:shd w:val="solid" w:color="000000" w:fill="000000"/>
                <w:fitText w:val="70" w:id="-1032069361"/>
                <w14:textFill>
                  <w14:solidFill>
                    <w14:srgbClr w14:val="000000">
                      <w14:alpha w14:val="100000"/>
                    </w14:srgbClr>
                  </w14:solidFill>
                </w14:textFill>
              </w:rPr>
              <w:t>|</w:t>
            </w:r>
            <w:r w:rsidRPr="00E038A0">
              <w:rPr>
                <w:rFonts w:ascii="Arial Narrow" w:hAnsi="Arial Narrow" w:hint="eastAsia"/>
                <w:color w:val="000000"/>
                <w:spacing w:val="4"/>
                <w:w w:val="15"/>
                <w:sz w:val="20"/>
                <w:szCs w:val="20"/>
                <w:shd w:val="solid" w:color="000000" w:fill="000000"/>
                <w:fitText w:val="70" w:id="-1032069361"/>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c>
          <w:tcPr>
            <w:tcW w:w="983" w:type="dxa"/>
            <w:shd w:val="clear" w:color="auto" w:fill="auto"/>
            <w:vAlign w:val="center"/>
          </w:tcPr>
          <w:p w14:paraId="265CD5DC" w14:textId="2FBDF29F" w:rsidR="00851B17" w:rsidRPr="00851B17" w:rsidRDefault="00E038A0" w:rsidP="00570777">
            <w:pPr>
              <w:keepNext/>
              <w:jc w:val="center"/>
              <w:rPr>
                <w:rFonts w:ascii="Arial Narrow" w:hAnsi="Arial Narrow"/>
                <w:color w:val="000000"/>
                <w:sz w:val="20"/>
                <w:szCs w:val="20"/>
              </w:rPr>
            </w:pPr>
            <w:r>
              <w:rPr>
                <w:rFonts w:ascii="Arial Narrow" w:hAnsi="Arial Narrow"/>
                <w:sz w:val="20"/>
                <w:szCs w:val="20"/>
              </w:rPr>
              <w:t xml:space="preserve"> </w:t>
            </w:r>
            <w:r w:rsidRPr="00E038A0">
              <w:rPr>
                <w:rFonts w:ascii="Arial Narrow" w:hAnsi="Arial Narrow" w:hint="eastAsia"/>
                <w:color w:val="000000"/>
                <w:w w:val="31"/>
                <w:sz w:val="20"/>
                <w:szCs w:val="20"/>
                <w:shd w:val="solid" w:color="000000" w:fill="000000"/>
                <w:fitText w:val="140" w:id="-1032069360"/>
                <w14:textFill>
                  <w14:solidFill>
                    <w14:srgbClr w14:val="000000">
                      <w14:alpha w14:val="100000"/>
                    </w14:srgbClr>
                  </w14:solidFill>
                </w14:textFill>
              </w:rPr>
              <w:t xml:space="preserve">　</w:t>
            </w:r>
            <w:r w:rsidRPr="00E038A0">
              <w:rPr>
                <w:rFonts w:ascii="Arial Narrow" w:hAnsi="Arial Narrow"/>
                <w:color w:val="000000"/>
                <w:w w:val="31"/>
                <w:sz w:val="20"/>
                <w:szCs w:val="20"/>
                <w:shd w:val="solid" w:color="000000" w:fill="000000"/>
                <w:fitText w:val="140" w:id="-1032069360"/>
                <w14:textFill>
                  <w14:solidFill>
                    <w14:srgbClr w14:val="000000">
                      <w14:alpha w14:val="100000"/>
                    </w14:srgbClr>
                  </w14:solidFill>
                </w14:textFill>
              </w:rPr>
              <w:t>|</w:t>
            </w:r>
            <w:r w:rsidRPr="00E038A0">
              <w:rPr>
                <w:rFonts w:ascii="Arial Narrow" w:hAnsi="Arial Narrow" w:hint="eastAsia"/>
                <w:color w:val="000000"/>
                <w:spacing w:val="4"/>
                <w:w w:val="31"/>
                <w:sz w:val="20"/>
                <w:szCs w:val="20"/>
                <w:shd w:val="solid" w:color="000000" w:fill="000000"/>
                <w:fitText w:val="140" w:id="-1032069360"/>
                <w14:textFill>
                  <w14:solidFill>
                    <w14:srgbClr w14:val="000000">
                      <w14:alpha w14:val="100000"/>
                    </w14:srgbClr>
                  </w14:solidFill>
                </w14:textFill>
              </w:rPr>
              <w:t xml:space="preserve">　</w:t>
            </w:r>
            <w:r w:rsidR="00815AC9" w:rsidRPr="00815AC9">
              <w:rPr>
                <w:rFonts w:ascii="Arial Narrow" w:hAnsi="Arial Narrow"/>
                <w:b/>
                <w:bCs/>
                <w:sz w:val="20"/>
                <w:szCs w:val="20"/>
                <w:vertAlign w:val="superscript"/>
              </w:rPr>
              <w:t>1</w:t>
            </w:r>
          </w:p>
        </w:tc>
      </w:tr>
    </w:tbl>
    <w:p w14:paraId="0FF259C4" w14:textId="77777777" w:rsidR="00851B17" w:rsidRPr="00851B17" w:rsidRDefault="00851B17" w:rsidP="00851B17">
      <w:pPr>
        <w:pStyle w:val="FooterTableFigure"/>
        <w:keepNext/>
      </w:pPr>
      <w:r w:rsidRPr="00851B17">
        <w:t>Source: Table 4.6.1, p169 of the submission.</w:t>
      </w:r>
    </w:p>
    <w:p w14:paraId="5F6A777D" w14:textId="192E837A" w:rsidR="00851B17" w:rsidRDefault="00851B17" w:rsidP="000A18A1">
      <w:pPr>
        <w:pStyle w:val="FooterTableFigure"/>
        <w:keepNext/>
        <w:spacing w:after="0"/>
      </w:pPr>
      <w:r w:rsidRPr="00851B17">
        <w:t xml:space="preserve">CMV = cytomegalovirus; HSCT = haematopoietic stem cell transplant; </w:t>
      </w:r>
      <w:r w:rsidRPr="00851B17">
        <w:rPr>
          <w:szCs w:val="18"/>
        </w:rPr>
        <w:t xml:space="preserve">IAT = investigator assigned treatment; RRI = relapsed, refractory, intolerant; </w:t>
      </w:r>
      <w:r w:rsidRPr="00851B17">
        <w:t>SOT = solid organ transplant</w:t>
      </w:r>
    </w:p>
    <w:p w14:paraId="2BD2D388" w14:textId="77777777" w:rsidR="00815AC9" w:rsidRPr="00815AC9" w:rsidRDefault="00815AC9" w:rsidP="00815AC9">
      <w:pPr>
        <w:snapToGrid w:val="0"/>
        <w:spacing w:after="120"/>
        <w:contextualSpacing/>
        <w:rPr>
          <w:rFonts w:ascii="Arial Narrow" w:eastAsiaTheme="minorHAnsi" w:hAnsi="Arial Narrow"/>
          <w:i/>
          <w:iCs/>
          <w:sz w:val="18"/>
          <w:szCs w:val="22"/>
          <w:lang w:eastAsia="en-US"/>
        </w:rPr>
      </w:pPr>
      <w:r w:rsidRPr="00815AC9">
        <w:rPr>
          <w:rFonts w:ascii="Arial Narrow" w:eastAsiaTheme="minorHAnsi" w:hAnsi="Arial Narrow"/>
          <w:i/>
          <w:iCs/>
          <w:sz w:val="18"/>
          <w:szCs w:val="22"/>
          <w:lang w:eastAsia="en-US"/>
        </w:rPr>
        <w:t>The redacted values correspond to the following ranges:</w:t>
      </w:r>
    </w:p>
    <w:p w14:paraId="5209C014" w14:textId="53298E4E" w:rsidR="00815AC9" w:rsidRPr="00815AC9" w:rsidRDefault="00815AC9" w:rsidP="00815AC9">
      <w:pPr>
        <w:snapToGrid w:val="0"/>
        <w:spacing w:after="120"/>
        <w:contextualSpacing/>
        <w:rPr>
          <w:rFonts w:ascii="Arial Narrow" w:eastAsiaTheme="minorHAnsi" w:hAnsi="Arial Narrow"/>
          <w:i/>
          <w:iCs/>
          <w:sz w:val="18"/>
          <w:szCs w:val="22"/>
          <w:lang w:eastAsia="en-US"/>
        </w:rPr>
      </w:pPr>
      <w:r w:rsidRPr="00815AC9">
        <w:rPr>
          <w:rFonts w:ascii="Arial Narrow" w:eastAsiaTheme="minorHAnsi" w:hAnsi="Arial Narrow"/>
          <w:i/>
          <w:iCs/>
          <w:sz w:val="18"/>
          <w:szCs w:val="22"/>
          <w:vertAlign w:val="superscript"/>
          <w:lang w:eastAsia="en-US"/>
        </w:rPr>
        <w:t>1</w:t>
      </w:r>
      <w:r w:rsidRPr="00815AC9">
        <w:rPr>
          <w:rFonts w:ascii="Arial Narrow" w:eastAsiaTheme="minorHAnsi" w:hAnsi="Arial Narrow"/>
          <w:i/>
          <w:iCs/>
          <w:sz w:val="18"/>
          <w:szCs w:val="22"/>
          <w:lang w:eastAsia="en-US"/>
        </w:rPr>
        <w:t xml:space="preserve"> $</w:t>
      </w:r>
      <w:r>
        <w:rPr>
          <w:rFonts w:ascii="Arial Narrow" w:eastAsiaTheme="minorHAnsi" w:hAnsi="Arial Narrow"/>
          <w:i/>
          <w:iCs/>
          <w:sz w:val="18"/>
          <w:szCs w:val="22"/>
          <w:lang w:eastAsia="en-US"/>
        </w:rPr>
        <w:t>0</w:t>
      </w:r>
      <w:r w:rsidRPr="00815AC9">
        <w:rPr>
          <w:rFonts w:ascii="Arial Narrow" w:eastAsiaTheme="minorHAnsi" w:hAnsi="Arial Narrow"/>
          <w:i/>
          <w:iCs/>
          <w:sz w:val="18"/>
          <w:szCs w:val="22"/>
          <w:lang w:eastAsia="en-US"/>
        </w:rPr>
        <w:t xml:space="preserve"> to &lt; $</w:t>
      </w:r>
      <w:r>
        <w:rPr>
          <w:rFonts w:ascii="Arial Narrow" w:eastAsiaTheme="minorHAnsi" w:hAnsi="Arial Narrow"/>
          <w:i/>
          <w:iCs/>
          <w:sz w:val="18"/>
          <w:szCs w:val="22"/>
          <w:lang w:eastAsia="en-US"/>
        </w:rPr>
        <w:t>1</w:t>
      </w:r>
      <w:r w:rsidRPr="00815AC9">
        <w:rPr>
          <w:rFonts w:ascii="Arial Narrow" w:eastAsiaTheme="minorHAnsi" w:hAnsi="Arial Narrow"/>
          <w:i/>
          <w:iCs/>
          <w:sz w:val="18"/>
          <w:szCs w:val="22"/>
          <w:lang w:eastAsia="en-US"/>
        </w:rPr>
        <w:t>0 million</w:t>
      </w:r>
    </w:p>
    <w:p w14:paraId="00834964" w14:textId="2EF860F2" w:rsidR="00815AC9" w:rsidRPr="00851B17" w:rsidRDefault="00815AC9" w:rsidP="000A18A1">
      <w:pPr>
        <w:snapToGrid w:val="0"/>
        <w:spacing w:after="120"/>
        <w:contextualSpacing/>
      </w:pPr>
      <w:r w:rsidRPr="00815AC9">
        <w:rPr>
          <w:rFonts w:ascii="Arial Narrow" w:eastAsiaTheme="minorHAnsi" w:hAnsi="Arial Narrow"/>
          <w:i/>
          <w:iCs/>
          <w:sz w:val="18"/>
          <w:szCs w:val="22"/>
          <w:vertAlign w:val="superscript"/>
          <w:lang w:eastAsia="en-US"/>
        </w:rPr>
        <w:t>2</w:t>
      </w:r>
      <w:r w:rsidRPr="00815AC9">
        <w:rPr>
          <w:rFonts w:ascii="Arial Narrow" w:eastAsiaTheme="minorHAnsi" w:hAnsi="Arial Narrow"/>
          <w:i/>
          <w:iCs/>
          <w:sz w:val="18"/>
          <w:szCs w:val="22"/>
          <w:lang w:eastAsia="en-US"/>
        </w:rPr>
        <w:t xml:space="preserve"> $10 million to &lt; $20 million</w:t>
      </w:r>
    </w:p>
    <w:p w14:paraId="551121BD" w14:textId="01F9B587" w:rsidR="00747F54" w:rsidRPr="00747F54" w:rsidRDefault="00067C2C" w:rsidP="00747F54">
      <w:pPr>
        <w:pStyle w:val="3-BodyText"/>
        <w:rPr>
          <w:i/>
        </w:rPr>
      </w:pPr>
      <w:r>
        <w:rPr>
          <w:iCs/>
        </w:rPr>
        <w:t>DUSC also</w:t>
      </w:r>
      <w:r w:rsidR="00747F54" w:rsidRPr="00747F54">
        <w:rPr>
          <w:iCs/>
        </w:rPr>
        <w:t xml:space="preserve"> </w:t>
      </w:r>
      <w:r>
        <w:t>noted</w:t>
      </w:r>
      <w:r w:rsidR="00747F54">
        <w:t xml:space="preserve"> the following</w:t>
      </w:r>
      <w:r>
        <w:t xml:space="preserve"> issues with the financial estimates</w:t>
      </w:r>
      <w:r w:rsidR="00747F54">
        <w:t>:</w:t>
      </w:r>
    </w:p>
    <w:p w14:paraId="4FEC5BBF" w14:textId="77777777" w:rsidR="00747F54" w:rsidRPr="00747F54" w:rsidRDefault="00747F54" w:rsidP="003926B6">
      <w:pPr>
        <w:pStyle w:val="ListParagraph"/>
        <w:numPr>
          <w:ilvl w:val="0"/>
          <w:numId w:val="29"/>
        </w:numPr>
      </w:pPr>
      <w:r w:rsidRPr="00747F54">
        <w:t>Public hospital costs cannot be included as PBS cost offsets.</w:t>
      </w:r>
    </w:p>
    <w:p w14:paraId="019DB169" w14:textId="4EA172E6" w:rsidR="00067C2C" w:rsidRDefault="00747F54" w:rsidP="003926B6">
      <w:pPr>
        <w:pStyle w:val="ListParagraph"/>
        <w:numPr>
          <w:ilvl w:val="0"/>
          <w:numId w:val="29"/>
        </w:numPr>
      </w:pPr>
      <w:r w:rsidRPr="00747F54">
        <w:t>The submission proposed maribavir is supplied with a maximum dispensed quantity of 4 packs of 28 tablets. However</w:t>
      </w:r>
      <w:r>
        <w:t>,</w:t>
      </w:r>
      <w:r w:rsidRPr="00747F54">
        <w:t xml:space="preserve"> the submission</w:t>
      </w:r>
      <w:r w:rsidRPr="00747F54">
        <w:rPr>
          <w:rFonts w:ascii="Arial Narrow" w:hAnsi="Arial Narrow"/>
          <w:bCs/>
          <w:snapToGrid/>
          <w:sz w:val="20"/>
          <w:szCs w:val="20"/>
        </w:rPr>
        <w:t xml:space="preserve"> </w:t>
      </w:r>
      <w:r w:rsidRPr="00747F54">
        <w:t>estimate</w:t>
      </w:r>
      <w:r>
        <w:t>d</w:t>
      </w:r>
      <w:r w:rsidRPr="00747F54">
        <w:t xml:space="preserve"> the number of packs supplied, which overestimate</w:t>
      </w:r>
      <w:r>
        <w:t>d</w:t>
      </w:r>
      <w:r w:rsidRPr="00747F54">
        <w:t xml:space="preserve"> the copayments paid by patients. As the dispensed maximum quantity is four, this will </w:t>
      </w:r>
      <w:r>
        <w:t xml:space="preserve">have </w:t>
      </w:r>
      <w:r w:rsidRPr="00747F54">
        <w:t>slightly underestimate</w:t>
      </w:r>
      <w:r>
        <w:t>d</w:t>
      </w:r>
      <w:r w:rsidRPr="00747F54">
        <w:t xml:space="preserve"> the cost if patients are only required to pay one copayment per four packs supplied.</w:t>
      </w:r>
      <w:r w:rsidR="00067C2C" w:rsidRPr="00067C2C">
        <w:t xml:space="preserve"> </w:t>
      </w:r>
    </w:p>
    <w:p w14:paraId="7DE01217" w14:textId="0A2BB136" w:rsidR="00851B17" w:rsidRDefault="00067C2C" w:rsidP="003926B6">
      <w:pPr>
        <w:spacing w:after="120"/>
        <w:ind w:left="720"/>
      </w:pPr>
      <w:r>
        <w:t xml:space="preserve">Overall, DUSC considered </w:t>
      </w:r>
      <w:r w:rsidRPr="00067C2C">
        <w:rPr>
          <w:iCs/>
        </w:rPr>
        <w:t>that</w:t>
      </w:r>
      <w:r>
        <w:rPr>
          <w:iCs/>
        </w:rPr>
        <w:t>,</w:t>
      </w:r>
      <w:r w:rsidRPr="00067C2C">
        <w:rPr>
          <w:iCs/>
        </w:rPr>
        <w:t xml:space="preserve"> </w:t>
      </w:r>
      <w:r>
        <w:rPr>
          <w:iCs/>
        </w:rPr>
        <w:t xml:space="preserve">after revision of these issues, </w:t>
      </w:r>
      <w:r w:rsidRPr="00067C2C">
        <w:rPr>
          <w:iCs/>
        </w:rPr>
        <w:t>the methods used to derive the utilisation and financial estimates and the structure of the estimates model were reliable for decision-making.</w:t>
      </w:r>
    </w:p>
    <w:p w14:paraId="2238DEE9" w14:textId="3E6A228B" w:rsidR="00576972" w:rsidRPr="00DF40E7" w:rsidRDefault="00576972" w:rsidP="00606FBA">
      <w:pPr>
        <w:pStyle w:val="4-SubsectionHeading"/>
        <w:rPr>
          <w:iCs/>
        </w:rPr>
      </w:pPr>
      <w:r w:rsidRPr="00DF40E7">
        <w:rPr>
          <w:iCs/>
        </w:rPr>
        <w:t>Quality Use of Medicines</w:t>
      </w:r>
      <w:bookmarkEnd w:id="56"/>
      <w:bookmarkEnd w:id="57"/>
    </w:p>
    <w:p w14:paraId="326848AC" w14:textId="0CE7AC47" w:rsidR="00851B17" w:rsidRPr="00851B17" w:rsidRDefault="00851B17" w:rsidP="00606FBA">
      <w:pPr>
        <w:pStyle w:val="3-BodyText"/>
      </w:pPr>
      <w:r w:rsidRPr="00851B17">
        <w:t xml:space="preserve">The submission stated the sponsor will support the correct use of maribavir with educational activities to ensure the population and circumstances of use are consistent with the evidence presented in the submission. </w:t>
      </w:r>
    </w:p>
    <w:p w14:paraId="77F62C2F" w14:textId="77777777" w:rsidR="00DF40E7" w:rsidRPr="00DF40E7" w:rsidRDefault="00DF40E7" w:rsidP="00DF40E7">
      <w:pPr>
        <w:spacing w:after="120"/>
        <w:ind w:firstLine="709"/>
        <w:rPr>
          <w:rFonts w:asciiTheme="minorHAnsi" w:hAnsiTheme="minorHAnsi" w:cs="Times New Roman"/>
          <w:i/>
          <w:lang w:eastAsia="en-US"/>
        </w:rPr>
      </w:pPr>
      <w:bookmarkStart w:id="64" w:name="_Hlk76375324"/>
      <w:r w:rsidRPr="00DF40E7">
        <w:rPr>
          <w:rFonts w:asciiTheme="minorHAnsi" w:hAnsiTheme="minorHAnsi" w:cs="Times New Roman"/>
          <w:i/>
          <w:lang w:eastAsia="en-US"/>
        </w:rPr>
        <w:t>For more detail on PBAC’s view, see section 7 PBAC outcome.</w:t>
      </w:r>
    </w:p>
    <w:p w14:paraId="2171141C" w14:textId="77777777" w:rsidR="0052787F" w:rsidRPr="0052787F" w:rsidRDefault="0052787F" w:rsidP="003D5A51">
      <w:pPr>
        <w:pStyle w:val="2-SectionHeading"/>
      </w:pPr>
      <w:bookmarkStart w:id="65" w:name="_Toc145336309"/>
      <w:bookmarkEnd w:id="64"/>
      <w:r w:rsidRPr="0052787F">
        <w:t>PBAC Outcome</w:t>
      </w:r>
    </w:p>
    <w:p w14:paraId="7F4A2F71" w14:textId="614C8F69" w:rsidR="00C15280" w:rsidRDefault="0052787F" w:rsidP="00C15280">
      <w:pPr>
        <w:widowControl w:val="0"/>
        <w:numPr>
          <w:ilvl w:val="1"/>
          <w:numId w:val="1"/>
        </w:numPr>
        <w:spacing w:after="120"/>
        <w:rPr>
          <w:rFonts w:asciiTheme="minorHAnsi" w:hAnsiTheme="minorHAnsi"/>
          <w:snapToGrid w:val="0"/>
          <w:lang w:val="en-GB" w:eastAsia="en-US"/>
        </w:rPr>
      </w:pPr>
      <w:bookmarkStart w:id="66" w:name="_Hlk150867175"/>
      <w:r w:rsidRPr="00C15280">
        <w:rPr>
          <w:rFonts w:asciiTheme="minorHAnsi" w:hAnsiTheme="minorHAnsi"/>
          <w:snapToGrid w:val="0"/>
          <w:lang w:val="en-GB" w:eastAsia="en-US"/>
        </w:rPr>
        <w:t>The PBAC did not recommend</w:t>
      </w:r>
      <w:r w:rsidR="00292D00" w:rsidRPr="00C15280">
        <w:rPr>
          <w:rFonts w:asciiTheme="minorHAnsi" w:hAnsiTheme="minorHAnsi"/>
          <w:snapToGrid w:val="0"/>
          <w:lang w:val="en-GB" w:eastAsia="en-US"/>
        </w:rPr>
        <w:t xml:space="preserve"> </w:t>
      </w:r>
      <w:r w:rsidR="00C15280" w:rsidRPr="00C15280">
        <w:rPr>
          <w:rFonts w:asciiTheme="minorHAnsi" w:hAnsiTheme="minorHAnsi"/>
          <w:snapToGrid w:val="0"/>
          <w:lang w:val="en-GB" w:eastAsia="en-US"/>
        </w:rPr>
        <w:t xml:space="preserve">the </w:t>
      </w:r>
      <w:r w:rsidR="00C15280" w:rsidRPr="004E18E9">
        <w:t xml:space="preserve">Section 100, </w:t>
      </w:r>
      <w:r w:rsidR="00C15280">
        <w:t>Highly Specialised Drugs Program</w:t>
      </w:r>
      <w:r w:rsidR="00C15280" w:rsidRPr="004E18E9">
        <w:t xml:space="preserve"> listing for </w:t>
      </w:r>
      <w:r w:rsidR="00C15280">
        <w:t>maribavir</w:t>
      </w:r>
      <w:r w:rsidR="00C15280" w:rsidRPr="004E18E9">
        <w:t xml:space="preserve"> for the treatment </w:t>
      </w:r>
      <w:r w:rsidR="00C15280" w:rsidRPr="009072B2">
        <w:t xml:space="preserve">of post-transplant </w:t>
      </w:r>
      <w:r w:rsidR="00C15280">
        <w:t>cytomegalovirus (</w:t>
      </w:r>
      <w:r w:rsidR="00C15280" w:rsidRPr="009072B2">
        <w:t>CMV</w:t>
      </w:r>
      <w:r w:rsidR="00C15280">
        <w:t>)</w:t>
      </w:r>
      <w:r w:rsidR="00C15280" w:rsidRPr="009072B2">
        <w:t xml:space="preserve"> infection and disease resistant, refractory </w:t>
      </w:r>
      <w:r w:rsidR="00C15280" w:rsidRPr="006B6EED">
        <w:t>or</w:t>
      </w:r>
      <w:r w:rsidR="00C15280" w:rsidRPr="009072B2">
        <w:t xml:space="preserve"> intolerant to one or more prior therapies</w:t>
      </w:r>
      <w:r w:rsidR="00C15280" w:rsidRPr="00C527C7">
        <w:t>.</w:t>
      </w:r>
      <w:r w:rsidR="00C15280">
        <w:rPr>
          <w:rFonts w:asciiTheme="minorHAnsi" w:hAnsiTheme="minorHAnsi"/>
          <w:snapToGrid w:val="0"/>
          <w:lang w:val="en-GB" w:eastAsia="en-US"/>
        </w:rPr>
        <w:t xml:space="preserve"> </w:t>
      </w:r>
      <w:r w:rsidR="00C15280" w:rsidRPr="00C15280">
        <w:rPr>
          <w:rFonts w:asciiTheme="minorHAnsi" w:hAnsiTheme="minorHAnsi"/>
          <w:snapToGrid w:val="0"/>
          <w:lang w:val="en-GB" w:eastAsia="en-US"/>
        </w:rPr>
        <w:t xml:space="preserve">The PBAC considered that </w:t>
      </w:r>
      <w:r w:rsidR="00BD1A40">
        <w:rPr>
          <w:rFonts w:asciiTheme="minorHAnsi" w:hAnsiTheme="minorHAnsi"/>
          <w:snapToGrid w:val="0"/>
          <w:lang w:val="en-GB" w:eastAsia="en-US"/>
        </w:rPr>
        <w:t xml:space="preserve">the comparative clinical evidence </w:t>
      </w:r>
      <w:r w:rsidR="005549CD">
        <w:rPr>
          <w:rFonts w:asciiTheme="minorHAnsi" w:hAnsiTheme="minorHAnsi"/>
          <w:snapToGrid w:val="0"/>
          <w:lang w:val="en-GB" w:eastAsia="en-US"/>
        </w:rPr>
        <w:t xml:space="preserve">was subject to uncertainty </w:t>
      </w:r>
      <w:r w:rsidR="00936265">
        <w:rPr>
          <w:rFonts w:asciiTheme="minorHAnsi" w:hAnsiTheme="minorHAnsi"/>
          <w:snapToGrid w:val="0"/>
          <w:lang w:val="en-GB" w:eastAsia="en-US"/>
        </w:rPr>
        <w:t>due to the limitations of the pivotal</w:t>
      </w:r>
      <w:r w:rsidR="005549CD">
        <w:rPr>
          <w:rFonts w:asciiTheme="minorHAnsi" w:hAnsiTheme="minorHAnsi"/>
          <w:snapToGrid w:val="0"/>
          <w:lang w:val="en-GB" w:eastAsia="en-US"/>
        </w:rPr>
        <w:t xml:space="preserve"> randomised study. </w:t>
      </w:r>
      <w:r w:rsidR="00936265">
        <w:rPr>
          <w:rFonts w:asciiTheme="minorHAnsi" w:hAnsiTheme="minorHAnsi"/>
          <w:snapToGrid w:val="0"/>
          <w:lang w:val="en-GB" w:eastAsia="en-US"/>
        </w:rPr>
        <w:t>In addition, t</w:t>
      </w:r>
      <w:r w:rsidR="005549CD">
        <w:rPr>
          <w:rFonts w:asciiTheme="minorHAnsi" w:hAnsiTheme="minorHAnsi"/>
          <w:snapToGrid w:val="0"/>
          <w:lang w:val="en-GB" w:eastAsia="en-US"/>
        </w:rPr>
        <w:t xml:space="preserve">he </w:t>
      </w:r>
      <w:r w:rsidR="005549CD">
        <w:rPr>
          <w:rFonts w:asciiTheme="minorHAnsi" w:hAnsiTheme="minorHAnsi"/>
          <w:snapToGrid w:val="0"/>
          <w:lang w:val="en-GB" w:eastAsia="en-US"/>
        </w:rPr>
        <w:lastRenderedPageBreak/>
        <w:t xml:space="preserve">ICER was subject to </w:t>
      </w:r>
      <w:proofErr w:type="gramStart"/>
      <w:r w:rsidR="00936265">
        <w:rPr>
          <w:rFonts w:asciiTheme="minorHAnsi" w:hAnsiTheme="minorHAnsi"/>
          <w:snapToGrid w:val="0"/>
          <w:lang w:val="en-GB" w:eastAsia="en-US"/>
        </w:rPr>
        <w:t>a high level</w:t>
      </w:r>
      <w:proofErr w:type="gramEnd"/>
      <w:r w:rsidR="00936265">
        <w:rPr>
          <w:rFonts w:asciiTheme="minorHAnsi" w:hAnsiTheme="minorHAnsi"/>
          <w:snapToGrid w:val="0"/>
          <w:lang w:val="en-GB" w:eastAsia="en-US"/>
        </w:rPr>
        <w:t xml:space="preserve"> of</w:t>
      </w:r>
      <w:r w:rsidR="005549CD">
        <w:rPr>
          <w:rFonts w:asciiTheme="minorHAnsi" w:hAnsiTheme="minorHAnsi"/>
          <w:snapToGrid w:val="0"/>
          <w:lang w:val="en-GB" w:eastAsia="en-US"/>
        </w:rPr>
        <w:t xml:space="preserve"> uncertainty given that </w:t>
      </w:r>
      <w:r w:rsidR="00936265">
        <w:rPr>
          <w:rFonts w:asciiTheme="minorHAnsi" w:hAnsiTheme="minorHAnsi"/>
          <w:snapToGrid w:val="0"/>
          <w:lang w:val="en-GB" w:eastAsia="en-US"/>
        </w:rPr>
        <w:t xml:space="preserve">the economic evaluation </w:t>
      </w:r>
      <w:r w:rsidR="00BD1A40">
        <w:rPr>
          <w:rFonts w:asciiTheme="minorHAnsi" w:hAnsiTheme="minorHAnsi"/>
          <w:snapToGrid w:val="0"/>
          <w:lang w:val="en-GB" w:eastAsia="en-US"/>
        </w:rPr>
        <w:t xml:space="preserve">was based on multiple assumptions that </w:t>
      </w:r>
      <w:r w:rsidR="00D10BF3">
        <w:rPr>
          <w:rFonts w:asciiTheme="minorHAnsi" w:hAnsiTheme="minorHAnsi"/>
          <w:snapToGrid w:val="0"/>
          <w:lang w:val="en-GB" w:eastAsia="en-US"/>
        </w:rPr>
        <w:t>were poorly justified</w:t>
      </w:r>
      <w:r w:rsidR="00BD1A40">
        <w:rPr>
          <w:rFonts w:asciiTheme="minorHAnsi" w:hAnsiTheme="minorHAnsi"/>
          <w:snapToGrid w:val="0"/>
          <w:lang w:val="en-GB" w:eastAsia="en-US"/>
        </w:rPr>
        <w:t xml:space="preserve">. </w:t>
      </w:r>
      <w:bookmarkEnd w:id="66"/>
    </w:p>
    <w:p w14:paraId="5CAE7226" w14:textId="6DC4F872" w:rsidR="00936265" w:rsidRDefault="00936265" w:rsidP="00C15280">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The PBAC considered the primary reason for this outcome was due to the comparative clinical evidence provided.</w:t>
      </w:r>
    </w:p>
    <w:p w14:paraId="2BD40E6F" w14:textId="028D75A1" w:rsidR="00C666ED" w:rsidRPr="00076E83" w:rsidRDefault="00B9719B" w:rsidP="00840FC4">
      <w:pPr>
        <w:widowControl w:val="0"/>
        <w:numPr>
          <w:ilvl w:val="1"/>
          <w:numId w:val="1"/>
        </w:numPr>
        <w:spacing w:after="120"/>
        <w:rPr>
          <w:rFonts w:asciiTheme="minorHAnsi" w:hAnsiTheme="minorHAnsi"/>
          <w:snapToGrid w:val="0"/>
          <w:lang w:val="en-GB" w:eastAsia="en-US"/>
        </w:rPr>
      </w:pPr>
      <w:r w:rsidRPr="00076E83">
        <w:rPr>
          <w:rFonts w:asciiTheme="minorHAnsi" w:hAnsiTheme="minorHAnsi"/>
          <w:snapToGrid w:val="0"/>
          <w:lang w:val="en-GB" w:eastAsia="en-US"/>
        </w:rPr>
        <w:t xml:space="preserve">The PBAC noted the consumer comments </w:t>
      </w:r>
      <w:r w:rsidR="00C666ED" w:rsidRPr="00076E83">
        <w:rPr>
          <w:rFonts w:asciiTheme="minorHAnsi" w:hAnsiTheme="minorHAnsi"/>
          <w:snapToGrid w:val="0"/>
          <w:lang w:val="en-GB" w:eastAsia="en-US"/>
        </w:rPr>
        <w:t>and</w:t>
      </w:r>
      <w:r w:rsidRPr="00076E83">
        <w:rPr>
          <w:rFonts w:asciiTheme="minorHAnsi" w:hAnsiTheme="minorHAnsi"/>
          <w:snapToGrid w:val="0"/>
          <w:lang w:val="en-GB" w:eastAsia="en-US"/>
        </w:rPr>
        <w:t xml:space="preserve"> acknowledged the </w:t>
      </w:r>
      <w:r w:rsidR="00AA4124">
        <w:rPr>
          <w:rFonts w:asciiTheme="minorHAnsi" w:hAnsiTheme="minorHAnsi"/>
          <w:snapToGrid w:val="0"/>
          <w:lang w:val="en-GB" w:eastAsia="en-US"/>
        </w:rPr>
        <w:t xml:space="preserve">clinical need for effective treatments for CMV disease, which is a clear adverse prognostic factor for survival in transplant patients. The PBAC also acknowledged the </w:t>
      </w:r>
      <w:r w:rsidRPr="00076E83">
        <w:rPr>
          <w:rFonts w:asciiTheme="minorHAnsi" w:hAnsiTheme="minorHAnsi"/>
          <w:snapToGrid w:val="0"/>
          <w:lang w:val="en-GB" w:eastAsia="en-US"/>
        </w:rPr>
        <w:t>clinical utility of an orally active agent to treat CMV infection</w:t>
      </w:r>
      <w:r w:rsidR="00AA4124">
        <w:rPr>
          <w:rFonts w:asciiTheme="minorHAnsi" w:hAnsiTheme="minorHAnsi"/>
          <w:snapToGrid w:val="0"/>
          <w:lang w:val="en-GB" w:eastAsia="en-US"/>
        </w:rPr>
        <w:t>,</w:t>
      </w:r>
      <w:r w:rsidRPr="00076E83">
        <w:rPr>
          <w:rFonts w:asciiTheme="minorHAnsi" w:hAnsiTheme="minorHAnsi"/>
          <w:snapToGrid w:val="0"/>
          <w:lang w:val="en-GB" w:eastAsia="en-US"/>
        </w:rPr>
        <w:t xml:space="preserve"> with a different side effect profile to currently available therapies.</w:t>
      </w:r>
      <w:r w:rsidR="00076E83" w:rsidRPr="00076E83">
        <w:rPr>
          <w:rFonts w:asciiTheme="minorHAnsi" w:hAnsiTheme="minorHAnsi"/>
          <w:snapToGrid w:val="0"/>
          <w:lang w:val="en-GB" w:eastAsia="en-US"/>
        </w:rPr>
        <w:t xml:space="preserve"> </w:t>
      </w:r>
    </w:p>
    <w:p w14:paraId="07AA447F" w14:textId="1BCF1E4C" w:rsidR="008F678F" w:rsidRDefault="008F678F" w:rsidP="008F6259">
      <w:pPr>
        <w:widowControl w:val="0"/>
        <w:numPr>
          <w:ilvl w:val="1"/>
          <w:numId w:val="1"/>
        </w:numPr>
        <w:spacing w:before="120" w:after="120"/>
        <w:rPr>
          <w:rFonts w:asciiTheme="minorHAnsi" w:hAnsiTheme="minorHAnsi"/>
          <w:snapToGrid w:val="0"/>
          <w:lang w:val="en-GB" w:eastAsia="en-US"/>
        </w:rPr>
      </w:pPr>
      <w:r>
        <w:rPr>
          <w:rFonts w:asciiTheme="minorHAnsi" w:hAnsiTheme="minorHAnsi"/>
          <w:snapToGrid w:val="0"/>
          <w:lang w:val="en-GB" w:eastAsia="en-US"/>
        </w:rPr>
        <w:t xml:space="preserve">The </w:t>
      </w:r>
      <w:r w:rsidR="00077496">
        <w:rPr>
          <w:rFonts w:asciiTheme="minorHAnsi" w:hAnsiTheme="minorHAnsi"/>
          <w:snapToGrid w:val="0"/>
          <w:lang w:val="en-GB" w:eastAsia="en-US"/>
        </w:rPr>
        <w:t>PBAC</w:t>
      </w:r>
      <w:r>
        <w:rPr>
          <w:rFonts w:asciiTheme="minorHAnsi" w:hAnsiTheme="minorHAnsi"/>
          <w:snapToGrid w:val="0"/>
          <w:lang w:val="en-GB" w:eastAsia="en-US"/>
        </w:rPr>
        <w:t xml:space="preserve"> considered that although maribavir </w:t>
      </w:r>
      <w:r w:rsidR="005E77BD">
        <w:rPr>
          <w:rFonts w:asciiTheme="minorHAnsi" w:hAnsiTheme="minorHAnsi"/>
          <w:snapToGrid w:val="0"/>
          <w:lang w:val="en-GB" w:eastAsia="en-US"/>
        </w:rPr>
        <w:t>wa</w:t>
      </w:r>
      <w:r w:rsidR="00576DF4">
        <w:rPr>
          <w:rFonts w:asciiTheme="minorHAnsi" w:hAnsiTheme="minorHAnsi"/>
          <w:snapToGrid w:val="0"/>
          <w:lang w:val="en-GB" w:eastAsia="en-US"/>
        </w:rPr>
        <w:t xml:space="preserve">s </w:t>
      </w:r>
      <w:r>
        <w:rPr>
          <w:rFonts w:asciiTheme="minorHAnsi" w:hAnsiTheme="minorHAnsi"/>
          <w:snapToGrid w:val="0"/>
          <w:lang w:val="en-GB" w:eastAsia="en-US"/>
        </w:rPr>
        <w:t>proposed for second</w:t>
      </w:r>
      <w:r w:rsidR="00B7729C">
        <w:rPr>
          <w:rFonts w:asciiTheme="minorHAnsi" w:hAnsiTheme="minorHAnsi"/>
          <w:snapToGrid w:val="0"/>
          <w:lang w:val="en-GB" w:eastAsia="en-US"/>
        </w:rPr>
        <w:t>-</w:t>
      </w:r>
      <w:r>
        <w:rPr>
          <w:rFonts w:asciiTheme="minorHAnsi" w:hAnsiTheme="minorHAnsi"/>
          <w:snapToGrid w:val="0"/>
          <w:lang w:val="en-GB" w:eastAsia="en-US"/>
        </w:rPr>
        <w:t>line treatment, the wording of the restriction as proposed would allow for first-line use</w:t>
      </w:r>
      <w:r w:rsidR="002E71CA">
        <w:rPr>
          <w:rFonts w:asciiTheme="minorHAnsi" w:hAnsiTheme="minorHAnsi"/>
          <w:snapToGrid w:val="0"/>
          <w:lang w:val="en-GB" w:eastAsia="en-US"/>
        </w:rPr>
        <w:t xml:space="preserve"> as </w:t>
      </w:r>
      <w:r w:rsidR="00B55369">
        <w:rPr>
          <w:rFonts w:asciiTheme="minorHAnsi" w:hAnsiTheme="minorHAnsi"/>
          <w:snapToGrid w:val="0"/>
          <w:lang w:val="en-GB" w:eastAsia="en-US"/>
        </w:rPr>
        <w:t xml:space="preserve">the </w:t>
      </w:r>
      <w:r w:rsidR="00BF4151">
        <w:rPr>
          <w:rFonts w:asciiTheme="minorHAnsi" w:hAnsiTheme="minorHAnsi"/>
          <w:snapToGrid w:val="0"/>
          <w:lang w:val="en-GB" w:eastAsia="en-US"/>
        </w:rPr>
        <w:t>prescribing instructions defining</w:t>
      </w:r>
      <w:r w:rsidR="00B55369">
        <w:rPr>
          <w:rFonts w:asciiTheme="minorHAnsi" w:hAnsiTheme="minorHAnsi"/>
          <w:snapToGrid w:val="0"/>
          <w:lang w:val="en-GB" w:eastAsia="en-US"/>
        </w:rPr>
        <w:t xml:space="preserve"> intolerance allow for ‘potential toxicity</w:t>
      </w:r>
      <w:proofErr w:type="gramStart"/>
      <w:r w:rsidR="00B55369">
        <w:rPr>
          <w:rFonts w:asciiTheme="minorHAnsi" w:hAnsiTheme="minorHAnsi"/>
          <w:snapToGrid w:val="0"/>
          <w:lang w:val="en-GB" w:eastAsia="en-US"/>
        </w:rPr>
        <w:t>’.</w:t>
      </w:r>
      <w:proofErr w:type="gramEnd"/>
      <w:r w:rsidR="00B55369">
        <w:rPr>
          <w:rFonts w:asciiTheme="minorHAnsi" w:hAnsiTheme="minorHAnsi"/>
          <w:snapToGrid w:val="0"/>
          <w:lang w:val="en-GB" w:eastAsia="en-US"/>
        </w:rPr>
        <w:t xml:space="preserve"> The Committee considered that</w:t>
      </w:r>
      <w:r w:rsidR="00BF4151">
        <w:rPr>
          <w:rFonts w:asciiTheme="minorHAnsi" w:hAnsiTheme="minorHAnsi"/>
          <w:snapToGrid w:val="0"/>
          <w:lang w:val="en-GB" w:eastAsia="en-US"/>
        </w:rPr>
        <w:t>,</w:t>
      </w:r>
      <w:r w:rsidR="00B55369">
        <w:rPr>
          <w:rFonts w:asciiTheme="minorHAnsi" w:hAnsiTheme="minorHAnsi"/>
          <w:snapToGrid w:val="0"/>
          <w:lang w:val="en-GB" w:eastAsia="en-US"/>
        </w:rPr>
        <w:t xml:space="preserve"> while it may be appropriate to allow for patients who are intolerant to </w:t>
      </w:r>
      <w:r w:rsidR="00BF4151">
        <w:rPr>
          <w:rFonts w:asciiTheme="minorHAnsi" w:hAnsiTheme="minorHAnsi"/>
          <w:snapToGrid w:val="0"/>
          <w:lang w:val="en-GB" w:eastAsia="en-US"/>
        </w:rPr>
        <w:t xml:space="preserve">first-line treatments </w:t>
      </w:r>
      <w:r w:rsidR="002E71CA">
        <w:rPr>
          <w:rFonts w:asciiTheme="minorHAnsi" w:hAnsiTheme="minorHAnsi"/>
          <w:snapToGrid w:val="0"/>
          <w:lang w:val="en-GB" w:eastAsia="en-US"/>
        </w:rPr>
        <w:t>(</w:t>
      </w:r>
      <w:r w:rsidR="00BF4151" w:rsidRPr="0030053B">
        <w:rPr>
          <w:lang w:val="en-GB" w:eastAsia="en-US"/>
        </w:rPr>
        <w:t>ganciclovir/valganciclovir</w:t>
      </w:r>
      <w:r w:rsidR="002E71CA">
        <w:rPr>
          <w:lang w:val="en-GB" w:eastAsia="en-US"/>
        </w:rPr>
        <w:t>)</w:t>
      </w:r>
      <w:r w:rsidR="00BF4151">
        <w:rPr>
          <w:rFonts w:asciiTheme="minorHAnsi" w:hAnsiTheme="minorHAnsi"/>
          <w:snapToGrid w:val="0"/>
          <w:lang w:val="en-GB" w:eastAsia="en-US"/>
        </w:rPr>
        <w:t xml:space="preserve"> </w:t>
      </w:r>
      <w:r w:rsidR="00B55369">
        <w:rPr>
          <w:rFonts w:asciiTheme="minorHAnsi" w:hAnsiTheme="minorHAnsi"/>
          <w:snapToGrid w:val="0"/>
          <w:lang w:val="en-GB" w:eastAsia="en-US"/>
        </w:rPr>
        <w:t xml:space="preserve">to receive maribavir, it would be appropriate to further define the patient population to ensure maribavir </w:t>
      </w:r>
      <w:proofErr w:type="gramStart"/>
      <w:r w:rsidR="00B55369">
        <w:rPr>
          <w:rFonts w:asciiTheme="minorHAnsi" w:hAnsiTheme="minorHAnsi"/>
          <w:snapToGrid w:val="0"/>
          <w:lang w:val="en-GB" w:eastAsia="en-US"/>
        </w:rPr>
        <w:t>was not used</w:t>
      </w:r>
      <w:proofErr w:type="gramEnd"/>
      <w:r w:rsidR="00B55369">
        <w:rPr>
          <w:rFonts w:asciiTheme="minorHAnsi" w:hAnsiTheme="minorHAnsi"/>
          <w:snapToGrid w:val="0"/>
          <w:lang w:val="en-GB" w:eastAsia="en-US"/>
        </w:rPr>
        <w:t xml:space="preserve"> in a first-line setting.</w:t>
      </w:r>
      <w:r w:rsidR="00C86067">
        <w:rPr>
          <w:rFonts w:asciiTheme="minorHAnsi" w:hAnsiTheme="minorHAnsi"/>
          <w:snapToGrid w:val="0"/>
          <w:lang w:val="en-GB" w:eastAsia="en-US"/>
        </w:rPr>
        <w:t xml:space="preserve"> </w:t>
      </w:r>
    </w:p>
    <w:p w14:paraId="6626B55D" w14:textId="057D0E36" w:rsidR="00B55369" w:rsidRDefault="00F767C5" w:rsidP="008F6259">
      <w:pPr>
        <w:widowControl w:val="0"/>
        <w:numPr>
          <w:ilvl w:val="1"/>
          <w:numId w:val="1"/>
        </w:numPr>
        <w:spacing w:before="120" w:after="120"/>
        <w:rPr>
          <w:rFonts w:asciiTheme="minorHAnsi" w:hAnsiTheme="minorHAnsi"/>
          <w:snapToGrid w:val="0"/>
          <w:lang w:val="en-GB" w:eastAsia="en-US"/>
        </w:rPr>
      </w:pPr>
      <w:r>
        <w:rPr>
          <w:rFonts w:asciiTheme="minorHAnsi" w:hAnsiTheme="minorHAnsi"/>
          <w:snapToGrid w:val="0"/>
          <w:lang w:val="en-GB" w:eastAsia="en-US"/>
        </w:rPr>
        <w:t xml:space="preserve">The PBAC considered the proposed restriction did not align with the population studied in the SOLSTICE trial, </w:t>
      </w:r>
      <w:r w:rsidR="008F6259">
        <w:rPr>
          <w:rFonts w:asciiTheme="minorHAnsi" w:hAnsiTheme="minorHAnsi"/>
          <w:snapToGrid w:val="0"/>
          <w:lang w:val="en-GB" w:eastAsia="en-US"/>
        </w:rPr>
        <w:t xml:space="preserve">in that the trial required patients to be refractory to </w:t>
      </w:r>
      <w:r w:rsidR="002E71CA">
        <w:rPr>
          <w:rFonts w:asciiTheme="minorHAnsi" w:hAnsiTheme="minorHAnsi"/>
          <w:snapToGrid w:val="0"/>
          <w:lang w:val="en-GB" w:eastAsia="en-US"/>
        </w:rPr>
        <w:t xml:space="preserve">the most recent </w:t>
      </w:r>
      <w:r w:rsidR="008F6259">
        <w:rPr>
          <w:rFonts w:asciiTheme="minorHAnsi" w:hAnsiTheme="minorHAnsi"/>
          <w:snapToGrid w:val="0"/>
          <w:lang w:val="en-GB" w:eastAsia="en-US"/>
        </w:rPr>
        <w:t xml:space="preserve">treatment, </w:t>
      </w:r>
      <w:r w:rsidR="00AB509B">
        <w:rPr>
          <w:rFonts w:asciiTheme="minorHAnsi" w:hAnsiTheme="minorHAnsi"/>
          <w:snapToGrid w:val="0"/>
          <w:lang w:val="en-GB" w:eastAsia="en-US"/>
        </w:rPr>
        <w:t>whether or not they were</w:t>
      </w:r>
      <w:r w:rsidR="008F6259">
        <w:rPr>
          <w:rFonts w:asciiTheme="minorHAnsi" w:hAnsiTheme="minorHAnsi"/>
          <w:snapToGrid w:val="0"/>
          <w:lang w:val="en-GB" w:eastAsia="en-US"/>
        </w:rPr>
        <w:t xml:space="preserve"> resistant or intolerant to treatment. The PBAC considered that </w:t>
      </w:r>
      <w:r w:rsidR="00AB509B">
        <w:rPr>
          <w:rFonts w:asciiTheme="minorHAnsi" w:hAnsiTheme="minorHAnsi"/>
          <w:snapToGrid w:val="0"/>
          <w:lang w:val="en-GB" w:eastAsia="en-US"/>
        </w:rPr>
        <w:t>to align</w:t>
      </w:r>
      <w:r w:rsidR="008F6259">
        <w:rPr>
          <w:rFonts w:asciiTheme="minorHAnsi" w:hAnsiTheme="minorHAnsi"/>
          <w:snapToGrid w:val="0"/>
          <w:lang w:val="en-GB" w:eastAsia="en-US"/>
        </w:rPr>
        <w:t xml:space="preserve"> the restriction with the trial, </w:t>
      </w:r>
      <w:r w:rsidR="005E77BD">
        <w:rPr>
          <w:rFonts w:asciiTheme="minorHAnsi" w:hAnsiTheme="minorHAnsi"/>
          <w:snapToGrid w:val="0"/>
          <w:lang w:val="en-GB" w:eastAsia="en-US"/>
        </w:rPr>
        <w:t>it</w:t>
      </w:r>
      <w:r w:rsidR="00B55369">
        <w:rPr>
          <w:rFonts w:asciiTheme="minorHAnsi" w:hAnsiTheme="minorHAnsi"/>
          <w:snapToGrid w:val="0"/>
          <w:lang w:val="en-GB" w:eastAsia="en-US"/>
        </w:rPr>
        <w:t xml:space="preserve"> should include the following criterion</w:t>
      </w:r>
      <w:r w:rsidR="008F6259">
        <w:rPr>
          <w:rFonts w:asciiTheme="minorHAnsi" w:hAnsiTheme="minorHAnsi"/>
          <w:snapToGrid w:val="0"/>
          <w:lang w:val="en-GB" w:eastAsia="en-US"/>
        </w:rPr>
        <w:t>: patients mu</w:t>
      </w:r>
      <w:r w:rsidR="004D662D">
        <w:rPr>
          <w:rFonts w:asciiTheme="minorHAnsi" w:hAnsiTheme="minorHAnsi"/>
          <w:snapToGrid w:val="0"/>
          <w:lang w:val="en-GB" w:eastAsia="en-US"/>
        </w:rPr>
        <w:t>st</w:t>
      </w:r>
      <w:r w:rsidR="008F6259">
        <w:rPr>
          <w:rFonts w:asciiTheme="minorHAnsi" w:hAnsiTheme="minorHAnsi"/>
          <w:snapToGrid w:val="0"/>
          <w:lang w:val="en-GB" w:eastAsia="en-US"/>
        </w:rPr>
        <w:t xml:space="preserve"> have received at least two weeks treatment with ganciclovir or valganciclovir for this infection, with virological or clinical failure. </w:t>
      </w:r>
    </w:p>
    <w:p w14:paraId="52D43552" w14:textId="0BC6D60F" w:rsidR="00CC35DD" w:rsidRDefault="00830528" w:rsidP="00F171FA">
      <w:pPr>
        <w:pStyle w:val="3-BodyText"/>
        <w:widowControl w:val="0"/>
        <w:spacing w:before="120"/>
        <w:rPr>
          <w:lang w:val="en-GB" w:eastAsia="en-US"/>
        </w:rPr>
      </w:pPr>
      <w:r w:rsidRPr="0030053B">
        <w:rPr>
          <w:lang w:val="en-GB" w:eastAsia="en-US"/>
        </w:rPr>
        <w:t>The PBAC noted that resistance of CMV disease to current standard of care treatment is common, and as mutation testing is not</w:t>
      </w:r>
      <w:r w:rsidR="00BF4151">
        <w:rPr>
          <w:lang w:val="en-GB" w:eastAsia="en-US"/>
        </w:rPr>
        <w:t xml:space="preserve"> currently</w:t>
      </w:r>
      <w:r w:rsidRPr="0030053B">
        <w:rPr>
          <w:lang w:val="en-GB" w:eastAsia="en-US"/>
        </w:rPr>
        <w:t xml:space="preserve"> available</w:t>
      </w:r>
      <w:r w:rsidR="00BF4151">
        <w:rPr>
          <w:lang w:val="en-GB" w:eastAsia="en-US"/>
        </w:rPr>
        <w:t xml:space="preserve"> in Australia</w:t>
      </w:r>
      <w:r w:rsidRPr="0030053B">
        <w:rPr>
          <w:lang w:val="en-GB" w:eastAsia="en-US"/>
        </w:rPr>
        <w:t xml:space="preserve"> in a clinically useful </w:t>
      </w:r>
      <w:proofErr w:type="gramStart"/>
      <w:r w:rsidRPr="0030053B">
        <w:rPr>
          <w:lang w:val="en-GB" w:eastAsia="en-US"/>
        </w:rPr>
        <w:t>timeframe</w:t>
      </w:r>
      <w:proofErr w:type="gramEnd"/>
      <w:r w:rsidRPr="0030053B">
        <w:rPr>
          <w:lang w:val="en-GB" w:eastAsia="en-US"/>
        </w:rPr>
        <w:t xml:space="preserve">, the only practical marker of resistance is failure of initial treatment. </w:t>
      </w:r>
      <w:r w:rsidR="008F6259" w:rsidRPr="0030053B">
        <w:rPr>
          <w:lang w:val="en-GB" w:eastAsia="en-US"/>
        </w:rPr>
        <w:t xml:space="preserve">While the PBAC </w:t>
      </w:r>
      <w:r w:rsidR="00BF4151">
        <w:rPr>
          <w:lang w:val="en-GB" w:eastAsia="en-US"/>
        </w:rPr>
        <w:t>noted</w:t>
      </w:r>
      <w:r w:rsidR="00BF4151" w:rsidRPr="0030053B">
        <w:rPr>
          <w:lang w:val="en-GB" w:eastAsia="en-US"/>
        </w:rPr>
        <w:t xml:space="preserve"> </w:t>
      </w:r>
      <w:r w:rsidR="008F6259" w:rsidRPr="0030053B">
        <w:rPr>
          <w:lang w:val="en-GB" w:eastAsia="en-US"/>
        </w:rPr>
        <w:t>that</w:t>
      </w:r>
      <w:r w:rsidR="00BF4151">
        <w:rPr>
          <w:lang w:val="en-GB" w:eastAsia="en-US"/>
        </w:rPr>
        <w:t>,</w:t>
      </w:r>
      <w:r w:rsidR="008F6259" w:rsidRPr="0030053B">
        <w:rPr>
          <w:lang w:val="en-GB" w:eastAsia="en-US"/>
        </w:rPr>
        <w:t xml:space="preserve"> to align the restriction with the trial</w:t>
      </w:r>
      <w:r w:rsidR="00BF4151">
        <w:rPr>
          <w:lang w:val="en-GB" w:eastAsia="en-US"/>
        </w:rPr>
        <w:t>,</w:t>
      </w:r>
      <w:r w:rsidR="008F6259" w:rsidRPr="0030053B">
        <w:rPr>
          <w:lang w:val="en-GB" w:eastAsia="en-US"/>
        </w:rPr>
        <w:t xml:space="preserve"> the infecting CMV should also </w:t>
      </w:r>
      <w:proofErr w:type="gramStart"/>
      <w:r w:rsidR="008F6259" w:rsidRPr="0030053B">
        <w:rPr>
          <w:lang w:val="en-GB" w:eastAsia="en-US"/>
        </w:rPr>
        <w:t>be confirmed</w:t>
      </w:r>
      <w:proofErr w:type="gramEnd"/>
      <w:r w:rsidR="008F6259" w:rsidRPr="0030053B">
        <w:rPr>
          <w:lang w:val="en-GB" w:eastAsia="en-US"/>
        </w:rPr>
        <w:t xml:space="preserve"> as having genotypic resistance to ganciclovir/valganciclovir, </w:t>
      </w:r>
      <w:r w:rsidR="00BF4151">
        <w:rPr>
          <w:lang w:val="en-GB" w:eastAsia="en-US"/>
        </w:rPr>
        <w:t xml:space="preserve">the Committee considered </w:t>
      </w:r>
      <w:r w:rsidR="008F6259" w:rsidRPr="0030053B">
        <w:rPr>
          <w:lang w:val="en-GB" w:eastAsia="en-US"/>
        </w:rPr>
        <w:t xml:space="preserve">it was impractical to require this as a prerequisite to use of maribavir. </w:t>
      </w:r>
      <w:r w:rsidR="00BF4151">
        <w:rPr>
          <w:lang w:val="en-GB" w:eastAsia="en-US"/>
        </w:rPr>
        <w:t>However</w:t>
      </w:r>
      <w:r w:rsidR="00BA383B">
        <w:rPr>
          <w:lang w:val="en-GB" w:eastAsia="en-US"/>
        </w:rPr>
        <w:t>,</w:t>
      </w:r>
      <w:r w:rsidR="00BF4151">
        <w:rPr>
          <w:lang w:val="en-GB" w:eastAsia="en-US"/>
        </w:rPr>
        <w:t xml:space="preserve"> t</w:t>
      </w:r>
      <w:r w:rsidR="008F6259" w:rsidRPr="0030053B">
        <w:rPr>
          <w:lang w:val="en-GB" w:eastAsia="en-US"/>
        </w:rPr>
        <w:t xml:space="preserve">he PBAC considered that the restriction should </w:t>
      </w:r>
      <w:r w:rsidR="00576DF4">
        <w:rPr>
          <w:lang w:val="en-GB" w:eastAsia="en-US"/>
        </w:rPr>
        <w:t>exclude treatment with maribavir where there is evidence of</w:t>
      </w:r>
      <w:r w:rsidR="008F6259" w:rsidRPr="0030053B">
        <w:rPr>
          <w:lang w:val="en-GB" w:eastAsia="en-US"/>
        </w:rPr>
        <w:t xml:space="preserve"> genotypic resistance to maribavir, given the high rate of development of resistance to maribavir that occurs during treatment</w:t>
      </w:r>
      <w:r w:rsidR="00BF4151">
        <w:rPr>
          <w:lang w:val="en-GB" w:eastAsia="en-US"/>
        </w:rPr>
        <w:t xml:space="preserve"> and because </w:t>
      </w:r>
      <w:r w:rsidR="00BA383B">
        <w:rPr>
          <w:lang w:val="en-GB" w:eastAsia="en-US"/>
        </w:rPr>
        <w:t xml:space="preserve">mutation </w:t>
      </w:r>
      <w:r w:rsidR="00BF4151">
        <w:rPr>
          <w:lang w:val="en-GB" w:eastAsia="en-US"/>
        </w:rPr>
        <w:t>testing may become available in the future.</w:t>
      </w:r>
      <w:r w:rsidR="0030053B" w:rsidRPr="0030053B">
        <w:rPr>
          <w:lang w:val="en-GB" w:eastAsia="en-US"/>
        </w:rPr>
        <w:t xml:space="preserve"> </w:t>
      </w:r>
    </w:p>
    <w:p w14:paraId="6D5404DD" w14:textId="3F3D84EB" w:rsidR="00CC35DD" w:rsidRDefault="00CC7163" w:rsidP="00F171FA">
      <w:pPr>
        <w:pStyle w:val="3-BodyText"/>
        <w:widowControl w:val="0"/>
        <w:spacing w:before="120"/>
        <w:rPr>
          <w:lang w:val="en-GB" w:eastAsia="en-US"/>
        </w:rPr>
      </w:pPr>
      <w:r w:rsidRPr="00CC7163">
        <w:rPr>
          <w:lang w:val="en-GB" w:eastAsia="en-US"/>
        </w:rPr>
        <w:t xml:space="preserve">The PBAC noted the SOLSTICE trial was open to patients from 12 years old (although only patients 18 years and older </w:t>
      </w:r>
      <w:proofErr w:type="gramStart"/>
      <w:r w:rsidRPr="00CC7163">
        <w:rPr>
          <w:lang w:val="en-GB" w:eastAsia="en-US"/>
        </w:rPr>
        <w:t>were enrolled</w:t>
      </w:r>
      <w:proofErr w:type="gramEnd"/>
      <w:r w:rsidRPr="00CC7163">
        <w:rPr>
          <w:lang w:val="en-GB" w:eastAsia="en-US"/>
        </w:rPr>
        <w:t xml:space="preserve">) and considered that the PBS restriction should be age agnostic. </w:t>
      </w:r>
    </w:p>
    <w:p w14:paraId="332B4AA4" w14:textId="56F1DDBC" w:rsidR="008F6259" w:rsidRPr="0030053B" w:rsidRDefault="008F6259" w:rsidP="00F171FA">
      <w:pPr>
        <w:pStyle w:val="3-BodyText"/>
        <w:widowControl w:val="0"/>
        <w:spacing w:before="120"/>
        <w:rPr>
          <w:lang w:val="en-GB" w:eastAsia="en-US"/>
        </w:rPr>
      </w:pPr>
      <w:bookmarkStart w:id="67" w:name="_Hlk152574135"/>
      <w:r w:rsidRPr="0030053B">
        <w:rPr>
          <w:lang w:val="en-GB" w:eastAsia="en-US"/>
        </w:rPr>
        <w:t xml:space="preserve">The </w:t>
      </w:r>
      <w:r w:rsidR="00AB509B">
        <w:rPr>
          <w:lang w:val="en-GB" w:eastAsia="en-US"/>
        </w:rPr>
        <w:t>PBAC</w:t>
      </w:r>
      <w:r w:rsidR="00AB509B" w:rsidRPr="0030053B">
        <w:rPr>
          <w:lang w:val="en-GB" w:eastAsia="en-US"/>
        </w:rPr>
        <w:t xml:space="preserve"> </w:t>
      </w:r>
      <w:r w:rsidRPr="0030053B">
        <w:rPr>
          <w:lang w:val="en-GB" w:eastAsia="en-US"/>
        </w:rPr>
        <w:t>noted t</w:t>
      </w:r>
      <w:r w:rsidR="00F767C5" w:rsidRPr="0030053B">
        <w:rPr>
          <w:lang w:val="en-GB" w:eastAsia="en-US"/>
        </w:rPr>
        <w:t xml:space="preserve">hat no data to support continuing treatment beyond 8 weeks </w:t>
      </w:r>
      <w:proofErr w:type="gramStart"/>
      <w:r w:rsidR="00F767C5" w:rsidRPr="0030053B">
        <w:rPr>
          <w:lang w:val="en-GB" w:eastAsia="en-US"/>
        </w:rPr>
        <w:t>was submitted</w:t>
      </w:r>
      <w:proofErr w:type="gramEnd"/>
      <w:r w:rsidR="0030053B" w:rsidRPr="0030053B">
        <w:rPr>
          <w:lang w:val="en-GB" w:eastAsia="en-US"/>
        </w:rPr>
        <w:t xml:space="preserve">, </w:t>
      </w:r>
      <w:r w:rsidR="005E495E">
        <w:rPr>
          <w:lang w:val="en-GB" w:eastAsia="en-US"/>
        </w:rPr>
        <w:t>however</w:t>
      </w:r>
      <w:r w:rsidR="005E495E" w:rsidRPr="0030053B">
        <w:rPr>
          <w:lang w:val="en-GB" w:eastAsia="en-US"/>
        </w:rPr>
        <w:t xml:space="preserve"> </w:t>
      </w:r>
      <w:r w:rsidR="002E71CA">
        <w:rPr>
          <w:lang w:val="en-GB" w:eastAsia="en-US"/>
        </w:rPr>
        <w:t xml:space="preserve">considered </w:t>
      </w:r>
      <w:r w:rsidR="0030053B" w:rsidRPr="0030053B">
        <w:rPr>
          <w:lang w:val="en-GB" w:eastAsia="en-US"/>
        </w:rPr>
        <w:t xml:space="preserve">that it would be appropriate for the restriction </w:t>
      </w:r>
      <w:r w:rsidR="00271133">
        <w:rPr>
          <w:lang w:val="en-GB" w:eastAsia="en-US"/>
        </w:rPr>
        <w:t xml:space="preserve">to </w:t>
      </w:r>
      <w:r w:rsidR="0030053B" w:rsidRPr="0030053B">
        <w:rPr>
          <w:lang w:val="en-GB" w:eastAsia="en-US"/>
        </w:rPr>
        <w:t xml:space="preserve">allow </w:t>
      </w:r>
      <w:r w:rsidR="003B7C67">
        <w:rPr>
          <w:lang w:val="en-GB" w:eastAsia="en-US"/>
        </w:rPr>
        <w:t>for ongoing treatment beyond 8 weeks</w:t>
      </w:r>
      <w:r w:rsidR="005E495E">
        <w:rPr>
          <w:lang w:val="en-GB" w:eastAsia="en-US"/>
        </w:rPr>
        <w:t xml:space="preserve"> where clinically required or for retreatment where relapse has occurred, consistent with guidelines for treatment of CMV</w:t>
      </w:r>
      <w:r w:rsidR="003B7C67">
        <w:rPr>
          <w:lang w:val="en-GB" w:eastAsia="en-US"/>
        </w:rPr>
        <w:t>.</w:t>
      </w:r>
    </w:p>
    <w:bookmarkEnd w:id="67"/>
    <w:p w14:paraId="3D2B22FE" w14:textId="13320B62" w:rsidR="00F767C5" w:rsidRDefault="00F767C5" w:rsidP="00F767C5">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lastRenderedPageBreak/>
        <w:t xml:space="preserve">The resubmission proposed that the comparator was current standard of care, which it defined to include ganciclovir, valganciclovir, foscarnet and cidofovir. </w:t>
      </w:r>
      <w:r w:rsidR="00BA383B">
        <w:rPr>
          <w:rFonts w:asciiTheme="minorHAnsi" w:hAnsiTheme="minorHAnsi"/>
          <w:snapToGrid w:val="0"/>
          <w:lang w:val="en-GB" w:eastAsia="en-US"/>
        </w:rPr>
        <w:t xml:space="preserve">The PBAC noted that the existing PBS restrictions for </w:t>
      </w:r>
      <w:r w:rsidR="00BA383B" w:rsidRPr="0030053B">
        <w:rPr>
          <w:lang w:val="en-GB" w:eastAsia="en-US"/>
        </w:rPr>
        <w:t>ganciclovir/valganciclovir</w:t>
      </w:r>
      <w:r w:rsidR="00BA383B">
        <w:rPr>
          <w:lang w:val="en-GB" w:eastAsia="en-US"/>
        </w:rPr>
        <w:t xml:space="preserve"> are for prophylaxis of CMV, and </w:t>
      </w:r>
      <w:r w:rsidR="00BA383B">
        <w:rPr>
          <w:rFonts w:asciiTheme="minorHAnsi" w:hAnsiTheme="minorHAnsi"/>
          <w:snapToGrid w:val="0"/>
          <w:lang w:val="en-GB" w:eastAsia="en-US"/>
        </w:rPr>
        <w:t xml:space="preserve">that </w:t>
      </w:r>
      <w:r w:rsidR="007D2342">
        <w:rPr>
          <w:rFonts w:asciiTheme="minorHAnsi" w:hAnsiTheme="minorHAnsi"/>
          <w:snapToGrid w:val="0"/>
          <w:lang w:val="en-GB" w:eastAsia="en-US"/>
        </w:rPr>
        <w:t xml:space="preserve">both </w:t>
      </w:r>
      <w:r w:rsidR="00BA383B">
        <w:rPr>
          <w:rFonts w:asciiTheme="minorHAnsi" w:hAnsiTheme="minorHAnsi"/>
          <w:snapToGrid w:val="0"/>
          <w:lang w:val="en-GB" w:eastAsia="en-US"/>
        </w:rPr>
        <w:t xml:space="preserve">clinical advice and the PBS utilisation </w:t>
      </w:r>
      <w:r w:rsidR="00B957AD">
        <w:rPr>
          <w:rFonts w:asciiTheme="minorHAnsi" w:hAnsiTheme="minorHAnsi"/>
          <w:snapToGrid w:val="0"/>
          <w:lang w:val="en-GB" w:eastAsia="en-US"/>
        </w:rPr>
        <w:t xml:space="preserve">of these drugs </w:t>
      </w:r>
      <w:r w:rsidR="00BA383B">
        <w:rPr>
          <w:rFonts w:asciiTheme="minorHAnsi" w:hAnsiTheme="minorHAnsi"/>
          <w:snapToGrid w:val="0"/>
          <w:lang w:val="en-GB" w:eastAsia="en-US"/>
        </w:rPr>
        <w:t xml:space="preserve">suggest that </w:t>
      </w:r>
      <w:r w:rsidR="00B32B79">
        <w:rPr>
          <w:rFonts w:asciiTheme="minorHAnsi" w:hAnsiTheme="minorHAnsi"/>
          <w:snapToGrid w:val="0"/>
          <w:lang w:val="en-GB" w:eastAsia="en-US"/>
        </w:rPr>
        <w:t xml:space="preserve">there is substantial use of the prophylaxis listings for </w:t>
      </w:r>
      <w:r w:rsidR="00B32B79" w:rsidRPr="0030053B">
        <w:rPr>
          <w:lang w:val="en-GB" w:eastAsia="en-US"/>
        </w:rPr>
        <w:t>ganciclovir/valganciclovir</w:t>
      </w:r>
      <w:r w:rsidR="00B32B79">
        <w:rPr>
          <w:lang w:val="en-GB" w:eastAsia="en-US"/>
        </w:rPr>
        <w:t xml:space="preserve"> for treatment of CMV disease. T</w:t>
      </w:r>
      <w:r w:rsidR="00BA383B">
        <w:rPr>
          <w:lang w:val="en-GB" w:eastAsia="en-US"/>
        </w:rPr>
        <w:t xml:space="preserve">he Committee considered that changes to these </w:t>
      </w:r>
      <w:r w:rsidR="00B32B79">
        <w:rPr>
          <w:lang w:val="en-GB" w:eastAsia="en-US"/>
        </w:rPr>
        <w:t>restrictions</w:t>
      </w:r>
      <w:r w:rsidR="00BA383B">
        <w:rPr>
          <w:lang w:val="en-GB" w:eastAsia="en-US"/>
        </w:rPr>
        <w:t xml:space="preserve"> may </w:t>
      </w:r>
      <w:proofErr w:type="gramStart"/>
      <w:r w:rsidR="007D2342">
        <w:rPr>
          <w:lang w:val="en-GB" w:eastAsia="en-US"/>
        </w:rPr>
        <w:t xml:space="preserve">be </w:t>
      </w:r>
      <w:r w:rsidR="00BA383B">
        <w:rPr>
          <w:lang w:val="en-GB" w:eastAsia="en-US"/>
        </w:rPr>
        <w:t>required</w:t>
      </w:r>
      <w:proofErr w:type="gramEnd"/>
      <w:r w:rsidR="00BA383B">
        <w:rPr>
          <w:lang w:val="en-GB" w:eastAsia="en-US"/>
        </w:rPr>
        <w:t xml:space="preserve"> to ensure that </w:t>
      </w:r>
      <w:r w:rsidR="00B32B79" w:rsidRPr="0030053B">
        <w:rPr>
          <w:lang w:val="en-GB" w:eastAsia="en-US"/>
        </w:rPr>
        <w:t>ganciclovir/valganciclovir</w:t>
      </w:r>
      <w:r w:rsidR="00B32B79">
        <w:rPr>
          <w:lang w:val="en-GB" w:eastAsia="en-US"/>
        </w:rPr>
        <w:t xml:space="preserve"> </w:t>
      </w:r>
      <w:r w:rsidR="00BA383B">
        <w:rPr>
          <w:lang w:val="en-GB" w:eastAsia="en-US"/>
        </w:rPr>
        <w:t>remain as the first-line option for patients with CMV disease</w:t>
      </w:r>
      <w:r w:rsidR="00B32B79">
        <w:rPr>
          <w:lang w:val="en-GB" w:eastAsia="en-US"/>
        </w:rPr>
        <w:t>, particularly if maribavir was to be listed on the PBS</w:t>
      </w:r>
      <w:r w:rsidR="00BA383B">
        <w:rPr>
          <w:lang w:val="en-GB" w:eastAsia="en-US"/>
        </w:rPr>
        <w:t>.</w:t>
      </w:r>
      <w:r w:rsidR="00B32B79">
        <w:rPr>
          <w:lang w:val="en-GB" w:eastAsia="en-US"/>
        </w:rPr>
        <w:t xml:space="preserve"> The PBAC also noted that </w:t>
      </w:r>
      <w:r w:rsidR="00B957AD">
        <w:rPr>
          <w:lang w:val="en-GB" w:eastAsia="en-US"/>
        </w:rPr>
        <w:t xml:space="preserve">there may be </w:t>
      </w:r>
      <w:proofErr w:type="gramStart"/>
      <w:r w:rsidR="00B957AD">
        <w:rPr>
          <w:lang w:val="en-GB" w:eastAsia="en-US"/>
        </w:rPr>
        <w:t>some</w:t>
      </w:r>
      <w:proofErr w:type="gramEnd"/>
      <w:r w:rsidR="00B957AD">
        <w:rPr>
          <w:lang w:val="en-GB" w:eastAsia="en-US"/>
        </w:rPr>
        <w:t xml:space="preserve"> use of letermovir </w:t>
      </w:r>
      <w:r w:rsidR="00746515">
        <w:rPr>
          <w:lang w:val="en-GB" w:eastAsia="en-US"/>
        </w:rPr>
        <w:t>as an alternative</w:t>
      </w:r>
      <w:r w:rsidR="00B957AD">
        <w:rPr>
          <w:lang w:val="en-GB" w:eastAsia="en-US"/>
        </w:rPr>
        <w:t xml:space="preserve"> treatment of CMV disease</w:t>
      </w:r>
      <w:r w:rsidR="00097922">
        <w:rPr>
          <w:lang w:val="en-GB" w:eastAsia="en-US"/>
        </w:rPr>
        <w:t>.</w:t>
      </w:r>
    </w:p>
    <w:p w14:paraId="03B25B34" w14:textId="4FF29724" w:rsidR="00830528" w:rsidRDefault="00C666ED" w:rsidP="00462763">
      <w:pPr>
        <w:pStyle w:val="3-BodyText"/>
        <w:widowControl w:val="0"/>
        <w:rPr>
          <w:lang w:val="en-GB" w:eastAsia="en-US"/>
        </w:rPr>
      </w:pPr>
      <w:r w:rsidRPr="00435BD8">
        <w:rPr>
          <w:lang w:val="en-GB" w:eastAsia="en-US"/>
        </w:rPr>
        <w:t xml:space="preserve">The PBAC noted the primary clinical evidence presented in the submission was the </w:t>
      </w:r>
      <w:r w:rsidR="00830528">
        <w:rPr>
          <w:lang w:val="en-GB" w:eastAsia="en-US"/>
        </w:rPr>
        <w:t xml:space="preserve">open-label </w:t>
      </w:r>
      <w:r w:rsidRPr="00435BD8">
        <w:rPr>
          <w:lang w:val="en-GB" w:eastAsia="en-US"/>
        </w:rPr>
        <w:t xml:space="preserve">SOLSTICE trial, where patients </w:t>
      </w:r>
      <w:r w:rsidR="00830528">
        <w:rPr>
          <w:lang w:val="en-GB" w:eastAsia="en-US"/>
        </w:rPr>
        <w:t xml:space="preserve">with CMV infections </w:t>
      </w:r>
      <w:r w:rsidR="00103BE4">
        <w:rPr>
          <w:lang w:val="en-GB" w:eastAsia="en-US"/>
        </w:rPr>
        <w:t xml:space="preserve">who </w:t>
      </w:r>
      <w:r w:rsidR="00830528">
        <w:rPr>
          <w:lang w:val="en-GB" w:eastAsia="en-US"/>
        </w:rPr>
        <w:t>were refractory to one or more of ganciclovir, valganciclovir, fosca</w:t>
      </w:r>
      <w:r w:rsidR="00B7729C">
        <w:rPr>
          <w:lang w:val="en-GB" w:eastAsia="en-US"/>
        </w:rPr>
        <w:t>r</w:t>
      </w:r>
      <w:r w:rsidR="00830528">
        <w:rPr>
          <w:lang w:val="en-GB" w:eastAsia="en-US"/>
        </w:rPr>
        <w:t xml:space="preserve">net or cidofovir, </w:t>
      </w:r>
      <w:proofErr w:type="gramStart"/>
      <w:r w:rsidRPr="00435BD8">
        <w:rPr>
          <w:lang w:val="en-GB" w:eastAsia="en-US"/>
        </w:rPr>
        <w:t xml:space="preserve">were </w:t>
      </w:r>
      <w:r w:rsidR="00435BD8" w:rsidRPr="00435BD8">
        <w:rPr>
          <w:lang w:val="en-GB" w:eastAsia="en-US"/>
        </w:rPr>
        <w:t>treated</w:t>
      </w:r>
      <w:proofErr w:type="gramEnd"/>
      <w:r w:rsidR="00435BD8" w:rsidRPr="00435BD8">
        <w:rPr>
          <w:lang w:val="en-GB" w:eastAsia="en-US"/>
        </w:rPr>
        <w:t xml:space="preserve"> with maribavir or IAT</w:t>
      </w:r>
      <w:r w:rsidR="00A118E9">
        <w:rPr>
          <w:lang w:val="en-GB" w:eastAsia="en-US"/>
        </w:rPr>
        <w:t xml:space="preserve"> (ganciclovir or valganciclovir at standard or increased dose, or foscarnet or cidofovir based on investigator choice)</w:t>
      </w:r>
      <w:r w:rsidR="00435BD8" w:rsidRPr="00435BD8">
        <w:rPr>
          <w:lang w:val="en-GB" w:eastAsia="en-US"/>
        </w:rPr>
        <w:t xml:space="preserve">. </w:t>
      </w:r>
      <w:r w:rsidR="00830528">
        <w:rPr>
          <w:lang w:val="en-GB" w:eastAsia="en-US"/>
        </w:rPr>
        <w:t xml:space="preserve">The Committee noted that 46% of patients who were resistant to ganciclovir/valganciclovir were nonetheless treated with ganciclovir/valganciclovir in the IAT arm, with a switch to the ‘maribavir rescue arm’ being allowed after 3 weeks if patients had rising </w:t>
      </w:r>
      <w:r w:rsidR="003F2CC0">
        <w:rPr>
          <w:lang w:val="en-GB" w:eastAsia="en-US"/>
        </w:rPr>
        <w:t>viraemia</w:t>
      </w:r>
      <w:r w:rsidR="00830528">
        <w:rPr>
          <w:lang w:val="en-GB" w:eastAsia="en-US"/>
        </w:rPr>
        <w:t xml:space="preserve"> from baseline, tissue invasive CMV that became worse and rising </w:t>
      </w:r>
      <w:r w:rsidR="003F2CC0">
        <w:rPr>
          <w:lang w:val="en-GB" w:eastAsia="en-US"/>
        </w:rPr>
        <w:t>viraemia</w:t>
      </w:r>
      <w:r w:rsidR="00830528">
        <w:rPr>
          <w:lang w:val="en-GB" w:eastAsia="en-US"/>
        </w:rPr>
        <w:t xml:space="preserve">, or if CMV </w:t>
      </w:r>
      <w:r w:rsidR="003F2CC0">
        <w:rPr>
          <w:lang w:val="en-GB" w:eastAsia="en-US"/>
        </w:rPr>
        <w:t>viraemia</w:t>
      </w:r>
      <w:r w:rsidR="00830528">
        <w:rPr>
          <w:lang w:val="en-GB" w:eastAsia="en-US"/>
        </w:rPr>
        <w:t xml:space="preserve"> was not cleared and anti-CMV treatment was necessary and there was intolerance to the IAT. </w:t>
      </w:r>
      <w:r w:rsidR="00441E21">
        <w:rPr>
          <w:lang w:val="en-GB" w:eastAsia="en-US"/>
        </w:rPr>
        <w:t xml:space="preserve">The PBAC considered that </w:t>
      </w:r>
      <w:r w:rsidR="00A118E9">
        <w:rPr>
          <w:lang w:val="en-GB" w:eastAsia="en-US"/>
        </w:rPr>
        <w:t xml:space="preserve">number of patients who switched to the </w:t>
      </w:r>
      <w:r w:rsidR="00627E76">
        <w:rPr>
          <w:lang w:val="en-GB" w:eastAsia="en-US"/>
        </w:rPr>
        <w:t>m</w:t>
      </w:r>
      <w:r w:rsidR="00A118E9">
        <w:rPr>
          <w:lang w:val="en-GB" w:eastAsia="en-US"/>
        </w:rPr>
        <w:t>aribavir res</w:t>
      </w:r>
      <w:r w:rsidR="00627E76">
        <w:rPr>
          <w:lang w:val="en-GB" w:eastAsia="en-US"/>
        </w:rPr>
        <w:t>c</w:t>
      </w:r>
      <w:r w:rsidR="00A118E9">
        <w:rPr>
          <w:lang w:val="en-GB" w:eastAsia="en-US"/>
        </w:rPr>
        <w:t xml:space="preserve">ue arm </w:t>
      </w:r>
      <w:r w:rsidR="00627E76">
        <w:rPr>
          <w:lang w:val="en-GB" w:eastAsia="en-US"/>
        </w:rPr>
        <w:t xml:space="preserve">(22) and </w:t>
      </w:r>
      <w:r w:rsidR="00441E21" w:rsidRPr="00421405">
        <w:rPr>
          <w:iCs/>
        </w:rPr>
        <w:t xml:space="preserve">the high rate of discontinuations in patients prior to 8 weeks in the IAT comparator arm </w:t>
      </w:r>
      <w:r w:rsidR="007D2342">
        <w:rPr>
          <w:iCs/>
        </w:rPr>
        <w:t xml:space="preserve">(65.7%) </w:t>
      </w:r>
      <w:r w:rsidR="00627E76">
        <w:rPr>
          <w:iCs/>
        </w:rPr>
        <w:t xml:space="preserve">potentially biased the </w:t>
      </w:r>
      <w:r w:rsidR="007D2342">
        <w:rPr>
          <w:iCs/>
        </w:rPr>
        <w:t>outcomes in favour of maribavir</w:t>
      </w:r>
      <w:r w:rsidR="00627E76">
        <w:rPr>
          <w:iCs/>
        </w:rPr>
        <w:t xml:space="preserve"> and </w:t>
      </w:r>
      <w:r w:rsidR="00441E21">
        <w:rPr>
          <w:iCs/>
        </w:rPr>
        <w:t>made it difficult to interpret</w:t>
      </w:r>
      <w:r w:rsidR="00441E21" w:rsidRPr="00421405">
        <w:rPr>
          <w:iCs/>
        </w:rPr>
        <w:t xml:space="preserve"> the trial results.</w:t>
      </w:r>
      <w:r w:rsidR="00830528">
        <w:rPr>
          <w:lang w:val="en-GB" w:eastAsia="en-US"/>
        </w:rPr>
        <w:t xml:space="preserve"> </w:t>
      </w:r>
    </w:p>
    <w:p w14:paraId="49BC49EA" w14:textId="479A5998" w:rsidR="00435BD8" w:rsidRDefault="00830528" w:rsidP="00462763">
      <w:pPr>
        <w:pStyle w:val="3-BodyText"/>
        <w:widowControl w:val="0"/>
        <w:rPr>
          <w:lang w:val="en-GB" w:eastAsia="en-US"/>
        </w:rPr>
      </w:pPr>
      <w:r w:rsidRPr="005D032A">
        <w:rPr>
          <w:lang w:val="en-GB" w:eastAsia="en-US"/>
        </w:rPr>
        <w:t>T</w:t>
      </w:r>
      <w:r w:rsidR="00435BD8" w:rsidRPr="005D032A">
        <w:rPr>
          <w:lang w:val="en-GB" w:eastAsia="en-US"/>
        </w:rPr>
        <w:t>he PBAC noted that</w:t>
      </w:r>
      <w:r w:rsidR="007B71DE">
        <w:rPr>
          <w:lang w:val="en-GB" w:eastAsia="en-US"/>
        </w:rPr>
        <w:t>,</w:t>
      </w:r>
      <w:r w:rsidR="00435BD8" w:rsidRPr="005D032A">
        <w:rPr>
          <w:lang w:val="en-GB" w:eastAsia="en-US"/>
        </w:rPr>
        <w:t xml:space="preserve"> </w:t>
      </w:r>
      <w:r w:rsidR="007B71DE" w:rsidRPr="005D032A">
        <w:rPr>
          <w:lang w:val="en-GB" w:eastAsia="en-US"/>
        </w:rPr>
        <w:t>in SOLSTICE</w:t>
      </w:r>
      <w:r w:rsidR="007B71DE">
        <w:rPr>
          <w:lang w:val="en-GB" w:eastAsia="en-US"/>
        </w:rPr>
        <w:t>,</w:t>
      </w:r>
      <w:r w:rsidR="007B71DE" w:rsidRPr="005D032A">
        <w:rPr>
          <w:lang w:val="en-GB" w:eastAsia="en-US"/>
        </w:rPr>
        <w:t xml:space="preserve"> </w:t>
      </w:r>
      <w:r w:rsidR="00435BD8" w:rsidRPr="005D032A">
        <w:rPr>
          <w:lang w:val="en-GB" w:eastAsia="en-US"/>
        </w:rPr>
        <w:t xml:space="preserve">CMV </w:t>
      </w:r>
      <w:r w:rsidR="003F2CC0">
        <w:rPr>
          <w:lang w:val="en-GB" w:eastAsia="en-US"/>
        </w:rPr>
        <w:t>viraemia</w:t>
      </w:r>
      <w:r w:rsidR="00435BD8" w:rsidRPr="005D032A">
        <w:rPr>
          <w:lang w:val="en-GB" w:eastAsia="en-US"/>
        </w:rPr>
        <w:t xml:space="preserve"> clearance at 8 weeks was higher in patients treated </w:t>
      </w:r>
      <w:r w:rsidR="005D032A" w:rsidRPr="005D032A">
        <w:rPr>
          <w:lang w:val="en-GB" w:eastAsia="en-US"/>
        </w:rPr>
        <w:t xml:space="preserve">with </w:t>
      </w:r>
      <w:r w:rsidR="00435BD8" w:rsidRPr="005D032A">
        <w:rPr>
          <w:lang w:val="en-GB" w:eastAsia="en-US"/>
        </w:rPr>
        <w:t>maribavir compared to IAT (</w:t>
      </w:r>
      <w:r w:rsidRPr="005D032A">
        <w:rPr>
          <w:lang w:val="en-GB" w:eastAsia="en-US"/>
        </w:rPr>
        <w:t>131/235 (</w:t>
      </w:r>
      <w:r w:rsidR="00435BD8" w:rsidRPr="005D032A">
        <w:rPr>
          <w:lang w:val="en-GB" w:eastAsia="en-US"/>
        </w:rPr>
        <w:t>55.7%</w:t>
      </w:r>
      <w:r w:rsidRPr="005D032A">
        <w:rPr>
          <w:lang w:val="en-GB" w:eastAsia="en-US"/>
        </w:rPr>
        <w:t>)</w:t>
      </w:r>
      <w:r w:rsidR="00435BD8" w:rsidRPr="005D032A">
        <w:rPr>
          <w:lang w:val="en-GB" w:eastAsia="en-US"/>
        </w:rPr>
        <w:t xml:space="preserve"> versus </w:t>
      </w:r>
      <w:r w:rsidRPr="005D032A">
        <w:rPr>
          <w:lang w:val="en-GB" w:eastAsia="en-US"/>
        </w:rPr>
        <w:t>28/117 (</w:t>
      </w:r>
      <w:r w:rsidR="00435BD8" w:rsidRPr="005D032A">
        <w:rPr>
          <w:lang w:val="en-GB" w:eastAsia="en-US"/>
        </w:rPr>
        <w:t>2</w:t>
      </w:r>
      <w:r w:rsidRPr="005D032A">
        <w:rPr>
          <w:lang w:val="en-GB" w:eastAsia="en-US"/>
        </w:rPr>
        <w:t>3</w:t>
      </w:r>
      <w:r w:rsidR="00435BD8" w:rsidRPr="005D032A">
        <w:rPr>
          <w:lang w:val="en-GB" w:eastAsia="en-US"/>
        </w:rPr>
        <w:t>.9%)</w:t>
      </w:r>
      <w:r w:rsidRPr="005D032A">
        <w:rPr>
          <w:lang w:val="en-GB" w:eastAsia="en-US"/>
        </w:rPr>
        <w:t xml:space="preserve">) </w:t>
      </w:r>
      <w:r w:rsidR="005D032A" w:rsidRPr="005D032A">
        <w:rPr>
          <w:lang w:val="en-GB" w:eastAsia="en-US"/>
        </w:rPr>
        <w:t xml:space="preserve">and </w:t>
      </w:r>
      <w:r w:rsidRPr="005D032A">
        <w:rPr>
          <w:lang w:val="en-GB" w:eastAsia="en-US"/>
        </w:rPr>
        <w:t>76/121 (</w:t>
      </w:r>
      <w:r w:rsidR="00435BD8" w:rsidRPr="005D032A">
        <w:rPr>
          <w:lang w:val="en-GB" w:eastAsia="en-US"/>
        </w:rPr>
        <w:t>62.8%</w:t>
      </w:r>
      <w:r w:rsidRPr="005D032A">
        <w:rPr>
          <w:lang w:val="en-GB" w:eastAsia="en-US"/>
        </w:rPr>
        <w:t>)</w:t>
      </w:r>
      <w:r w:rsidR="00435BD8" w:rsidRPr="005D032A">
        <w:rPr>
          <w:lang w:val="en-GB" w:eastAsia="en-US"/>
        </w:rPr>
        <w:t xml:space="preserve"> of patients who had CMV that was resistant to ganciclovir, foscarnet or cidofovir at baseline responded to maribavir at 8 weeks. </w:t>
      </w:r>
      <w:r w:rsidR="00435BD8">
        <w:rPr>
          <w:lang w:val="en-GB" w:eastAsia="en-US"/>
        </w:rPr>
        <w:t xml:space="preserve">The PBAC noted that maribavir resistance developed during treatment in </w:t>
      </w:r>
      <w:proofErr w:type="gramStart"/>
      <w:r w:rsidR="00435BD8">
        <w:rPr>
          <w:lang w:val="en-GB" w:eastAsia="en-US"/>
        </w:rPr>
        <w:t>42</w:t>
      </w:r>
      <w:proofErr w:type="gramEnd"/>
      <w:r w:rsidR="00435BD8">
        <w:rPr>
          <w:lang w:val="en-GB" w:eastAsia="en-US"/>
        </w:rPr>
        <w:t xml:space="preserve"> patients treated with maribavir (17.9% of all patients) and this was associated with treatment failure. </w:t>
      </w:r>
    </w:p>
    <w:p w14:paraId="542843F9" w14:textId="729C9762" w:rsidR="00F342AB" w:rsidRDefault="003704FE" w:rsidP="00257861">
      <w:pPr>
        <w:pStyle w:val="3-BodyText"/>
        <w:widowControl w:val="0"/>
        <w:rPr>
          <w:lang w:val="en-GB" w:eastAsia="en-US"/>
        </w:rPr>
      </w:pPr>
      <w:r w:rsidRPr="003704FE">
        <w:rPr>
          <w:lang w:val="en-GB" w:eastAsia="en-US"/>
        </w:rPr>
        <w:t xml:space="preserve">The PBAC noted that </w:t>
      </w:r>
      <w:r w:rsidR="00D76D70">
        <w:rPr>
          <w:lang w:val="en-GB" w:eastAsia="en-US"/>
        </w:rPr>
        <w:t xml:space="preserve">based on the </w:t>
      </w:r>
      <w:r w:rsidR="00D76D70" w:rsidRPr="003704FE">
        <w:rPr>
          <w:lang w:val="en-GB" w:eastAsia="en-US"/>
        </w:rPr>
        <w:t xml:space="preserve">NCT02927067 trial </w:t>
      </w:r>
      <w:r w:rsidRPr="003704FE">
        <w:rPr>
          <w:lang w:val="en-GB" w:eastAsia="en-US"/>
        </w:rPr>
        <w:t xml:space="preserve">there was no significant difference between maribavir and valganciclovir </w:t>
      </w:r>
      <w:r w:rsidR="00D76D70">
        <w:rPr>
          <w:lang w:val="en-GB" w:eastAsia="en-US"/>
        </w:rPr>
        <w:t xml:space="preserve">in patients </w:t>
      </w:r>
      <w:r w:rsidR="00103BE4">
        <w:rPr>
          <w:lang w:val="en-GB" w:eastAsia="en-US"/>
        </w:rPr>
        <w:t>following</w:t>
      </w:r>
      <w:r w:rsidR="00D76D70">
        <w:rPr>
          <w:lang w:val="en-GB" w:eastAsia="en-US"/>
        </w:rPr>
        <w:t xml:space="preserve"> HSCT. The PBAC </w:t>
      </w:r>
      <w:r w:rsidR="000134BC">
        <w:rPr>
          <w:lang w:val="en-GB" w:eastAsia="en-US"/>
        </w:rPr>
        <w:t>noted</w:t>
      </w:r>
      <w:r>
        <w:rPr>
          <w:lang w:val="en-GB" w:eastAsia="en-US"/>
        </w:rPr>
        <w:t xml:space="preserve"> </w:t>
      </w:r>
      <w:r w:rsidRPr="003704FE">
        <w:rPr>
          <w:lang w:val="en-GB" w:eastAsia="en-US"/>
        </w:rPr>
        <w:t xml:space="preserve">that the SOLSTICE </w:t>
      </w:r>
      <w:r w:rsidR="00103BE4">
        <w:rPr>
          <w:lang w:val="en-GB" w:eastAsia="en-US"/>
        </w:rPr>
        <w:t>patient population</w:t>
      </w:r>
      <w:r w:rsidR="00103BE4" w:rsidRPr="003704FE">
        <w:rPr>
          <w:lang w:val="en-GB" w:eastAsia="en-US"/>
        </w:rPr>
        <w:t xml:space="preserve"> </w:t>
      </w:r>
      <w:r w:rsidRPr="003704FE">
        <w:rPr>
          <w:lang w:val="en-GB" w:eastAsia="en-US"/>
        </w:rPr>
        <w:t xml:space="preserve">was more </w:t>
      </w:r>
      <w:r w:rsidR="00103BE4">
        <w:rPr>
          <w:lang w:val="en-GB" w:eastAsia="en-US"/>
        </w:rPr>
        <w:t>consistent</w:t>
      </w:r>
      <w:r w:rsidRPr="003704FE">
        <w:rPr>
          <w:lang w:val="en-GB" w:eastAsia="en-US"/>
        </w:rPr>
        <w:t xml:space="preserve"> with the proposed PB</w:t>
      </w:r>
      <w:r w:rsidR="00103BE4">
        <w:rPr>
          <w:lang w:val="en-GB" w:eastAsia="en-US"/>
        </w:rPr>
        <w:t>S</w:t>
      </w:r>
      <w:r w:rsidRPr="003704FE">
        <w:rPr>
          <w:lang w:val="en-GB" w:eastAsia="en-US"/>
        </w:rPr>
        <w:t xml:space="preserve"> population</w:t>
      </w:r>
      <w:r>
        <w:rPr>
          <w:lang w:val="en-GB" w:eastAsia="en-US"/>
        </w:rPr>
        <w:t xml:space="preserve"> </w:t>
      </w:r>
      <w:r w:rsidR="00D76D70">
        <w:rPr>
          <w:lang w:val="en-GB" w:eastAsia="en-US"/>
        </w:rPr>
        <w:t xml:space="preserve">as </w:t>
      </w:r>
      <w:r w:rsidR="00D76D70" w:rsidRPr="003704FE">
        <w:rPr>
          <w:lang w:val="en-GB" w:eastAsia="en-US"/>
        </w:rPr>
        <w:t>NCT02927067</w:t>
      </w:r>
      <w:r>
        <w:rPr>
          <w:lang w:val="en-GB" w:eastAsia="en-US"/>
        </w:rPr>
        <w:t xml:space="preserve"> </w:t>
      </w:r>
      <w:r w:rsidR="006B51BF">
        <w:rPr>
          <w:lang w:val="en-GB" w:eastAsia="en-US"/>
        </w:rPr>
        <w:t>excluded</w:t>
      </w:r>
      <w:r w:rsidR="004D7497">
        <w:rPr>
          <w:lang w:val="en-GB" w:eastAsia="en-US"/>
        </w:rPr>
        <w:t xml:space="preserve"> SOT </w:t>
      </w:r>
      <w:r>
        <w:rPr>
          <w:lang w:val="en-GB" w:eastAsia="en-US"/>
        </w:rPr>
        <w:t>patients</w:t>
      </w:r>
      <w:r w:rsidR="006B51BF">
        <w:rPr>
          <w:lang w:val="en-GB" w:eastAsia="en-US"/>
        </w:rPr>
        <w:t xml:space="preserve"> and</w:t>
      </w:r>
      <w:r>
        <w:rPr>
          <w:lang w:val="en-GB" w:eastAsia="en-US"/>
        </w:rPr>
        <w:t xml:space="preserve"> </w:t>
      </w:r>
      <w:r w:rsidR="004D7497">
        <w:rPr>
          <w:lang w:val="en-GB" w:eastAsia="en-US"/>
        </w:rPr>
        <w:t xml:space="preserve">patients </w:t>
      </w:r>
      <w:r>
        <w:rPr>
          <w:lang w:val="en-GB" w:eastAsia="en-US"/>
        </w:rPr>
        <w:t xml:space="preserve">with CMV mutations conferring resistance to ganciclovir, patients must have been experiencing their first post-transplant CMV infection and </w:t>
      </w:r>
      <w:r w:rsidR="00D76D70">
        <w:rPr>
          <w:lang w:val="en-GB" w:eastAsia="en-US"/>
        </w:rPr>
        <w:t xml:space="preserve">patients </w:t>
      </w:r>
      <w:r>
        <w:rPr>
          <w:lang w:val="en-GB" w:eastAsia="en-US"/>
        </w:rPr>
        <w:t>must not have had CMV organ disease</w:t>
      </w:r>
      <w:r w:rsidR="00F342AB" w:rsidRPr="003704FE">
        <w:rPr>
          <w:lang w:val="en-GB" w:eastAsia="en-US"/>
        </w:rPr>
        <w:t>.</w:t>
      </w:r>
      <w:r w:rsidR="00D76D70">
        <w:rPr>
          <w:lang w:val="en-GB" w:eastAsia="en-US"/>
        </w:rPr>
        <w:t xml:space="preserve"> However, the PBAC considered that the results of this trial suggested that maribavir may be inferior to valganciclovir in patients with HSCT.</w:t>
      </w:r>
    </w:p>
    <w:p w14:paraId="7C5131A6" w14:textId="07AD13FA" w:rsidR="00A756E9" w:rsidRDefault="00A756E9" w:rsidP="00257861">
      <w:pPr>
        <w:pStyle w:val="3-BodyText"/>
        <w:widowControl w:val="0"/>
        <w:rPr>
          <w:lang w:val="en-GB" w:eastAsia="en-US"/>
        </w:rPr>
      </w:pPr>
      <w:r>
        <w:rPr>
          <w:lang w:val="en-GB" w:eastAsia="en-US"/>
        </w:rPr>
        <w:t xml:space="preserve">The PBAC considered </w:t>
      </w:r>
      <w:r w:rsidR="006B51BF">
        <w:rPr>
          <w:lang w:val="en-GB" w:eastAsia="en-US"/>
        </w:rPr>
        <w:t xml:space="preserve">the </w:t>
      </w:r>
      <w:r w:rsidR="0067135F">
        <w:rPr>
          <w:lang w:val="en-GB" w:eastAsia="en-US"/>
        </w:rPr>
        <w:t xml:space="preserve">SOLTICE </w:t>
      </w:r>
      <w:r w:rsidR="006B51BF">
        <w:rPr>
          <w:lang w:val="en-GB" w:eastAsia="en-US"/>
        </w:rPr>
        <w:t xml:space="preserve">trial </w:t>
      </w:r>
      <w:r w:rsidR="0067135F">
        <w:rPr>
          <w:lang w:val="en-GB" w:eastAsia="en-US"/>
        </w:rPr>
        <w:t xml:space="preserve">suggests an advantage for </w:t>
      </w:r>
      <w:r w:rsidR="006B51BF">
        <w:rPr>
          <w:lang w:val="en-GB" w:eastAsia="en-US"/>
        </w:rPr>
        <w:t>maribavir</w:t>
      </w:r>
      <w:r w:rsidR="0067135F">
        <w:rPr>
          <w:lang w:val="en-GB" w:eastAsia="en-US"/>
        </w:rPr>
        <w:t xml:space="preserve"> in achieving clearance, </w:t>
      </w:r>
      <w:r w:rsidR="006B51BF">
        <w:rPr>
          <w:lang w:val="en-GB" w:eastAsia="en-US"/>
        </w:rPr>
        <w:t xml:space="preserve">however </w:t>
      </w:r>
      <w:r w:rsidR="0067135F">
        <w:rPr>
          <w:lang w:val="en-GB" w:eastAsia="en-US"/>
        </w:rPr>
        <w:t xml:space="preserve">the </w:t>
      </w:r>
      <w:r w:rsidR="00AC535D">
        <w:rPr>
          <w:lang w:val="en-GB" w:eastAsia="en-US"/>
        </w:rPr>
        <w:t>level</w:t>
      </w:r>
      <w:r w:rsidR="0067135F">
        <w:rPr>
          <w:lang w:val="en-GB" w:eastAsia="en-US"/>
        </w:rPr>
        <w:t xml:space="preserve"> </w:t>
      </w:r>
      <w:r w:rsidR="004F40B5">
        <w:rPr>
          <w:lang w:val="en-GB" w:eastAsia="en-US"/>
        </w:rPr>
        <w:t xml:space="preserve">of benefit for maribavir was uncertain </w:t>
      </w:r>
      <w:r w:rsidR="00097922">
        <w:rPr>
          <w:lang w:val="en-GB" w:eastAsia="en-US"/>
        </w:rPr>
        <w:t xml:space="preserve">due to the </w:t>
      </w:r>
      <w:r>
        <w:rPr>
          <w:lang w:val="en-GB" w:eastAsia="en-US"/>
        </w:rPr>
        <w:t xml:space="preserve">high risk of bias in the open-label SOLSTICE trial, which was confounded by the </w:t>
      </w:r>
      <w:r w:rsidR="00AC535D">
        <w:rPr>
          <w:lang w:val="en-GB" w:eastAsia="en-US"/>
        </w:rPr>
        <w:lastRenderedPageBreak/>
        <w:t xml:space="preserve">relatively high </w:t>
      </w:r>
      <w:r>
        <w:rPr>
          <w:lang w:val="en-GB" w:eastAsia="en-US"/>
        </w:rPr>
        <w:t xml:space="preserve">drop-out rate in the IAT arm and the extent of cross-over, and </w:t>
      </w:r>
      <w:r w:rsidR="00097922">
        <w:rPr>
          <w:lang w:val="en-GB" w:eastAsia="en-US"/>
        </w:rPr>
        <w:t xml:space="preserve">given </w:t>
      </w:r>
      <w:r>
        <w:rPr>
          <w:lang w:val="en-GB" w:eastAsia="en-US"/>
        </w:rPr>
        <w:t>that the results of the NCT02927067 trial</w:t>
      </w:r>
      <w:r w:rsidR="00097922">
        <w:rPr>
          <w:lang w:val="en-GB" w:eastAsia="en-US"/>
        </w:rPr>
        <w:t xml:space="preserve"> in HSCT </w:t>
      </w:r>
      <w:r w:rsidR="004F40B5">
        <w:rPr>
          <w:lang w:val="en-GB" w:eastAsia="en-US"/>
        </w:rPr>
        <w:t xml:space="preserve">patients </w:t>
      </w:r>
      <w:r w:rsidR="00097922">
        <w:rPr>
          <w:lang w:val="en-GB" w:eastAsia="en-US"/>
        </w:rPr>
        <w:t xml:space="preserve">showed maribavir </w:t>
      </w:r>
      <w:r w:rsidR="007B71DE">
        <w:rPr>
          <w:lang w:val="en-GB" w:eastAsia="en-US"/>
        </w:rPr>
        <w:t>may be inferior to valganciclovir</w:t>
      </w:r>
      <w:r>
        <w:rPr>
          <w:lang w:val="en-GB" w:eastAsia="en-US"/>
        </w:rPr>
        <w:t xml:space="preserve">. </w:t>
      </w:r>
    </w:p>
    <w:p w14:paraId="108E6A84" w14:textId="78401AF3" w:rsidR="002A46F1" w:rsidRPr="003704FE" w:rsidRDefault="002A46F1" w:rsidP="00257861">
      <w:pPr>
        <w:pStyle w:val="3-BodyText"/>
        <w:widowControl w:val="0"/>
        <w:rPr>
          <w:lang w:val="en-GB" w:eastAsia="en-US"/>
        </w:rPr>
      </w:pPr>
      <w:r>
        <w:rPr>
          <w:lang w:val="en-GB" w:eastAsia="en-US"/>
        </w:rPr>
        <w:t xml:space="preserve">The PBAC </w:t>
      </w:r>
      <w:r w:rsidR="00AC535D">
        <w:rPr>
          <w:lang w:val="en-GB" w:eastAsia="en-US"/>
        </w:rPr>
        <w:t xml:space="preserve">acknowledged that maribavir appears to have a different safety profile compared with standard medical management, but </w:t>
      </w:r>
      <w:r>
        <w:rPr>
          <w:lang w:val="en-GB" w:eastAsia="en-US"/>
        </w:rPr>
        <w:t>considered that maribavir was not superior to standard medical management in terms of safety, and that a claim of non</w:t>
      </w:r>
      <w:r w:rsidR="00AC535D">
        <w:rPr>
          <w:lang w:val="en-GB" w:eastAsia="en-US"/>
        </w:rPr>
        <w:noBreakHyphen/>
      </w:r>
      <w:r>
        <w:rPr>
          <w:lang w:val="en-GB" w:eastAsia="en-US"/>
        </w:rPr>
        <w:t xml:space="preserve">inferior safety would be more </w:t>
      </w:r>
      <w:r w:rsidR="00C571DA">
        <w:rPr>
          <w:lang w:val="en-GB" w:eastAsia="en-US"/>
        </w:rPr>
        <w:t>reasonable</w:t>
      </w:r>
      <w:r>
        <w:rPr>
          <w:lang w:val="en-GB" w:eastAsia="en-US"/>
        </w:rPr>
        <w:t xml:space="preserve">. The </w:t>
      </w:r>
      <w:r w:rsidR="0076639F">
        <w:rPr>
          <w:lang w:val="en-GB" w:eastAsia="en-US"/>
        </w:rPr>
        <w:t xml:space="preserve">PBAC </w:t>
      </w:r>
      <w:r>
        <w:rPr>
          <w:lang w:val="en-GB" w:eastAsia="en-US"/>
        </w:rPr>
        <w:t xml:space="preserve">noted that while there were lower rates of neutropenia and febrile neutropenia in patients treated with maribavir, the safety profile between maribavir and standard medical management was </w:t>
      </w:r>
      <w:r w:rsidR="00326F1F">
        <w:rPr>
          <w:lang w:val="en-GB" w:eastAsia="en-US"/>
        </w:rPr>
        <w:t xml:space="preserve">otherwise </w:t>
      </w:r>
      <w:r>
        <w:rPr>
          <w:lang w:val="en-GB" w:eastAsia="en-US"/>
        </w:rPr>
        <w:t xml:space="preserve">similar. The Committee additionally considered that resistance to maribavir is a significant issue. </w:t>
      </w:r>
    </w:p>
    <w:p w14:paraId="6B1A5AA1" w14:textId="2C0E1793" w:rsidR="00760E4D" w:rsidRPr="004F40B5" w:rsidRDefault="006A634C" w:rsidP="002E78F8">
      <w:pPr>
        <w:widowControl w:val="0"/>
        <w:numPr>
          <w:ilvl w:val="1"/>
          <w:numId w:val="1"/>
        </w:numPr>
        <w:spacing w:after="120"/>
        <w:rPr>
          <w:rFonts w:asciiTheme="minorHAnsi" w:hAnsiTheme="minorHAnsi"/>
          <w:snapToGrid w:val="0"/>
          <w:lang w:val="en-GB" w:eastAsia="en-US"/>
        </w:rPr>
      </w:pPr>
      <w:r w:rsidRPr="004F40B5">
        <w:rPr>
          <w:rFonts w:asciiTheme="minorHAnsi" w:hAnsiTheme="minorHAnsi"/>
          <w:snapToGrid w:val="0"/>
          <w:lang w:val="en-GB" w:eastAsia="en-US"/>
        </w:rPr>
        <w:t xml:space="preserve">The PBAC noted </w:t>
      </w:r>
      <w:r w:rsidR="004F40B5">
        <w:rPr>
          <w:rFonts w:asciiTheme="minorHAnsi" w:hAnsiTheme="minorHAnsi"/>
          <w:snapToGrid w:val="0"/>
          <w:lang w:val="en-GB" w:eastAsia="en-US"/>
        </w:rPr>
        <w:t xml:space="preserve">for the economic analysis </w:t>
      </w:r>
      <w:r w:rsidRPr="004F40B5">
        <w:rPr>
          <w:rFonts w:asciiTheme="minorHAnsi" w:hAnsiTheme="minorHAnsi"/>
          <w:snapToGrid w:val="0"/>
          <w:lang w:val="en-GB" w:eastAsia="en-US"/>
        </w:rPr>
        <w:t xml:space="preserve">the submission presented a 10-year Markov model with two stages: stage 1 from 0 to 78 weeks and stage 2 from 78 weeks to the end of the time horizon. </w:t>
      </w:r>
      <w:bookmarkStart w:id="68" w:name="_Ref152096096"/>
      <w:r w:rsidRPr="004F40B5">
        <w:rPr>
          <w:rFonts w:asciiTheme="minorHAnsi" w:hAnsiTheme="minorHAnsi"/>
          <w:snapToGrid w:val="0"/>
          <w:lang w:val="en-GB" w:eastAsia="en-US"/>
        </w:rPr>
        <w:t>The Committee noted th</w:t>
      </w:r>
      <w:r w:rsidR="004F40B5">
        <w:rPr>
          <w:rFonts w:asciiTheme="minorHAnsi" w:hAnsiTheme="minorHAnsi"/>
          <w:snapToGrid w:val="0"/>
          <w:lang w:val="en-GB" w:eastAsia="en-US"/>
        </w:rPr>
        <w:t>at as it was based on trial outcomes up to only 8 weeks, the</w:t>
      </w:r>
      <w:r w:rsidRPr="004F40B5">
        <w:rPr>
          <w:rFonts w:asciiTheme="minorHAnsi" w:hAnsiTheme="minorHAnsi"/>
          <w:snapToGrid w:val="0"/>
          <w:lang w:val="en-GB" w:eastAsia="en-US"/>
        </w:rPr>
        <w:t xml:space="preserve"> model </w:t>
      </w:r>
      <w:r w:rsidR="004F40B5">
        <w:rPr>
          <w:rFonts w:asciiTheme="minorHAnsi" w:hAnsiTheme="minorHAnsi"/>
          <w:snapToGrid w:val="0"/>
          <w:lang w:val="en-GB" w:eastAsia="en-US"/>
        </w:rPr>
        <w:t>relied</w:t>
      </w:r>
      <w:r w:rsidRPr="004F40B5">
        <w:rPr>
          <w:rFonts w:asciiTheme="minorHAnsi" w:hAnsiTheme="minorHAnsi"/>
          <w:snapToGrid w:val="0"/>
          <w:lang w:val="en-GB" w:eastAsia="en-US"/>
        </w:rPr>
        <w:t xml:space="preserve"> on multiple </w:t>
      </w:r>
      <w:r w:rsidR="004F40B5">
        <w:rPr>
          <w:rFonts w:asciiTheme="minorHAnsi" w:hAnsiTheme="minorHAnsi"/>
          <w:snapToGrid w:val="0"/>
          <w:lang w:val="en-GB" w:eastAsia="en-US"/>
        </w:rPr>
        <w:t xml:space="preserve">data sources and </w:t>
      </w:r>
      <w:r w:rsidRPr="004F40B5">
        <w:rPr>
          <w:rFonts w:asciiTheme="minorHAnsi" w:hAnsiTheme="minorHAnsi"/>
          <w:snapToGrid w:val="0"/>
          <w:lang w:val="en-GB" w:eastAsia="en-US"/>
        </w:rPr>
        <w:t>assumptions</w:t>
      </w:r>
      <w:r w:rsidR="004F40B5">
        <w:rPr>
          <w:rFonts w:asciiTheme="minorHAnsi" w:hAnsiTheme="minorHAnsi"/>
          <w:snapToGrid w:val="0"/>
          <w:lang w:val="en-GB" w:eastAsia="en-US"/>
        </w:rPr>
        <w:t xml:space="preserve"> which resulted in </w:t>
      </w:r>
      <w:proofErr w:type="gramStart"/>
      <w:r w:rsidR="004F40B5">
        <w:rPr>
          <w:rFonts w:asciiTheme="minorHAnsi" w:hAnsiTheme="minorHAnsi"/>
          <w:snapToGrid w:val="0"/>
          <w:lang w:val="en-GB" w:eastAsia="en-US"/>
        </w:rPr>
        <w:t>a high level</w:t>
      </w:r>
      <w:proofErr w:type="gramEnd"/>
      <w:r w:rsidR="004F40B5">
        <w:rPr>
          <w:rFonts w:asciiTheme="minorHAnsi" w:hAnsiTheme="minorHAnsi"/>
          <w:snapToGrid w:val="0"/>
          <w:lang w:val="en-GB" w:eastAsia="en-US"/>
        </w:rPr>
        <w:t xml:space="preserve"> of uncertainty in the modelled outcomes. </w:t>
      </w:r>
      <w:r w:rsidR="004F40B5" w:rsidRPr="004F40B5">
        <w:rPr>
          <w:rFonts w:asciiTheme="minorHAnsi" w:hAnsiTheme="minorHAnsi"/>
          <w:snapToGrid w:val="0"/>
          <w:lang w:val="en-GB" w:eastAsia="en-US"/>
        </w:rPr>
        <w:t>The Committee noted that clearance and mortality data from SOLSTICE at 8 weeks were assumed to apply for 78 weeks</w:t>
      </w:r>
      <w:r w:rsidR="00030347">
        <w:rPr>
          <w:rFonts w:asciiTheme="minorHAnsi" w:hAnsiTheme="minorHAnsi"/>
          <w:snapToGrid w:val="0"/>
          <w:lang w:val="en-GB" w:eastAsia="en-US"/>
        </w:rPr>
        <w:t>,</w:t>
      </w:r>
      <w:r w:rsidR="004F40B5" w:rsidRPr="004F40B5">
        <w:rPr>
          <w:rFonts w:asciiTheme="minorHAnsi" w:hAnsiTheme="minorHAnsi"/>
          <w:snapToGrid w:val="0"/>
          <w:lang w:val="en-GB" w:eastAsia="en-US"/>
        </w:rPr>
        <w:t xml:space="preserve"> with no evidence to support this assumption, and that recurrence rates were modelled separately between weeks 8 to 20 and from week </w:t>
      </w:r>
      <w:proofErr w:type="gramStart"/>
      <w:r w:rsidR="004F40B5" w:rsidRPr="004F40B5">
        <w:rPr>
          <w:rFonts w:asciiTheme="minorHAnsi" w:hAnsiTheme="minorHAnsi"/>
          <w:snapToGrid w:val="0"/>
          <w:lang w:val="en-GB" w:eastAsia="en-US"/>
        </w:rPr>
        <w:t>21</w:t>
      </w:r>
      <w:proofErr w:type="gramEnd"/>
      <w:r w:rsidR="004F40B5" w:rsidRPr="004F40B5">
        <w:rPr>
          <w:rFonts w:asciiTheme="minorHAnsi" w:hAnsiTheme="minorHAnsi"/>
          <w:snapToGrid w:val="0"/>
          <w:lang w:val="en-GB" w:eastAsia="en-US"/>
        </w:rPr>
        <w:t xml:space="preserve"> onwards, with no justification for this separation.</w:t>
      </w:r>
      <w:r w:rsidR="004F40B5">
        <w:rPr>
          <w:rFonts w:asciiTheme="minorHAnsi" w:hAnsiTheme="minorHAnsi"/>
          <w:snapToGrid w:val="0"/>
          <w:lang w:val="en-GB" w:eastAsia="en-US"/>
        </w:rPr>
        <w:t xml:space="preserve"> </w:t>
      </w:r>
      <w:r w:rsidR="009E7703" w:rsidRPr="004F40B5">
        <w:rPr>
          <w:rFonts w:asciiTheme="minorHAnsi" w:hAnsiTheme="minorHAnsi"/>
          <w:snapToGrid w:val="0"/>
          <w:lang w:val="en-GB" w:eastAsia="en-US"/>
        </w:rPr>
        <w:t xml:space="preserve">The Committee noted that </w:t>
      </w:r>
      <w:r w:rsidR="00D279A9">
        <w:rPr>
          <w:rFonts w:asciiTheme="minorHAnsi" w:hAnsiTheme="minorHAnsi"/>
          <w:snapToGrid w:val="0"/>
          <w:lang w:val="en-GB" w:eastAsia="en-US"/>
        </w:rPr>
        <w:t xml:space="preserve">the </w:t>
      </w:r>
      <w:r w:rsidR="009E7703">
        <w:rPr>
          <w:rFonts w:asciiTheme="minorHAnsi" w:hAnsiTheme="minorHAnsi"/>
          <w:snapToGrid w:val="0"/>
          <w:lang w:val="en-GB" w:eastAsia="en-US"/>
        </w:rPr>
        <w:t>submission used a</w:t>
      </w:r>
      <w:r w:rsidR="009E7703" w:rsidRPr="004F40B5">
        <w:rPr>
          <w:rFonts w:asciiTheme="minorHAnsi" w:hAnsiTheme="minorHAnsi"/>
          <w:snapToGrid w:val="0"/>
          <w:lang w:val="en-GB" w:eastAsia="en-US"/>
        </w:rPr>
        <w:t xml:space="preserve"> stage 1 length of 78 weeks</w:t>
      </w:r>
      <w:r w:rsidR="009E7703" w:rsidRPr="009E7703">
        <w:rPr>
          <w:rFonts w:asciiTheme="minorHAnsi" w:hAnsiTheme="minorHAnsi"/>
          <w:snapToGrid w:val="0"/>
          <w:lang w:val="en-GB" w:eastAsia="en-US"/>
        </w:rPr>
        <w:t xml:space="preserve"> </w:t>
      </w:r>
      <w:r w:rsidR="009E7703" w:rsidRPr="004F40B5">
        <w:rPr>
          <w:rFonts w:asciiTheme="minorHAnsi" w:hAnsiTheme="minorHAnsi"/>
          <w:snapToGrid w:val="0"/>
          <w:lang w:val="en-GB" w:eastAsia="en-US"/>
        </w:rPr>
        <w:t>based on recurrences in the OTUS</w:t>
      </w:r>
      <w:r w:rsidR="009E7703">
        <w:rPr>
          <w:rFonts w:asciiTheme="minorHAnsi" w:hAnsiTheme="minorHAnsi"/>
          <w:snapToGrid w:val="0"/>
          <w:lang w:val="en-GB" w:eastAsia="en-US"/>
        </w:rPr>
        <w:t xml:space="preserve"> study,</w:t>
      </w:r>
      <w:r w:rsidR="009E7703" w:rsidRPr="004F40B5">
        <w:rPr>
          <w:rFonts w:asciiTheme="minorHAnsi" w:hAnsiTheme="minorHAnsi"/>
          <w:snapToGrid w:val="0"/>
          <w:lang w:val="en-GB" w:eastAsia="en-US"/>
        </w:rPr>
        <w:t xml:space="preserve"> where patient numbers were </w:t>
      </w:r>
      <w:r w:rsidR="00030347">
        <w:rPr>
          <w:rFonts w:asciiTheme="minorHAnsi" w:hAnsiTheme="minorHAnsi"/>
          <w:snapToGrid w:val="0"/>
          <w:lang w:val="en-GB" w:eastAsia="en-US"/>
        </w:rPr>
        <w:t>small beyond the second recurrence (</w:t>
      </w:r>
      <w:r w:rsidR="000F6A8E">
        <w:rPr>
          <w:rFonts w:asciiTheme="minorHAnsi" w:hAnsiTheme="minorHAnsi"/>
          <w:snapToGrid w:val="0"/>
          <w:lang w:val="en-GB" w:eastAsia="en-US"/>
        </w:rPr>
        <w:t>4</w:t>
      </w:r>
      <w:r w:rsidR="00030347">
        <w:rPr>
          <w:rFonts w:asciiTheme="minorHAnsi" w:hAnsiTheme="minorHAnsi"/>
          <w:snapToGrid w:val="0"/>
          <w:lang w:val="en-GB" w:eastAsia="en-US"/>
        </w:rPr>
        <w:t xml:space="preserve"> SOT patients and </w:t>
      </w:r>
      <w:r w:rsidR="000F6A8E">
        <w:rPr>
          <w:rFonts w:asciiTheme="minorHAnsi" w:hAnsiTheme="minorHAnsi"/>
          <w:snapToGrid w:val="0"/>
          <w:lang w:val="en-GB" w:eastAsia="en-US"/>
        </w:rPr>
        <w:t>15 HSCT patients)</w:t>
      </w:r>
      <w:r w:rsidR="009E7703">
        <w:rPr>
          <w:rFonts w:asciiTheme="minorHAnsi" w:hAnsiTheme="minorHAnsi"/>
          <w:snapToGrid w:val="0"/>
          <w:lang w:val="en-GB" w:eastAsia="en-US"/>
        </w:rPr>
        <w:t xml:space="preserve">. The PBAC </w:t>
      </w:r>
      <w:r w:rsidR="009E7703" w:rsidRPr="004F40B5">
        <w:rPr>
          <w:rFonts w:asciiTheme="minorHAnsi" w:hAnsiTheme="minorHAnsi"/>
          <w:snapToGrid w:val="0"/>
          <w:lang w:val="en-GB" w:eastAsia="en-US"/>
        </w:rPr>
        <w:t xml:space="preserve">considered that a stage 1 length of 39.2 weeks </w:t>
      </w:r>
      <w:r w:rsidR="009E7703">
        <w:rPr>
          <w:rFonts w:asciiTheme="minorHAnsi" w:hAnsiTheme="minorHAnsi"/>
          <w:snapToGrid w:val="0"/>
          <w:lang w:val="en-GB" w:eastAsia="en-US"/>
        </w:rPr>
        <w:t xml:space="preserve">(as used for the NICE submission) would be more appropriate as it </w:t>
      </w:r>
      <w:r w:rsidR="009E7703" w:rsidRPr="004F40B5">
        <w:rPr>
          <w:rFonts w:asciiTheme="minorHAnsi" w:hAnsiTheme="minorHAnsi"/>
          <w:snapToGrid w:val="0"/>
          <w:lang w:val="en-GB" w:eastAsia="en-US"/>
        </w:rPr>
        <w:t>was based on more robust data</w:t>
      </w:r>
      <w:r w:rsidR="00030347">
        <w:rPr>
          <w:rFonts w:asciiTheme="minorHAnsi" w:hAnsiTheme="minorHAnsi"/>
          <w:snapToGrid w:val="0"/>
          <w:lang w:val="en-GB" w:eastAsia="en-US"/>
        </w:rPr>
        <w:t xml:space="preserve"> (</w:t>
      </w:r>
      <w:r w:rsidR="00030347" w:rsidRPr="00421405">
        <w:t xml:space="preserve">the </w:t>
      </w:r>
      <w:proofErr w:type="gramStart"/>
      <w:r w:rsidR="00030347" w:rsidRPr="00421405">
        <w:t>time frame</w:t>
      </w:r>
      <w:proofErr w:type="gramEnd"/>
      <w:r w:rsidR="00030347" w:rsidRPr="00421405">
        <w:t xml:space="preserve"> over which the first and second recurrences happened in OTUS</w:t>
      </w:r>
      <w:r w:rsidR="00030347">
        <w:t>)</w:t>
      </w:r>
      <w:r w:rsidRPr="004F40B5">
        <w:rPr>
          <w:rFonts w:asciiTheme="minorHAnsi" w:hAnsiTheme="minorHAnsi"/>
          <w:snapToGrid w:val="0"/>
          <w:lang w:val="en-GB" w:eastAsia="en-US"/>
        </w:rPr>
        <w:t xml:space="preserve">. The </w:t>
      </w:r>
      <w:r w:rsidR="000F6A8E">
        <w:rPr>
          <w:rFonts w:asciiTheme="minorHAnsi" w:hAnsiTheme="minorHAnsi"/>
          <w:snapToGrid w:val="0"/>
          <w:lang w:val="en-GB" w:eastAsia="en-US"/>
        </w:rPr>
        <w:t>PBAC</w:t>
      </w:r>
      <w:r w:rsidR="000F6A8E" w:rsidRPr="004F40B5">
        <w:rPr>
          <w:rFonts w:asciiTheme="minorHAnsi" w:hAnsiTheme="minorHAnsi"/>
          <w:snapToGrid w:val="0"/>
          <w:lang w:val="en-GB" w:eastAsia="en-US"/>
        </w:rPr>
        <w:t xml:space="preserve"> </w:t>
      </w:r>
      <w:r w:rsidRPr="004F40B5">
        <w:rPr>
          <w:rFonts w:asciiTheme="minorHAnsi" w:hAnsiTheme="minorHAnsi"/>
          <w:snapToGrid w:val="0"/>
          <w:lang w:val="en-GB" w:eastAsia="en-US"/>
        </w:rPr>
        <w:t xml:space="preserve">considered a 10-year model length </w:t>
      </w:r>
      <w:proofErr w:type="gramStart"/>
      <w:r w:rsidRPr="004F40B5">
        <w:rPr>
          <w:rFonts w:asciiTheme="minorHAnsi" w:hAnsiTheme="minorHAnsi"/>
          <w:snapToGrid w:val="0"/>
          <w:lang w:val="en-GB" w:eastAsia="en-US"/>
        </w:rPr>
        <w:t>was not justified</w:t>
      </w:r>
      <w:proofErr w:type="gramEnd"/>
      <w:r w:rsidR="000F6A8E">
        <w:rPr>
          <w:rFonts w:asciiTheme="minorHAnsi" w:hAnsiTheme="minorHAnsi"/>
          <w:snapToGrid w:val="0"/>
          <w:lang w:val="en-GB" w:eastAsia="en-US"/>
        </w:rPr>
        <w:t xml:space="preserve"> and that the assumption that </w:t>
      </w:r>
      <w:r w:rsidRPr="004F40B5">
        <w:rPr>
          <w:rFonts w:asciiTheme="minorHAnsi" w:hAnsiTheme="minorHAnsi"/>
          <w:snapToGrid w:val="0"/>
          <w:lang w:val="en-GB" w:eastAsia="en-US"/>
        </w:rPr>
        <w:t>CMV</w:t>
      </w:r>
      <w:r w:rsidR="00337C33">
        <w:rPr>
          <w:rFonts w:asciiTheme="minorHAnsi" w:hAnsiTheme="minorHAnsi"/>
          <w:snapToGrid w:val="0"/>
          <w:lang w:val="en-GB" w:eastAsia="en-US"/>
        </w:rPr>
        <w:t xml:space="preserve">-related mortality </w:t>
      </w:r>
      <w:r w:rsidR="000F6A8E">
        <w:rPr>
          <w:rFonts w:asciiTheme="minorHAnsi" w:hAnsiTheme="minorHAnsi"/>
          <w:snapToGrid w:val="0"/>
          <w:lang w:val="en-GB" w:eastAsia="en-US"/>
        </w:rPr>
        <w:t>occurred</w:t>
      </w:r>
      <w:r w:rsidRPr="004F40B5">
        <w:rPr>
          <w:rFonts w:asciiTheme="minorHAnsi" w:hAnsiTheme="minorHAnsi"/>
          <w:snapToGrid w:val="0"/>
          <w:lang w:val="en-GB" w:eastAsia="en-US"/>
        </w:rPr>
        <w:t xml:space="preserve"> </w:t>
      </w:r>
      <w:r w:rsidR="00337C33">
        <w:rPr>
          <w:rFonts w:asciiTheme="minorHAnsi" w:hAnsiTheme="minorHAnsi"/>
          <w:snapToGrid w:val="0"/>
          <w:lang w:val="en-GB" w:eastAsia="en-US"/>
        </w:rPr>
        <w:t>beyond</w:t>
      </w:r>
      <w:r w:rsidR="000F6A8E" w:rsidRPr="004F40B5">
        <w:rPr>
          <w:rFonts w:asciiTheme="minorHAnsi" w:hAnsiTheme="minorHAnsi"/>
          <w:snapToGrid w:val="0"/>
          <w:lang w:val="en-GB" w:eastAsia="en-US"/>
        </w:rPr>
        <w:t xml:space="preserve"> </w:t>
      </w:r>
      <w:r w:rsidRPr="004F40B5">
        <w:rPr>
          <w:rFonts w:asciiTheme="minorHAnsi" w:hAnsiTheme="minorHAnsi"/>
          <w:snapToGrid w:val="0"/>
          <w:lang w:val="en-GB" w:eastAsia="en-US"/>
        </w:rPr>
        <w:t>78 weeks</w:t>
      </w:r>
      <w:r w:rsidR="000F6A8E">
        <w:rPr>
          <w:rFonts w:asciiTheme="minorHAnsi" w:hAnsiTheme="minorHAnsi"/>
          <w:snapToGrid w:val="0"/>
          <w:lang w:val="en-GB" w:eastAsia="en-US"/>
        </w:rPr>
        <w:t xml:space="preserve"> (1.5 years) was not clinically reasonable. The PBAC considered that </w:t>
      </w:r>
      <w:r w:rsidR="00760E4D" w:rsidRPr="004F40B5">
        <w:rPr>
          <w:rFonts w:asciiTheme="minorHAnsi" w:hAnsiTheme="minorHAnsi"/>
          <w:snapToGrid w:val="0"/>
          <w:lang w:val="en-GB" w:eastAsia="en-US"/>
        </w:rPr>
        <w:t xml:space="preserve">a </w:t>
      </w:r>
      <w:proofErr w:type="gramStart"/>
      <w:r w:rsidR="00760E4D" w:rsidRPr="004F40B5">
        <w:rPr>
          <w:rFonts w:asciiTheme="minorHAnsi" w:hAnsiTheme="minorHAnsi"/>
          <w:snapToGrid w:val="0"/>
          <w:lang w:val="en-GB" w:eastAsia="en-US"/>
        </w:rPr>
        <w:t>2</w:t>
      </w:r>
      <w:proofErr w:type="gramEnd"/>
      <w:r w:rsidR="000F6A8E">
        <w:rPr>
          <w:rFonts w:asciiTheme="minorHAnsi" w:hAnsiTheme="minorHAnsi"/>
          <w:snapToGrid w:val="0"/>
          <w:lang w:val="en-GB" w:eastAsia="en-US"/>
        </w:rPr>
        <w:noBreakHyphen/>
      </w:r>
      <w:r w:rsidR="00760E4D" w:rsidRPr="004F40B5">
        <w:rPr>
          <w:rFonts w:asciiTheme="minorHAnsi" w:hAnsiTheme="minorHAnsi"/>
          <w:snapToGrid w:val="0"/>
          <w:lang w:val="en-GB" w:eastAsia="en-US"/>
        </w:rPr>
        <w:t>year model length would be more appropriate</w:t>
      </w:r>
      <w:r w:rsidRPr="004F40B5">
        <w:rPr>
          <w:rFonts w:asciiTheme="minorHAnsi" w:hAnsiTheme="minorHAnsi"/>
          <w:snapToGrid w:val="0"/>
          <w:lang w:val="en-GB" w:eastAsia="en-US"/>
        </w:rPr>
        <w:t xml:space="preserve">. </w:t>
      </w:r>
      <w:r w:rsidR="0076639F">
        <w:rPr>
          <w:rFonts w:asciiTheme="minorHAnsi" w:hAnsiTheme="minorHAnsi"/>
          <w:snapToGrid w:val="0"/>
          <w:lang w:val="en-GB" w:eastAsia="en-US"/>
        </w:rPr>
        <w:t xml:space="preserve">The PBAC noted that when either the stage 1 length or the time horizon </w:t>
      </w:r>
      <w:proofErr w:type="gramStart"/>
      <w:r w:rsidR="0076639F">
        <w:rPr>
          <w:rFonts w:asciiTheme="minorHAnsi" w:hAnsiTheme="minorHAnsi"/>
          <w:snapToGrid w:val="0"/>
          <w:lang w:val="en-GB" w:eastAsia="en-US"/>
        </w:rPr>
        <w:t>were revised</w:t>
      </w:r>
      <w:proofErr w:type="gramEnd"/>
      <w:r w:rsidR="0076639F">
        <w:rPr>
          <w:rFonts w:asciiTheme="minorHAnsi" w:hAnsiTheme="minorHAnsi"/>
          <w:snapToGrid w:val="0"/>
          <w:lang w:val="en-GB" w:eastAsia="en-US"/>
        </w:rPr>
        <w:t xml:space="preserve"> the ICER increased by more than 120%</w:t>
      </w:r>
      <w:r w:rsidR="00D10BF3">
        <w:rPr>
          <w:rFonts w:asciiTheme="minorHAnsi" w:hAnsiTheme="minorHAnsi"/>
          <w:snapToGrid w:val="0"/>
          <w:lang w:val="en-GB" w:eastAsia="en-US"/>
        </w:rPr>
        <w:t xml:space="preserve"> to over $</w:t>
      </w:r>
      <w:r w:rsidR="008426BB" w:rsidRPr="008426BB">
        <w:rPr>
          <w:rFonts w:asciiTheme="minorHAnsi" w:hAnsiTheme="minorHAnsi"/>
          <w:snapToGrid w:val="0"/>
          <w:lang w:eastAsia="en-US"/>
        </w:rPr>
        <w:t>95,000 to &lt; $115,000</w:t>
      </w:r>
      <w:r w:rsidR="00D10BF3">
        <w:rPr>
          <w:rFonts w:asciiTheme="minorHAnsi" w:hAnsiTheme="minorHAnsi"/>
          <w:snapToGrid w:val="0"/>
          <w:lang w:val="en-GB" w:eastAsia="en-US"/>
        </w:rPr>
        <w:t>/QALY</w:t>
      </w:r>
      <w:r w:rsidR="0076639F">
        <w:rPr>
          <w:rFonts w:asciiTheme="minorHAnsi" w:hAnsiTheme="minorHAnsi"/>
          <w:snapToGrid w:val="0"/>
          <w:lang w:val="en-GB" w:eastAsia="en-US"/>
        </w:rPr>
        <w:t xml:space="preserve">, indicating a substantial level of uncertainty. </w:t>
      </w:r>
      <w:r w:rsidRPr="004F40B5">
        <w:rPr>
          <w:rFonts w:asciiTheme="minorHAnsi" w:hAnsiTheme="minorHAnsi"/>
          <w:snapToGrid w:val="0"/>
          <w:lang w:val="en-GB" w:eastAsia="en-US"/>
        </w:rPr>
        <w:t xml:space="preserve">Additionally, the Committee noted that drug prices for foscarnet and cidofovir </w:t>
      </w:r>
      <w:proofErr w:type="gramStart"/>
      <w:r w:rsidRPr="004F40B5">
        <w:rPr>
          <w:rFonts w:asciiTheme="minorHAnsi" w:hAnsiTheme="minorHAnsi"/>
          <w:snapToGrid w:val="0"/>
          <w:lang w:val="en-GB" w:eastAsia="en-US"/>
        </w:rPr>
        <w:t>were assumed</w:t>
      </w:r>
      <w:proofErr w:type="gramEnd"/>
      <w:r w:rsidRPr="004F40B5">
        <w:rPr>
          <w:rFonts w:asciiTheme="minorHAnsi" w:hAnsiTheme="minorHAnsi"/>
          <w:snapToGrid w:val="0"/>
          <w:lang w:val="en-GB" w:eastAsia="en-US"/>
        </w:rPr>
        <w:t xml:space="preserve">, and that varying the assumed price </w:t>
      </w:r>
      <w:r w:rsidR="0076639F">
        <w:rPr>
          <w:rFonts w:asciiTheme="minorHAnsi" w:hAnsiTheme="minorHAnsi"/>
          <w:snapToGrid w:val="0"/>
          <w:lang w:val="en-GB" w:eastAsia="en-US"/>
        </w:rPr>
        <w:t xml:space="preserve">also </w:t>
      </w:r>
      <w:r w:rsidRPr="004F40B5">
        <w:rPr>
          <w:rFonts w:asciiTheme="minorHAnsi" w:hAnsiTheme="minorHAnsi"/>
          <w:snapToGrid w:val="0"/>
          <w:lang w:val="en-GB" w:eastAsia="en-US"/>
        </w:rPr>
        <w:t xml:space="preserve">had a substantial impact on the ICER. </w:t>
      </w:r>
      <w:r w:rsidR="00EB5108">
        <w:rPr>
          <w:rFonts w:asciiTheme="minorHAnsi" w:hAnsiTheme="minorHAnsi"/>
          <w:snapToGrid w:val="0"/>
          <w:lang w:val="en-GB" w:eastAsia="en-US"/>
        </w:rPr>
        <w:t>Overall</w:t>
      </w:r>
      <w:r w:rsidR="00576579" w:rsidRPr="004F40B5">
        <w:rPr>
          <w:rFonts w:asciiTheme="minorHAnsi" w:hAnsiTheme="minorHAnsi"/>
          <w:snapToGrid w:val="0"/>
          <w:lang w:val="en-GB" w:eastAsia="en-US"/>
        </w:rPr>
        <w:t xml:space="preserve">, the </w:t>
      </w:r>
      <w:r w:rsidR="00EB5108">
        <w:rPr>
          <w:rFonts w:asciiTheme="minorHAnsi" w:hAnsiTheme="minorHAnsi"/>
          <w:snapToGrid w:val="0"/>
          <w:lang w:val="en-GB" w:eastAsia="en-US"/>
        </w:rPr>
        <w:t>PBAC</w:t>
      </w:r>
      <w:r w:rsidR="00EB5108" w:rsidRPr="004F40B5">
        <w:rPr>
          <w:rFonts w:asciiTheme="minorHAnsi" w:hAnsiTheme="minorHAnsi"/>
          <w:snapToGrid w:val="0"/>
          <w:lang w:val="en-GB" w:eastAsia="en-US"/>
        </w:rPr>
        <w:t xml:space="preserve"> </w:t>
      </w:r>
      <w:r w:rsidR="00576579" w:rsidRPr="004F40B5">
        <w:rPr>
          <w:rFonts w:asciiTheme="minorHAnsi" w:hAnsiTheme="minorHAnsi"/>
          <w:snapToGrid w:val="0"/>
          <w:lang w:val="en-GB" w:eastAsia="en-US"/>
        </w:rPr>
        <w:t xml:space="preserve">considered the model was not </w:t>
      </w:r>
      <w:r w:rsidR="00EB5108">
        <w:rPr>
          <w:rFonts w:asciiTheme="minorHAnsi" w:hAnsiTheme="minorHAnsi"/>
          <w:snapToGrid w:val="0"/>
          <w:lang w:val="en-GB" w:eastAsia="en-US"/>
        </w:rPr>
        <w:t>informative</w:t>
      </w:r>
      <w:r w:rsidR="00EB5108" w:rsidRPr="004F40B5">
        <w:rPr>
          <w:rFonts w:asciiTheme="minorHAnsi" w:hAnsiTheme="minorHAnsi"/>
          <w:snapToGrid w:val="0"/>
          <w:lang w:val="en-GB" w:eastAsia="en-US"/>
        </w:rPr>
        <w:t xml:space="preserve"> </w:t>
      </w:r>
      <w:r w:rsidR="00576579" w:rsidRPr="004F40B5">
        <w:rPr>
          <w:rFonts w:asciiTheme="minorHAnsi" w:hAnsiTheme="minorHAnsi"/>
          <w:snapToGrid w:val="0"/>
          <w:lang w:val="en-GB" w:eastAsia="en-US"/>
        </w:rPr>
        <w:t xml:space="preserve">for decision making as the clinical data did not </w:t>
      </w:r>
      <w:r w:rsidR="00AC535D">
        <w:rPr>
          <w:rFonts w:asciiTheme="minorHAnsi" w:hAnsiTheme="minorHAnsi"/>
          <w:snapToGrid w:val="0"/>
          <w:lang w:val="en-GB" w:eastAsia="en-US"/>
        </w:rPr>
        <w:t>adequately</w:t>
      </w:r>
      <w:r w:rsidR="00EB5108">
        <w:rPr>
          <w:rFonts w:asciiTheme="minorHAnsi" w:hAnsiTheme="minorHAnsi"/>
          <w:snapToGrid w:val="0"/>
          <w:lang w:val="en-GB" w:eastAsia="en-US"/>
        </w:rPr>
        <w:t xml:space="preserve"> </w:t>
      </w:r>
      <w:r w:rsidR="00576579" w:rsidRPr="004F40B5">
        <w:rPr>
          <w:rFonts w:asciiTheme="minorHAnsi" w:hAnsiTheme="minorHAnsi"/>
          <w:snapToGrid w:val="0"/>
          <w:lang w:val="en-GB" w:eastAsia="en-US"/>
        </w:rPr>
        <w:t>support the superiority claim</w:t>
      </w:r>
      <w:r w:rsidR="00EB5108">
        <w:rPr>
          <w:rFonts w:asciiTheme="minorHAnsi" w:hAnsiTheme="minorHAnsi"/>
          <w:snapToGrid w:val="0"/>
          <w:lang w:val="en-GB" w:eastAsia="en-US"/>
        </w:rPr>
        <w:t xml:space="preserve"> and because the model was based on </w:t>
      </w:r>
      <w:r w:rsidR="00EB5108" w:rsidRPr="004F40B5">
        <w:rPr>
          <w:rFonts w:asciiTheme="minorHAnsi" w:hAnsiTheme="minorHAnsi"/>
          <w:snapToGrid w:val="0"/>
          <w:lang w:val="en-GB" w:eastAsia="en-US"/>
        </w:rPr>
        <w:t xml:space="preserve">multiple </w:t>
      </w:r>
      <w:r w:rsidR="00EB5108">
        <w:rPr>
          <w:rFonts w:asciiTheme="minorHAnsi" w:hAnsiTheme="minorHAnsi"/>
          <w:snapToGrid w:val="0"/>
          <w:lang w:val="en-GB" w:eastAsia="en-US"/>
        </w:rPr>
        <w:t xml:space="preserve">data sources and </w:t>
      </w:r>
      <w:r w:rsidR="00EB5108" w:rsidRPr="004F40B5">
        <w:rPr>
          <w:rFonts w:asciiTheme="minorHAnsi" w:hAnsiTheme="minorHAnsi"/>
          <w:snapToGrid w:val="0"/>
          <w:lang w:val="en-GB" w:eastAsia="en-US"/>
        </w:rPr>
        <w:t>assumptions</w:t>
      </w:r>
      <w:r w:rsidR="00EB5108">
        <w:rPr>
          <w:rFonts w:asciiTheme="minorHAnsi" w:hAnsiTheme="minorHAnsi"/>
          <w:snapToGrid w:val="0"/>
          <w:lang w:val="en-GB" w:eastAsia="en-US"/>
        </w:rPr>
        <w:t xml:space="preserve"> that were poorly justified</w:t>
      </w:r>
      <w:r w:rsidR="00576579" w:rsidRPr="004F40B5">
        <w:rPr>
          <w:rFonts w:asciiTheme="minorHAnsi" w:hAnsiTheme="minorHAnsi"/>
          <w:snapToGrid w:val="0"/>
          <w:lang w:val="en-GB" w:eastAsia="en-US"/>
        </w:rPr>
        <w:t>.</w:t>
      </w:r>
      <w:bookmarkEnd w:id="68"/>
    </w:p>
    <w:p w14:paraId="1A716343" w14:textId="474A71BE" w:rsidR="00576579" w:rsidRPr="00576579" w:rsidRDefault="007F6603" w:rsidP="009D3078">
      <w:pPr>
        <w:widowControl w:val="0"/>
        <w:numPr>
          <w:ilvl w:val="1"/>
          <w:numId w:val="1"/>
        </w:numPr>
        <w:spacing w:after="120"/>
        <w:rPr>
          <w:rFonts w:asciiTheme="minorHAnsi" w:hAnsiTheme="minorHAnsi"/>
          <w:snapToGrid w:val="0"/>
          <w:lang w:val="en-GB" w:eastAsia="en-US"/>
        </w:rPr>
      </w:pPr>
      <w:bookmarkStart w:id="69" w:name="_Ref152099102"/>
      <w:r>
        <w:rPr>
          <w:rFonts w:asciiTheme="minorHAnsi" w:hAnsiTheme="minorHAnsi"/>
          <w:bCs/>
          <w:snapToGrid w:val="0"/>
          <w:lang w:val="en-GB"/>
        </w:rPr>
        <w:t xml:space="preserve">The PBAC considered that the number of SOT and HSCT patients was </w:t>
      </w:r>
      <w:proofErr w:type="gramStart"/>
      <w:r>
        <w:rPr>
          <w:rFonts w:asciiTheme="minorHAnsi" w:hAnsiTheme="minorHAnsi"/>
          <w:bCs/>
          <w:snapToGrid w:val="0"/>
          <w:lang w:val="en-GB"/>
        </w:rPr>
        <w:t>reasonably well</w:t>
      </w:r>
      <w:r w:rsidR="00397627">
        <w:rPr>
          <w:rFonts w:asciiTheme="minorHAnsi" w:hAnsiTheme="minorHAnsi"/>
          <w:bCs/>
          <w:snapToGrid w:val="0"/>
          <w:lang w:val="en-GB"/>
        </w:rPr>
        <w:noBreakHyphen/>
      </w:r>
      <w:r>
        <w:rPr>
          <w:rFonts w:asciiTheme="minorHAnsi" w:hAnsiTheme="minorHAnsi"/>
          <w:bCs/>
          <w:snapToGrid w:val="0"/>
          <w:lang w:val="en-GB"/>
        </w:rPr>
        <w:t>defined</w:t>
      </w:r>
      <w:proofErr w:type="gramEnd"/>
      <w:r>
        <w:rPr>
          <w:rFonts w:asciiTheme="minorHAnsi" w:hAnsiTheme="minorHAnsi"/>
          <w:bCs/>
          <w:snapToGrid w:val="0"/>
          <w:lang w:val="en-GB"/>
        </w:rPr>
        <w:t xml:space="preserve">, however the proportion of patients intolerant to SOC treatments, and the uptake rate for maribavir were uncertain. </w:t>
      </w:r>
      <w:r w:rsidR="00576579" w:rsidRPr="003E7841">
        <w:rPr>
          <w:rFonts w:asciiTheme="minorHAnsi" w:hAnsiTheme="minorHAnsi"/>
          <w:bCs/>
          <w:snapToGrid w:val="0"/>
          <w:lang w:val="en-GB"/>
        </w:rPr>
        <w:t xml:space="preserve">The PBAC noted </w:t>
      </w:r>
      <w:r w:rsidR="0035759E">
        <w:rPr>
          <w:rFonts w:asciiTheme="minorHAnsi" w:hAnsiTheme="minorHAnsi"/>
          <w:bCs/>
          <w:snapToGrid w:val="0"/>
          <w:lang w:val="en-GB"/>
        </w:rPr>
        <w:t xml:space="preserve">that the submission estimated 150-300 patients per year would </w:t>
      </w:r>
      <w:proofErr w:type="gramStart"/>
      <w:r w:rsidR="0035759E">
        <w:rPr>
          <w:rFonts w:asciiTheme="minorHAnsi" w:hAnsiTheme="minorHAnsi"/>
          <w:bCs/>
          <w:snapToGrid w:val="0"/>
          <w:lang w:val="en-GB"/>
        </w:rPr>
        <w:t>be treated</w:t>
      </w:r>
      <w:proofErr w:type="gramEnd"/>
      <w:r w:rsidR="0035759E">
        <w:rPr>
          <w:rFonts w:asciiTheme="minorHAnsi" w:hAnsiTheme="minorHAnsi"/>
          <w:bCs/>
          <w:snapToGrid w:val="0"/>
          <w:lang w:val="en-GB"/>
        </w:rPr>
        <w:t xml:space="preserve"> with maribavir</w:t>
      </w:r>
      <w:r>
        <w:rPr>
          <w:rFonts w:asciiTheme="minorHAnsi" w:hAnsiTheme="minorHAnsi"/>
          <w:bCs/>
          <w:snapToGrid w:val="0"/>
          <w:lang w:val="en-GB"/>
        </w:rPr>
        <w:t xml:space="preserve"> and considered </w:t>
      </w:r>
      <w:r w:rsidR="0035759E">
        <w:rPr>
          <w:rFonts w:asciiTheme="minorHAnsi" w:hAnsiTheme="minorHAnsi"/>
          <w:bCs/>
          <w:snapToGrid w:val="0"/>
          <w:lang w:val="en-GB"/>
        </w:rPr>
        <w:t>that this appeared reasonable. However</w:t>
      </w:r>
      <w:r>
        <w:rPr>
          <w:rFonts w:asciiTheme="minorHAnsi" w:hAnsiTheme="minorHAnsi"/>
          <w:bCs/>
          <w:snapToGrid w:val="0"/>
          <w:lang w:val="en-GB"/>
        </w:rPr>
        <w:t>,</w:t>
      </w:r>
      <w:r w:rsidR="0035759E">
        <w:rPr>
          <w:rFonts w:asciiTheme="minorHAnsi" w:hAnsiTheme="minorHAnsi"/>
          <w:bCs/>
          <w:snapToGrid w:val="0"/>
          <w:lang w:val="en-GB"/>
        </w:rPr>
        <w:t xml:space="preserve"> the PBAC noted that </w:t>
      </w:r>
      <w:r w:rsidR="00576579">
        <w:t>public hospital costs</w:t>
      </w:r>
      <w:r w:rsidR="0035759E">
        <w:t>, including offsets for foscarnet and cidofovir, should not</w:t>
      </w:r>
      <w:r w:rsidR="00576579">
        <w:t xml:space="preserve"> </w:t>
      </w:r>
      <w:proofErr w:type="gramStart"/>
      <w:r w:rsidR="00576579">
        <w:t>be included</w:t>
      </w:r>
      <w:proofErr w:type="gramEnd"/>
      <w:r w:rsidR="00576579">
        <w:t xml:space="preserve"> as PBS cost </w:t>
      </w:r>
      <w:r w:rsidR="00576579">
        <w:lastRenderedPageBreak/>
        <w:t>offsets</w:t>
      </w:r>
      <w:r w:rsidR="0035759E">
        <w:t xml:space="preserve">. In addition, DUSC noted </w:t>
      </w:r>
      <w:r w:rsidR="00576579">
        <w:t>that the cost is slightly underestimated given the submission’s use of packs supplied rather than number of scripts of 4 packs supplied.</w:t>
      </w:r>
      <w:bookmarkEnd w:id="69"/>
    </w:p>
    <w:p w14:paraId="3AFBE7CE" w14:textId="1E042D74" w:rsidR="0052787F" w:rsidRPr="007E4CD0" w:rsidRDefault="0052787F" w:rsidP="00B630A4">
      <w:pPr>
        <w:pStyle w:val="3-BodyText"/>
        <w:widowControl w:val="0"/>
        <w:rPr>
          <w:bCs/>
          <w:lang w:val="en-GB" w:eastAsia="en-US"/>
        </w:rPr>
      </w:pPr>
      <w:r w:rsidRPr="007E4CD0">
        <w:rPr>
          <w:bCs/>
          <w:lang w:val="en-GB" w:eastAsia="en-US"/>
        </w:rPr>
        <w:t xml:space="preserve">The PBAC considered a resubmission for </w:t>
      </w:r>
      <w:r w:rsidR="00076E83" w:rsidRPr="007E4CD0">
        <w:rPr>
          <w:bCs/>
          <w:lang w:val="en-GB" w:eastAsia="en-US"/>
        </w:rPr>
        <w:t>maribavir</w:t>
      </w:r>
      <w:r w:rsidRPr="007E4CD0">
        <w:rPr>
          <w:bCs/>
          <w:lang w:val="en-GB" w:eastAsia="en-US"/>
        </w:rPr>
        <w:t xml:space="preserve"> should </w:t>
      </w:r>
      <w:r w:rsidR="00E95E98" w:rsidRPr="007E4CD0">
        <w:rPr>
          <w:bCs/>
          <w:lang w:val="en-GB" w:eastAsia="en-US"/>
        </w:rPr>
        <w:t>provide additional data to support a clinical claim of superiority over standard of care, present a revised economic model that addresses the issues raised in paragraph</w:t>
      </w:r>
      <w:r w:rsidR="0035759E" w:rsidRPr="007E4CD0">
        <w:rPr>
          <w:bCs/>
          <w:lang w:val="en-GB" w:eastAsia="en-US"/>
        </w:rPr>
        <w:t xml:space="preserve"> </w:t>
      </w:r>
      <w:r w:rsidR="00D10BF3" w:rsidRPr="007E4CD0">
        <w:rPr>
          <w:bCs/>
          <w:lang w:val="en-GB" w:eastAsia="en-US"/>
        </w:rPr>
        <w:fldChar w:fldCharType="begin" w:fldLock="1"/>
      </w:r>
      <w:r w:rsidR="00D10BF3" w:rsidRPr="007E4CD0">
        <w:rPr>
          <w:bCs/>
          <w:lang w:val="en-GB" w:eastAsia="en-US"/>
        </w:rPr>
        <w:instrText xml:space="preserve"> REF _Ref152096096 \r \h </w:instrText>
      </w:r>
      <w:r w:rsidR="00D10BF3" w:rsidRPr="007E4CD0">
        <w:rPr>
          <w:bCs/>
          <w:lang w:val="en-GB" w:eastAsia="en-US"/>
        </w:rPr>
      </w:r>
      <w:r w:rsidR="00D10BF3" w:rsidRPr="007E4CD0">
        <w:rPr>
          <w:bCs/>
          <w:lang w:val="en-GB" w:eastAsia="en-US"/>
        </w:rPr>
        <w:fldChar w:fldCharType="separate"/>
      </w:r>
      <w:r w:rsidR="00D10BF3" w:rsidRPr="007E4CD0">
        <w:rPr>
          <w:bCs/>
          <w:lang w:val="en-GB" w:eastAsia="en-US"/>
        </w:rPr>
        <w:t>7.14</w:t>
      </w:r>
      <w:r w:rsidR="00D10BF3" w:rsidRPr="007E4CD0">
        <w:rPr>
          <w:bCs/>
          <w:lang w:val="en-GB" w:eastAsia="en-US"/>
        </w:rPr>
        <w:fldChar w:fldCharType="end"/>
      </w:r>
      <w:r w:rsidR="007F6603">
        <w:rPr>
          <w:bCs/>
          <w:lang w:val="en-GB" w:eastAsia="en-US"/>
        </w:rPr>
        <w:t xml:space="preserve"> and revised financial estimates removing offsets from public hospital costs and amending the use of packs</w:t>
      </w:r>
      <w:r w:rsidR="001D015D">
        <w:rPr>
          <w:bCs/>
          <w:lang w:val="en-GB" w:eastAsia="en-US"/>
        </w:rPr>
        <w:t xml:space="preserve">/scripts as noted in paragraph </w:t>
      </w:r>
      <w:r w:rsidR="001D015D">
        <w:rPr>
          <w:bCs/>
          <w:lang w:val="en-GB" w:eastAsia="en-US"/>
        </w:rPr>
        <w:fldChar w:fldCharType="begin" w:fldLock="1"/>
      </w:r>
      <w:r w:rsidR="001D015D">
        <w:rPr>
          <w:bCs/>
          <w:lang w:val="en-GB" w:eastAsia="en-US"/>
        </w:rPr>
        <w:instrText xml:space="preserve"> REF _Ref152099102 \r \h </w:instrText>
      </w:r>
      <w:r w:rsidR="001D015D">
        <w:rPr>
          <w:bCs/>
          <w:lang w:val="en-GB" w:eastAsia="en-US"/>
        </w:rPr>
      </w:r>
      <w:r w:rsidR="001D015D">
        <w:rPr>
          <w:bCs/>
          <w:lang w:val="en-GB" w:eastAsia="en-US"/>
        </w:rPr>
        <w:fldChar w:fldCharType="separate"/>
      </w:r>
      <w:r w:rsidR="001D015D">
        <w:rPr>
          <w:bCs/>
          <w:lang w:val="en-GB" w:eastAsia="en-US"/>
        </w:rPr>
        <w:t>7.15</w:t>
      </w:r>
      <w:r w:rsidR="001D015D">
        <w:rPr>
          <w:bCs/>
          <w:lang w:val="en-GB" w:eastAsia="en-US"/>
        </w:rPr>
        <w:fldChar w:fldCharType="end"/>
      </w:r>
      <w:r w:rsidR="00717A97" w:rsidRPr="007E4CD0">
        <w:rPr>
          <w:bCs/>
          <w:lang w:val="en-GB" w:eastAsia="en-US"/>
        </w:rPr>
        <w:t>.</w:t>
      </w:r>
      <w:r w:rsidR="00B7729C" w:rsidRPr="007E4CD0">
        <w:rPr>
          <w:bCs/>
          <w:lang w:val="en-GB" w:eastAsia="en-US"/>
        </w:rPr>
        <w:t xml:space="preserve"> </w:t>
      </w:r>
      <w:r w:rsidR="007E4CD0" w:rsidRPr="007E4CD0">
        <w:rPr>
          <w:iCs/>
        </w:rPr>
        <w:t>The PBAC considered that the cost of maribavir should reflect the uncertainty in the clinical data and the short duration of efficacy in patients who develop resistance.</w:t>
      </w:r>
      <w:r w:rsidR="007E4CD0">
        <w:rPr>
          <w:iCs/>
        </w:rPr>
        <w:t xml:space="preserve"> </w:t>
      </w:r>
      <w:r w:rsidRPr="007E4CD0">
        <w:rPr>
          <w:bCs/>
          <w:lang w:val="en-GB" w:eastAsia="en-US"/>
        </w:rPr>
        <w:t xml:space="preserve">The resubmission may </w:t>
      </w:r>
      <w:proofErr w:type="gramStart"/>
      <w:r w:rsidRPr="007E4CD0">
        <w:rPr>
          <w:bCs/>
          <w:lang w:val="en-GB" w:eastAsia="en-US"/>
        </w:rPr>
        <w:t>be lodged</w:t>
      </w:r>
      <w:proofErr w:type="gramEnd"/>
      <w:r w:rsidRPr="007E4CD0">
        <w:rPr>
          <w:bCs/>
          <w:lang w:val="en-GB" w:eastAsia="en-US"/>
        </w:rPr>
        <w:t xml:space="preserve"> at any future standard due date for PBAC submissions using the standard re-entry pathway.</w:t>
      </w:r>
    </w:p>
    <w:p w14:paraId="6942414D" w14:textId="58BB622E" w:rsidR="00C15280" w:rsidRPr="0052787F" w:rsidRDefault="0052787F" w:rsidP="00C15280">
      <w:pPr>
        <w:widowControl w:val="0"/>
        <w:numPr>
          <w:ilvl w:val="1"/>
          <w:numId w:val="1"/>
        </w:numPr>
        <w:spacing w:after="120"/>
        <w:jc w:val="left"/>
        <w:rPr>
          <w:rFonts w:asciiTheme="minorHAnsi" w:hAnsiTheme="minorHAnsi"/>
          <w:bCs/>
          <w:i/>
          <w:snapToGrid w:val="0"/>
          <w:lang w:val="en-GB" w:eastAsia="en-US"/>
        </w:rPr>
      </w:pPr>
      <w:r w:rsidRPr="0052787F">
        <w:rPr>
          <w:rFonts w:asciiTheme="minorHAnsi" w:hAnsiTheme="minorHAnsi"/>
          <w:bCs/>
          <w:snapToGrid w:val="0"/>
          <w:lang w:val="en-GB" w:eastAsia="en-US"/>
        </w:rPr>
        <w:t xml:space="preserve">The PBAC noted that this submission is eligible for an Independent Review. </w:t>
      </w:r>
    </w:p>
    <w:p w14:paraId="6A0276DD" w14:textId="77777777" w:rsidR="0052787F" w:rsidRPr="0052787F" w:rsidRDefault="0052787F" w:rsidP="0052787F">
      <w:pPr>
        <w:spacing w:before="240"/>
        <w:rPr>
          <w:rFonts w:asciiTheme="minorHAnsi" w:hAnsiTheme="minorHAnsi"/>
          <w:b/>
          <w:bCs/>
          <w:snapToGrid w:val="0"/>
          <w:lang w:val="en-GB" w:eastAsia="en-US"/>
        </w:rPr>
      </w:pPr>
      <w:r w:rsidRPr="0052787F">
        <w:rPr>
          <w:rFonts w:asciiTheme="minorHAnsi" w:hAnsiTheme="minorHAnsi"/>
          <w:b/>
          <w:bCs/>
          <w:snapToGrid w:val="0"/>
          <w:lang w:val="en-GB" w:eastAsia="en-US"/>
        </w:rPr>
        <w:t>Outcome:</w:t>
      </w:r>
    </w:p>
    <w:p w14:paraId="7B96E0E9" w14:textId="243D294D" w:rsidR="0052787F" w:rsidRDefault="0052787F" w:rsidP="0052787F">
      <w:pPr>
        <w:spacing w:after="120"/>
        <w:rPr>
          <w:rFonts w:asciiTheme="minorHAnsi" w:hAnsiTheme="minorHAnsi"/>
          <w:bCs/>
          <w:snapToGrid w:val="0"/>
          <w:lang w:val="en-GB" w:eastAsia="en-US"/>
        </w:rPr>
      </w:pPr>
      <w:r w:rsidRPr="0052787F">
        <w:rPr>
          <w:rFonts w:asciiTheme="minorHAnsi" w:hAnsiTheme="minorHAnsi"/>
          <w:bCs/>
          <w:snapToGrid w:val="0"/>
          <w:lang w:val="en-GB" w:eastAsia="en-US"/>
        </w:rPr>
        <w:t>Not recommended</w:t>
      </w:r>
    </w:p>
    <w:p w14:paraId="20D84D13" w14:textId="77777777" w:rsidR="00CE4B8D" w:rsidRPr="00CE4B8D" w:rsidRDefault="00CE4B8D" w:rsidP="00CE4B8D">
      <w:pPr>
        <w:pStyle w:val="2-SectionHeading"/>
      </w:pPr>
      <w:r w:rsidRPr="00CE4B8D">
        <w:t>Context for Decision</w:t>
      </w:r>
    </w:p>
    <w:p w14:paraId="25118A7A" w14:textId="77777777" w:rsidR="00CE4B8D" w:rsidRPr="00CE4B8D" w:rsidRDefault="00CE4B8D" w:rsidP="00CE4B8D">
      <w:pPr>
        <w:spacing w:after="120"/>
        <w:ind w:left="720"/>
        <w:rPr>
          <w:rFonts w:asciiTheme="minorHAnsi" w:hAnsiTheme="minorHAnsi"/>
          <w:bCs/>
          <w:lang w:val="en-GB"/>
        </w:rPr>
      </w:pPr>
      <w:r w:rsidRPr="00CE4B8D">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CE4B8D">
        <w:rPr>
          <w:rFonts w:asciiTheme="minorHAnsi" w:hAnsiTheme="minorHAnsi"/>
          <w:bCs/>
          <w:lang w:val="en-GB"/>
        </w:rPr>
        <w:t>be made</w:t>
      </w:r>
      <w:proofErr w:type="gramEnd"/>
      <w:r w:rsidRPr="00CE4B8D">
        <w:rPr>
          <w:rFonts w:asciiTheme="minorHAnsi" w:hAnsiTheme="minorHAnsi"/>
          <w:bCs/>
          <w:lang w:val="en-GB"/>
        </w:rPr>
        <w:t xml:space="preserve"> available through the PBS. The PBAC welcomes applications containing </w:t>
      </w:r>
      <w:proofErr w:type="gramStart"/>
      <w:r w:rsidRPr="00CE4B8D">
        <w:rPr>
          <w:rFonts w:asciiTheme="minorHAnsi" w:hAnsiTheme="minorHAnsi"/>
          <w:bCs/>
          <w:lang w:val="en-GB"/>
        </w:rPr>
        <w:t>new information</w:t>
      </w:r>
      <w:proofErr w:type="gramEnd"/>
      <w:r w:rsidRPr="00CE4B8D">
        <w:rPr>
          <w:rFonts w:asciiTheme="minorHAnsi" w:hAnsiTheme="minorHAnsi"/>
          <w:bCs/>
          <w:lang w:val="en-GB"/>
        </w:rPr>
        <w:t xml:space="preserve"> at any time.</w:t>
      </w:r>
    </w:p>
    <w:p w14:paraId="2CFA231E" w14:textId="7DE6F9AB" w:rsidR="00CE4B8D" w:rsidRPr="00CE4B8D" w:rsidRDefault="00CE4B8D" w:rsidP="00CE4B8D">
      <w:pPr>
        <w:pStyle w:val="2-SectionHeading"/>
      </w:pPr>
      <w:r w:rsidRPr="00CE4B8D">
        <w:t>Sponsor’s Comment</w:t>
      </w:r>
    </w:p>
    <w:p w14:paraId="1AF0EC49" w14:textId="77777777" w:rsidR="00CE4B8D" w:rsidRPr="00CE4B8D" w:rsidRDefault="00CE4B8D" w:rsidP="00CE4B8D">
      <w:pPr>
        <w:spacing w:after="120" w:line="276" w:lineRule="auto"/>
        <w:ind w:left="720"/>
        <w:rPr>
          <w:rFonts w:asciiTheme="minorHAnsi" w:eastAsiaTheme="minorHAnsi" w:hAnsiTheme="minorHAnsi"/>
          <w:bCs/>
          <w:szCs w:val="22"/>
          <w:lang w:eastAsia="en-US"/>
        </w:rPr>
      </w:pPr>
      <w:r w:rsidRPr="00CE4B8D">
        <w:rPr>
          <w:rFonts w:asciiTheme="minorHAnsi" w:eastAsiaTheme="minorHAnsi" w:hAnsiTheme="minorHAnsi"/>
          <w:bCs/>
          <w:szCs w:val="22"/>
          <w:lang w:eastAsia="en-US"/>
        </w:rPr>
        <w:t>The sponsor had no comment.</w:t>
      </w:r>
    </w:p>
    <w:p w14:paraId="59662572" w14:textId="43887D40" w:rsidR="00CE4B8D" w:rsidRDefault="00CE4B8D" w:rsidP="0052787F">
      <w:pPr>
        <w:spacing w:after="120"/>
        <w:rPr>
          <w:rFonts w:asciiTheme="minorHAnsi" w:hAnsiTheme="minorHAnsi"/>
          <w:bCs/>
          <w:snapToGrid w:val="0"/>
          <w:lang w:val="en-GB" w:eastAsia="en-US"/>
        </w:rPr>
      </w:pPr>
    </w:p>
    <w:bookmarkEnd w:id="65"/>
    <w:p w14:paraId="6639DBBC" w14:textId="77777777" w:rsidR="00CE4B8D" w:rsidRPr="0052787F" w:rsidRDefault="00CE4B8D" w:rsidP="0052787F">
      <w:pPr>
        <w:spacing w:after="120"/>
        <w:rPr>
          <w:rFonts w:asciiTheme="minorHAnsi" w:hAnsiTheme="minorHAnsi"/>
          <w:bCs/>
          <w:snapToGrid w:val="0"/>
          <w:lang w:val="en-GB" w:eastAsia="en-US"/>
        </w:rPr>
      </w:pPr>
    </w:p>
    <w:sectPr w:rsidR="00CE4B8D" w:rsidRPr="0052787F"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B983" w14:textId="77777777" w:rsidR="0076097F" w:rsidRDefault="0076097F" w:rsidP="00124A51">
      <w:r>
        <w:separator/>
      </w:r>
    </w:p>
    <w:p w14:paraId="5AA1CD46" w14:textId="77777777" w:rsidR="0076097F" w:rsidRDefault="0076097F"/>
  </w:endnote>
  <w:endnote w:type="continuationSeparator" w:id="0">
    <w:p w14:paraId="7E008925" w14:textId="77777777" w:rsidR="0076097F" w:rsidRDefault="0076097F" w:rsidP="00124A51">
      <w:r>
        <w:continuationSeparator/>
      </w:r>
    </w:p>
    <w:p w14:paraId="759A3BD0" w14:textId="77777777" w:rsidR="0076097F" w:rsidRDefault="0076097F"/>
  </w:endnote>
  <w:endnote w:type="continuationNotice" w:id="1">
    <w:p w14:paraId="3D2E91C4" w14:textId="77777777" w:rsidR="0076097F" w:rsidRDefault="00760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CEA" w14:textId="77777777" w:rsidR="00E038A0" w:rsidRDefault="00E03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1CD49029" w:rsidR="00D843F2" w:rsidRPr="00421405" w:rsidRDefault="00D821BA" w:rsidP="00753B29">
    <w:pPr>
      <w:pStyle w:val="Footer"/>
      <w:jc w:val="center"/>
      <w:rPr>
        <w:b/>
        <w:bCs/>
      </w:rPr>
    </w:pPr>
    <w:sdt>
      <w:sdtPr>
        <w:id w:val="1036156457"/>
        <w:docPartObj>
          <w:docPartGallery w:val="Page Numbers (Bottom of Page)"/>
          <w:docPartUnique/>
        </w:docPartObj>
      </w:sdtPr>
      <w:sdtEndPr>
        <w:rPr>
          <w:b/>
          <w:bCs/>
          <w:noProof/>
        </w:rPr>
      </w:sdtEndPr>
      <w:sdtContent>
        <w:r w:rsidR="00D843F2" w:rsidRPr="00421405">
          <w:rPr>
            <w:b/>
            <w:bCs/>
          </w:rPr>
          <w:fldChar w:fldCharType="begin"/>
        </w:r>
        <w:r w:rsidR="00D843F2" w:rsidRPr="00421405">
          <w:rPr>
            <w:b/>
            <w:bCs/>
          </w:rPr>
          <w:instrText xml:space="preserve"> PAGE   \* MERGEFORMAT </w:instrText>
        </w:r>
        <w:r w:rsidR="00D843F2" w:rsidRPr="00421405">
          <w:rPr>
            <w:b/>
            <w:bCs/>
          </w:rPr>
          <w:fldChar w:fldCharType="separate"/>
        </w:r>
        <w:r w:rsidR="00D843F2" w:rsidRPr="00421405">
          <w:rPr>
            <w:b/>
            <w:bCs/>
            <w:noProof/>
          </w:rPr>
          <w:t>2</w:t>
        </w:r>
        <w:r w:rsidR="00D843F2" w:rsidRPr="00421405">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9097" w14:textId="77777777" w:rsidR="00E038A0" w:rsidRDefault="00E03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AD01" w14:textId="77777777" w:rsidR="0076097F" w:rsidRDefault="0076097F" w:rsidP="00124A51">
      <w:r>
        <w:separator/>
      </w:r>
    </w:p>
    <w:p w14:paraId="4844D681" w14:textId="77777777" w:rsidR="0076097F" w:rsidRDefault="0076097F"/>
  </w:footnote>
  <w:footnote w:type="continuationSeparator" w:id="0">
    <w:p w14:paraId="782396A3" w14:textId="77777777" w:rsidR="0076097F" w:rsidRDefault="0076097F" w:rsidP="00124A51">
      <w:r>
        <w:continuationSeparator/>
      </w:r>
    </w:p>
    <w:p w14:paraId="0856D252" w14:textId="77777777" w:rsidR="0076097F" w:rsidRDefault="0076097F"/>
  </w:footnote>
  <w:footnote w:type="continuationNotice" w:id="1">
    <w:p w14:paraId="7B91D183" w14:textId="77777777" w:rsidR="0076097F" w:rsidRDefault="0076097F"/>
  </w:footnote>
  <w:footnote w:id="2">
    <w:p w14:paraId="05D61360" w14:textId="07C7C37B" w:rsidR="00B27119" w:rsidRDefault="00B27119">
      <w:pPr>
        <w:pStyle w:val="FootnoteText"/>
      </w:pPr>
      <w:r>
        <w:rPr>
          <w:rStyle w:val="FootnoteReference"/>
        </w:rPr>
        <w:footnoteRef/>
      </w:r>
      <w:r>
        <w:t xml:space="preserve"> </w:t>
      </w:r>
      <w:hyperlink r:id="rId1" w:history="1">
        <w:r w:rsidRPr="00A140AD">
          <w:rPr>
            <w:rStyle w:val="Hyperlink"/>
          </w:rPr>
          <w:t>https://www.accessdata.fda.gov/drugsatfda_docs/label/2021/215596lbl.pdf</w:t>
        </w:r>
      </w:hyperlink>
      <w:r>
        <w:t xml:space="preserve"> </w:t>
      </w:r>
      <w:r w:rsidR="00BD5EC2">
        <w:t>(</w:t>
      </w:r>
      <w:r>
        <w:t>accessed 16 July, 2023</w:t>
      </w:r>
      <w:r w:rsidR="00BD5EC2">
        <w:t>)</w:t>
      </w:r>
      <w:r>
        <w:t>.</w:t>
      </w:r>
    </w:p>
  </w:footnote>
  <w:footnote w:id="3">
    <w:p w14:paraId="52A03BBB" w14:textId="26994CF6" w:rsidR="006D32C1" w:rsidRDefault="006D32C1" w:rsidP="006D32C1">
      <w:pPr>
        <w:pStyle w:val="FootnoteText"/>
        <w:jc w:val="left"/>
      </w:pPr>
      <w:r>
        <w:rPr>
          <w:rStyle w:val="FootnoteReference"/>
        </w:rPr>
        <w:footnoteRef/>
      </w:r>
      <w:r>
        <w:t xml:space="preserve"> </w:t>
      </w:r>
      <w:hyperlink r:id="rId2" w:history="1">
        <w:r w:rsidRPr="00A140AD">
          <w:rPr>
            <w:rStyle w:val="Hyperlink"/>
          </w:rPr>
          <w:t>https://www.ema.europa.eu/en/documents/product-information/livtencity-epar-product-information_en.pdf</w:t>
        </w:r>
      </w:hyperlink>
      <w:r>
        <w:t xml:space="preserve"> </w:t>
      </w:r>
      <w:r w:rsidR="00BD5EC2">
        <w:t>(</w:t>
      </w:r>
      <w:r>
        <w:t>accessed 16 July, 2023</w:t>
      </w:r>
      <w:r w:rsidR="00BD5EC2">
        <w:t>)</w:t>
      </w:r>
      <w:r>
        <w:t xml:space="preserve">. </w:t>
      </w:r>
    </w:p>
  </w:footnote>
  <w:footnote w:id="4">
    <w:p w14:paraId="29073A72" w14:textId="77777777" w:rsidR="00B91A2C" w:rsidRDefault="00B91A2C" w:rsidP="00B91A2C">
      <w:pPr>
        <w:pStyle w:val="FootnoteText"/>
      </w:pPr>
      <w:r>
        <w:rPr>
          <w:rStyle w:val="FootnoteReference"/>
        </w:rPr>
        <w:footnoteRef/>
      </w:r>
      <w:r>
        <w:t xml:space="preserve"> Marty FM, Ljungman P, Papanicolaou G, et al. Maribavir prophylaxis for prevention of cytomegalovirus disease in recipients of allogeneic stem-cell transplants: A phase 3, double-blind, placebo-controlled, randomised trial. </w:t>
      </w:r>
      <w:r w:rsidRPr="00F60177">
        <w:rPr>
          <w:i/>
          <w:iCs/>
        </w:rPr>
        <w:t>Lancet Inf Dis</w:t>
      </w:r>
      <w:r>
        <w:t xml:space="preserve"> 2011; 11:284-292. </w:t>
      </w:r>
    </w:p>
  </w:footnote>
  <w:footnote w:id="5">
    <w:p w14:paraId="4C81FA1B" w14:textId="5A7F756F" w:rsidR="00E80DE2" w:rsidRPr="0098695D" w:rsidRDefault="00E80DE2">
      <w:pPr>
        <w:pStyle w:val="FootnoteText"/>
        <w:rPr>
          <w:rFonts w:asciiTheme="minorHAnsi" w:hAnsiTheme="minorHAnsi" w:cstheme="minorHAnsi"/>
        </w:rPr>
      </w:pPr>
      <w:r w:rsidRPr="0098695D">
        <w:rPr>
          <w:rStyle w:val="FootnoteReference"/>
          <w:rFonts w:asciiTheme="minorHAnsi" w:hAnsiTheme="minorHAnsi" w:cstheme="minorHAnsi"/>
        </w:rPr>
        <w:footnoteRef/>
      </w:r>
      <w:r w:rsidRPr="0098695D">
        <w:rPr>
          <w:rFonts w:asciiTheme="minorHAnsi" w:hAnsiTheme="minorHAnsi" w:cstheme="minorHAnsi"/>
        </w:rPr>
        <w:t xml:space="preserve"> </w:t>
      </w:r>
      <w:r w:rsidRPr="0098695D">
        <w:rPr>
          <w:rStyle w:val="TableFooterChar"/>
          <w:rFonts w:asciiTheme="minorHAnsi" w:hAnsiTheme="minorHAnsi" w:cstheme="minorHAnsi"/>
          <w:sz w:val="20"/>
        </w:rPr>
        <w:t xml:space="preserve">Maertens J, Cordonnier C, Jaksch P, Poire X et al. Maribavir for preemptive treatment of cytomegalovirus reactivation. </w:t>
      </w:r>
      <w:r w:rsidRPr="0098695D">
        <w:rPr>
          <w:rStyle w:val="TableFooterChar"/>
          <w:rFonts w:asciiTheme="minorHAnsi" w:hAnsiTheme="minorHAnsi" w:cstheme="minorHAnsi"/>
          <w:i/>
          <w:iCs/>
          <w:sz w:val="20"/>
        </w:rPr>
        <w:t xml:space="preserve">NEJM </w:t>
      </w:r>
      <w:r w:rsidRPr="0098695D">
        <w:rPr>
          <w:rStyle w:val="TableFooterChar"/>
          <w:rFonts w:asciiTheme="minorHAnsi" w:hAnsiTheme="minorHAnsi" w:cstheme="minorHAnsi"/>
          <w:sz w:val="20"/>
        </w:rPr>
        <w:t>2019; 381(12):1136-1147</w:t>
      </w:r>
      <w:r w:rsidRPr="0098695D">
        <w:rPr>
          <w:rFonts w:asciiTheme="minorHAnsi" w:hAnsiTheme="minorHAnsi" w:cstheme="minorHAnsi"/>
        </w:rPr>
        <w:t>.</w:t>
      </w:r>
    </w:p>
  </w:footnote>
  <w:footnote w:id="6">
    <w:p w14:paraId="7D1014A3" w14:textId="77777777" w:rsidR="00D82CAC" w:rsidRDefault="00D82CAC" w:rsidP="00D82CAC">
      <w:pPr>
        <w:pStyle w:val="FootnoteText"/>
      </w:pPr>
      <w:r>
        <w:rPr>
          <w:rStyle w:val="FootnoteReference"/>
        </w:rPr>
        <w:footnoteRef/>
      </w:r>
      <w:r>
        <w:t xml:space="preserve"> </w:t>
      </w:r>
      <w:r w:rsidRPr="00D36E9F">
        <w:t>https://www.nice.org.uk/guidance/ta860/documents/committee-papers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50E9" w14:textId="77777777" w:rsidR="00E038A0" w:rsidRDefault="00E03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A87C" w14:textId="77777777" w:rsidR="006F4CB0" w:rsidRPr="00056684" w:rsidRDefault="006F4CB0" w:rsidP="006F4CB0">
    <w:pPr>
      <w:pStyle w:val="Header"/>
      <w:ind w:left="360"/>
      <w:rPr>
        <w:rFonts w:asciiTheme="minorHAnsi" w:hAnsiTheme="minorHAnsi"/>
        <w:i/>
        <w:color w:val="808080"/>
      </w:rPr>
    </w:pPr>
    <w:bookmarkStart w:id="70"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 xml:space="preserve">November 2023 </w:t>
    </w:r>
    <w:r w:rsidRPr="00056684">
      <w:rPr>
        <w:rFonts w:asciiTheme="minorHAnsi" w:hAnsiTheme="minorHAnsi"/>
        <w:i/>
        <w:color w:val="808080"/>
      </w:rPr>
      <w:t>PBAC Meeting</w:t>
    </w:r>
  </w:p>
  <w:bookmarkEnd w:id="70"/>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05A7" w14:textId="77777777" w:rsidR="00E038A0" w:rsidRDefault="00E03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02D148"/>
    <w:lvl w:ilvl="0">
      <w:start w:val="1"/>
      <w:numFmt w:val="bullet"/>
      <w:lvlText w:val=""/>
      <w:lvlJc w:val="left"/>
      <w:pPr>
        <w:ind w:left="72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BB6ADC"/>
    <w:multiLevelType w:val="multilevel"/>
    <w:tmpl w:val="A65E17F2"/>
    <w:styleLink w:val="CurrentList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E1052"/>
    <w:multiLevelType w:val="hybridMultilevel"/>
    <w:tmpl w:val="95765846"/>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20D94"/>
    <w:multiLevelType w:val="multilevel"/>
    <w:tmpl w:val="A94C5558"/>
    <w:styleLink w:val="CurrentList8"/>
    <w:lvl w:ilvl="0">
      <w:start w:val="1"/>
      <w:numFmt w:val="decimal"/>
      <w:lvlText w:val="%1)"/>
      <w:lvlJc w:val="left"/>
      <w:pPr>
        <w:ind w:left="720" w:hanging="360"/>
      </w:pPr>
      <w:rPr>
        <w:rFonts w:hint="default"/>
        <w:b w:val="0"/>
        <w:bCs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C6242B"/>
    <w:multiLevelType w:val="hybridMultilevel"/>
    <w:tmpl w:val="8D72B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3E27BD"/>
    <w:multiLevelType w:val="hybridMultilevel"/>
    <w:tmpl w:val="3B105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D8767D"/>
    <w:multiLevelType w:val="multilevel"/>
    <w:tmpl w:val="B2C814B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746C5"/>
    <w:multiLevelType w:val="multilevel"/>
    <w:tmpl w:val="3216EBF4"/>
    <w:styleLink w:val="CurrentList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1218C7"/>
    <w:multiLevelType w:val="hybridMultilevel"/>
    <w:tmpl w:val="FF46D468"/>
    <w:lvl w:ilvl="0" w:tplc="2872042E">
      <w:start w:val="1"/>
      <w:numFmt w:val="decimal"/>
      <w:lvlText w:val="%1)"/>
      <w:lvlJc w:val="left"/>
      <w:pPr>
        <w:ind w:left="720" w:hanging="360"/>
      </w:pPr>
      <w:rPr>
        <w:rFonts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00A85"/>
    <w:multiLevelType w:val="hybridMultilevel"/>
    <w:tmpl w:val="E626DD2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5F1C53"/>
    <w:multiLevelType w:val="hybridMultilevel"/>
    <w:tmpl w:val="9312C116"/>
    <w:lvl w:ilvl="0" w:tplc="190E860A">
      <w:start w:val="1"/>
      <w:numFmt w:val="bullet"/>
      <w:lvlText w:val="•"/>
      <w:lvlJc w:val="left"/>
      <w:pPr>
        <w:tabs>
          <w:tab w:val="num" w:pos="720"/>
        </w:tabs>
        <w:ind w:left="720" w:hanging="360"/>
      </w:pPr>
      <w:rPr>
        <w:rFonts w:ascii="Arial" w:hAnsi="Arial" w:hint="default"/>
      </w:rPr>
    </w:lvl>
    <w:lvl w:ilvl="1" w:tplc="9A762EBA">
      <w:start w:val="1"/>
      <w:numFmt w:val="bullet"/>
      <w:lvlText w:val="•"/>
      <w:lvlJc w:val="left"/>
      <w:pPr>
        <w:tabs>
          <w:tab w:val="num" w:pos="1440"/>
        </w:tabs>
        <w:ind w:left="1440" w:hanging="360"/>
      </w:pPr>
      <w:rPr>
        <w:rFonts w:ascii="Arial" w:hAnsi="Arial" w:hint="default"/>
      </w:rPr>
    </w:lvl>
    <w:lvl w:ilvl="2" w:tplc="2528DEBC" w:tentative="1">
      <w:start w:val="1"/>
      <w:numFmt w:val="bullet"/>
      <w:lvlText w:val="•"/>
      <w:lvlJc w:val="left"/>
      <w:pPr>
        <w:tabs>
          <w:tab w:val="num" w:pos="2160"/>
        </w:tabs>
        <w:ind w:left="2160" w:hanging="360"/>
      </w:pPr>
      <w:rPr>
        <w:rFonts w:ascii="Arial" w:hAnsi="Arial" w:hint="default"/>
      </w:rPr>
    </w:lvl>
    <w:lvl w:ilvl="3" w:tplc="87322F52" w:tentative="1">
      <w:start w:val="1"/>
      <w:numFmt w:val="bullet"/>
      <w:lvlText w:val="•"/>
      <w:lvlJc w:val="left"/>
      <w:pPr>
        <w:tabs>
          <w:tab w:val="num" w:pos="2880"/>
        </w:tabs>
        <w:ind w:left="2880" w:hanging="360"/>
      </w:pPr>
      <w:rPr>
        <w:rFonts w:ascii="Arial" w:hAnsi="Arial" w:hint="default"/>
      </w:rPr>
    </w:lvl>
    <w:lvl w:ilvl="4" w:tplc="D14E5A4C" w:tentative="1">
      <w:start w:val="1"/>
      <w:numFmt w:val="bullet"/>
      <w:lvlText w:val="•"/>
      <w:lvlJc w:val="left"/>
      <w:pPr>
        <w:tabs>
          <w:tab w:val="num" w:pos="3600"/>
        </w:tabs>
        <w:ind w:left="3600" w:hanging="360"/>
      </w:pPr>
      <w:rPr>
        <w:rFonts w:ascii="Arial" w:hAnsi="Arial" w:hint="default"/>
      </w:rPr>
    </w:lvl>
    <w:lvl w:ilvl="5" w:tplc="83840650" w:tentative="1">
      <w:start w:val="1"/>
      <w:numFmt w:val="bullet"/>
      <w:lvlText w:val="•"/>
      <w:lvlJc w:val="left"/>
      <w:pPr>
        <w:tabs>
          <w:tab w:val="num" w:pos="4320"/>
        </w:tabs>
        <w:ind w:left="4320" w:hanging="360"/>
      </w:pPr>
      <w:rPr>
        <w:rFonts w:ascii="Arial" w:hAnsi="Arial" w:hint="default"/>
      </w:rPr>
    </w:lvl>
    <w:lvl w:ilvl="6" w:tplc="6D18951C" w:tentative="1">
      <w:start w:val="1"/>
      <w:numFmt w:val="bullet"/>
      <w:lvlText w:val="•"/>
      <w:lvlJc w:val="left"/>
      <w:pPr>
        <w:tabs>
          <w:tab w:val="num" w:pos="5040"/>
        </w:tabs>
        <w:ind w:left="5040" w:hanging="360"/>
      </w:pPr>
      <w:rPr>
        <w:rFonts w:ascii="Arial" w:hAnsi="Arial" w:hint="default"/>
      </w:rPr>
    </w:lvl>
    <w:lvl w:ilvl="7" w:tplc="B928A584" w:tentative="1">
      <w:start w:val="1"/>
      <w:numFmt w:val="bullet"/>
      <w:lvlText w:val="•"/>
      <w:lvlJc w:val="left"/>
      <w:pPr>
        <w:tabs>
          <w:tab w:val="num" w:pos="5760"/>
        </w:tabs>
        <w:ind w:left="5760" w:hanging="360"/>
      </w:pPr>
      <w:rPr>
        <w:rFonts w:ascii="Arial" w:hAnsi="Arial" w:hint="default"/>
      </w:rPr>
    </w:lvl>
    <w:lvl w:ilvl="8" w:tplc="6CE61B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376C72"/>
    <w:multiLevelType w:val="hybridMultilevel"/>
    <w:tmpl w:val="3216EBF4"/>
    <w:lvl w:ilvl="0" w:tplc="0C090001">
      <w:start w:val="1"/>
      <w:numFmt w:val="bullet"/>
      <w:lvlText w:val=""/>
      <w:lvlJc w:val="left"/>
      <w:pPr>
        <w:ind w:left="360" w:hanging="360"/>
      </w:pPr>
      <w:rPr>
        <w:rFonts w:ascii="Symbol" w:hAnsi="Symbol" w:hint="default"/>
      </w:rPr>
    </w:lvl>
    <w:lvl w:ilvl="1" w:tplc="985EB416">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2F32F392"/>
    <w:lvl w:ilvl="0" w:tplc="04090001">
      <w:start w:val="1"/>
      <w:numFmt w:val="bullet"/>
      <w:pStyle w:val="ListParagraph"/>
      <w:lvlText w:val=""/>
      <w:lvlJc w:val="left"/>
      <w:pPr>
        <w:ind w:left="720" w:hanging="360"/>
      </w:pPr>
      <w:rPr>
        <w:rFonts w:ascii="Symbol" w:hAnsi="Symbol" w:hint="default"/>
      </w:rPr>
    </w:lvl>
    <w:lvl w:ilvl="1" w:tplc="7250F5B8">
      <w:numFmt w:val="bullet"/>
      <w:lvlText w:val="•"/>
      <w:lvlJc w:val="left"/>
      <w:pPr>
        <w:ind w:left="1800" w:hanging="720"/>
      </w:pPr>
      <w:rPr>
        <w:rFonts w:ascii="Arial Narrow" w:eastAsiaTheme="majorEastAsia" w:hAnsi="Arial Narrow"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6B4B1B"/>
    <w:multiLevelType w:val="hybridMultilevel"/>
    <w:tmpl w:val="44D4C9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1" w15:restartNumberingAfterBreak="0">
    <w:nsid w:val="5A647557"/>
    <w:multiLevelType w:val="multilevel"/>
    <w:tmpl w:val="2CB4425A"/>
    <w:styleLink w:val="CurrentList9"/>
    <w:lvl w:ilvl="0">
      <w:start w:val="2"/>
      <w:numFmt w:val="decimal"/>
      <w:lvlText w:val="%1)"/>
      <w:lvlJc w:val="left"/>
      <w:pPr>
        <w:ind w:left="720" w:hanging="360"/>
      </w:pPr>
      <w:rPr>
        <w:rFonts w:hint="default"/>
        <w:b w:val="0"/>
        <w:bCs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40A30DA"/>
    <w:multiLevelType w:val="hybridMultilevel"/>
    <w:tmpl w:val="92FC5700"/>
    <w:lvl w:ilvl="0" w:tplc="96329EC0">
      <w:numFmt w:val="bullet"/>
      <w:lvlText w:val="•"/>
      <w:lvlJc w:val="left"/>
      <w:pPr>
        <w:ind w:left="720" w:hanging="360"/>
      </w:pPr>
      <w:rPr>
        <w:rFonts w:ascii="Arial Narrow" w:eastAsiaTheme="majorEastAsia" w:hAnsi="Arial Narrow"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6B62A30"/>
    <w:multiLevelType w:val="multilevel"/>
    <w:tmpl w:val="3216EBF4"/>
    <w:styleLink w:val="CurrentList1"/>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4B40F0"/>
    <w:multiLevelType w:val="hybridMultilevel"/>
    <w:tmpl w:val="05C46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CE5E85"/>
    <w:multiLevelType w:val="hybridMultilevel"/>
    <w:tmpl w:val="0686BCFE"/>
    <w:lvl w:ilvl="0" w:tplc="0C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AF22442"/>
    <w:multiLevelType w:val="hybridMultilevel"/>
    <w:tmpl w:val="9BA0DDB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FA3C06"/>
    <w:multiLevelType w:val="hybridMultilevel"/>
    <w:tmpl w:val="C478C4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AFF1358"/>
    <w:multiLevelType w:val="multilevel"/>
    <w:tmpl w:val="BA4EF08E"/>
    <w:styleLink w:val="CurrentList6"/>
    <w:lvl w:ilvl="0">
      <w:start w:val="1"/>
      <w:numFmt w:val="decimal"/>
      <w:lvlText w:val="%1)"/>
      <w:lvlJc w:val="left"/>
      <w:pPr>
        <w:ind w:left="720" w:hanging="360"/>
      </w:pPr>
      <w:rPr>
        <w:rFonts w:hint="default"/>
        <w:b w:val="0"/>
        <w:bCs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E836BD"/>
    <w:multiLevelType w:val="hybridMultilevel"/>
    <w:tmpl w:val="4C107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E5576E"/>
    <w:multiLevelType w:val="multilevel"/>
    <w:tmpl w:val="2BACE8C0"/>
    <w:styleLink w:val="CurrentList5"/>
    <w:lvl w:ilvl="0">
      <w:start w:val="1"/>
      <w:numFmt w:val="decimal"/>
      <w:lvlText w:val="%1)"/>
      <w:lvlJc w:val="left"/>
      <w:pPr>
        <w:ind w:left="720" w:hanging="360"/>
      </w:pPr>
      <w:rPr>
        <w:rFonts w:hint="default"/>
        <w:b w:val="0"/>
        <w:bCs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48059B"/>
    <w:multiLevelType w:val="multilevel"/>
    <w:tmpl w:val="D36ECF2C"/>
    <w:styleLink w:val="CurrentList7"/>
    <w:lvl w:ilvl="0">
      <w:start w:val="2"/>
      <w:numFmt w:val="decimal"/>
      <w:lvlText w:val="%1)"/>
      <w:lvlJc w:val="left"/>
      <w:pPr>
        <w:ind w:left="720" w:hanging="360"/>
      </w:pPr>
      <w:rPr>
        <w:rFonts w:hint="default"/>
        <w:b w:val="0"/>
        <w:bCs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D903F9"/>
    <w:multiLevelType w:val="multilevel"/>
    <w:tmpl w:val="A8BCA220"/>
    <w:styleLink w:val="CurrentList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3574077">
    <w:abstractNumId w:val="34"/>
  </w:num>
  <w:num w:numId="2" w16cid:durableId="455225306">
    <w:abstractNumId w:val="17"/>
  </w:num>
  <w:num w:numId="3" w16cid:durableId="2124303186">
    <w:abstractNumId w:val="18"/>
  </w:num>
  <w:num w:numId="4" w16cid:durableId="1868057922">
    <w:abstractNumId w:val="0"/>
  </w:num>
  <w:num w:numId="5" w16cid:durableId="948585580">
    <w:abstractNumId w:val="35"/>
  </w:num>
  <w:num w:numId="6" w16cid:durableId="712850892">
    <w:abstractNumId w:val="16"/>
  </w:num>
  <w:num w:numId="7" w16cid:durableId="2036224562">
    <w:abstractNumId w:val="24"/>
  </w:num>
  <w:num w:numId="8" w16cid:durableId="1301497684">
    <w:abstractNumId w:val="3"/>
  </w:num>
  <w:num w:numId="9" w16cid:durableId="253171856">
    <w:abstractNumId w:val="23"/>
  </w:num>
  <w:num w:numId="10" w16cid:durableId="1832062626">
    <w:abstractNumId w:val="25"/>
  </w:num>
  <w:num w:numId="11" w16cid:durableId="915869454">
    <w:abstractNumId w:val="26"/>
  </w:num>
  <w:num w:numId="12" w16cid:durableId="2021472260">
    <w:abstractNumId w:val="32"/>
  </w:num>
  <w:num w:numId="13" w16cid:durableId="1809663093">
    <w:abstractNumId w:val="9"/>
  </w:num>
  <w:num w:numId="14" w16cid:durableId="1779253201">
    <w:abstractNumId w:val="13"/>
  </w:num>
  <w:num w:numId="15" w16cid:durableId="599725742">
    <w:abstractNumId w:val="12"/>
  </w:num>
  <w:num w:numId="16" w16cid:durableId="460609478">
    <w:abstractNumId w:val="14"/>
  </w:num>
  <w:num w:numId="17" w16cid:durableId="748767625">
    <w:abstractNumId w:val="20"/>
  </w:num>
  <w:num w:numId="18" w16cid:durableId="157427242">
    <w:abstractNumId w:val="10"/>
  </w:num>
  <w:num w:numId="19" w16cid:durableId="1256785790">
    <w:abstractNumId w:val="2"/>
  </w:num>
  <w:num w:numId="20" w16cid:durableId="1922979117">
    <w:abstractNumId w:val="33"/>
  </w:num>
  <w:num w:numId="21" w16cid:durableId="443620775">
    <w:abstractNumId w:val="30"/>
  </w:num>
  <w:num w:numId="22" w16cid:durableId="1572159425">
    <w:abstractNumId w:val="36"/>
  </w:num>
  <w:num w:numId="23" w16cid:durableId="1459643871">
    <w:abstractNumId w:val="5"/>
  </w:num>
  <w:num w:numId="24" w16cid:durableId="1861354392">
    <w:abstractNumId w:val="21"/>
  </w:num>
  <w:num w:numId="25" w16cid:durableId="147868675">
    <w:abstractNumId w:val="37"/>
  </w:num>
  <w:num w:numId="26" w16cid:durableId="1774132441">
    <w:abstractNumId w:val="6"/>
  </w:num>
  <w:num w:numId="27" w16cid:durableId="2141679839">
    <w:abstractNumId w:val="27"/>
  </w:num>
  <w:num w:numId="28" w16cid:durableId="495608247">
    <w:abstractNumId w:val="28"/>
  </w:num>
  <w:num w:numId="29" w16cid:durableId="867639637">
    <w:abstractNumId w:val="29"/>
  </w:num>
  <w:num w:numId="30" w16cid:durableId="1556164197">
    <w:abstractNumId w:val="19"/>
  </w:num>
  <w:num w:numId="31" w16cid:durableId="2023166184">
    <w:abstractNumId w:val="4"/>
  </w:num>
  <w:num w:numId="32" w16cid:durableId="935485206">
    <w:abstractNumId w:val="1"/>
  </w:num>
  <w:num w:numId="33" w16cid:durableId="1032998555">
    <w:abstractNumId w:val="8"/>
  </w:num>
  <w:num w:numId="34" w16cid:durableId="565729662">
    <w:abstractNumId w:val="11"/>
  </w:num>
  <w:num w:numId="35" w16cid:durableId="548801873">
    <w:abstractNumId w:val="7"/>
  </w:num>
  <w:num w:numId="36" w16cid:durableId="118924848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1494976">
    <w:abstractNumId w:val="31"/>
  </w:num>
  <w:num w:numId="38" w16cid:durableId="11758749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7859916">
    <w:abstractNumId w:val="15"/>
  </w:num>
  <w:num w:numId="40" w16cid:durableId="1498109496">
    <w:abstractNumId w:val="34"/>
  </w:num>
  <w:num w:numId="41" w16cid:durableId="2121025784">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41E1"/>
    <w:rsid w:val="000056B9"/>
    <w:rsid w:val="0000639A"/>
    <w:rsid w:val="000073B8"/>
    <w:rsid w:val="000074C5"/>
    <w:rsid w:val="000107FB"/>
    <w:rsid w:val="00010B13"/>
    <w:rsid w:val="00013165"/>
    <w:rsid w:val="000131D2"/>
    <w:rsid w:val="00013247"/>
    <w:rsid w:val="000134BC"/>
    <w:rsid w:val="00013BDA"/>
    <w:rsid w:val="00014399"/>
    <w:rsid w:val="00014A7B"/>
    <w:rsid w:val="0001549F"/>
    <w:rsid w:val="00015886"/>
    <w:rsid w:val="00015E2E"/>
    <w:rsid w:val="0001622D"/>
    <w:rsid w:val="000162EF"/>
    <w:rsid w:val="00017CF8"/>
    <w:rsid w:val="000207C9"/>
    <w:rsid w:val="00021BBC"/>
    <w:rsid w:val="00021EB6"/>
    <w:rsid w:val="0002225F"/>
    <w:rsid w:val="00022826"/>
    <w:rsid w:val="000228E3"/>
    <w:rsid w:val="00022D17"/>
    <w:rsid w:val="00023618"/>
    <w:rsid w:val="00023763"/>
    <w:rsid w:val="0002422A"/>
    <w:rsid w:val="00024EB5"/>
    <w:rsid w:val="0002558E"/>
    <w:rsid w:val="000258D7"/>
    <w:rsid w:val="00026081"/>
    <w:rsid w:val="00026D05"/>
    <w:rsid w:val="000274B8"/>
    <w:rsid w:val="00030347"/>
    <w:rsid w:val="00032036"/>
    <w:rsid w:val="00033863"/>
    <w:rsid w:val="000354D4"/>
    <w:rsid w:val="00035DC0"/>
    <w:rsid w:val="00036829"/>
    <w:rsid w:val="000379AB"/>
    <w:rsid w:val="000407B8"/>
    <w:rsid w:val="00040895"/>
    <w:rsid w:val="000410A0"/>
    <w:rsid w:val="0004217D"/>
    <w:rsid w:val="000435EE"/>
    <w:rsid w:val="00043C37"/>
    <w:rsid w:val="00043FC4"/>
    <w:rsid w:val="00045017"/>
    <w:rsid w:val="00045A2B"/>
    <w:rsid w:val="0004698F"/>
    <w:rsid w:val="00046D64"/>
    <w:rsid w:val="00046E04"/>
    <w:rsid w:val="000508C2"/>
    <w:rsid w:val="00050A79"/>
    <w:rsid w:val="000511B4"/>
    <w:rsid w:val="00052F9A"/>
    <w:rsid w:val="000539D0"/>
    <w:rsid w:val="00053B6E"/>
    <w:rsid w:val="00053C95"/>
    <w:rsid w:val="00053F3A"/>
    <w:rsid w:val="0005438F"/>
    <w:rsid w:val="00054621"/>
    <w:rsid w:val="000546D7"/>
    <w:rsid w:val="00054798"/>
    <w:rsid w:val="00054A8D"/>
    <w:rsid w:val="00056ECF"/>
    <w:rsid w:val="000604DF"/>
    <w:rsid w:val="00062324"/>
    <w:rsid w:val="000643B2"/>
    <w:rsid w:val="00064FF3"/>
    <w:rsid w:val="000653B5"/>
    <w:rsid w:val="00066360"/>
    <w:rsid w:val="00066AF8"/>
    <w:rsid w:val="00067C2C"/>
    <w:rsid w:val="00071248"/>
    <w:rsid w:val="000715E5"/>
    <w:rsid w:val="00071854"/>
    <w:rsid w:val="000720B9"/>
    <w:rsid w:val="000730FD"/>
    <w:rsid w:val="000737F7"/>
    <w:rsid w:val="0007672F"/>
    <w:rsid w:val="00076B54"/>
    <w:rsid w:val="00076E83"/>
    <w:rsid w:val="00077496"/>
    <w:rsid w:val="000774F0"/>
    <w:rsid w:val="0007754A"/>
    <w:rsid w:val="00080909"/>
    <w:rsid w:val="000812CA"/>
    <w:rsid w:val="00081E63"/>
    <w:rsid w:val="0008258D"/>
    <w:rsid w:val="00083252"/>
    <w:rsid w:val="00083E99"/>
    <w:rsid w:val="00084FA8"/>
    <w:rsid w:val="000856C5"/>
    <w:rsid w:val="00085C31"/>
    <w:rsid w:val="000902D9"/>
    <w:rsid w:val="00090C7E"/>
    <w:rsid w:val="00090D8F"/>
    <w:rsid w:val="000911AC"/>
    <w:rsid w:val="00091EAA"/>
    <w:rsid w:val="00092600"/>
    <w:rsid w:val="0009262B"/>
    <w:rsid w:val="00093310"/>
    <w:rsid w:val="0009369C"/>
    <w:rsid w:val="0009445C"/>
    <w:rsid w:val="00095200"/>
    <w:rsid w:val="00095FE5"/>
    <w:rsid w:val="00096284"/>
    <w:rsid w:val="00096304"/>
    <w:rsid w:val="000975D3"/>
    <w:rsid w:val="00097922"/>
    <w:rsid w:val="000A0FB2"/>
    <w:rsid w:val="000A0FCF"/>
    <w:rsid w:val="000A18A1"/>
    <w:rsid w:val="000A1BC0"/>
    <w:rsid w:val="000A2B53"/>
    <w:rsid w:val="000A2F9E"/>
    <w:rsid w:val="000A38EC"/>
    <w:rsid w:val="000A3E47"/>
    <w:rsid w:val="000A4727"/>
    <w:rsid w:val="000A522B"/>
    <w:rsid w:val="000A5475"/>
    <w:rsid w:val="000A6039"/>
    <w:rsid w:val="000A7453"/>
    <w:rsid w:val="000A7D08"/>
    <w:rsid w:val="000B0121"/>
    <w:rsid w:val="000B0670"/>
    <w:rsid w:val="000B0E75"/>
    <w:rsid w:val="000B10B2"/>
    <w:rsid w:val="000B2DCB"/>
    <w:rsid w:val="000B4F9D"/>
    <w:rsid w:val="000B5531"/>
    <w:rsid w:val="000B5CE0"/>
    <w:rsid w:val="000B6ABB"/>
    <w:rsid w:val="000B6CAC"/>
    <w:rsid w:val="000B7612"/>
    <w:rsid w:val="000B78AE"/>
    <w:rsid w:val="000C0B61"/>
    <w:rsid w:val="000C1C4E"/>
    <w:rsid w:val="000C319C"/>
    <w:rsid w:val="000C3DF9"/>
    <w:rsid w:val="000C44B4"/>
    <w:rsid w:val="000C48E1"/>
    <w:rsid w:val="000C4CF2"/>
    <w:rsid w:val="000C6713"/>
    <w:rsid w:val="000C7643"/>
    <w:rsid w:val="000D03EC"/>
    <w:rsid w:val="000D166D"/>
    <w:rsid w:val="000D1BFC"/>
    <w:rsid w:val="000D1D5D"/>
    <w:rsid w:val="000D281A"/>
    <w:rsid w:val="000D2848"/>
    <w:rsid w:val="000D326A"/>
    <w:rsid w:val="000D3959"/>
    <w:rsid w:val="000D3DC3"/>
    <w:rsid w:val="000D51FB"/>
    <w:rsid w:val="000D64DB"/>
    <w:rsid w:val="000E0558"/>
    <w:rsid w:val="000E0640"/>
    <w:rsid w:val="000E0A75"/>
    <w:rsid w:val="000E135D"/>
    <w:rsid w:val="000E1B19"/>
    <w:rsid w:val="000E3D85"/>
    <w:rsid w:val="000E4689"/>
    <w:rsid w:val="000E562C"/>
    <w:rsid w:val="000E6614"/>
    <w:rsid w:val="000E6E41"/>
    <w:rsid w:val="000E7CCB"/>
    <w:rsid w:val="000F00BA"/>
    <w:rsid w:val="000F316A"/>
    <w:rsid w:val="000F3C74"/>
    <w:rsid w:val="000F4100"/>
    <w:rsid w:val="000F41CC"/>
    <w:rsid w:val="000F4BB8"/>
    <w:rsid w:val="000F4BD3"/>
    <w:rsid w:val="000F4FA9"/>
    <w:rsid w:val="000F53FB"/>
    <w:rsid w:val="000F69C7"/>
    <w:rsid w:val="000F6A8E"/>
    <w:rsid w:val="000F7127"/>
    <w:rsid w:val="000F7B54"/>
    <w:rsid w:val="001000B3"/>
    <w:rsid w:val="00100193"/>
    <w:rsid w:val="00100F8A"/>
    <w:rsid w:val="00101E56"/>
    <w:rsid w:val="00103BE4"/>
    <w:rsid w:val="001044AE"/>
    <w:rsid w:val="0010452E"/>
    <w:rsid w:val="00104B39"/>
    <w:rsid w:val="00104FD9"/>
    <w:rsid w:val="00105AE2"/>
    <w:rsid w:val="001060C6"/>
    <w:rsid w:val="00106B80"/>
    <w:rsid w:val="0011032E"/>
    <w:rsid w:val="00110BD7"/>
    <w:rsid w:val="0011256E"/>
    <w:rsid w:val="0011348B"/>
    <w:rsid w:val="00115982"/>
    <w:rsid w:val="00116C53"/>
    <w:rsid w:val="001202DA"/>
    <w:rsid w:val="001213E4"/>
    <w:rsid w:val="00121799"/>
    <w:rsid w:val="00121B45"/>
    <w:rsid w:val="001222FC"/>
    <w:rsid w:val="001226B7"/>
    <w:rsid w:val="0012329F"/>
    <w:rsid w:val="00123902"/>
    <w:rsid w:val="00124A51"/>
    <w:rsid w:val="00124BB0"/>
    <w:rsid w:val="00126621"/>
    <w:rsid w:val="00126B1D"/>
    <w:rsid w:val="001275BD"/>
    <w:rsid w:val="00127887"/>
    <w:rsid w:val="001301E9"/>
    <w:rsid w:val="001317CC"/>
    <w:rsid w:val="00131BA6"/>
    <w:rsid w:val="00131D82"/>
    <w:rsid w:val="00132B22"/>
    <w:rsid w:val="00133B35"/>
    <w:rsid w:val="00133D36"/>
    <w:rsid w:val="001353D2"/>
    <w:rsid w:val="00136AAC"/>
    <w:rsid w:val="00137645"/>
    <w:rsid w:val="0014015A"/>
    <w:rsid w:val="00140E99"/>
    <w:rsid w:val="001411B7"/>
    <w:rsid w:val="00143F67"/>
    <w:rsid w:val="00145234"/>
    <w:rsid w:val="00145540"/>
    <w:rsid w:val="001456B0"/>
    <w:rsid w:val="001460B4"/>
    <w:rsid w:val="0014624F"/>
    <w:rsid w:val="00146CB1"/>
    <w:rsid w:val="00147341"/>
    <w:rsid w:val="00151628"/>
    <w:rsid w:val="00153100"/>
    <w:rsid w:val="001535A3"/>
    <w:rsid w:val="001536A4"/>
    <w:rsid w:val="001544A6"/>
    <w:rsid w:val="001547AB"/>
    <w:rsid w:val="001559E1"/>
    <w:rsid w:val="00156C03"/>
    <w:rsid w:val="00156F8F"/>
    <w:rsid w:val="00157130"/>
    <w:rsid w:val="001576B1"/>
    <w:rsid w:val="0016047B"/>
    <w:rsid w:val="00160A25"/>
    <w:rsid w:val="00160A4C"/>
    <w:rsid w:val="001610EB"/>
    <w:rsid w:val="00162913"/>
    <w:rsid w:val="00163E31"/>
    <w:rsid w:val="00163EFF"/>
    <w:rsid w:val="00163F66"/>
    <w:rsid w:val="0016478E"/>
    <w:rsid w:val="00165EC4"/>
    <w:rsid w:val="001661FB"/>
    <w:rsid w:val="001671A0"/>
    <w:rsid w:val="0016767F"/>
    <w:rsid w:val="00167C8D"/>
    <w:rsid w:val="00167F2A"/>
    <w:rsid w:val="0017143F"/>
    <w:rsid w:val="001726D2"/>
    <w:rsid w:val="00173565"/>
    <w:rsid w:val="00173B07"/>
    <w:rsid w:val="001751FA"/>
    <w:rsid w:val="001763C3"/>
    <w:rsid w:val="001769F3"/>
    <w:rsid w:val="00177E25"/>
    <w:rsid w:val="00181C10"/>
    <w:rsid w:val="00181D9C"/>
    <w:rsid w:val="001837FF"/>
    <w:rsid w:val="00183A03"/>
    <w:rsid w:val="00184551"/>
    <w:rsid w:val="001847F5"/>
    <w:rsid w:val="00184B0E"/>
    <w:rsid w:val="0018752F"/>
    <w:rsid w:val="00190A21"/>
    <w:rsid w:val="00190AF9"/>
    <w:rsid w:val="00190B90"/>
    <w:rsid w:val="001920AD"/>
    <w:rsid w:val="001927D0"/>
    <w:rsid w:val="00193838"/>
    <w:rsid w:val="00194AD8"/>
    <w:rsid w:val="00195222"/>
    <w:rsid w:val="0019528B"/>
    <w:rsid w:val="00195452"/>
    <w:rsid w:val="001975D8"/>
    <w:rsid w:val="001A178E"/>
    <w:rsid w:val="001A17BD"/>
    <w:rsid w:val="001A43FA"/>
    <w:rsid w:val="001A47C5"/>
    <w:rsid w:val="001A4DC2"/>
    <w:rsid w:val="001A59FB"/>
    <w:rsid w:val="001A5E9E"/>
    <w:rsid w:val="001A6153"/>
    <w:rsid w:val="001A6354"/>
    <w:rsid w:val="001A6366"/>
    <w:rsid w:val="001A7AE8"/>
    <w:rsid w:val="001B0391"/>
    <w:rsid w:val="001B10B0"/>
    <w:rsid w:val="001B1651"/>
    <w:rsid w:val="001B204E"/>
    <w:rsid w:val="001B2372"/>
    <w:rsid w:val="001B3443"/>
    <w:rsid w:val="001B44C1"/>
    <w:rsid w:val="001B4D20"/>
    <w:rsid w:val="001B5D20"/>
    <w:rsid w:val="001B7F84"/>
    <w:rsid w:val="001C0F2D"/>
    <w:rsid w:val="001C16B3"/>
    <w:rsid w:val="001C2A9B"/>
    <w:rsid w:val="001C3DD6"/>
    <w:rsid w:val="001C3E4E"/>
    <w:rsid w:val="001C4299"/>
    <w:rsid w:val="001C4874"/>
    <w:rsid w:val="001C584F"/>
    <w:rsid w:val="001C5F94"/>
    <w:rsid w:val="001C6E66"/>
    <w:rsid w:val="001D015D"/>
    <w:rsid w:val="001D0A84"/>
    <w:rsid w:val="001D1100"/>
    <w:rsid w:val="001D1391"/>
    <w:rsid w:val="001D25D7"/>
    <w:rsid w:val="001D288F"/>
    <w:rsid w:val="001D33C8"/>
    <w:rsid w:val="001D433E"/>
    <w:rsid w:val="001D50B2"/>
    <w:rsid w:val="001D687A"/>
    <w:rsid w:val="001D6E87"/>
    <w:rsid w:val="001D71F4"/>
    <w:rsid w:val="001D73D4"/>
    <w:rsid w:val="001D7645"/>
    <w:rsid w:val="001D77F2"/>
    <w:rsid w:val="001D7F05"/>
    <w:rsid w:val="001E0274"/>
    <w:rsid w:val="001E19B2"/>
    <w:rsid w:val="001E1E86"/>
    <w:rsid w:val="001E238E"/>
    <w:rsid w:val="001E2483"/>
    <w:rsid w:val="001E2B1E"/>
    <w:rsid w:val="001E2CFF"/>
    <w:rsid w:val="001E2F24"/>
    <w:rsid w:val="001E2FE3"/>
    <w:rsid w:val="001E30D4"/>
    <w:rsid w:val="001E322F"/>
    <w:rsid w:val="001E34DF"/>
    <w:rsid w:val="001E52EB"/>
    <w:rsid w:val="001E53ED"/>
    <w:rsid w:val="001E61D2"/>
    <w:rsid w:val="001E740C"/>
    <w:rsid w:val="001E7BEA"/>
    <w:rsid w:val="001E7D54"/>
    <w:rsid w:val="001E7E5E"/>
    <w:rsid w:val="001F00C3"/>
    <w:rsid w:val="001F1235"/>
    <w:rsid w:val="001F1CB3"/>
    <w:rsid w:val="001F38B5"/>
    <w:rsid w:val="001F4081"/>
    <w:rsid w:val="001F51A5"/>
    <w:rsid w:val="001F7361"/>
    <w:rsid w:val="00200330"/>
    <w:rsid w:val="002011B0"/>
    <w:rsid w:val="00201528"/>
    <w:rsid w:val="00203181"/>
    <w:rsid w:val="00203783"/>
    <w:rsid w:val="0020385F"/>
    <w:rsid w:val="00203B0E"/>
    <w:rsid w:val="00203F00"/>
    <w:rsid w:val="002068A0"/>
    <w:rsid w:val="00207021"/>
    <w:rsid w:val="0020732F"/>
    <w:rsid w:val="00207D00"/>
    <w:rsid w:val="002105C1"/>
    <w:rsid w:val="00210BD7"/>
    <w:rsid w:val="002116FD"/>
    <w:rsid w:val="00213799"/>
    <w:rsid w:val="00213987"/>
    <w:rsid w:val="00213ECF"/>
    <w:rsid w:val="00213EF5"/>
    <w:rsid w:val="00214F8D"/>
    <w:rsid w:val="00215275"/>
    <w:rsid w:val="00216BF5"/>
    <w:rsid w:val="00217BC3"/>
    <w:rsid w:val="002206AE"/>
    <w:rsid w:val="00222BE6"/>
    <w:rsid w:val="00223B49"/>
    <w:rsid w:val="00223D5A"/>
    <w:rsid w:val="00224AB7"/>
    <w:rsid w:val="00224DD4"/>
    <w:rsid w:val="002251D9"/>
    <w:rsid w:val="002278A0"/>
    <w:rsid w:val="002309CC"/>
    <w:rsid w:val="0023156F"/>
    <w:rsid w:val="00231B41"/>
    <w:rsid w:val="00231BA9"/>
    <w:rsid w:val="0023209F"/>
    <w:rsid w:val="00233168"/>
    <w:rsid w:val="00233C01"/>
    <w:rsid w:val="0023413C"/>
    <w:rsid w:val="002346F0"/>
    <w:rsid w:val="0023594F"/>
    <w:rsid w:val="0023629D"/>
    <w:rsid w:val="00236CD8"/>
    <w:rsid w:val="00237050"/>
    <w:rsid w:val="00237255"/>
    <w:rsid w:val="002419E2"/>
    <w:rsid w:val="002424AF"/>
    <w:rsid w:val="00242D46"/>
    <w:rsid w:val="002439DC"/>
    <w:rsid w:val="00243FA5"/>
    <w:rsid w:val="002441D2"/>
    <w:rsid w:val="00244AD1"/>
    <w:rsid w:val="00244DC8"/>
    <w:rsid w:val="002458BA"/>
    <w:rsid w:val="00245CE9"/>
    <w:rsid w:val="0024636C"/>
    <w:rsid w:val="00247580"/>
    <w:rsid w:val="00247925"/>
    <w:rsid w:val="00251006"/>
    <w:rsid w:val="002524D5"/>
    <w:rsid w:val="002527AD"/>
    <w:rsid w:val="00253B1D"/>
    <w:rsid w:val="002543BC"/>
    <w:rsid w:val="00254DCF"/>
    <w:rsid w:val="00254E8F"/>
    <w:rsid w:val="0025534B"/>
    <w:rsid w:val="00255BB7"/>
    <w:rsid w:val="002567AA"/>
    <w:rsid w:val="00257541"/>
    <w:rsid w:val="002579BA"/>
    <w:rsid w:val="00257A39"/>
    <w:rsid w:val="00257AC4"/>
    <w:rsid w:val="00257BBE"/>
    <w:rsid w:val="00261EEF"/>
    <w:rsid w:val="00262A1A"/>
    <w:rsid w:val="00262A87"/>
    <w:rsid w:val="00264D26"/>
    <w:rsid w:val="00267642"/>
    <w:rsid w:val="00267AEA"/>
    <w:rsid w:val="002700E6"/>
    <w:rsid w:val="00271133"/>
    <w:rsid w:val="0027294B"/>
    <w:rsid w:val="00273EB4"/>
    <w:rsid w:val="00274682"/>
    <w:rsid w:val="00275158"/>
    <w:rsid w:val="00275C5A"/>
    <w:rsid w:val="00281014"/>
    <w:rsid w:val="002819F6"/>
    <w:rsid w:val="002842F9"/>
    <w:rsid w:val="00284678"/>
    <w:rsid w:val="00284711"/>
    <w:rsid w:val="002853B3"/>
    <w:rsid w:val="00285BCE"/>
    <w:rsid w:val="0028665D"/>
    <w:rsid w:val="00290323"/>
    <w:rsid w:val="0029198A"/>
    <w:rsid w:val="00292D00"/>
    <w:rsid w:val="00293990"/>
    <w:rsid w:val="00294243"/>
    <w:rsid w:val="0029433E"/>
    <w:rsid w:val="00297EC7"/>
    <w:rsid w:val="002A084C"/>
    <w:rsid w:val="002A14AB"/>
    <w:rsid w:val="002A17E8"/>
    <w:rsid w:val="002A25B4"/>
    <w:rsid w:val="002A2ADE"/>
    <w:rsid w:val="002A2F50"/>
    <w:rsid w:val="002A32E0"/>
    <w:rsid w:val="002A3B7E"/>
    <w:rsid w:val="002A46F1"/>
    <w:rsid w:val="002A7943"/>
    <w:rsid w:val="002B05A1"/>
    <w:rsid w:val="002B09A4"/>
    <w:rsid w:val="002B1C1F"/>
    <w:rsid w:val="002B2C06"/>
    <w:rsid w:val="002B36FC"/>
    <w:rsid w:val="002B432F"/>
    <w:rsid w:val="002B4DFD"/>
    <w:rsid w:val="002B62B3"/>
    <w:rsid w:val="002B6754"/>
    <w:rsid w:val="002B6CCE"/>
    <w:rsid w:val="002B7B57"/>
    <w:rsid w:val="002C2510"/>
    <w:rsid w:val="002C2775"/>
    <w:rsid w:val="002C27C1"/>
    <w:rsid w:val="002C36E3"/>
    <w:rsid w:val="002C443B"/>
    <w:rsid w:val="002C508C"/>
    <w:rsid w:val="002C5099"/>
    <w:rsid w:val="002C524C"/>
    <w:rsid w:val="002C5889"/>
    <w:rsid w:val="002C712D"/>
    <w:rsid w:val="002C71CE"/>
    <w:rsid w:val="002C7489"/>
    <w:rsid w:val="002D08F8"/>
    <w:rsid w:val="002D1D80"/>
    <w:rsid w:val="002D22D2"/>
    <w:rsid w:val="002D577C"/>
    <w:rsid w:val="002D7832"/>
    <w:rsid w:val="002E1071"/>
    <w:rsid w:val="002E15B9"/>
    <w:rsid w:val="002E2158"/>
    <w:rsid w:val="002E4F02"/>
    <w:rsid w:val="002E55CF"/>
    <w:rsid w:val="002E61CA"/>
    <w:rsid w:val="002E6C90"/>
    <w:rsid w:val="002E71CA"/>
    <w:rsid w:val="002E7722"/>
    <w:rsid w:val="002E7F5A"/>
    <w:rsid w:val="002F07BA"/>
    <w:rsid w:val="002F0DA9"/>
    <w:rsid w:val="002F1014"/>
    <w:rsid w:val="002F1E3B"/>
    <w:rsid w:val="002F2DA6"/>
    <w:rsid w:val="002F3418"/>
    <w:rsid w:val="002F5B9A"/>
    <w:rsid w:val="002F643C"/>
    <w:rsid w:val="002F69B7"/>
    <w:rsid w:val="002F7035"/>
    <w:rsid w:val="002F71C0"/>
    <w:rsid w:val="002F74F1"/>
    <w:rsid w:val="002F78F6"/>
    <w:rsid w:val="0030053B"/>
    <w:rsid w:val="00301017"/>
    <w:rsid w:val="0030155F"/>
    <w:rsid w:val="0030587B"/>
    <w:rsid w:val="003064BF"/>
    <w:rsid w:val="00306D98"/>
    <w:rsid w:val="003074DD"/>
    <w:rsid w:val="0030786C"/>
    <w:rsid w:val="0031031A"/>
    <w:rsid w:val="00310981"/>
    <w:rsid w:val="003116BB"/>
    <w:rsid w:val="00311D9B"/>
    <w:rsid w:val="003124D9"/>
    <w:rsid w:val="00312594"/>
    <w:rsid w:val="0031381D"/>
    <w:rsid w:val="003143AE"/>
    <w:rsid w:val="00314989"/>
    <w:rsid w:val="00315498"/>
    <w:rsid w:val="0031567A"/>
    <w:rsid w:val="00315C3F"/>
    <w:rsid w:val="00316474"/>
    <w:rsid w:val="0031720D"/>
    <w:rsid w:val="00317229"/>
    <w:rsid w:val="0031737E"/>
    <w:rsid w:val="003207E8"/>
    <w:rsid w:val="00321611"/>
    <w:rsid w:val="00321A55"/>
    <w:rsid w:val="00322107"/>
    <w:rsid w:val="00322355"/>
    <w:rsid w:val="00322846"/>
    <w:rsid w:val="00326DA7"/>
    <w:rsid w:val="00326F1F"/>
    <w:rsid w:val="003270E4"/>
    <w:rsid w:val="00330DAA"/>
    <w:rsid w:val="00330F5C"/>
    <w:rsid w:val="00334073"/>
    <w:rsid w:val="00334DBB"/>
    <w:rsid w:val="003366C9"/>
    <w:rsid w:val="003371B0"/>
    <w:rsid w:val="00337C33"/>
    <w:rsid w:val="00340202"/>
    <w:rsid w:val="003404D6"/>
    <w:rsid w:val="00340DF1"/>
    <w:rsid w:val="003414C1"/>
    <w:rsid w:val="00342895"/>
    <w:rsid w:val="00346772"/>
    <w:rsid w:val="00346A49"/>
    <w:rsid w:val="003517F9"/>
    <w:rsid w:val="00351BA9"/>
    <w:rsid w:val="0035379D"/>
    <w:rsid w:val="00354078"/>
    <w:rsid w:val="00354F64"/>
    <w:rsid w:val="0035620E"/>
    <w:rsid w:val="0035759E"/>
    <w:rsid w:val="003575BE"/>
    <w:rsid w:val="00357FAB"/>
    <w:rsid w:val="00360345"/>
    <w:rsid w:val="00360F50"/>
    <w:rsid w:val="00361A05"/>
    <w:rsid w:val="003624C4"/>
    <w:rsid w:val="00363B00"/>
    <w:rsid w:val="00363C3D"/>
    <w:rsid w:val="003651F0"/>
    <w:rsid w:val="003654AC"/>
    <w:rsid w:val="003671CB"/>
    <w:rsid w:val="00367F37"/>
    <w:rsid w:val="003704FE"/>
    <w:rsid w:val="003710CF"/>
    <w:rsid w:val="0037130E"/>
    <w:rsid w:val="0037175F"/>
    <w:rsid w:val="00372763"/>
    <w:rsid w:val="00372A5A"/>
    <w:rsid w:val="0037358A"/>
    <w:rsid w:val="003750F6"/>
    <w:rsid w:val="003760FC"/>
    <w:rsid w:val="003766F3"/>
    <w:rsid w:val="00381C49"/>
    <w:rsid w:val="00381E32"/>
    <w:rsid w:val="0038312F"/>
    <w:rsid w:val="0038365C"/>
    <w:rsid w:val="0038369B"/>
    <w:rsid w:val="00383975"/>
    <w:rsid w:val="00383B4E"/>
    <w:rsid w:val="00383B78"/>
    <w:rsid w:val="00385A9D"/>
    <w:rsid w:val="00387121"/>
    <w:rsid w:val="00387572"/>
    <w:rsid w:val="003902B1"/>
    <w:rsid w:val="003916F2"/>
    <w:rsid w:val="0039179C"/>
    <w:rsid w:val="003926B6"/>
    <w:rsid w:val="00394C5F"/>
    <w:rsid w:val="00395870"/>
    <w:rsid w:val="003967EC"/>
    <w:rsid w:val="00396896"/>
    <w:rsid w:val="00396DF5"/>
    <w:rsid w:val="00396FD0"/>
    <w:rsid w:val="00397627"/>
    <w:rsid w:val="003A1A7A"/>
    <w:rsid w:val="003A2392"/>
    <w:rsid w:val="003A2831"/>
    <w:rsid w:val="003A3CB6"/>
    <w:rsid w:val="003A3ED1"/>
    <w:rsid w:val="003A44DB"/>
    <w:rsid w:val="003A4C14"/>
    <w:rsid w:val="003A4D3A"/>
    <w:rsid w:val="003A60BF"/>
    <w:rsid w:val="003A7A89"/>
    <w:rsid w:val="003B0465"/>
    <w:rsid w:val="003B0802"/>
    <w:rsid w:val="003B0938"/>
    <w:rsid w:val="003B1546"/>
    <w:rsid w:val="003B3971"/>
    <w:rsid w:val="003B4159"/>
    <w:rsid w:val="003B51F1"/>
    <w:rsid w:val="003B55D1"/>
    <w:rsid w:val="003B5B61"/>
    <w:rsid w:val="003B61DF"/>
    <w:rsid w:val="003B708F"/>
    <w:rsid w:val="003B7C67"/>
    <w:rsid w:val="003B7CDE"/>
    <w:rsid w:val="003C1654"/>
    <w:rsid w:val="003C2D6B"/>
    <w:rsid w:val="003C4BD8"/>
    <w:rsid w:val="003C5542"/>
    <w:rsid w:val="003C667C"/>
    <w:rsid w:val="003C70F8"/>
    <w:rsid w:val="003C7908"/>
    <w:rsid w:val="003C7C15"/>
    <w:rsid w:val="003C7D19"/>
    <w:rsid w:val="003C7D2F"/>
    <w:rsid w:val="003D03AB"/>
    <w:rsid w:val="003D0C5A"/>
    <w:rsid w:val="003D1828"/>
    <w:rsid w:val="003D1DE4"/>
    <w:rsid w:val="003D1E9A"/>
    <w:rsid w:val="003D2422"/>
    <w:rsid w:val="003D39A1"/>
    <w:rsid w:val="003D3FBF"/>
    <w:rsid w:val="003D4A30"/>
    <w:rsid w:val="003D4BFB"/>
    <w:rsid w:val="003D5A51"/>
    <w:rsid w:val="003D6971"/>
    <w:rsid w:val="003D7452"/>
    <w:rsid w:val="003D79BB"/>
    <w:rsid w:val="003D7C87"/>
    <w:rsid w:val="003D7C98"/>
    <w:rsid w:val="003D7D9D"/>
    <w:rsid w:val="003E0543"/>
    <w:rsid w:val="003E2683"/>
    <w:rsid w:val="003E5603"/>
    <w:rsid w:val="003E614C"/>
    <w:rsid w:val="003E6E08"/>
    <w:rsid w:val="003E749E"/>
    <w:rsid w:val="003F054B"/>
    <w:rsid w:val="003F23BA"/>
    <w:rsid w:val="003F2CC0"/>
    <w:rsid w:val="003F2E56"/>
    <w:rsid w:val="003F4156"/>
    <w:rsid w:val="003F5ADF"/>
    <w:rsid w:val="003F7639"/>
    <w:rsid w:val="00400465"/>
    <w:rsid w:val="00400B29"/>
    <w:rsid w:val="00402812"/>
    <w:rsid w:val="00402C7B"/>
    <w:rsid w:val="0040504B"/>
    <w:rsid w:val="004059F4"/>
    <w:rsid w:val="0040661D"/>
    <w:rsid w:val="004072F4"/>
    <w:rsid w:val="00407FE5"/>
    <w:rsid w:val="004101B0"/>
    <w:rsid w:val="00410326"/>
    <w:rsid w:val="00410708"/>
    <w:rsid w:val="00410AA1"/>
    <w:rsid w:val="00410EC7"/>
    <w:rsid w:val="00411B39"/>
    <w:rsid w:val="004127A7"/>
    <w:rsid w:val="00413A1E"/>
    <w:rsid w:val="00414476"/>
    <w:rsid w:val="00414C2E"/>
    <w:rsid w:val="004151CF"/>
    <w:rsid w:val="00416364"/>
    <w:rsid w:val="004163AE"/>
    <w:rsid w:val="0042047F"/>
    <w:rsid w:val="00420AA6"/>
    <w:rsid w:val="00420B9F"/>
    <w:rsid w:val="00420C30"/>
    <w:rsid w:val="0042126D"/>
    <w:rsid w:val="00421405"/>
    <w:rsid w:val="0042192C"/>
    <w:rsid w:val="00422260"/>
    <w:rsid w:val="0042413F"/>
    <w:rsid w:val="004242B6"/>
    <w:rsid w:val="00424B84"/>
    <w:rsid w:val="0042733C"/>
    <w:rsid w:val="004301BF"/>
    <w:rsid w:val="004319F8"/>
    <w:rsid w:val="00431E55"/>
    <w:rsid w:val="004321F6"/>
    <w:rsid w:val="00432C0A"/>
    <w:rsid w:val="00433044"/>
    <w:rsid w:val="00434088"/>
    <w:rsid w:val="00434543"/>
    <w:rsid w:val="00435BD3"/>
    <w:rsid w:val="00435BD8"/>
    <w:rsid w:val="004375B9"/>
    <w:rsid w:val="004415F4"/>
    <w:rsid w:val="00441E21"/>
    <w:rsid w:val="004428D0"/>
    <w:rsid w:val="00443161"/>
    <w:rsid w:val="00443FD5"/>
    <w:rsid w:val="00444185"/>
    <w:rsid w:val="004443A7"/>
    <w:rsid w:val="0044442C"/>
    <w:rsid w:val="004448D7"/>
    <w:rsid w:val="00444F02"/>
    <w:rsid w:val="00445941"/>
    <w:rsid w:val="004464EB"/>
    <w:rsid w:val="0044672C"/>
    <w:rsid w:val="00447D26"/>
    <w:rsid w:val="00447DFC"/>
    <w:rsid w:val="0045450D"/>
    <w:rsid w:val="00455D45"/>
    <w:rsid w:val="00455EA3"/>
    <w:rsid w:val="004570FA"/>
    <w:rsid w:val="004612F8"/>
    <w:rsid w:val="0046297F"/>
    <w:rsid w:val="004629B1"/>
    <w:rsid w:val="00463B8B"/>
    <w:rsid w:val="00463C2E"/>
    <w:rsid w:val="004640AD"/>
    <w:rsid w:val="00464595"/>
    <w:rsid w:val="004650E5"/>
    <w:rsid w:val="004658B5"/>
    <w:rsid w:val="00466F94"/>
    <w:rsid w:val="0046717D"/>
    <w:rsid w:val="00471121"/>
    <w:rsid w:val="00471EA5"/>
    <w:rsid w:val="004727E8"/>
    <w:rsid w:val="00472A79"/>
    <w:rsid w:val="00472B17"/>
    <w:rsid w:val="00473198"/>
    <w:rsid w:val="00473F19"/>
    <w:rsid w:val="00475E22"/>
    <w:rsid w:val="00476457"/>
    <w:rsid w:val="0048088E"/>
    <w:rsid w:val="00480F2B"/>
    <w:rsid w:val="00480F40"/>
    <w:rsid w:val="00482720"/>
    <w:rsid w:val="004835E7"/>
    <w:rsid w:val="00483D01"/>
    <w:rsid w:val="004859E1"/>
    <w:rsid w:val="004867E2"/>
    <w:rsid w:val="00490B17"/>
    <w:rsid w:val="00491B3A"/>
    <w:rsid w:val="00492330"/>
    <w:rsid w:val="00492CFD"/>
    <w:rsid w:val="00494207"/>
    <w:rsid w:val="00494DD5"/>
    <w:rsid w:val="00494FBC"/>
    <w:rsid w:val="004962D2"/>
    <w:rsid w:val="004A0DA1"/>
    <w:rsid w:val="004A13D6"/>
    <w:rsid w:val="004A1672"/>
    <w:rsid w:val="004A2407"/>
    <w:rsid w:val="004A2BE3"/>
    <w:rsid w:val="004A39D4"/>
    <w:rsid w:val="004A416A"/>
    <w:rsid w:val="004A46F1"/>
    <w:rsid w:val="004A51B9"/>
    <w:rsid w:val="004A52E9"/>
    <w:rsid w:val="004A6040"/>
    <w:rsid w:val="004A6597"/>
    <w:rsid w:val="004A6EBA"/>
    <w:rsid w:val="004A7848"/>
    <w:rsid w:val="004A793B"/>
    <w:rsid w:val="004B1CB4"/>
    <w:rsid w:val="004B2F18"/>
    <w:rsid w:val="004B3DDB"/>
    <w:rsid w:val="004B418D"/>
    <w:rsid w:val="004B44FD"/>
    <w:rsid w:val="004B4832"/>
    <w:rsid w:val="004B5A9C"/>
    <w:rsid w:val="004B5CFC"/>
    <w:rsid w:val="004B5D4C"/>
    <w:rsid w:val="004B6A30"/>
    <w:rsid w:val="004B6F79"/>
    <w:rsid w:val="004B7689"/>
    <w:rsid w:val="004B774D"/>
    <w:rsid w:val="004B79ED"/>
    <w:rsid w:val="004B7F79"/>
    <w:rsid w:val="004C0546"/>
    <w:rsid w:val="004C1F9D"/>
    <w:rsid w:val="004C2616"/>
    <w:rsid w:val="004C2AC2"/>
    <w:rsid w:val="004C40B7"/>
    <w:rsid w:val="004C44FE"/>
    <w:rsid w:val="004C4AED"/>
    <w:rsid w:val="004C53D3"/>
    <w:rsid w:val="004C5DDB"/>
    <w:rsid w:val="004D05AA"/>
    <w:rsid w:val="004D05D2"/>
    <w:rsid w:val="004D2C2D"/>
    <w:rsid w:val="004D3FDA"/>
    <w:rsid w:val="004D6266"/>
    <w:rsid w:val="004D64DF"/>
    <w:rsid w:val="004D662D"/>
    <w:rsid w:val="004D69B5"/>
    <w:rsid w:val="004D7227"/>
    <w:rsid w:val="004D7497"/>
    <w:rsid w:val="004D7B5E"/>
    <w:rsid w:val="004E0E7F"/>
    <w:rsid w:val="004E0EB8"/>
    <w:rsid w:val="004E18E9"/>
    <w:rsid w:val="004E2ADC"/>
    <w:rsid w:val="004E43B2"/>
    <w:rsid w:val="004E52A0"/>
    <w:rsid w:val="004E5752"/>
    <w:rsid w:val="004F11D3"/>
    <w:rsid w:val="004F1D02"/>
    <w:rsid w:val="004F2679"/>
    <w:rsid w:val="004F2F21"/>
    <w:rsid w:val="004F3DE5"/>
    <w:rsid w:val="004F3E18"/>
    <w:rsid w:val="004F40B5"/>
    <w:rsid w:val="004F6913"/>
    <w:rsid w:val="004F77AB"/>
    <w:rsid w:val="004F7865"/>
    <w:rsid w:val="00500038"/>
    <w:rsid w:val="0050114C"/>
    <w:rsid w:val="0050174E"/>
    <w:rsid w:val="00501854"/>
    <w:rsid w:val="00501DF7"/>
    <w:rsid w:val="0050219B"/>
    <w:rsid w:val="00502920"/>
    <w:rsid w:val="00503C98"/>
    <w:rsid w:val="00503E44"/>
    <w:rsid w:val="00503F17"/>
    <w:rsid w:val="00503F3A"/>
    <w:rsid w:val="00506928"/>
    <w:rsid w:val="005077EF"/>
    <w:rsid w:val="00507EA3"/>
    <w:rsid w:val="00510184"/>
    <w:rsid w:val="0051073A"/>
    <w:rsid w:val="00511AD5"/>
    <w:rsid w:val="00511DC7"/>
    <w:rsid w:val="0051209E"/>
    <w:rsid w:val="005142C5"/>
    <w:rsid w:val="0051501B"/>
    <w:rsid w:val="005152B5"/>
    <w:rsid w:val="00515597"/>
    <w:rsid w:val="00515886"/>
    <w:rsid w:val="0052123C"/>
    <w:rsid w:val="00521319"/>
    <w:rsid w:val="005214AC"/>
    <w:rsid w:val="00521879"/>
    <w:rsid w:val="00522BC8"/>
    <w:rsid w:val="00522EEF"/>
    <w:rsid w:val="00523C28"/>
    <w:rsid w:val="005242C8"/>
    <w:rsid w:val="00524A07"/>
    <w:rsid w:val="00526024"/>
    <w:rsid w:val="0052787F"/>
    <w:rsid w:val="00530221"/>
    <w:rsid w:val="00530590"/>
    <w:rsid w:val="00530DAD"/>
    <w:rsid w:val="0053176B"/>
    <w:rsid w:val="005341B3"/>
    <w:rsid w:val="00536F42"/>
    <w:rsid w:val="00537182"/>
    <w:rsid w:val="00541EDD"/>
    <w:rsid w:val="00542743"/>
    <w:rsid w:val="00542C2D"/>
    <w:rsid w:val="00544096"/>
    <w:rsid w:val="00544E7C"/>
    <w:rsid w:val="005478A2"/>
    <w:rsid w:val="005478BD"/>
    <w:rsid w:val="005479E3"/>
    <w:rsid w:val="00547EDA"/>
    <w:rsid w:val="00551985"/>
    <w:rsid w:val="00552BD3"/>
    <w:rsid w:val="00552CD7"/>
    <w:rsid w:val="005532A0"/>
    <w:rsid w:val="005549CD"/>
    <w:rsid w:val="00554F4C"/>
    <w:rsid w:val="00555109"/>
    <w:rsid w:val="0055560F"/>
    <w:rsid w:val="00555A77"/>
    <w:rsid w:val="00556B35"/>
    <w:rsid w:val="0055741A"/>
    <w:rsid w:val="00561087"/>
    <w:rsid w:val="005611B7"/>
    <w:rsid w:val="005618D4"/>
    <w:rsid w:val="00561A20"/>
    <w:rsid w:val="005620F1"/>
    <w:rsid w:val="005634D7"/>
    <w:rsid w:val="005636F5"/>
    <w:rsid w:val="00563A55"/>
    <w:rsid w:val="00564867"/>
    <w:rsid w:val="00564AD6"/>
    <w:rsid w:val="0056547D"/>
    <w:rsid w:val="005656D6"/>
    <w:rsid w:val="00565C79"/>
    <w:rsid w:val="00565DF0"/>
    <w:rsid w:val="00566436"/>
    <w:rsid w:val="00566638"/>
    <w:rsid w:val="0056696F"/>
    <w:rsid w:val="00566D46"/>
    <w:rsid w:val="00566FB2"/>
    <w:rsid w:val="00571B3F"/>
    <w:rsid w:val="00572269"/>
    <w:rsid w:val="005723A5"/>
    <w:rsid w:val="0057244A"/>
    <w:rsid w:val="00572A0A"/>
    <w:rsid w:val="00572F26"/>
    <w:rsid w:val="00574B5E"/>
    <w:rsid w:val="00574F28"/>
    <w:rsid w:val="005750C5"/>
    <w:rsid w:val="0057515C"/>
    <w:rsid w:val="005752DE"/>
    <w:rsid w:val="00575D60"/>
    <w:rsid w:val="00575D8D"/>
    <w:rsid w:val="00576579"/>
    <w:rsid w:val="00576972"/>
    <w:rsid w:val="00576DF4"/>
    <w:rsid w:val="00577248"/>
    <w:rsid w:val="00581061"/>
    <w:rsid w:val="00583699"/>
    <w:rsid w:val="00584285"/>
    <w:rsid w:val="00585CDD"/>
    <w:rsid w:val="0058601D"/>
    <w:rsid w:val="00586537"/>
    <w:rsid w:val="00587058"/>
    <w:rsid w:val="00590DDE"/>
    <w:rsid w:val="00590ED5"/>
    <w:rsid w:val="00591440"/>
    <w:rsid w:val="00591957"/>
    <w:rsid w:val="005937B1"/>
    <w:rsid w:val="00594F5A"/>
    <w:rsid w:val="00597BF9"/>
    <w:rsid w:val="005A0C11"/>
    <w:rsid w:val="005A0C6B"/>
    <w:rsid w:val="005A2908"/>
    <w:rsid w:val="005A309A"/>
    <w:rsid w:val="005A373D"/>
    <w:rsid w:val="005A71B7"/>
    <w:rsid w:val="005B0B58"/>
    <w:rsid w:val="005B3281"/>
    <w:rsid w:val="005B4367"/>
    <w:rsid w:val="005B4E53"/>
    <w:rsid w:val="005B5857"/>
    <w:rsid w:val="005B5CBC"/>
    <w:rsid w:val="005B5DDD"/>
    <w:rsid w:val="005B728E"/>
    <w:rsid w:val="005B79FA"/>
    <w:rsid w:val="005B7B22"/>
    <w:rsid w:val="005C0ACC"/>
    <w:rsid w:val="005C0E72"/>
    <w:rsid w:val="005C12B7"/>
    <w:rsid w:val="005C1514"/>
    <w:rsid w:val="005C19C4"/>
    <w:rsid w:val="005C1AE8"/>
    <w:rsid w:val="005C1B83"/>
    <w:rsid w:val="005C25FF"/>
    <w:rsid w:val="005C2D4E"/>
    <w:rsid w:val="005C2D55"/>
    <w:rsid w:val="005C346B"/>
    <w:rsid w:val="005C52DB"/>
    <w:rsid w:val="005C5ABC"/>
    <w:rsid w:val="005C6A48"/>
    <w:rsid w:val="005D032A"/>
    <w:rsid w:val="005D044D"/>
    <w:rsid w:val="005D0880"/>
    <w:rsid w:val="005D0ABD"/>
    <w:rsid w:val="005D1059"/>
    <w:rsid w:val="005D18AD"/>
    <w:rsid w:val="005D26B4"/>
    <w:rsid w:val="005D3482"/>
    <w:rsid w:val="005D5A42"/>
    <w:rsid w:val="005D6A4B"/>
    <w:rsid w:val="005E0FEE"/>
    <w:rsid w:val="005E1123"/>
    <w:rsid w:val="005E1995"/>
    <w:rsid w:val="005E1BA4"/>
    <w:rsid w:val="005E495E"/>
    <w:rsid w:val="005E4A57"/>
    <w:rsid w:val="005E4AFF"/>
    <w:rsid w:val="005E4C66"/>
    <w:rsid w:val="005E6CBC"/>
    <w:rsid w:val="005E72FF"/>
    <w:rsid w:val="005E73C0"/>
    <w:rsid w:val="005E77BD"/>
    <w:rsid w:val="005F074F"/>
    <w:rsid w:val="005F07ED"/>
    <w:rsid w:val="005F134D"/>
    <w:rsid w:val="005F2706"/>
    <w:rsid w:val="005F2C06"/>
    <w:rsid w:val="005F2C33"/>
    <w:rsid w:val="005F306A"/>
    <w:rsid w:val="005F3F0F"/>
    <w:rsid w:val="005F4D0C"/>
    <w:rsid w:val="005F4F67"/>
    <w:rsid w:val="005F660B"/>
    <w:rsid w:val="005F6A8F"/>
    <w:rsid w:val="005F6BB7"/>
    <w:rsid w:val="005F7588"/>
    <w:rsid w:val="005F75D9"/>
    <w:rsid w:val="00603DB9"/>
    <w:rsid w:val="00604055"/>
    <w:rsid w:val="0060631B"/>
    <w:rsid w:val="00606FBA"/>
    <w:rsid w:val="006071CD"/>
    <w:rsid w:val="00607669"/>
    <w:rsid w:val="006076F4"/>
    <w:rsid w:val="00607AFD"/>
    <w:rsid w:val="00610A3D"/>
    <w:rsid w:val="00611B12"/>
    <w:rsid w:val="00612676"/>
    <w:rsid w:val="00612F97"/>
    <w:rsid w:val="0061345D"/>
    <w:rsid w:val="0061549B"/>
    <w:rsid w:val="00616802"/>
    <w:rsid w:val="00617A7D"/>
    <w:rsid w:val="00617E12"/>
    <w:rsid w:val="00620C25"/>
    <w:rsid w:val="00620C71"/>
    <w:rsid w:val="00621477"/>
    <w:rsid w:val="00621628"/>
    <w:rsid w:val="00621ADA"/>
    <w:rsid w:val="00621F34"/>
    <w:rsid w:val="00623222"/>
    <w:rsid w:val="00623F7B"/>
    <w:rsid w:val="00624BD4"/>
    <w:rsid w:val="00627295"/>
    <w:rsid w:val="00627E76"/>
    <w:rsid w:val="0063158F"/>
    <w:rsid w:val="00631D6B"/>
    <w:rsid w:val="00632183"/>
    <w:rsid w:val="00632655"/>
    <w:rsid w:val="006329F1"/>
    <w:rsid w:val="006330A1"/>
    <w:rsid w:val="00633259"/>
    <w:rsid w:val="006332A1"/>
    <w:rsid w:val="0063479F"/>
    <w:rsid w:val="006353F0"/>
    <w:rsid w:val="006357B5"/>
    <w:rsid w:val="00635C3E"/>
    <w:rsid w:val="006364A1"/>
    <w:rsid w:val="0063678E"/>
    <w:rsid w:val="00637BFD"/>
    <w:rsid w:val="00637C5C"/>
    <w:rsid w:val="00640EEF"/>
    <w:rsid w:val="006412B3"/>
    <w:rsid w:val="00641C4E"/>
    <w:rsid w:val="00641FB3"/>
    <w:rsid w:val="0064310A"/>
    <w:rsid w:val="0064434C"/>
    <w:rsid w:val="00645566"/>
    <w:rsid w:val="00645AAD"/>
    <w:rsid w:val="00645DBA"/>
    <w:rsid w:val="00646EC6"/>
    <w:rsid w:val="0064713B"/>
    <w:rsid w:val="006471CC"/>
    <w:rsid w:val="006472FE"/>
    <w:rsid w:val="00647A29"/>
    <w:rsid w:val="0065079F"/>
    <w:rsid w:val="00650A46"/>
    <w:rsid w:val="0065100C"/>
    <w:rsid w:val="006514AA"/>
    <w:rsid w:val="006527E3"/>
    <w:rsid w:val="00652A04"/>
    <w:rsid w:val="00652A28"/>
    <w:rsid w:val="00653502"/>
    <w:rsid w:val="00653520"/>
    <w:rsid w:val="0065379F"/>
    <w:rsid w:val="00653CA9"/>
    <w:rsid w:val="00656188"/>
    <w:rsid w:val="006570BA"/>
    <w:rsid w:val="0065715A"/>
    <w:rsid w:val="00660F3F"/>
    <w:rsid w:val="006610F1"/>
    <w:rsid w:val="006615B8"/>
    <w:rsid w:val="00661C6B"/>
    <w:rsid w:val="00662D3E"/>
    <w:rsid w:val="0066472A"/>
    <w:rsid w:val="006655DB"/>
    <w:rsid w:val="0066596B"/>
    <w:rsid w:val="006666A7"/>
    <w:rsid w:val="00667BE3"/>
    <w:rsid w:val="00671004"/>
    <w:rsid w:val="0067135F"/>
    <w:rsid w:val="006714F2"/>
    <w:rsid w:val="006723C9"/>
    <w:rsid w:val="00672646"/>
    <w:rsid w:val="00672A7F"/>
    <w:rsid w:val="00673492"/>
    <w:rsid w:val="00673648"/>
    <w:rsid w:val="00673A2F"/>
    <w:rsid w:val="00674E42"/>
    <w:rsid w:val="0067599F"/>
    <w:rsid w:val="00676080"/>
    <w:rsid w:val="00676563"/>
    <w:rsid w:val="006813F8"/>
    <w:rsid w:val="00682112"/>
    <w:rsid w:val="00682503"/>
    <w:rsid w:val="00682BA6"/>
    <w:rsid w:val="00686751"/>
    <w:rsid w:val="00686957"/>
    <w:rsid w:val="006872BA"/>
    <w:rsid w:val="00687B7B"/>
    <w:rsid w:val="00690795"/>
    <w:rsid w:val="00691648"/>
    <w:rsid w:val="006917D7"/>
    <w:rsid w:val="00691FB6"/>
    <w:rsid w:val="00693478"/>
    <w:rsid w:val="00693C26"/>
    <w:rsid w:val="0069434C"/>
    <w:rsid w:val="00694BEA"/>
    <w:rsid w:val="00694F44"/>
    <w:rsid w:val="00696EF9"/>
    <w:rsid w:val="00696F51"/>
    <w:rsid w:val="006979A5"/>
    <w:rsid w:val="006A016F"/>
    <w:rsid w:val="006A0417"/>
    <w:rsid w:val="006A0DF7"/>
    <w:rsid w:val="006A1008"/>
    <w:rsid w:val="006A1163"/>
    <w:rsid w:val="006A32E1"/>
    <w:rsid w:val="006A3C21"/>
    <w:rsid w:val="006A4321"/>
    <w:rsid w:val="006A43D9"/>
    <w:rsid w:val="006A4CAB"/>
    <w:rsid w:val="006A634C"/>
    <w:rsid w:val="006A6B99"/>
    <w:rsid w:val="006A7E5F"/>
    <w:rsid w:val="006B0296"/>
    <w:rsid w:val="006B261B"/>
    <w:rsid w:val="006B2C90"/>
    <w:rsid w:val="006B2CDF"/>
    <w:rsid w:val="006B3071"/>
    <w:rsid w:val="006B35E6"/>
    <w:rsid w:val="006B465A"/>
    <w:rsid w:val="006B51BF"/>
    <w:rsid w:val="006B66F6"/>
    <w:rsid w:val="006B6DD0"/>
    <w:rsid w:val="006B6EED"/>
    <w:rsid w:val="006B7633"/>
    <w:rsid w:val="006C007A"/>
    <w:rsid w:val="006C0399"/>
    <w:rsid w:val="006C0D96"/>
    <w:rsid w:val="006C1EEA"/>
    <w:rsid w:val="006C2A8E"/>
    <w:rsid w:val="006C3255"/>
    <w:rsid w:val="006C36CC"/>
    <w:rsid w:val="006C3F26"/>
    <w:rsid w:val="006C4E04"/>
    <w:rsid w:val="006C577A"/>
    <w:rsid w:val="006D0D17"/>
    <w:rsid w:val="006D32C1"/>
    <w:rsid w:val="006D340F"/>
    <w:rsid w:val="006D3C7D"/>
    <w:rsid w:val="006D4659"/>
    <w:rsid w:val="006D5D5F"/>
    <w:rsid w:val="006D68FB"/>
    <w:rsid w:val="006E11ED"/>
    <w:rsid w:val="006E1AA2"/>
    <w:rsid w:val="006E2868"/>
    <w:rsid w:val="006E4628"/>
    <w:rsid w:val="006E571D"/>
    <w:rsid w:val="006E624F"/>
    <w:rsid w:val="006F27C7"/>
    <w:rsid w:val="006F306C"/>
    <w:rsid w:val="006F4CB0"/>
    <w:rsid w:val="006F5119"/>
    <w:rsid w:val="006F63A5"/>
    <w:rsid w:val="006F63BE"/>
    <w:rsid w:val="006F6F1E"/>
    <w:rsid w:val="00700521"/>
    <w:rsid w:val="00700A00"/>
    <w:rsid w:val="00701074"/>
    <w:rsid w:val="0070142B"/>
    <w:rsid w:val="00702603"/>
    <w:rsid w:val="0070276E"/>
    <w:rsid w:val="00702F8F"/>
    <w:rsid w:val="00703534"/>
    <w:rsid w:val="007079FC"/>
    <w:rsid w:val="00707AE1"/>
    <w:rsid w:val="00710C70"/>
    <w:rsid w:val="00711A36"/>
    <w:rsid w:val="00712259"/>
    <w:rsid w:val="007125D3"/>
    <w:rsid w:val="00714C26"/>
    <w:rsid w:val="0071529C"/>
    <w:rsid w:val="0071581D"/>
    <w:rsid w:val="007170DA"/>
    <w:rsid w:val="007172AD"/>
    <w:rsid w:val="00717546"/>
    <w:rsid w:val="00717A97"/>
    <w:rsid w:val="00720801"/>
    <w:rsid w:val="00721365"/>
    <w:rsid w:val="00722B1B"/>
    <w:rsid w:val="007237B5"/>
    <w:rsid w:val="00723A7B"/>
    <w:rsid w:val="0072416F"/>
    <w:rsid w:val="00725FD8"/>
    <w:rsid w:val="00727C94"/>
    <w:rsid w:val="00731B0A"/>
    <w:rsid w:val="00731EAE"/>
    <w:rsid w:val="0073211F"/>
    <w:rsid w:val="00732202"/>
    <w:rsid w:val="00733073"/>
    <w:rsid w:val="00735033"/>
    <w:rsid w:val="00735328"/>
    <w:rsid w:val="0073685B"/>
    <w:rsid w:val="00740A2F"/>
    <w:rsid w:val="007449BF"/>
    <w:rsid w:val="007452AF"/>
    <w:rsid w:val="007463FE"/>
    <w:rsid w:val="00746515"/>
    <w:rsid w:val="00746BC0"/>
    <w:rsid w:val="00747F54"/>
    <w:rsid w:val="00750FC2"/>
    <w:rsid w:val="007510B4"/>
    <w:rsid w:val="00752142"/>
    <w:rsid w:val="007523F9"/>
    <w:rsid w:val="00752EEB"/>
    <w:rsid w:val="0075357E"/>
    <w:rsid w:val="00753B29"/>
    <w:rsid w:val="00753CAC"/>
    <w:rsid w:val="007573E8"/>
    <w:rsid w:val="0076097F"/>
    <w:rsid w:val="00760C4E"/>
    <w:rsid w:val="00760E4D"/>
    <w:rsid w:val="00760F9E"/>
    <w:rsid w:val="0076138F"/>
    <w:rsid w:val="007616E6"/>
    <w:rsid w:val="007624CF"/>
    <w:rsid w:val="007627BE"/>
    <w:rsid w:val="00764F03"/>
    <w:rsid w:val="00765B1A"/>
    <w:rsid w:val="00765DC1"/>
    <w:rsid w:val="0076639F"/>
    <w:rsid w:val="00767FBD"/>
    <w:rsid w:val="00771ABD"/>
    <w:rsid w:val="007728F5"/>
    <w:rsid w:val="007735C4"/>
    <w:rsid w:val="0077479F"/>
    <w:rsid w:val="00777335"/>
    <w:rsid w:val="007778AE"/>
    <w:rsid w:val="00780984"/>
    <w:rsid w:val="0078275F"/>
    <w:rsid w:val="007843F2"/>
    <w:rsid w:val="007846FA"/>
    <w:rsid w:val="00784C63"/>
    <w:rsid w:val="00785A9F"/>
    <w:rsid w:val="00787CDC"/>
    <w:rsid w:val="007918E4"/>
    <w:rsid w:val="007925DF"/>
    <w:rsid w:val="0079434E"/>
    <w:rsid w:val="00794A5F"/>
    <w:rsid w:val="00796250"/>
    <w:rsid w:val="007968F0"/>
    <w:rsid w:val="007A08AA"/>
    <w:rsid w:val="007A0A12"/>
    <w:rsid w:val="007A132D"/>
    <w:rsid w:val="007A1345"/>
    <w:rsid w:val="007A2890"/>
    <w:rsid w:val="007A2DDB"/>
    <w:rsid w:val="007A36B3"/>
    <w:rsid w:val="007A3F2F"/>
    <w:rsid w:val="007A4C1F"/>
    <w:rsid w:val="007A6257"/>
    <w:rsid w:val="007A669A"/>
    <w:rsid w:val="007A6754"/>
    <w:rsid w:val="007A6EC2"/>
    <w:rsid w:val="007A70BA"/>
    <w:rsid w:val="007B0D68"/>
    <w:rsid w:val="007B251D"/>
    <w:rsid w:val="007B3533"/>
    <w:rsid w:val="007B3E99"/>
    <w:rsid w:val="007B4357"/>
    <w:rsid w:val="007B4F58"/>
    <w:rsid w:val="007B528D"/>
    <w:rsid w:val="007B63CA"/>
    <w:rsid w:val="007B7140"/>
    <w:rsid w:val="007B71DE"/>
    <w:rsid w:val="007B77D1"/>
    <w:rsid w:val="007C07C7"/>
    <w:rsid w:val="007C1B60"/>
    <w:rsid w:val="007C1CD9"/>
    <w:rsid w:val="007C2294"/>
    <w:rsid w:val="007C2FE9"/>
    <w:rsid w:val="007C32EF"/>
    <w:rsid w:val="007C361D"/>
    <w:rsid w:val="007C4B84"/>
    <w:rsid w:val="007C4F47"/>
    <w:rsid w:val="007C5314"/>
    <w:rsid w:val="007C70FF"/>
    <w:rsid w:val="007C72CF"/>
    <w:rsid w:val="007C7C25"/>
    <w:rsid w:val="007D004F"/>
    <w:rsid w:val="007D035F"/>
    <w:rsid w:val="007D06B2"/>
    <w:rsid w:val="007D0B38"/>
    <w:rsid w:val="007D2066"/>
    <w:rsid w:val="007D2342"/>
    <w:rsid w:val="007D31F9"/>
    <w:rsid w:val="007D3760"/>
    <w:rsid w:val="007D3A4E"/>
    <w:rsid w:val="007D3B28"/>
    <w:rsid w:val="007D5440"/>
    <w:rsid w:val="007D69EB"/>
    <w:rsid w:val="007D74A2"/>
    <w:rsid w:val="007D7889"/>
    <w:rsid w:val="007E128F"/>
    <w:rsid w:val="007E1875"/>
    <w:rsid w:val="007E2DC5"/>
    <w:rsid w:val="007E36DE"/>
    <w:rsid w:val="007E4CD0"/>
    <w:rsid w:val="007E6012"/>
    <w:rsid w:val="007E72F9"/>
    <w:rsid w:val="007F0495"/>
    <w:rsid w:val="007F1017"/>
    <w:rsid w:val="007F2B15"/>
    <w:rsid w:val="007F3A85"/>
    <w:rsid w:val="007F3F96"/>
    <w:rsid w:val="007F4A3F"/>
    <w:rsid w:val="007F4A61"/>
    <w:rsid w:val="007F5255"/>
    <w:rsid w:val="007F56CC"/>
    <w:rsid w:val="007F61C2"/>
    <w:rsid w:val="007F6603"/>
    <w:rsid w:val="007F6A1D"/>
    <w:rsid w:val="007F7987"/>
    <w:rsid w:val="0080118B"/>
    <w:rsid w:val="00804BDE"/>
    <w:rsid w:val="00805142"/>
    <w:rsid w:val="00805FCE"/>
    <w:rsid w:val="00807A8B"/>
    <w:rsid w:val="00807B46"/>
    <w:rsid w:val="008108D8"/>
    <w:rsid w:val="00811383"/>
    <w:rsid w:val="00812149"/>
    <w:rsid w:val="00812CAC"/>
    <w:rsid w:val="00815AC9"/>
    <w:rsid w:val="00815D87"/>
    <w:rsid w:val="00815F6A"/>
    <w:rsid w:val="00816361"/>
    <w:rsid w:val="008166EF"/>
    <w:rsid w:val="00816FEF"/>
    <w:rsid w:val="00817085"/>
    <w:rsid w:val="00820A8C"/>
    <w:rsid w:val="00820F7A"/>
    <w:rsid w:val="008215FB"/>
    <w:rsid w:val="008220CC"/>
    <w:rsid w:val="00822C94"/>
    <w:rsid w:val="00823174"/>
    <w:rsid w:val="00825751"/>
    <w:rsid w:val="008264EB"/>
    <w:rsid w:val="00826862"/>
    <w:rsid w:val="008268CE"/>
    <w:rsid w:val="00827C23"/>
    <w:rsid w:val="00830528"/>
    <w:rsid w:val="0083066F"/>
    <w:rsid w:val="008323CA"/>
    <w:rsid w:val="00833B05"/>
    <w:rsid w:val="0083556B"/>
    <w:rsid w:val="008362B4"/>
    <w:rsid w:val="00836816"/>
    <w:rsid w:val="00840CA2"/>
    <w:rsid w:val="008426BB"/>
    <w:rsid w:val="0084374F"/>
    <w:rsid w:val="00844A22"/>
    <w:rsid w:val="00844FF5"/>
    <w:rsid w:val="008455D0"/>
    <w:rsid w:val="00847067"/>
    <w:rsid w:val="00847703"/>
    <w:rsid w:val="00847DF5"/>
    <w:rsid w:val="00851B17"/>
    <w:rsid w:val="0085309D"/>
    <w:rsid w:val="0085682B"/>
    <w:rsid w:val="00856897"/>
    <w:rsid w:val="00856E9A"/>
    <w:rsid w:val="008571CD"/>
    <w:rsid w:val="00857A37"/>
    <w:rsid w:val="0086075D"/>
    <w:rsid w:val="008608DD"/>
    <w:rsid w:val="00861FAE"/>
    <w:rsid w:val="00862502"/>
    <w:rsid w:val="00862CC1"/>
    <w:rsid w:val="008642A7"/>
    <w:rsid w:val="00865655"/>
    <w:rsid w:val="008660D4"/>
    <w:rsid w:val="00871FA9"/>
    <w:rsid w:val="008728E9"/>
    <w:rsid w:val="008735D2"/>
    <w:rsid w:val="00875892"/>
    <w:rsid w:val="0088006B"/>
    <w:rsid w:val="0088080E"/>
    <w:rsid w:val="0088258E"/>
    <w:rsid w:val="00882874"/>
    <w:rsid w:val="00882E3C"/>
    <w:rsid w:val="0088308A"/>
    <w:rsid w:val="0088362F"/>
    <w:rsid w:val="00883787"/>
    <w:rsid w:val="008855E4"/>
    <w:rsid w:val="00886CD2"/>
    <w:rsid w:val="00891209"/>
    <w:rsid w:val="008913AC"/>
    <w:rsid w:val="00891736"/>
    <w:rsid w:val="00891E6F"/>
    <w:rsid w:val="0089275D"/>
    <w:rsid w:val="00892A36"/>
    <w:rsid w:val="00892EE7"/>
    <w:rsid w:val="00893239"/>
    <w:rsid w:val="00894489"/>
    <w:rsid w:val="00894CD6"/>
    <w:rsid w:val="0089587D"/>
    <w:rsid w:val="00895A04"/>
    <w:rsid w:val="00895F79"/>
    <w:rsid w:val="008963A5"/>
    <w:rsid w:val="00896D5D"/>
    <w:rsid w:val="00897457"/>
    <w:rsid w:val="008A1797"/>
    <w:rsid w:val="008A29DB"/>
    <w:rsid w:val="008A2F9B"/>
    <w:rsid w:val="008A3158"/>
    <w:rsid w:val="008A32C5"/>
    <w:rsid w:val="008A3363"/>
    <w:rsid w:val="008A3371"/>
    <w:rsid w:val="008A357F"/>
    <w:rsid w:val="008A3C3E"/>
    <w:rsid w:val="008A44D5"/>
    <w:rsid w:val="008A48E1"/>
    <w:rsid w:val="008A4C1A"/>
    <w:rsid w:val="008A5850"/>
    <w:rsid w:val="008A79DE"/>
    <w:rsid w:val="008B1757"/>
    <w:rsid w:val="008B182C"/>
    <w:rsid w:val="008B1C33"/>
    <w:rsid w:val="008B4B6F"/>
    <w:rsid w:val="008B5A49"/>
    <w:rsid w:val="008B5E89"/>
    <w:rsid w:val="008B7558"/>
    <w:rsid w:val="008B7992"/>
    <w:rsid w:val="008B7D7E"/>
    <w:rsid w:val="008C19FC"/>
    <w:rsid w:val="008C4C89"/>
    <w:rsid w:val="008C54E6"/>
    <w:rsid w:val="008C5610"/>
    <w:rsid w:val="008C5739"/>
    <w:rsid w:val="008C7282"/>
    <w:rsid w:val="008C7B73"/>
    <w:rsid w:val="008C7ECB"/>
    <w:rsid w:val="008D3B2C"/>
    <w:rsid w:val="008D3B86"/>
    <w:rsid w:val="008D3BF5"/>
    <w:rsid w:val="008D43FD"/>
    <w:rsid w:val="008D4753"/>
    <w:rsid w:val="008D4755"/>
    <w:rsid w:val="008D4C3D"/>
    <w:rsid w:val="008D5E0A"/>
    <w:rsid w:val="008D743C"/>
    <w:rsid w:val="008D78EA"/>
    <w:rsid w:val="008E0D3C"/>
    <w:rsid w:val="008E1003"/>
    <w:rsid w:val="008E1B9E"/>
    <w:rsid w:val="008E1F6E"/>
    <w:rsid w:val="008E2856"/>
    <w:rsid w:val="008E310B"/>
    <w:rsid w:val="008E37FD"/>
    <w:rsid w:val="008E5040"/>
    <w:rsid w:val="008E55AB"/>
    <w:rsid w:val="008F120A"/>
    <w:rsid w:val="008F27E0"/>
    <w:rsid w:val="008F48EB"/>
    <w:rsid w:val="008F4F0B"/>
    <w:rsid w:val="008F6259"/>
    <w:rsid w:val="008F678F"/>
    <w:rsid w:val="00900491"/>
    <w:rsid w:val="009025B8"/>
    <w:rsid w:val="0090354D"/>
    <w:rsid w:val="009046C4"/>
    <w:rsid w:val="00904ABD"/>
    <w:rsid w:val="009062A5"/>
    <w:rsid w:val="00906521"/>
    <w:rsid w:val="00906A81"/>
    <w:rsid w:val="009072B2"/>
    <w:rsid w:val="00907699"/>
    <w:rsid w:val="00910FA7"/>
    <w:rsid w:val="00911272"/>
    <w:rsid w:val="00911339"/>
    <w:rsid w:val="0091237A"/>
    <w:rsid w:val="00912481"/>
    <w:rsid w:val="009135D6"/>
    <w:rsid w:val="0091390D"/>
    <w:rsid w:val="00913E84"/>
    <w:rsid w:val="00914105"/>
    <w:rsid w:val="00914C77"/>
    <w:rsid w:val="00917A2C"/>
    <w:rsid w:val="00920C60"/>
    <w:rsid w:val="00921ACB"/>
    <w:rsid w:val="0092369B"/>
    <w:rsid w:val="00925036"/>
    <w:rsid w:val="00926EE6"/>
    <w:rsid w:val="00927A6E"/>
    <w:rsid w:val="009324F5"/>
    <w:rsid w:val="009339F8"/>
    <w:rsid w:val="00934988"/>
    <w:rsid w:val="00936265"/>
    <w:rsid w:val="00936A8E"/>
    <w:rsid w:val="00937089"/>
    <w:rsid w:val="00937F5E"/>
    <w:rsid w:val="00941D8F"/>
    <w:rsid w:val="00944F8A"/>
    <w:rsid w:val="00945F8A"/>
    <w:rsid w:val="00947730"/>
    <w:rsid w:val="00950799"/>
    <w:rsid w:val="00950BA5"/>
    <w:rsid w:val="00951083"/>
    <w:rsid w:val="009510A2"/>
    <w:rsid w:val="00952060"/>
    <w:rsid w:val="00953257"/>
    <w:rsid w:val="0095474C"/>
    <w:rsid w:val="00954C20"/>
    <w:rsid w:val="00954CA5"/>
    <w:rsid w:val="00956257"/>
    <w:rsid w:val="00957D92"/>
    <w:rsid w:val="00962CB9"/>
    <w:rsid w:val="009641C1"/>
    <w:rsid w:val="00964312"/>
    <w:rsid w:val="0096437B"/>
    <w:rsid w:val="00964A5D"/>
    <w:rsid w:val="00965546"/>
    <w:rsid w:val="00965B8A"/>
    <w:rsid w:val="00966009"/>
    <w:rsid w:val="00966F4E"/>
    <w:rsid w:val="0097071F"/>
    <w:rsid w:val="009717AC"/>
    <w:rsid w:val="00973B22"/>
    <w:rsid w:val="00973F1D"/>
    <w:rsid w:val="009751C1"/>
    <w:rsid w:val="0097530D"/>
    <w:rsid w:val="0097549B"/>
    <w:rsid w:val="00976C0F"/>
    <w:rsid w:val="009811F1"/>
    <w:rsid w:val="00982C13"/>
    <w:rsid w:val="00983E57"/>
    <w:rsid w:val="00985DC0"/>
    <w:rsid w:val="00985DE2"/>
    <w:rsid w:val="0098675D"/>
    <w:rsid w:val="0098695D"/>
    <w:rsid w:val="00987BA4"/>
    <w:rsid w:val="00987C3D"/>
    <w:rsid w:val="00990AAB"/>
    <w:rsid w:val="009926E0"/>
    <w:rsid w:val="00993120"/>
    <w:rsid w:val="009936F0"/>
    <w:rsid w:val="00993CA5"/>
    <w:rsid w:val="0099451E"/>
    <w:rsid w:val="009959B9"/>
    <w:rsid w:val="00995BED"/>
    <w:rsid w:val="00995E00"/>
    <w:rsid w:val="009964DB"/>
    <w:rsid w:val="00996B1A"/>
    <w:rsid w:val="009A0193"/>
    <w:rsid w:val="009A0637"/>
    <w:rsid w:val="009A07C2"/>
    <w:rsid w:val="009A089D"/>
    <w:rsid w:val="009A175B"/>
    <w:rsid w:val="009A18F6"/>
    <w:rsid w:val="009A21A8"/>
    <w:rsid w:val="009A272A"/>
    <w:rsid w:val="009A2DCC"/>
    <w:rsid w:val="009A43F8"/>
    <w:rsid w:val="009A5ABC"/>
    <w:rsid w:val="009A7F10"/>
    <w:rsid w:val="009B0386"/>
    <w:rsid w:val="009B078F"/>
    <w:rsid w:val="009B0FFF"/>
    <w:rsid w:val="009B2C29"/>
    <w:rsid w:val="009B3055"/>
    <w:rsid w:val="009B3E26"/>
    <w:rsid w:val="009B5785"/>
    <w:rsid w:val="009B5E78"/>
    <w:rsid w:val="009B6497"/>
    <w:rsid w:val="009B6A40"/>
    <w:rsid w:val="009B6FEB"/>
    <w:rsid w:val="009C006D"/>
    <w:rsid w:val="009C0073"/>
    <w:rsid w:val="009C0308"/>
    <w:rsid w:val="009C1271"/>
    <w:rsid w:val="009C3015"/>
    <w:rsid w:val="009C3706"/>
    <w:rsid w:val="009C3A3A"/>
    <w:rsid w:val="009C3F7F"/>
    <w:rsid w:val="009C506F"/>
    <w:rsid w:val="009C5966"/>
    <w:rsid w:val="009C5CC8"/>
    <w:rsid w:val="009C6CEA"/>
    <w:rsid w:val="009C7B85"/>
    <w:rsid w:val="009D0254"/>
    <w:rsid w:val="009D1A64"/>
    <w:rsid w:val="009D304F"/>
    <w:rsid w:val="009D3785"/>
    <w:rsid w:val="009D40A1"/>
    <w:rsid w:val="009D5B91"/>
    <w:rsid w:val="009D5FF1"/>
    <w:rsid w:val="009D71F7"/>
    <w:rsid w:val="009D792E"/>
    <w:rsid w:val="009E0DFE"/>
    <w:rsid w:val="009E1991"/>
    <w:rsid w:val="009E31F6"/>
    <w:rsid w:val="009E3AF7"/>
    <w:rsid w:val="009E40BA"/>
    <w:rsid w:val="009E4C07"/>
    <w:rsid w:val="009E6A67"/>
    <w:rsid w:val="009E705C"/>
    <w:rsid w:val="009E7703"/>
    <w:rsid w:val="009E777F"/>
    <w:rsid w:val="009F0A78"/>
    <w:rsid w:val="009F435C"/>
    <w:rsid w:val="009F44EF"/>
    <w:rsid w:val="009F523B"/>
    <w:rsid w:val="009F6120"/>
    <w:rsid w:val="009F6801"/>
    <w:rsid w:val="009F7772"/>
    <w:rsid w:val="009F7871"/>
    <w:rsid w:val="00A00A3A"/>
    <w:rsid w:val="00A00D76"/>
    <w:rsid w:val="00A01184"/>
    <w:rsid w:val="00A01449"/>
    <w:rsid w:val="00A01FA7"/>
    <w:rsid w:val="00A037C2"/>
    <w:rsid w:val="00A03D43"/>
    <w:rsid w:val="00A04380"/>
    <w:rsid w:val="00A04786"/>
    <w:rsid w:val="00A05472"/>
    <w:rsid w:val="00A05C32"/>
    <w:rsid w:val="00A05E14"/>
    <w:rsid w:val="00A06486"/>
    <w:rsid w:val="00A0653F"/>
    <w:rsid w:val="00A0666B"/>
    <w:rsid w:val="00A07635"/>
    <w:rsid w:val="00A07EE7"/>
    <w:rsid w:val="00A10133"/>
    <w:rsid w:val="00A118E9"/>
    <w:rsid w:val="00A11CD0"/>
    <w:rsid w:val="00A13948"/>
    <w:rsid w:val="00A13BCD"/>
    <w:rsid w:val="00A1540E"/>
    <w:rsid w:val="00A1555B"/>
    <w:rsid w:val="00A155C5"/>
    <w:rsid w:val="00A15DB5"/>
    <w:rsid w:val="00A16AD8"/>
    <w:rsid w:val="00A2021E"/>
    <w:rsid w:val="00A21C95"/>
    <w:rsid w:val="00A21CF3"/>
    <w:rsid w:val="00A24813"/>
    <w:rsid w:val="00A27AEC"/>
    <w:rsid w:val="00A30950"/>
    <w:rsid w:val="00A310A3"/>
    <w:rsid w:val="00A320DB"/>
    <w:rsid w:val="00A33B12"/>
    <w:rsid w:val="00A35709"/>
    <w:rsid w:val="00A35D16"/>
    <w:rsid w:val="00A37BCD"/>
    <w:rsid w:val="00A41689"/>
    <w:rsid w:val="00A42592"/>
    <w:rsid w:val="00A43C59"/>
    <w:rsid w:val="00A46485"/>
    <w:rsid w:val="00A46A4A"/>
    <w:rsid w:val="00A47FCF"/>
    <w:rsid w:val="00A50ECD"/>
    <w:rsid w:val="00A518F3"/>
    <w:rsid w:val="00A52729"/>
    <w:rsid w:val="00A53675"/>
    <w:rsid w:val="00A564D7"/>
    <w:rsid w:val="00A56B6A"/>
    <w:rsid w:val="00A57788"/>
    <w:rsid w:val="00A578DC"/>
    <w:rsid w:val="00A6184C"/>
    <w:rsid w:val="00A62FA5"/>
    <w:rsid w:val="00A640E2"/>
    <w:rsid w:val="00A64301"/>
    <w:rsid w:val="00A64D65"/>
    <w:rsid w:val="00A65FE0"/>
    <w:rsid w:val="00A66B2F"/>
    <w:rsid w:val="00A66B87"/>
    <w:rsid w:val="00A6725B"/>
    <w:rsid w:val="00A679D0"/>
    <w:rsid w:val="00A67AC3"/>
    <w:rsid w:val="00A67CCF"/>
    <w:rsid w:val="00A70605"/>
    <w:rsid w:val="00A7296E"/>
    <w:rsid w:val="00A73134"/>
    <w:rsid w:val="00A7365A"/>
    <w:rsid w:val="00A73A53"/>
    <w:rsid w:val="00A73C19"/>
    <w:rsid w:val="00A75692"/>
    <w:rsid w:val="00A756E9"/>
    <w:rsid w:val="00A75C49"/>
    <w:rsid w:val="00A76001"/>
    <w:rsid w:val="00A777B2"/>
    <w:rsid w:val="00A801D8"/>
    <w:rsid w:val="00A801ED"/>
    <w:rsid w:val="00A81EAE"/>
    <w:rsid w:val="00A825D4"/>
    <w:rsid w:val="00A828F6"/>
    <w:rsid w:val="00A82B73"/>
    <w:rsid w:val="00A8329E"/>
    <w:rsid w:val="00A86BF7"/>
    <w:rsid w:val="00A86E8B"/>
    <w:rsid w:val="00A87164"/>
    <w:rsid w:val="00A871A9"/>
    <w:rsid w:val="00A900D2"/>
    <w:rsid w:val="00A93072"/>
    <w:rsid w:val="00A931FB"/>
    <w:rsid w:val="00A9356F"/>
    <w:rsid w:val="00A938BD"/>
    <w:rsid w:val="00A93953"/>
    <w:rsid w:val="00A959D8"/>
    <w:rsid w:val="00A9666D"/>
    <w:rsid w:val="00A97370"/>
    <w:rsid w:val="00A973BF"/>
    <w:rsid w:val="00A9764C"/>
    <w:rsid w:val="00A97C9D"/>
    <w:rsid w:val="00AA113D"/>
    <w:rsid w:val="00AA1606"/>
    <w:rsid w:val="00AA1623"/>
    <w:rsid w:val="00AA22BE"/>
    <w:rsid w:val="00AA40B5"/>
    <w:rsid w:val="00AA4124"/>
    <w:rsid w:val="00AA4269"/>
    <w:rsid w:val="00AA55C6"/>
    <w:rsid w:val="00AA6BD5"/>
    <w:rsid w:val="00AA6BD8"/>
    <w:rsid w:val="00AA6C7D"/>
    <w:rsid w:val="00AA7FD6"/>
    <w:rsid w:val="00AB042A"/>
    <w:rsid w:val="00AB11AD"/>
    <w:rsid w:val="00AB19EF"/>
    <w:rsid w:val="00AB2495"/>
    <w:rsid w:val="00AB2965"/>
    <w:rsid w:val="00AB2D34"/>
    <w:rsid w:val="00AB3430"/>
    <w:rsid w:val="00AB37B9"/>
    <w:rsid w:val="00AB4370"/>
    <w:rsid w:val="00AB45F5"/>
    <w:rsid w:val="00AB4AD1"/>
    <w:rsid w:val="00AB509B"/>
    <w:rsid w:val="00AB56BC"/>
    <w:rsid w:val="00AB5DCB"/>
    <w:rsid w:val="00AB5E07"/>
    <w:rsid w:val="00AB7CFA"/>
    <w:rsid w:val="00AC0803"/>
    <w:rsid w:val="00AC0E0F"/>
    <w:rsid w:val="00AC159A"/>
    <w:rsid w:val="00AC1C34"/>
    <w:rsid w:val="00AC246E"/>
    <w:rsid w:val="00AC36D0"/>
    <w:rsid w:val="00AC535D"/>
    <w:rsid w:val="00AC583C"/>
    <w:rsid w:val="00AC5B42"/>
    <w:rsid w:val="00AC5B48"/>
    <w:rsid w:val="00AC6DF5"/>
    <w:rsid w:val="00AD035D"/>
    <w:rsid w:val="00AD0B59"/>
    <w:rsid w:val="00AD1328"/>
    <w:rsid w:val="00AD1450"/>
    <w:rsid w:val="00AD15E8"/>
    <w:rsid w:val="00AD222B"/>
    <w:rsid w:val="00AD2BB9"/>
    <w:rsid w:val="00AD2D49"/>
    <w:rsid w:val="00AD356D"/>
    <w:rsid w:val="00AD40B5"/>
    <w:rsid w:val="00AD55D6"/>
    <w:rsid w:val="00AD6502"/>
    <w:rsid w:val="00AD67F6"/>
    <w:rsid w:val="00AD6E77"/>
    <w:rsid w:val="00AE0695"/>
    <w:rsid w:val="00AE0AB4"/>
    <w:rsid w:val="00AE1B15"/>
    <w:rsid w:val="00AE3E7E"/>
    <w:rsid w:val="00AE7E53"/>
    <w:rsid w:val="00AF1315"/>
    <w:rsid w:val="00AF19BF"/>
    <w:rsid w:val="00AF1DAE"/>
    <w:rsid w:val="00AF2DC3"/>
    <w:rsid w:val="00AF3638"/>
    <w:rsid w:val="00AF3E47"/>
    <w:rsid w:val="00B01624"/>
    <w:rsid w:val="00B02344"/>
    <w:rsid w:val="00B0300F"/>
    <w:rsid w:val="00B033E5"/>
    <w:rsid w:val="00B03A63"/>
    <w:rsid w:val="00B05158"/>
    <w:rsid w:val="00B05DBA"/>
    <w:rsid w:val="00B11A7D"/>
    <w:rsid w:val="00B129A4"/>
    <w:rsid w:val="00B15E90"/>
    <w:rsid w:val="00B16B36"/>
    <w:rsid w:val="00B175B8"/>
    <w:rsid w:val="00B17A7D"/>
    <w:rsid w:val="00B17BC8"/>
    <w:rsid w:val="00B201A4"/>
    <w:rsid w:val="00B201D1"/>
    <w:rsid w:val="00B20B1E"/>
    <w:rsid w:val="00B213A6"/>
    <w:rsid w:val="00B235B0"/>
    <w:rsid w:val="00B24DF6"/>
    <w:rsid w:val="00B25C8E"/>
    <w:rsid w:val="00B27119"/>
    <w:rsid w:val="00B27A61"/>
    <w:rsid w:val="00B32B79"/>
    <w:rsid w:val="00B32B84"/>
    <w:rsid w:val="00B33C24"/>
    <w:rsid w:val="00B34B67"/>
    <w:rsid w:val="00B34FE2"/>
    <w:rsid w:val="00B35166"/>
    <w:rsid w:val="00B357D8"/>
    <w:rsid w:val="00B360F4"/>
    <w:rsid w:val="00B36A00"/>
    <w:rsid w:val="00B3792B"/>
    <w:rsid w:val="00B37BFC"/>
    <w:rsid w:val="00B37CAF"/>
    <w:rsid w:val="00B40358"/>
    <w:rsid w:val="00B41614"/>
    <w:rsid w:val="00B42851"/>
    <w:rsid w:val="00B42F80"/>
    <w:rsid w:val="00B435CB"/>
    <w:rsid w:val="00B43BCA"/>
    <w:rsid w:val="00B44812"/>
    <w:rsid w:val="00B465EC"/>
    <w:rsid w:val="00B4758E"/>
    <w:rsid w:val="00B4796A"/>
    <w:rsid w:val="00B505C8"/>
    <w:rsid w:val="00B50DB8"/>
    <w:rsid w:val="00B51C4C"/>
    <w:rsid w:val="00B52E8D"/>
    <w:rsid w:val="00B532EE"/>
    <w:rsid w:val="00B53654"/>
    <w:rsid w:val="00B53905"/>
    <w:rsid w:val="00B546DB"/>
    <w:rsid w:val="00B54B5B"/>
    <w:rsid w:val="00B55369"/>
    <w:rsid w:val="00B5562E"/>
    <w:rsid w:val="00B557FA"/>
    <w:rsid w:val="00B55862"/>
    <w:rsid w:val="00B55D65"/>
    <w:rsid w:val="00B56305"/>
    <w:rsid w:val="00B57000"/>
    <w:rsid w:val="00B60881"/>
    <w:rsid w:val="00B60939"/>
    <w:rsid w:val="00B60AFD"/>
    <w:rsid w:val="00B61939"/>
    <w:rsid w:val="00B6199A"/>
    <w:rsid w:val="00B62715"/>
    <w:rsid w:val="00B62D80"/>
    <w:rsid w:val="00B6448F"/>
    <w:rsid w:val="00B65611"/>
    <w:rsid w:val="00B70AEA"/>
    <w:rsid w:val="00B70E8E"/>
    <w:rsid w:val="00B71693"/>
    <w:rsid w:val="00B7198B"/>
    <w:rsid w:val="00B731C1"/>
    <w:rsid w:val="00B75B02"/>
    <w:rsid w:val="00B76C92"/>
    <w:rsid w:val="00B7729C"/>
    <w:rsid w:val="00B803E3"/>
    <w:rsid w:val="00B80EFD"/>
    <w:rsid w:val="00B818A4"/>
    <w:rsid w:val="00B83739"/>
    <w:rsid w:val="00B84117"/>
    <w:rsid w:val="00B858F0"/>
    <w:rsid w:val="00B85AA2"/>
    <w:rsid w:val="00B8649C"/>
    <w:rsid w:val="00B8695D"/>
    <w:rsid w:val="00B8723D"/>
    <w:rsid w:val="00B87F0A"/>
    <w:rsid w:val="00B91A2C"/>
    <w:rsid w:val="00B91FDB"/>
    <w:rsid w:val="00B92D0B"/>
    <w:rsid w:val="00B94945"/>
    <w:rsid w:val="00B94DD6"/>
    <w:rsid w:val="00B957AD"/>
    <w:rsid w:val="00B95A35"/>
    <w:rsid w:val="00B9719B"/>
    <w:rsid w:val="00BA0E34"/>
    <w:rsid w:val="00BA322D"/>
    <w:rsid w:val="00BA383B"/>
    <w:rsid w:val="00BA54D0"/>
    <w:rsid w:val="00BA63FA"/>
    <w:rsid w:val="00BB00B3"/>
    <w:rsid w:val="00BB0BDD"/>
    <w:rsid w:val="00BB176C"/>
    <w:rsid w:val="00BB2A73"/>
    <w:rsid w:val="00BB327D"/>
    <w:rsid w:val="00BB3A45"/>
    <w:rsid w:val="00BB46E2"/>
    <w:rsid w:val="00BB4ACC"/>
    <w:rsid w:val="00BB703E"/>
    <w:rsid w:val="00BB732D"/>
    <w:rsid w:val="00BB7405"/>
    <w:rsid w:val="00BC29B4"/>
    <w:rsid w:val="00BC327C"/>
    <w:rsid w:val="00BC3631"/>
    <w:rsid w:val="00BC591F"/>
    <w:rsid w:val="00BC7CEB"/>
    <w:rsid w:val="00BC7D6D"/>
    <w:rsid w:val="00BD1214"/>
    <w:rsid w:val="00BD17BC"/>
    <w:rsid w:val="00BD1A40"/>
    <w:rsid w:val="00BD2108"/>
    <w:rsid w:val="00BD482C"/>
    <w:rsid w:val="00BD5EC2"/>
    <w:rsid w:val="00BD60C2"/>
    <w:rsid w:val="00BD61E1"/>
    <w:rsid w:val="00BD6311"/>
    <w:rsid w:val="00BD68A3"/>
    <w:rsid w:val="00BD6938"/>
    <w:rsid w:val="00BD6CF3"/>
    <w:rsid w:val="00BD7F72"/>
    <w:rsid w:val="00BE0ECA"/>
    <w:rsid w:val="00BE18A6"/>
    <w:rsid w:val="00BE2180"/>
    <w:rsid w:val="00BE21F2"/>
    <w:rsid w:val="00BE4275"/>
    <w:rsid w:val="00BE62FA"/>
    <w:rsid w:val="00BE698A"/>
    <w:rsid w:val="00BF03EC"/>
    <w:rsid w:val="00BF06AE"/>
    <w:rsid w:val="00BF0F95"/>
    <w:rsid w:val="00BF22B4"/>
    <w:rsid w:val="00BF2433"/>
    <w:rsid w:val="00BF2E6E"/>
    <w:rsid w:val="00BF3C69"/>
    <w:rsid w:val="00BF4151"/>
    <w:rsid w:val="00BF4568"/>
    <w:rsid w:val="00BF50FE"/>
    <w:rsid w:val="00BF61C9"/>
    <w:rsid w:val="00BF6C94"/>
    <w:rsid w:val="00C00424"/>
    <w:rsid w:val="00C00BB0"/>
    <w:rsid w:val="00C00F7D"/>
    <w:rsid w:val="00C01CFC"/>
    <w:rsid w:val="00C0272B"/>
    <w:rsid w:val="00C02E68"/>
    <w:rsid w:val="00C038D0"/>
    <w:rsid w:val="00C04856"/>
    <w:rsid w:val="00C05C4B"/>
    <w:rsid w:val="00C071D6"/>
    <w:rsid w:val="00C1179F"/>
    <w:rsid w:val="00C127B9"/>
    <w:rsid w:val="00C128FA"/>
    <w:rsid w:val="00C12A56"/>
    <w:rsid w:val="00C12C14"/>
    <w:rsid w:val="00C143D2"/>
    <w:rsid w:val="00C14EA3"/>
    <w:rsid w:val="00C15280"/>
    <w:rsid w:val="00C15F04"/>
    <w:rsid w:val="00C16AAA"/>
    <w:rsid w:val="00C179B3"/>
    <w:rsid w:val="00C17E3F"/>
    <w:rsid w:val="00C200AA"/>
    <w:rsid w:val="00C20F5A"/>
    <w:rsid w:val="00C22EB9"/>
    <w:rsid w:val="00C237ED"/>
    <w:rsid w:val="00C24632"/>
    <w:rsid w:val="00C25418"/>
    <w:rsid w:val="00C25D9C"/>
    <w:rsid w:val="00C2778B"/>
    <w:rsid w:val="00C3145E"/>
    <w:rsid w:val="00C31649"/>
    <w:rsid w:val="00C3434C"/>
    <w:rsid w:val="00C36938"/>
    <w:rsid w:val="00C40385"/>
    <w:rsid w:val="00C41768"/>
    <w:rsid w:val="00C4364D"/>
    <w:rsid w:val="00C475AA"/>
    <w:rsid w:val="00C5061E"/>
    <w:rsid w:val="00C510E7"/>
    <w:rsid w:val="00C51376"/>
    <w:rsid w:val="00C51577"/>
    <w:rsid w:val="00C527C7"/>
    <w:rsid w:val="00C53C98"/>
    <w:rsid w:val="00C55E41"/>
    <w:rsid w:val="00C56FCF"/>
    <w:rsid w:val="00C570D8"/>
    <w:rsid w:val="00C571DA"/>
    <w:rsid w:val="00C5724D"/>
    <w:rsid w:val="00C57B6C"/>
    <w:rsid w:val="00C611A6"/>
    <w:rsid w:val="00C61A59"/>
    <w:rsid w:val="00C61E52"/>
    <w:rsid w:val="00C628A6"/>
    <w:rsid w:val="00C642CC"/>
    <w:rsid w:val="00C64344"/>
    <w:rsid w:val="00C645C2"/>
    <w:rsid w:val="00C64C73"/>
    <w:rsid w:val="00C65108"/>
    <w:rsid w:val="00C65576"/>
    <w:rsid w:val="00C65E04"/>
    <w:rsid w:val="00C66165"/>
    <w:rsid w:val="00C66337"/>
    <w:rsid w:val="00C666ED"/>
    <w:rsid w:val="00C674E1"/>
    <w:rsid w:val="00C679D8"/>
    <w:rsid w:val="00C7060A"/>
    <w:rsid w:val="00C7151A"/>
    <w:rsid w:val="00C717E3"/>
    <w:rsid w:val="00C71F60"/>
    <w:rsid w:val="00C72241"/>
    <w:rsid w:val="00C740F9"/>
    <w:rsid w:val="00C750C8"/>
    <w:rsid w:val="00C7560F"/>
    <w:rsid w:val="00C808E9"/>
    <w:rsid w:val="00C80A0E"/>
    <w:rsid w:val="00C8213F"/>
    <w:rsid w:val="00C8303F"/>
    <w:rsid w:val="00C85154"/>
    <w:rsid w:val="00C85A70"/>
    <w:rsid w:val="00C86067"/>
    <w:rsid w:val="00C86E4E"/>
    <w:rsid w:val="00C870DE"/>
    <w:rsid w:val="00C87838"/>
    <w:rsid w:val="00C8797A"/>
    <w:rsid w:val="00C900B8"/>
    <w:rsid w:val="00C90197"/>
    <w:rsid w:val="00C90C71"/>
    <w:rsid w:val="00C91FD1"/>
    <w:rsid w:val="00C930B6"/>
    <w:rsid w:val="00C931CF"/>
    <w:rsid w:val="00C938CF"/>
    <w:rsid w:val="00C94053"/>
    <w:rsid w:val="00C94E22"/>
    <w:rsid w:val="00C95FD1"/>
    <w:rsid w:val="00C9624D"/>
    <w:rsid w:val="00C969DA"/>
    <w:rsid w:val="00C97029"/>
    <w:rsid w:val="00C974ED"/>
    <w:rsid w:val="00CA051A"/>
    <w:rsid w:val="00CA2C77"/>
    <w:rsid w:val="00CA2D66"/>
    <w:rsid w:val="00CA3239"/>
    <w:rsid w:val="00CA444F"/>
    <w:rsid w:val="00CA5245"/>
    <w:rsid w:val="00CA674F"/>
    <w:rsid w:val="00CA71F4"/>
    <w:rsid w:val="00CA7B09"/>
    <w:rsid w:val="00CB0385"/>
    <w:rsid w:val="00CB12A5"/>
    <w:rsid w:val="00CB1BDF"/>
    <w:rsid w:val="00CB1CAC"/>
    <w:rsid w:val="00CB2F2A"/>
    <w:rsid w:val="00CB4F15"/>
    <w:rsid w:val="00CB4FE5"/>
    <w:rsid w:val="00CB5B1A"/>
    <w:rsid w:val="00CB6B22"/>
    <w:rsid w:val="00CB7F5F"/>
    <w:rsid w:val="00CC1B39"/>
    <w:rsid w:val="00CC1BFA"/>
    <w:rsid w:val="00CC2E9F"/>
    <w:rsid w:val="00CC34AE"/>
    <w:rsid w:val="00CC35DD"/>
    <w:rsid w:val="00CC35EA"/>
    <w:rsid w:val="00CC3848"/>
    <w:rsid w:val="00CC3C01"/>
    <w:rsid w:val="00CC6D5E"/>
    <w:rsid w:val="00CC7163"/>
    <w:rsid w:val="00CD0200"/>
    <w:rsid w:val="00CD3F77"/>
    <w:rsid w:val="00CD4256"/>
    <w:rsid w:val="00CD4BB0"/>
    <w:rsid w:val="00CD6ADC"/>
    <w:rsid w:val="00CD6F87"/>
    <w:rsid w:val="00CD7193"/>
    <w:rsid w:val="00CE38C8"/>
    <w:rsid w:val="00CE3CEC"/>
    <w:rsid w:val="00CE4B8D"/>
    <w:rsid w:val="00CE524F"/>
    <w:rsid w:val="00CE58CC"/>
    <w:rsid w:val="00CE6274"/>
    <w:rsid w:val="00CE77B6"/>
    <w:rsid w:val="00CF0865"/>
    <w:rsid w:val="00CF2B8D"/>
    <w:rsid w:val="00CF3A1B"/>
    <w:rsid w:val="00CF456B"/>
    <w:rsid w:val="00CF5A22"/>
    <w:rsid w:val="00CF624E"/>
    <w:rsid w:val="00CF7B19"/>
    <w:rsid w:val="00D0262E"/>
    <w:rsid w:val="00D03679"/>
    <w:rsid w:val="00D03BC9"/>
    <w:rsid w:val="00D05E3D"/>
    <w:rsid w:val="00D06139"/>
    <w:rsid w:val="00D062C1"/>
    <w:rsid w:val="00D06BEA"/>
    <w:rsid w:val="00D10753"/>
    <w:rsid w:val="00D10BF3"/>
    <w:rsid w:val="00D110BD"/>
    <w:rsid w:val="00D1146E"/>
    <w:rsid w:val="00D117AD"/>
    <w:rsid w:val="00D11FB5"/>
    <w:rsid w:val="00D1219F"/>
    <w:rsid w:val="00D1297C"/>
    <w:rsid w:val="00D12DA2"/>
    <w:rsid w:val="00D130DB"/>
    <w:rsid w:val="00D1317D"/>
    <w:rsid w:val="00D13675"/>
    <w:rsid w:val="00D136EA"/>
    <w:rsid w:val="00D141E1"/>
    <w:rsid w:val="00D1452F"/>
    <w:rsid w:val="00D15314"/>
    <w:rsid w:val="00D159EA"/>
    <w:rsid w:val="00D15B48"/>
    <w:rsid w:val="00D16184"/>
    <w:rsid w:val="00D17D6C"/>
    <w:rsid w:val="00D202F3"/>
    <w:rsid w:val="00D2076B"/>
    <w:rsid w:val="00D2155B"/>
    <w:rsid w:val="00D23D11"/>
    <w:rsid w:val="00D244B6"/>
    <w:rsid w:val="00D248E6"/>
    <w:rsid w:val="00D251C3"/>
    <w:rsid w:val="00D2754D"/>
    <w:rsid w:val="00D279A9"/>
    <w:rsid w:val="00D27B27"/>
    <w:rsid w:val="00D30D5B"/>
    <w:rsid w:val="00D312A2"/>
    <w:rsid w:val="00D32343"/>
    <w:rsid w:val="00D3354C"/>
    <w:rsid w:val="00D33BE9"/>
    <w:rsid w:val="00D33E14"/>
    <w:rsid w:val="00D33F93"/>
    <w:rsid w:val="00D357FF"/>
    <w:rsid w:val="00D35E4F"/>
    <w:rsid w:val="00D36E9F"/>
    <w:rsid w:val="00D401F1"/>
    <w:rsid w:val="00D40693"/>
    <w:rsid w:val="00D424C7"/>
    <w:rsid w:val="00D430B0"/>
    <w:rsid w:val="00D43B2A"/>
    <w:rsid w:val="00D43CF1"/>
    <w:rsid w:val="00D43D83"/>
    <w:rsid w:val="00D44716"/>
    <w:rsid w:val="00D47575"/>
    <w:rsid w:val="00D51701"/>
    <w:rsid w:val="00D5243B"/>
    <w:rsid w:val="00D52569"/>
    <w:rsid w:val="00D533EC"/>
    <w:rsid w:val="00D5610A"/>
    <w:rsid w:val="00D56A95"/>
    <w:rsid w:val="00D6076E"/>
    <w:rsid w:val="00D61483"/>
    <w:rsid w:val="00D61D6B"/>
    <w:rsid w:val="00D64B05"/>
    <w:rsid w:val="00D67AAA"/>
    <w:rsid w:val="00D70B44"/>
    <w:rsid w:val="00D70F16"/>
    <w:rsid w:val="00D72326"/>
    <w:rsid w:val="00D72617"/>
    <w:rsid w:val="00D72F57"/>
    <w:rsid w:val="00D7312F"/>
    <w:rsid w:val="00D7355F"/>
    <w:rsid w:val="00D73613"/>
    <w:rsid w:val="00D737E0"/>
    <w:rsid w:val="00D76A44"/>
    <w:rsid w:val="00D76D70"/>
    <w:rsid w:val="00D8111C"/>
    <w:rsid w:val="00D815EF"/>
    <w:rsid w:val="00D81760"/>
    <w:rsid w:val="00D81949"/>
    <w:rsid w:val="00D81F26"/>
    <w:rsid w:val="00D821BA"/>
    <w:rsid w:val="00D822E2"/>
    <w:rsid w:val="00D82CAC"/>
    <w:rsid w:val="00D843F2"/>
    <w:rsid w:val="00D86231"/>
    <w:rsid w:val="00D911B3"/>
    <w:rsid w:val="00D912AB"/>
    <w:rsid w:val="00D91923"/>
    <w:rsid w:val="00D92194"/>
    <w:rsid w:val="00D93753"/>
    <w:rsid w:val="00D95C47"/>
    <w:rsid w:val="00D9646C"/>
    <w:rsid w:val="00D96C97"/>
    <w:rsid w:val="00D97860"/>
    <w:rsid w:val="00DA0C8D"/>
    <w:rsid w:val="00DA1328"/>
    <w:rsid w:val="00DA17B5"/>
    <w:rsid w:val="00DA3167"/>
    <w:rsid w:val="00DA3DFB"/>
    <w:rsid w:val="00DA4DC3"/>
    <w:rsid w:val="00DA77A5"/>
    <w:rsid w:val="00DA7C02"/>
    <w:rsid w:val="00DB0E36"/>
    <w:rsid w:val="00DB22C0"/>
    <w:rsid w:val="00DB3DBF"/>
    <w:rsid w:val="00DB47B5"/>
    <w:rsid w:val="00DB484F"/>
    <w:rsid w:val="00DB521E"/>
    <w:rsid w:val="00DC04F6"/>
    <w:rsid w:val="00DC0690"/>
    <w:rsid w:val="00DC1D65"/>
    <w:rsid w:val="00DC231B"/>
    <w:rsid w:val="00DC2455"/>
    <w:rsid w:val="00DC3B6F"/>
    <w:rsid w:val="00DC3C57"/>
    <w:rsid w:val="00DC54C5"/>
    <w:rsid w:val="00DC5501"/>
    <w:rsid w:val="00DC5DE4"/>
    <w:rsid w:val="00DC6B71"/>
    <w:rsid w:val="00DC7154"/>
    <w:rsid w:val="00DC7E8A"/>
    <w:rsid w:val="00DD01EB"/>
    <w:rsid w:val="00DD0F78"/>
    <w:rsid w:val="00DD1665"/>
    <w:rsid w:val="00DD229F"/>
    <w:rsid w:val="00DD273C"/>
    <w:rsid w:val="00DD3F28"/>
    <w:rsid w:val="00DD4446"/>
    <w:rsid w:val="00DD4537"/>
    <w:rsid w:val="00DD4E15"/>
    <w:rsid w:val="00DD58D4"/>
    <w:rsid w:val="00DD6131"/>
    <w:rsid w:val="00DD6AD5"/>
    <w:rsid w:val="00DD6B60"/>
    <w:rsid w:val="00DE2304"/>
    <w:rsid w:val="00DE3138"/>
    <w:rsid w:val="00DE37F8"/>
    <w:rsid w:val="00DE3B5D"/>
    <w:rsid w:val="00DE4273"/>
    <w:rsid w:val="00DE4536"/>
    <w:rsid w:val="00DE4FCB"/>
    <w:rsid w:val="00DE5D07"/>
    <w:rsid w:val="00DE72A7"/>
    <w:rsid w:val="00DE7832"/>
    <w:rsid w:val="00DE7D71"/>
    <w:rsid w:val="00DF076C"/>
    <w:rsid w:val="00DF18DE"/>
    <w:rsid w:val="00DF18FC"/>
    <w:rsid w:val="00DF2041"/>
    <w:rsid w:val="00DF40E7"/>
    <w:rsid w:val="00DF4DB5"/>
    <w:rsid w:val="00DF5631"/>
    <w:rsid w:val="00DF5D2B"/>
    <w:rsid w:val="00DF6341"/>
    <w:rsid w:val="00DF7303"/>
    <w:rsid w:val="00E00E8E"/>
    <w:rsid w:val="00E01F76"/>
    <w:rsid w:val="00E038A0"/>
    <w:rsid w:val="00E05630"/>
    <w:rsid w:val="00E068A6"/>
    <w:rsid w:val="00E069FD"/>
    <w:rsid w:val="00E06B19"/>
    <w:rsid w:val="00E06DBB"/>
    <w:rsid w:val="00E06EC5"/>
    <w:rsid w:val="00E10149"/>
    <w:rsid w:val="00E10252"/>
    <w:rsid w:val="00E10748"/>
    <w:rsid w:val="00E11340"/>
    <w:rsid w:val="00E122A1"/>
    <w:rsid w:val="00E12672"/>
    <w:rsid w:val="00E12CDC"/>
    <w:rsid w:val="00E13A88"/>
    <w:rsid w:val="00E13D3E"/>
    <w:rsid w:val="00E14B31"/>
    <w:rsid w:val="00E16372"/>
    <w:rsid w:val="00E16954"/>
    <w:rsid w:val="00E16A63"/>
    <w:rsid w:val="00E16AD8"/>
    <w:rsid w:val="00E17FFA"/>
    <w:rsid w:val="00E20E4D"/>
    <w:rsid w:val="00E20ED6"/>
    <w:rsid w:val="00E21358"/>
    <w:rsid w:val="00E2249B"/>
    <w:rsid w:val="00E22A0D"/>
    <w:rsid w:val="00E233C1"/>
    <w:rsid w:val="00E235E3"/>
    <w:rsid w:val="00E23729"/>
    <w:rsid w:val="00E244F6"/>
    <w:rsid w:val="00E2494C"/>
    <w:rsid w:val="00E258DB"/>
    <w:rsid w:val="00E25AAB"/>
    <w:rsid w:val="00E261F5"/>
    <w:rsid w:val="00E2659B"/>
    <w:rsid w:val="00E26CFD"/>
    <w:rsid w:val="00E270E4"/>
    <w:rsid w:val="00E2771E"/>
    <w:rsid w:val="00E311EF"/>
    <w:rsid w:val="00E32180"/>
    <w:rsid w:val="00E32732"/>
    <w:rsid w:val="00E32BDD"/>
    <w:rsid w:val="00E34948"/>
    <w:rsid w:val="00E37569"/>
    <w:rsid w:val="00E378EF"/>
    <w:rsid w:val="00E401B2"/>
    <w:rsid w:val="00E410A2"/>
    <w:rsid w:val="00E41579"/>
    <w:rsid w:val="00E41E30"/>
    <w:rsid w:val="00E42F73"/>
    <w:rsid w:val="00E43D70"/>
    <w:rsid w:val="00E4654C"/>
    <w:rsid w:val="00E466F3"/>
    <w:rsid w:val="00E47009"/>
    <w:rsid w:val="00E47B2C"/>
    <w:rsid w:val="00E47C82"/>
    <w:rsid w:val="00E5003C"/>
    <w:rsid w:val="00E51560"/>
    <w:rsid w:val="00E51821"/>
    <w:rsid w:val="00E51B47"/>
    <w:rsid w:val="00E51B83"/>
    <w:rsid w:val="00E52BB8"/>
    <w:rsid w:val="00E53FC8"/>
    <w:rsid w:val="00E54347"/>
    <w:rsid w:val="00E55424"/>
    <w:rsid w:val="00E55825"/>
    <w:rsid w:val="00E55915"/>
    <w:rsid w:val="00E55BB5"/>
    <w:rsid w:val="00E568EB"/>
    <w:rsid w:val="00E576A5"/>
    <w:rsid w:val="00E611DF"/>
    <w:rsid w:val="00E632BB"/>
    <w:rsid w:val="00E6377D"/>
    <w:rsid w:val="00E642C0"/>
    <w:rsid w:val="00E65E79"/>
    <w:rsid w:val="00E66BA2"/>
    <w:rsid w:val="00E66C05"/>
    <w:rsid w:val="00E67398"/>
    <w:rsid w:val="00E67416"/>
    <w:rsid w:val="00E718B6"/>
    <w:rsid w:val="00E71E6C"/>
    <w:rsid w:val="00E723BA"/>
    <w:rsid w:val="00E73581"/>
    <w:rsid w:val="00E76E22"/>
    <w:rsid w:val="00E8020D"/>
    <w:rsid w:val="00E80A12"/>
    <w:rsid w:val="00E80DE2"/>
    <w:rsid w:val="00E82B5E"/>
    <w:rsid w:val="00E833A8"/>
    <w:rsid w:val="00E833F7"/>
    <w:rsid w:val="00E83BDF"/>
    <w:rsid w:val="00E86FCC"/>
    <w:rsid w:val="00E87A1D"/>
    <w:rsid w:val="00E9094A"/>
    <w:rsid w:val="00E9173E"/>
    <w:rsid w:val="00E91A6F"/>
    <w:rsid w:val="00E91D35"/>
    <w:rsid w:val="00E926A5"/>
    <w:rsid w:val="00E93E43"/>
    <w:rsid w:val="00E95E98"/>
    <w:rsid w:val="00E962CC"/>
    <w:rsid w:val="00E977B4"/>
    <w:rsid w:val="00E97885"/>
    <w:rsid w:val="00EA17C3"/>
    <w:rsid w:val="00EA2CAA"/>
    <w:rsid w:val="00EA37FC"/>
    <w:rsid w:val="00EA3864"/>
    <w:rsid w:val="00EA5743"/>
    <w:rsid w:val="00EA7F1C"/>
    <w:rsid w:val="00EB01D5"/>
    <w:rsid w:val="00EB0D15"/>
    <w:rsid w:val="00EB15B6"/>
    <w:rsid w:val="00EB25F3"/>
    <w:rsid w:val="00EB3D06"/>
    <w:rsid w:val="00EB3ECB"/>
    <w:rsid w:val="00EB4916"/>
    <w:rsid w:val="00EB4BFD"/>
    <w:rsid w:val="00EB5108"/>
    <w:rsid w:val="00EB530A"/>
    <w:rsid w:val="00EB7874"/>
    <w:rsid w:val="00EB7F39"/>
    <w:rsid w:val="00EC00C9"/>
    <w:rsid w:val="00EC0DD9"/>
    <w:rsid w:val="00EC1648"/>
    <w:rsid w:val="00EC1D3A"/>
    <w:rsid w:val="00EC2649"/>
    <w:rsid w:val="00EC31ED"/>
    <w:rsid w:val="00EC562B"/>
    <w:rsid w:val="00EC5836"/>
    <w:rsid w:val="00EC65DF"/>
    <w:rsid w:val="00EC688C"/>
    <w:rsid w:val="00EC6AE6"/>
    <w:rsid w:val="00ED03BA"/>
    <w:rsid w:val="00ED0A0D"/>
    <w:rsid w:val="00ED12E3"/>
    <w:rsid w:val="00ED2EE6"/>
    <w:rsid w:val="00ED4B04"/>
    <w:rsid w:val="00ED54E5"/>
    <w:rsid w:val="00ED57EA"/>
    <w:rsid w:val="00ED5A03"/>
    <w:rsid w:val="00ED5AB9"/>
    <w:rsid w:val="00ED5BD4"/>
    <w:rsid w:val="00EE07D3"/>
    <w:rsid w:val="00EE1996"/>
    <w:rsid w:val="00EE1C01"/>
    <w:rsid w:val="00EE22AF"/>
    <w:rsid w:val="00EE2504"/>
    <w:rsid w:val="00EE4EF2"/>
    <w:rsid w:val="00EE630D"/>
    <w:rsid w:val="00EF0171"/>
    <w:rsid w:val="00EF14EA"/>
    <w:rsid w:val="00EF1B25"/>
    <w:rsid w:val="00EF1DA0"/>
    <w:rsid w:val="00EF29BF"/>
    <w:rsid w:val="00EF4747"/>
    <w:rsid w:val="00EF4BF8"/>
    <w:rsid w:val="00EF5425"/>
    <w:rsid w:val="00EF5633"/>
    <w:rsid w:val="00EF5935"/>
    <w:rsid w:val="00EF7B8D"/>
    <w:rsid w:val="00EF7D29"/>
    <w:rsid w:val="00F0098F"/>
    <w:rsid w:val="00F02253"/>
    <w:rsid w:val="00F0267C"/>
    <w:rsid w:val="00F03238"/>
    <w:rsid w:val="00F03C2E"/>
    <w:rsid w:val="00F04A66"/>
    <w:rsid w:val="00F04B4B"/>
    <w:rsid w:val="00F0516C"/>
    <w:rsid w:val="00F05666"/>
    <w:rsid w:val="00F067A2"/>
    <w:rsid w:val="00F06B38"/>
    <w:rsid w:val="00F070C2"/>
    <w:rsid w:val="00F07B9E"/>
    <w:rsid w:val="00F101C2"/>
    <w:rsid w:val="00F1116F"/>
    <w:rsid w:val="00F11DD5"/>
    <w:rsid w:val="00F1263A"/>
    <w:rsid w:val="00F12B18"/>
    <w:rsid w:val="00F13015"/>
    <w:rsid w:val="00F139C5"/>
    <w:rsid w:val="00F13A5A"/>
    <w:rsid w:val="00F13AE6"/>
    <w:rsid w:val="00F14D91"/>
    <w:rsid w:val="00F15370"/>
    <w:rsid w:val="00F15B77"/>
    <w:rsid w:val="00F15D76"/>
    <w:rsid w:val="00F17035"/>
    <w:rsid w:val="00F17921"/>
    <w:rsid w:val="00F21236"/>
    <w:rsid w:val="00F22B06"/>
    <w:rsid w:val="00F22E42"/>
    <w:rsid w:val="00F234FE"/>
    <w:rsid w:val="00F239DF"/>
    <w:rsid w:val="00F23EAA"/>
    <w:rsid w:val="00F246D9"/>
    <w:rsid w:val="00F24837"/>
    <w:rsid w:val="00F25490"/>
    <w:rsid w:val="00F2575F"/>
    <w:rsid w:val="00F25940"/>
    <w:rsid w:val="00F27565"/>
    <w:rsid w:val="00F310D4"/>
    <w:rsid w:val="00F31D5A"/>
    <w:rsid w:val="00F338C4"/>
    <w:rsid w:val="00F33975"/>
    <w:rsid w:val="00F33DE9"/>
    <w:rsid w:val="00F342AB"/>
    <w:rsid w:val="00F34742"/>
    <w:rsid w:val="00F3592B"/>
    <w:rsid w:val="00F35E6D"/>
    <w:rsid w:val="00F3619A"/>
    <w:rsid w:val="00F3629E"/>
    <w:rsid w:val="00F40724"/>
    <w:rsid w:val="00F40AAA"/>
    <w:rsid w:val="00F40BA7"/>
    <w:rsid w:val="00F40F9D"/>
    <w:rsid w:val="00F41ACD"/>
    <w:rsid w:val="00F433E4"/>
    <w:rsid w:val="00F43BD2"/>
    <w:rsid w:val="00F44209"/>
    <w:rsid w:val="00F442FB"/>
    <w:rsid w:val="00F458B9"/>
    <w:rsid w:val="00F46CB6"/>
    <w:rsid w:val="00F4709B"/>
    <w:rsid w:val="00F4756D"/>
    <w:rsid w:val="00F47DE8"/>
    <w:rsid w:val="00F509AC"/>
    <w:rsid w:val="00F50E84"/>
    <w:rsid w:val="00F519AC"/>
    <w:rsid w:val="00F542C1"/>
    <w:rsid w:val="00F550E3"/>
    <w:rsid w:val="00F55E73"/>
    <w:rsid w:val="00F55EDA"/>
    <w:rsid w:val="00F56C80"/>
    <w:rsid w:val="00F56CB4"/>
    <w:rsid w:val="00F60092"/>
    <w:rsid w:val="00F60177"/>
    <w:rsid w:val="00F61C18"/>
    <w:rsid w:val="00F62434"/>
    <w:rsid w:val="00F647B5"/>
    <w:rsid w:val="00F65F4B"/>
    <w:rsid w:val="00F663ED"/>
    <w:rsid w:val="00F67A69"/>
    <w:rsid w:val="00F67FF6"/>
    <w:rsid w:val="00F70200"/>
    <w:rsid w:val="00F70BFF"/>
    <w:rsid w:val="00F70C9D"/>
    <w:rsid w:val="00F71696"/>
    <w:rsid w:val="00F73E08"/>
    <w:rsid w:val="00F74CD9"/>
    <w:rsid w:val="00F75EEC"/>
    <w:rsid w:val="00F767C5"/>
    <w:rsid w:val="00F80A7B"/>
    <w:rsid w:val="00F80E5D"/>
    <w:rsid w:val="00F81E78"/>
    <w:rsid w:val="00F83916"/>
    <w:rsid w:val="00F84C52"/>
    <w:rsid w:val="00F851CE"/>
    <w:rsid w:val="00F85228"/>
    <w:rsid w:val="00F90249"/>
    <w:rsid w:val="00F91219"/>
    <w:rsid w:val="00F92444"/>
    <w:rsid w:val="00F9393E"/>
    <w:rsid w:val="00F9558B"/>
    <w:rsid w:val="00F95676"/>
    <w:rsid w:val="00F964BD"/>
    <w:rsid w:val="00F96FD0"/>
    <w:rsid w:val="00F97A78"/>
    <w:rsid w:val="00FA0B20"/>
    <w:rsid w:val="00FA2043"/>
    <w:rsid w:val="00FA24E7"/>
    <w:rsid w:val="00FA5EE6"/>
    <w:rsid w:val="00FA7956"/>
    <w:rsid w:val="00FB0824"/>
    <w:rsid w:val="00FB0C61"/>
    <w:rsid w:val="00FB27A7"/>
    <w:rsid w:val="00FB2FCB"/>
    <w:rsid w:val="00FB4C9C"/>
    <w:rsid w:val="00FB5646"/>
    <w:rsid w:val="00FB7C55"/>
    <w:rsid w:val="00FC1074"/>
    <w:rsid w:val="00FC1884"/>
    <w:rsid w:val="00FC2340"/>
    <w:rsid w:val="00FC36AE"/>
    <w:rsid w:val="00FC371D"/>
    <w:rsid w:val="00FC3C1E"/>
    <w:rsid w:val="00FC5F0B"/>
    <w:rsid w:val="00FC7079"/>
    <w:rsid w:val="00FC70D1"/>
    <w:rsid w:val="00FC7B3A"/>
    <w:rsid w:val="00FD2100"/>
    <w:rsid w:val="00FD26E3"/>
    <w:rsid w:val="00FD29BF"/>
    <w:rsid w:val="00FD3673"/>
    <w:rsid w:val="00FD436C"/>
    <w:rsid w:val="00FD446D"/>
    <w:rsid w:val="00FD4F2C"/>
    <w:rsid w:val="00FD6394"/>
    <w:rsid w:val="00FD6457"/>
    <w:rsid w:val="00FE0E6C"/>
    <w:rsid w:val="00FE1CDC"/>
    <w:rsid w:val="00FE4CE0"/>
    <w:rsid w:val="00FE70C3"/>
    <w:rsid w:val="00FF0F3E"/>
    <w:rsid w:val="00FF1A8B"/>
    <w:rsid w:val="00FF2815"/>
    <w:rsid w:val="00FF2AD9"/>
    <w:rsid w:val="00FF33E8"/>
    <w:rsid w:val="00FF359F"/>
    <w:rsid w:val="00FF3DCF"/>
    <w:rsid w:val="00FF492C"/>
    <w:rsid w:val="00FF4A21"/>
    <w:rsid w:val="00FF4C9C"/>
    <w:rsid w:val="00FF5AA3"/>
    <w:rsid w:val="00FF5AD8"/>
    <w:rsid w:val="00FF5B48"/>
    <w:rsid w:val="00FF78BF"/>
    <w:rsid w:val="00FF7F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 PHMR"/>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 PHMR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 Points,ES Paragraph,PBAC ES Paragraph,PBAC normal points,Bullet List,Figure_name,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Tabellengitternetz 9pt,Dossier tab"/>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8735D2"/>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8735D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1C16B3"/>
    <w:rPr>
      <w:rFonts w:cs="Times New Roman"/>
      <w:sz w:val="20"/>
      <w:szCs w:val="20"/>
      <w:lang w:eastAsia="en-GB"/>
    </w:rPr>
  </w:style>
  <w:style w:type="character" w:customStyle="1" w:styleId="FootnoteTextChar">
    <w:name w:val="Footnote Text Char"/>
    <w:basedOn w:val="DefaultParagraphFont"/>
    <w:link w:val="FootnoteText"/>
    <w:semiHidden/>
    <w:rsid w:val="001C16B3"/>
    <w:rPr>
      <w:rFonts w:ascii="Calibri" w:hAnsi="Calibri"/>
      <w:lang w:eastAsia="en-GB"/>
    </w:rPr>
  </w:style>
  <w:style w:type="character" w:styleId="FootnoteReference">
    <w:name w:val="footnote reference"/>
    <w:basedOn w:val="DefaultParagraphFont"/>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rsid w:val="00623222"/>
    <w:pPr>
      <w:spacing w:before="0" w:after="80"/>
    </w:pPr>
    <w:rPr>
      <w:rFonts w:eastAsiaTheme="minorHAnsi" w:cs="Arial"/>
      <w:b/>
    </w:rPr>
  </w:style>
  <w:style w:type="character" w:styleId="PlaceholderText">
    <w:name w:val="Placeholder Text"/>
    <w:basedOn w:val="DefaultParagraphFont"/>
    <w:uiPriority w:val="99"/>
    <w:semiHidden/>
    <w:rsid w:val="00B20B1E"/>
    <w:rPr>
      <w:color w:val="808080"/>
    </w:rPr>
  </w:style>
  <w:style w:type="character" w:styleId="UnresolvedMention">
    <w:name w:val="Unresolved Mention"/>
    <w:basedOn w:val="DefaultParagraphFont"/>
    <w:uiPriority w:val="99"/>
    <w:semiHidden/>
    <w:unhideWhenUsed/>
    <w:rsid w:val="00B27119"/>
    <w:rPr>
      <w:color w:val="605E5C"/>
      <w:shd w:val="clear" w:color="auto" w:fill="E1DFDD"/>
    </w:rPr>
  </w:style>
  <w:style w:type="numbering" w:customStyle="1" w:styleId="CurrentList1">
    <w:name w:val="Current List1"/>
    <w:uiPriority w:val="99"/>
    <w:rsid w:val="009F435C"/>
    <w:pPr>
      <w:numPr>
        <w:numId w:val="10"/>
      </w:numPr>
    </w:pPr>
  </w:style>
  <w:style w:type="paragraph" w:customStyle="1" w:styleId="Tabletext8pt">
    <w:name w:val="Table text 8pt"/>
    <w:basedOn w:val="Tabletext"/>
    <w:qFormat/>
    <w:rsid w:val="00B91FDB"/>
    <w:pPr>
      <w:keepNext/>
      <w:keepLines/>
      <w:spacing w:before="20" w:after="20"/>
    </w:pPr>
    <w:rPr>
      <w:rFonts w:ascii="Montserrat" w:eastAsia="Calibri" w:hAnsi="Montserrat" w:cs="Calibri"/>
      <w:snapToGrid/>
      <w:sz w:val="16"/>
      <w:szCs w:val="16"/>
      <w:lang w:eastAsia="en-US"/>
    </w:rPr>
  </w:style>
  <w:style w:type="paragraph" w:customStyle="1" w:styleId="TableFigureFooter">
    <w:name w:val="Table/Figure Footer"/>
    <w:basedOn w:val="Normal"/>
    <w:link w:val="TableFigureFooterChar"/>
    <w:qFormat/>
    <w:rsid w:val="00B91FDB"/>
    <w:pPr>
      <w:spacing w:after="120"/>
      <w:contextualSpacing/>
    </w:pPr>
    <w:rPr>
      <w:rFonts w:ascii="Arial Narrow" w:hAnsi="Arial Narrow" w:cs="Times New Roman"/>
      <w:snapToGrid w:val="0"/>
      <w:sz w:val="18"/>
      <w:szCs w:val="22"/>
      <w:lang w:eastAsia="en-GB"/>
    </w:rPr>
  </w:style>
  <w:style w:type="character" w:customStyle="1" w:styleId="TableFigureFooterChar">
    <w:name w:val="Table/Figure Footer Char"/>
    <w:link w:val="TableFigureFooter"/>
    <w:rsid w:val="00B91FDB"/>
    <w:rPr>
      <w:rFonts w:ascii="Arial Narrow" w:hAnsi="Arial Narrow"/>
      <w:snapToGrid w:val="0"/>
      <w:sz w:val="18"/>
      <w:szCs w:val="22"/>
      <w:lang w:eastAsia="en-GB"/>
    </w:rPr>
  </w:style>
  <w:style w:type="paragraph" w:customStyle="1" w:styleId="TableFigNotes18">
    <w:name w:val="TableFigNotes+18"/>
    <w:basedOn w:val="ListParagraph"/>
    <w:next w:val="BodyText"/>
    <w:link w:val="TableFigNotes18Char"/>
    <w:uiPriority w:val="4"/>
    <w:qFormat/>
    <w:rsid w:val="00B91FDB"/>
    <w:pPr>
      <w:numPr>
        <w:numId w:val="0"/>
      </w:numPr>
      <w:spacing w:before="60" w:after="360" w:line="276" w:lineRule="auto"/>
      <w:contextualSpacing/>
      <w:jc w:val="left"/>
    </w:pPr>
    <w:rPr>
      <w:rFonts w:ascii="Montserrat" w:eastAsia="Calibri" w:hAnsi="Montserrat" w:cs="Calibri"/>
      <w:snapToGrid/>
      <w:sz w:val="16"/>
      <w:szCs w:val="20"/>
      <w:lang w:eastAsia="en-US"/>
    </w:rPr>
  </w:style>
  <w:style w:type="character" w:customStyle="1" w:styleId="TableFigNotes18Char">
    <w:name w:val="TableFigNotes+18 Char"/>
    <w:basedOn w:val="DefaultParagraphFont"/>
    <w:link w:val="TableFigNotes18"/>
    <w:uiPriority w:val="4"/>
    <w:locked/>
    <w:rsid w:val="00B91FDB"/>
    <w:rPr>
      <w:rFonts w:ascii="Montserrat" w:eastAsia="Calibri" w:hAnsi="Montserrat" w:cs="Calibri"/>
      <w:sz w:val="16"/>
      <w:lang w:eastAsia="en-US"/>
    </w:rPr>
  </w:style>
  <w:style w:type="numbering" w:customStyle="1" w:styleId="CurrentList2">
    <w:name w:val="Current List2"/>
    <w:uiPriority w:val="99"/>
    <w:rsid w:val="003064BF"/>
    <w:pPr>
      <w:numPr>
        <w:numId w:val="15"/>
      </w:numPr>
    </w:pPr>
  </w:style>
  <w:style w:type="numbering" w:customStyle="1" w:styleId="CurrentList3">
    <w:name w:val="Current List3"/>
    <w:uiPriority w:val="99"/>
    <w:rsid w:val="00815F6A"/>
    <w:pPr>
      <w:numPr>
        <w:numId w:val="18"/>
      </w:numPr>
    </w:pPr>
  </w:style>
  <w:style w:type="numbering" w:customStyle="1" w:styleId="CurrentList4">
    <w:name w:val="Current List4"/>
    <w:uiPriority w:val="99"/>
    <w:rsid w:val="00A67CCF"/>
    <w:pPr>
      <w:numPr>
        <w:numId w:val="19"/>
      </w:numPr>
    </w:pPr>
  </w:style>
  <w:style w:type="numbering" w:customStyle="1" w:styleId="CurrentList5">
    <w:name w:val="Current List5"/>
    <w:uiPriority w:val="99"/>
    <w:rsid w:val="005C12B7"/>
    <w:pPr>
      <w:numPr>
        <w:numId w:val="20"/>
      </w:numPr>
    </w:pPr>
  </w:style>
  <w:style w:type="numbering" w:customStyle="1" w:styleId="CurrentList6">
    <w:name w:val="Current List6"/>
    <w:uiPriority w:val="99"/>
    <w:rsid w:val="005C12B7"/>
    <w:pPr>
      <w:numPr>
        <w:numId w:val="21"/>
      </w:numPr>
    </w:pPr>
  </w:style>
  <w:style w:type="numbering" w:customStyle="1" w:styleId="CurrentList7">
    <w:name w:val="Current List7"/>
    <w:uiPriority w:val="99"/>
    <w:rsid w:val="005C12B7"/>
    <w:pPr>
      <w:numPr>
        <w:numId w:val="22"/>
      </w:numPr>
    </w:pPr>
  </w:style>
  <w:style w:type="numbering" w:customStyle="1" w:styleId="CurrentList8">
    <w:name w:val="Current List8"/>
    <w:uiPriority w:val="99"/>
    <w:rsid w:val="005C12B7"/>
    <w:pPr>
      <w:numPr>
        <w:numId w:val="23"/>
      </w:numPr>
    </w:pPr>
  </w:style>
  <w:style w:type="numbering" w:customStyle="1" w:styleId="CurrentList9">
    <w:name w:val="Current List9"/>
    <w:uiPriority w:val="99"/>
    <w:rsid w:val="005C12B7"/>
    <w:pPr>
      <w:numPr>
        <w:numId w:val="24"/>
      </w:numPr>
    </w:pPr>
  </w:style>
  <w:style w:type="numbering" w:customStyle="1" w:styleId="CurrentList10">
    <w:name w:val="Current List10"/>
    <w:uiPriority w:val="99"/>
    <w:rsid w:val="00DE4536"/>
    <w:pPr>
      <w:numPr>
        <w:numId w:val="25"/>
      </w:numPr>
    </w:pPr>
  </w:style>
  <w:style w:type="character" w:customStyle="1" w:styleId="apple-converted-space">
    <w:name w:val="apple-converted-space"/>
    <w:basedOn w:val="DefaultParagraphFont"/>
    <w:rsid w:val="001044AE"/>
  </w:style>
  <w:style w:type="paragraph" w:customStyle="1" w:styleId="3-SubsectionHeading">
    <w:name w:val="3-Subsection Heading"/>
    <w:basedOn w:val="Heading2"/>
    <w:next w:val="Normal"/>
    <w:link w:val="3-SubsectionHeadingChar"/>
    <w:qFormat/>
    <w:rsid w:val="00D11FB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11FB5"/>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387877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7912387">
      <w:bodyDiv w:val="1"/>
      <w:marLeft w:val="0"/>
      <w:marRight w:val="0"/>
      <w:marTop w:val="0"/>
      <w:marBottom w:val="0"/>
      <w:divBdr>
        <w:top w:val="none" w:sz="0" w:space="0" w:color="auto"/>
        <w:left w:val="none" w:sz="0" w:space="0" w:color="auto"/>
        <w:bottom w:val="none" w:sz="0" w:space="0" w:color="auto"/>
        <w:right w:val="none" w:sz="0" w:space="0" w:color="auto"/>
      </w:divBdr>
      <w:divsChild>
        <w:div w:id="146360089">
          <w:marLeft w:val="547"/>
          <w:marRight w:val="0"/>
          <w:marTop w:val="200"/>
          <w:marBottom w:val="12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37296691">
      <w:bodyDiv w:val="1"/>
      <w:marLeft w:val="0"/>
      <w:marRight w:val="0"/>
      <w:marTop w:val="0"/>
      <w:marBottom w:val="0"/>
      <w:divBdr>
        <w:top w:val="none" w:sz="0" w:space="0" w:color="auto"/>
        <w:left w:val="none" w:sz="0" w:space="0" w:color="auto"/>
        <w:bottom w:val="none" w:sz="0" w:space="0" w:color="auto"/>
        <w:right w:val="none" w:sz="0" w:space="0" w:color="auto"/>
      </w:divBdr>
      <w:divsChild>
        <w:div w:id="552351853">
          <w:marLeft w:val="0"/>
          <w:marRight w:val="0"/>
          <w:marTop w:val="0"/>
          <w:marBottom w:val="0"/>
          <w:divBdr>
            <w:top w:val="none" w:sz="0" w:space="0" w:color="auto"/>
            <w:left w:val="none" w:sz="0" w:space="0" w:color="auto"/>
            <w:bottom w:val="none" w:sz="0" w:space="0" w:color="auto"/>
            <w:right w:val="none" w:sz="0" w:space="0" w:color="auto"/>
          </w:divBdr>
          <w:divsChild>
            <w:div w:id="1550022959">
              <w:marLeft w:val="0"/>
              <w:marRight w:val="0"/>
              <w:marTop w:val="0"/>
              <w:marBottom w:val="0"/>
              <w:divBdr>
                <w:top w:val="none" w:sz="0" w:space="0" w:color="auto"/>
                <w:left w:val="none" w:sz="0" w:space="0" w:color="auto"/>
                <w:bottom w:val="none" w:sz="0" w:space="0" w:color="auto"/>
                <w:right w:val="none" w:sz="0" w:space="0" w:color="auto"/>
              </w:divBdr>
              <w:divsChild>
                <w:div w:id="2136563311">
                  <w:marLeft w:val="0"/>
                  <w:marRight w:val="0"/>
                  <w:marTop w:val="0"/>
                  <w:marBottom w:val="0"/>
                  <w:divBdr>
                    <w:top w:val="none" w:sz="0" w:space="0" w:color="auto"/>
                    <w:left w:val="none" w:sz="0" w:space="0" w:color="auto"/>
                    <w:bottom w:val="none" w:sz="0" w:space="0" w:color="auto"/>
                    <w:right w:val="none" w:sz="0" w:space="0" w:color="auto"/>
                  </w:divBdr>
                  <w:divsChild>
                    <w:div w:id="9249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1088870">
      <w:bodyDiv w:val="1"/>
      <w:marLeft w:val="0"/>
      <w:marRight w:val="0"/>
      <w:marTop w:val="0"/>
      <w:marBottom w:val="0"/>
      <w:divBdr>
        <w:top w:val="none" w:sz="0" w:space="0" w:color="auto"/>
        <w:left w:val="none" w:sz="0" w:space="0" w:color="auto"/>
        <w:bottom w:val="none" w:sz="0" w:space="0" w:color="auto"/>
        <w:right w:val="none" w:sz="0" w:space="0" w:color="auto"/>
      </w:divBdr>
      <w:divsChild>
        <w:div w:id="143746380">
          <w:marLeft w:val="0"/>
          <w:marRight w:val="0"/>
          <w:marTop w:val="0"/>
          <w:marBottom w:val="0"/>
          <w:divBdr>
            <w:top w:val="none" w:sz="0" w:space="0" w:color="auto"/>
            <w:left w:val="none" w:sz="0" w:space="0" w:color="auto"/>
            <w:bottom w:val="none" w:sz="0" w:space="0" w:color="auto"/>
            <w:right w:val="none" w:sz="0" w:space="0" w:color="auto"/>
          </w:divBdr>
          <w:divsChild>
            <w:div w:id="1340736185">
              <w:marLeft w:val="0"/>
              <w:marRight w:val="0"/>
              <w:marTop w:val="0"/>
              <w:marBottom w:val="0"/>
              <w:divBdr>
                <w:top w:val="none" w:sz="0" w:space="0" w:color="auto"/>
                <w:left w:val="none" w:sz="0" w:space="0" w:color="auto"/>
                <w:bottom w:val="none" w:sz="0" w:space="0" w:color="auto"/>
                <w:right w:val="none" w:sz="0" w:space="0" w:color="auto"/>
              </w:divBdr>
              <w:divsChild>
                <w:div w:id="3410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4305">
      <w:bodyDiv w:val="1"/>
      <w:marLeft w:val="0"/>
      <w:marRight w:val="0"/>
      <w:marTop w:val="0"/>
      <w:marBottom w:val="0"/>
      <w:divBdr>
        <w:top w:val="none" w:sz="0" w:space="0" w:color="auto"/>
        <w:left w:val="none" w:sz="0" w:space="0" w:color="auto"/>
        <w:bottom w:val="none" w:sz="0" w:space="0" w:color="auto"/>
        <w:right w:val="none" w:sz="0" w:space="0" w:color="auto"/>
      </w:divBdr>
      <w:divsChild>
        <w:div w:id="932936494">
          <w:marLeft w:val="0"/>
          <w:marRight w:val="0"/>
          <w:marTop w:val="0"/>
          <w:marBottom w:val="0"/>
          <w:divBdr>
            <w:top w:val="none" w:sz="0" w:space="0" w:color="auto"/>
            <w:left w:val="none" w:sz="0" w:space="0" w:color="auto"/>
            <w:bottom w:val="none" w:sz="0" w:space="0" w:color="auto"/>
            <w:right w:val="none" w:sz="0" w:space="0" w:color="auto"/>
          </w:divBdr>
          <w:divsChild>
            <w:div w:id="1803310151">
              <w:marLeft w:val="0"/>
              <w:marRight w:val="0"/>
              <w:marTop w:val="0"/>
              <w:marBottom w:val="0"/>
              <w:divBdr>
                <w:top w:val="none" w:sz="0" w:space="0" w:color="auto"/>
                <w:left w:val="none" w:sz="0" w:space="0" w:color="auto"/>
                <w:bottom w:val="none" w:sz="0" w:space="0" w:color="auto"/>
                <w:right w:val="none" w:sz="0" w:space="0" w:color="auto"/>
              </w:divBdr>
              <w:divsChild>
                <w:div w:id="8156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3855">
      <w:bodyDiv w:val="1"/>
      <w:marLeft w:val="0"/>
      <w:marRight w:val="0"/>
      <w:marTop w:val="0"/>
      <w:marBottom w:val="0"/>
      <w:divBdr>
        <w:top w:val="none" w:sz="0" w:space="0" w:color="auto"/>
        <w:left w:val="none" w:sz="0" w:space="0" w:color="auto"/>
        <w:bottom w:val="none" w:sz="0" w:space="0" w:color="auto"/>
        <w:right w:val="none" w:sz="0" w:space="0" w:color="auto"/>
      </w:divBdr>
      <w:divsChild>
        <w:div w:id="253514417">
          <w:marLeft w:val="1080"/>
          <w:marRight w:val="0"/>
          <w:marTop w:val="100"/>
          <w:marBottom w:val="0"/>
          <w:divBdr>
            <w:top w:val="none" w:sz="0" w:space="0" w:color="auto"/>
            <w:left w:val="none" w:sz="0" w:space="0" w:color="auto"/>
            <w:bottom w:val="none" w:sz="0" w:space="0" w:color="auto"/>
            <w:right w:val="none" w:sz="0" w:space="0" w:color="auto"/>
          </w:divBdr>
        </w:div>
      </w:divsChild>
    </w:div>
    <w:div w:id="1698656682">
      <w:bodyDiv w:val="1"/>
      <w:marLeft w:val="0"/>
      <w:marRight w:val="0"/>
      <w:marTop w:val="0"/>
      <w:marBottom w:val="0"/>
      <w:divBdr>
        <w:top w:val="none" w:sz="0" w:space="0" w:color="auto"/>
        <w:left w:val="none" w:sz="0" w:space="0" w:color="auto"/>
        <w:bottom w:val="none" w:sz="0" w:space="0" w:color="auto"/>
        <w:right w:val="none" w:sz="0" w:space="0" w:color="auto"/>
      </w:divBdr>
      <w:divsChild>
        <w:div w:id="367222480">
          <w:marLeft w:val="547"/>
          <w:marRight w:val="0"/>
          <w:marTop w:val="200"/>
          <w:marBottom w:val="12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study/NCT0292706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inicaltrials.gov/study/NCT02927067"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ema.europa.eu/en/documents/product-information/livtencity-epar-product-information_en.pdf" TargetMode="External"/><Relationship Id="rId1" Type="http://schemas.openxmlformats.org/officeDocument/2006/relationships/hyperlink" Target="https://www.accessdata.fda.gov/drugsatfda_docs/label/2021/215596lb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15429</Words>
  <Characters>83308</Characters>
  <Application>Microsoft Office Word</Application>
  <DocSecurity>0</DocSecurity>
  <Lines>694</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98540</CharactersWithSpaces>
  <SharedDoc>false</SharedDoc>
  <HLinks>
    <vt:vector size="24" baseType="variant">
      <vt:variant>
        <vt:i4>983049</vt:i4>
      </vt:variant>
      <vt:variant>
        <vt:i4>78</vt:i4>
      </vt:variant>
      <vt:variant>
        <vt:i4>0</vt:i4>
      </vt:variant>
      <vt:variant>
        <vt:i4>5</vt:i4>
      </vt:variant>
      <vt:variant>
        <vt:lpwstr>https://clinicaltrials.gov/study/NCT02927067</vt:lpwstr>
      </vt:variant>
      <vt:variant>
        <vt:lpwstr/>
      </vt:variant>
      <vt:variant>
        <vt:i4>983049</vt:i4>
      </vt:variant>
      <vt:variant>
        <vt:i4>36</vt:i4>
      </vt:variant>
      <vt:variant>
        <vt:i4>0</vt:i4>
      </vt:variant>
      <vt:variant>
        <vt:i4>5</vt:i4>
      </vt:variant>
      <vt:variant>
        <vt:lpwstr>https://clinicaltrials.gov/study/NCT02927067</vt:lpwstr>
      </vt:variant>
      <vt:variant>
        <vt:lpwstr/>
      </vt:variant>
      <vt:variant>
        <vt:i4>4915250</vt:i4>
      </vt:variant>
      <vt:variant>
        <vt:i4>3</vt:i4>
      </vt:variant>
      <vt:variant>
        <vt:i4>0</vt:i4>
      </vt:variant>
      <vt:variant>
        <vt:i4>5</vt:i4>
      </vt:variant>
      <vt:variant>
        <vt:lpwstr>https://www.ema.europa.eu/en/documents/product-information/livtencity-epar-product-information_en.pdf</vt:lpwstr>
      </vt:variant>
      <vt:variant>
        <vt:lpwstr/>
      </vt:variant>
      <vt:variant>
        <vt:i4>5046330</vt:i4>
      </vt:variant>
      <vt:variant>
        <vt:i4>0</vt:i4>
      </vt:variant>
      <vt:variant>
        <vt:i4>0</vt:i4>
      </vt:variant>
      <vt:variant>
        <vt:i4>5</vt:i4>
      </vt:variant>
      <vt:variant>
        <vt:lpwstr>https://www.accessdata.fda.gov/drugsatfda_docs/label/2021/215596lbl.pdf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2024-03-03T22:27:00Z</dcterms:created>
  <dcterms:modified xsi:type="dcterms:W3CDTF">2024-03-03T22:27:00Z</dcterms:modified>
</cp:coreProperties>
</file>