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5FC1E" w14:textId="128B3B70" w:rsidR="00B30B8C" w:rsidRPr="007C65D7" w:rsidRDefault="00B30B8C" w:rsidP="002D2C0B">
      <w:pPr>
        <w:pStyle w:val="1-MainHeading"/>
        <w:spacing w:after="0"/>
        <w:ind w:left="851" w:hanging="851"/>
      </w:pPr>
      <w:r w:rsidRPr="007C65D7">
        <w:t>7</w:t>
      </w:r>
      <w:r w:rsidR="7C73E7A8" w:rsidRPr="007C65D7">
        <w:t>.</w:t>
      </w:r>
      <w:r w:rsidRPr="007C65D7">
        <w:t>09</w:t>
      </w:r>
      <w:r w:rsidR="000B7767" w:rsidRPr="007C65D7">
        <w:tab/>
      </w:r>
      <w:r w:rsidRPr="007C65D7">
        <w:t>MAVACAMTE</w:t>
      </w:r>
      <w:r w:rsidR="00D7124E" w:rsidRPr="007C65D7">
        <w:t>N,</w:t>
      </w:r>
      <w:r w:rsidR="00D7124E" w:rsidRPr="007C65D7">
        <w:br/>
      </w:r>
      <w:bookmarkStart w:id="0" w:name="_Toc135223315"/>
      <w:r w:rsidRPr="007C65D7">
        <w:t xml:space="preserve">Capsule 2.5 mg, </w:t>
      </w:r>
      <w:r w:rsidR="002D2C0B">
        <w:br/>
      </w:r>
      <w:r w:rsidRPr="007C65D7">
        <w:t xml:space="preserve">Capsule 5 mg, </w:t>
      </w:r>
      <w:r w:rsidR="002D2C0B">
        <w:br/>
      </w:r>
      <w:r w:rsidRPr="007C65D7">
        <w:t>Capsule 10 mg,</w:t>
      </w:r>
      <w:r w:rsidR="00D7124E" w:rsidRPr="007C65D7">
        <w:br/>
      </w:r>
      <w:r w:rsidRPr="007C65D7">
        <w:t>Capsule 15 mg,</w:t>
      </w:r>
      <w:r w:rsidR="00D7124E" w:rsidRPr="007C65D7">
        <w:br/>
      </w:r>
      <w:r w:rsidRPr="007C65D7">
        <w:t>Camzyos</w:t>
      </w:r>
      <w:r w:rsidRPr="007C65D7">
        <w:rPr>
          <w:vertAlign w:val="superscript"/>
        </w:rPr>
        <w:t>®</w:t>
      </w:r>
      <w:r w:rsidRPr="007C65D7">
        <w:t>,</w:t>
      </w:r>
      <w:bookmarkEnd w:id="0"/>
      <w:r w:rsidRPr="007C65D7">
        <w:t xml:space="preserve"> </w:t>
      </w:r>
      <w:r w:rsidR="00D7124E" w:rsidRPr="007C65D7">
        <w:br/>
      </w:r>
      <w:bookmarkStart w:id="1" w:name="_Toc135223316"/>
      <w:r w:rsidRPr="007C65D7">
        <w:t>Bristol Myers Squibb Australia Pty Ltd</w:t>
      </w:r>
      <w:bookmarkEnd w:id="1"/>
      <w:r w:rsidRPr="007C65D7">
        <w:t xml:space="preserve"> </w:t>
      </w:r>
    </w:p>
    <w:p w14:paraId="1DE8D195" w14:textId="633AD11C" w:rsidR="003F044F" w:rsidRPr="007C65D7" w:rsidRDefault="009C5B72" w:rsidP="00DD59D8">
      <w:pPr>
        <w:pStyle w:val="2-SectionHeading"/>
        <w:numPr>
          <w:ilvl w:val="0"/>
          <w:numId w:val="2"/>
        </w:numPr>
        <w:rPr>
          <w:rFonts w:eastAsia="Calibri"/>
        </w:rPr>
      </w:pPr>
      <w:r w:rsidRPr="007C65D7">
        <w:t>Purpose</w:t>
      </w:r>
    </w:p>
    <w:p w14:paraId="055F1FC8" w14:textId="308AEFD1" w:rsidR="00F81F7A" w:rsidRPr="007C65D7" w:rsidRDefault="00F81F7A" w:rsidP="006C5B33">
      <w:pPr>
        <w:pStyle w:val="3-BodyText"/>
      </w:pPr>
      <w:r w:rsidRPr="007C65D7">
        <w:t xml:space="preserve">The </w:t>
      </w:r>
      <w:r w:rsidR="009D55E2" w:rsidRPr="007C65D7">
        <w:t>early re-entry re</w:t>
      </w:r>
      <w:r w:rsidRPr="007C65D7">
        <w:t xml:space="preserve">submission </w:t>
      </w:r>
      <w:r w:rsidR="0054059D" w:rsidRPr="007C65D7">
        <w:t>requested a General Schedule Authority Required listing for mavacamten</w:t>
      </w:r>
      <w:r w:rsidR="0054059D" w:rsidRPr="007C65D7">
        <w:rPr>
          <w:rFonts w:cstheme="minorHAnsi"/>
        </w:rPr>
        <w:t xml:space="preserve"> </w:t>
      </w:r>
      <w:r w:rsidR="0054059D" w:rsidRPr="007C65D7">
        <w:t xml:space="preserve">for the treatment of adults with symptomatic obstructive </w:t>
      </w:r>
      <w:bookmarkStart w:id="2" w:name="_Hlk150429563"/>
      <w:r w:rsidR="0054059D" w:rsidRPr="007C65D7">
        <w:t xml:space="preserve">hypertrophic cardiomyopathy </w:t>
      </w:r>
      <w:bookmarkEnd w:id="2"/>
      <w:r w:rsidR="0054059D" w:rsidRPr="007C65D7">
        <w:t>(HCM)</w:t>
      </w:r>
      <w:r w:rsidR="002C633F" w:rsidRPr="007C65D7">
        <w:t>.</w:t>
      </w:r>
    </w:p>
    <w:p w14:paraId="4534CFED" w14:textId="21AC36E1" w:rsidR="000B5F53" w:rsidRPr="007C65D7" w:rsidRDefault="6657D135" w:rsidP="000B5F53">
      <w:pPr>
        <w:pStyle w:val="3-BodyText"/>
        <w:rPr>
          <w:rStyle w:val="CommentReference"/>
          <w:rFonts w:asciiTheme="minorHAnsi" w:eastAsiaTheme="minorEastAsia" w:hAnsiTheme="minorHAnsi"/>
          <w:b w:val="0"/>
          <w:color w:val="1F497D" w:themeColor="text2"/>
          <w:sz w:val="24"/>
          <w:szCs w:val="22"/>
        </w:rPr>
      </w:pPr>
      <w:r w:rsidRPr="007C65D7">
        <w:t>Th</w:t>
      </w:r>
      <w:r w:rsidR="00A46BD1" w:rsidRPr="007C65D7">
        <w:t>is</w:t>
      </w:r>
      <w:r w:rsidRPr="007C65D7">
        <w:t xml:space="preserve"> </w:t>
      </w:r>
      <w:r w:rsidR="009D55E2" w:rsidRPr="007C65D7">
        <w:t>re</w:t>
      </w:r>
      <w:r w:rsidRPr="007C65D7">
        <w:t xml:space="preserve">submission was based on </w:t>
      </w:r>
      <w:r w:rsidR="009D55E2" w:rsidRPr="007C65D7">
        <w:t xml:space="preserve">the PBAC decision </w:t>
      </w:r>
      <w:r w:rsidR="00DF4821" w:rsidRPr="007C65D7">
        <w:t xml:space="preserve">to not recommend </w:t>
      </w:r>
      <w:r w:rsidR="0054059D" w:rsidRPr="007C65D7">
        <w:t>mavacamten</w:t>
      </w:r>
      <w:r w:rsidR="00DF4821" w:rsidRPr="007C65D7">
        <w:t xml:space="preserve"> for this indication </w:t>
      </w:r>
      <w:r w:rsidR="009D55E2" w:rsidRPr="007C65D7">
        <w:t xml:space="preserve">from </w:t>
      </w:r>
      <w:r w:rsidR="0054059D" w:rsidRPr="007C65D7">
        <w:t>July 2023</w:t>
      </w:r>
      <w:r w:rsidRPr="007C65D7">
        <w:t xml:space="preserve">. </w:t>
      </w:r>
      <w:r w:rsidR="00A46BD1" w:rsidRPr="007C65D7">
        <w:t xml:space="preserve">The PBAC had </w:t>
      </w:r>
      <w:r w:rsidR="00755AB0" w:rsidRPr="007C65D7">
        <w:t xml:space="preserve">also </w:t>
      </w:r>
      <w:r w:rsidR="00A46BD1" w:rsidRPr="007C65D7">
        <w:t xml:space="preserve">previously decided not to recommend mavacamten for this indication in November 2022. </w:t>
      </w:r>
      <w:r w:rsidRPr="007C65D7">
        <w:rPr>
          <w:snapToGrid w:val="0"/>
        </w:rPr>
        <w:t xml:space="preserve">This </w:t>
      </w:r>
      <w:r w:rsidR="00A46BD1" w:rsidRPr="007C65D7">
        <w:rPr>
          <w:snapToGrid w:val="0"/>
        </w:rPr>
        <w:t xml:space="preserve">current </w:t>
      </w:r>
      <w:r w:rsidR="009D55E2" w:rsidRPr="007C65D7">
        <w:rPr>
          <w:snapToGrid w:val="0"/>
        </w:rPr>
        <w:t xml:space="preserve">resubmission addressed </w:t>
      </w:r>
      <w:r w:rsidR="00755AB0" w:rsidRPr="007C65D7">
        <w:rPr>
          <w:snapToGrid w:val="0"/>
        </w:rPr>
        <w:t xml:space="preserve">all but one of </w:t>
      </w:r>
      <w:r w:rsidR="009D55E2" w:rsidRPr="007C65D7">
        <w:rPr>
          <w:snapToGrid w:val="0"/>
        </w:rPr>
        <w:t xml:space="preserve">the </w:t>
      </w:r>
      <w:r w:rsidRPr="007C65D7">
        <w:rPr>
          <w:snapToGrid w:val="0"/>
        </w:rPr>
        <w:t>is</w:t>
      </w:r>
      <w:r w:rsidR="009D55E2" w:rsidRPr="007C65D7">
        <w:rPr>
          <w:snapToGrid w:val="0"/>
        </w:rPr>
        <w:t>sues raised</w:t>
      </w:r>
      <w:r w:rsidRPr="007C65D7">
        <w:rPr>
          <w:snapToGrid w:val="0"/>
        </w:rPr>
        <w:t xml:space="preserve"> </w:t>
      </w:r>
      <w:r w:rsidR="009D55E2" w:rsidRPr="007C65D7">
        <w:rPr>
          <w:snapToGrid w:val="0"/>
        </w:rPr>
        <w:t>by PBAC</w:t>
      </w:r>
      <w:r w:rsidR="00A46BD1" w:rsidRPr="007C65D7">
        <w:rPr>
          <w:snapToGrid w:val="0"/>
        </w:rPr>
        <w:t xml:space="preserve"> in July 2023</w:t>
      </w:r>
      <w:r w:rsidR="009B750F" w:rsidRPr="007C65D7">
        <w:rPr>
          <w:snapToGrid w:val="0"/>
        </w:rPr>
        <w:t>;</w:t>
      </w:r>
      <w:r w:rsidR="009D55E2" w:rsidRPr="007C65D7">
        <w:rPr>
          <w:snapToGrid w:val="0"/>
        </w:rPr>
        <w:t xml:space="preserve"> </w:t>
      </w:r>
      <w:r w:rsidR="009B750F" w:rsidRPr="007C65D7">
        <w:rPr>
          <w:rFonts w:cstheme="minorHAnsi"/>
          <w:snapToGrid w:val="0"/>
          <w:szCs w:val="24"/>
        </w:rPr>
        <w:t>see</w:t>
      </w:r>
      <w:r w:rsidR="009B750F" w:rsidRPr="007C65D7">
        <w:rPr>
          <w:rFonts w:cstheme="minorHAnsi"/>
          <w:b/>
          <w:bCs/>
          <w:snapToGrid w:val="0"/>
          <w:szCs w:val="24"/>
        </w:rPr>
        <w:t xml:space="preserve"> </w:t>
      </w:r>
      <w:r w:rsidR="00585EF8" w:rsidRPr="007C65D7">
        <w:rPr>
          <w:rFonts w:cstheme="minorHAnsi"/>
          <w:b/>
          <w:bCs/>
          <w:snapToGrid w:val="0"/>
          <w:szCs w:val="24"/>
        </w:rPr>
        <w:fldChar w:fldCharType="begin" w:fldLock="1"/>
      </w:r>
      <w:r w:rsidR="00585EF8" w:rsidRPr="007C65D7">
        <w:rPr>
          <w:rFonts w:cstheme="minorHAnsi"/>
          <w:b/>
          <w:bCs/>
          <w:snapToGrid w:val="0"/>
          <w:szCs w:val="24"/>
        </w:rPr>
        <w:instrText xml:space="preserve"> REF _Ref147748939 \h  \* MERGEFORMAT </w:instrText>
      </w:r>
      <w:r w:rsidR="00585EF8" w:rsidRPr="007C65D7">
        <w:rPr>
          <w:rFonts w:cstheme="minorHAnsi"/>
          <w:b/>
          <w:bCs/>
          <w:snapToGrid w:val="0"/>
          <w:szCs w:val="24"/>
        </w:rPr>
      </w:r>
      <w:r w:rsidR="00585EF8" w:rsidRPr="007C65D7">
        <w:rPr>
          <w:rFonts w:cstheme="minorHAnsi"/>
          <w:b/>
          <w:bCs/>
          <w:snapToGrid w:val="0"/>
          <w:szCs w:val="24"/>
        </w:rPr>
        <w:fldChar w:fldCharType="separate"/>
      </w:r>
      <w:r w:rsidR="00707345" w:rsidRPr="007C65D7">
        <w:rPr>
          <w:rStyle w:val="CommentReference"/>
          <w:rFonts w:asciiTheme="minorHAnsi" w:hAnsiTheme="minorHAnsi" w:cstheme="minorHAnsi"/>
          <w:b w:val="0"/>
          <w:bCs/>
          <w:sz w:val="24"/>
          <w:szCs w:val="24"/>
        </w:rPr>
        <w:t xml:space="preserve">Table </w:t>
      </w:r>
      <w:r w:rsidR="00707345" w:rsidRPr="00582245">
        <w:rPr>
          <w:rStyle w:val="CommentReference"/>
          <w:rFonts w:asciiTheme="minorHAnsi" w:hAnsiTheme="minorHAnsi" w:cstheme="minorHAnsi"/>
          <w:b w:val="0"/>
          <w:bCs/>
          <w:sz w:val="24"/>
          <w:szCs w:val="24"/>
        </w:rPr>
        <w:t>1</w:t>
      </w:r>
      <w:r w:rsidR="00585EF8" w:rsidRPr="007C65D7">
        <w:rPr>
          <w:rFonts w:cstheme="minorHAnsi"/>
          <w:b/>
          <w:bCs/>
          <w:snapToGrid w:val="0"/>
          <w:szCs w:val="24"/>
        </w:rPr>
        <w:fldChar w:fldCharType="end"/>
      </w:r>
      <w:r w:rsidR="00585EF8" w:rsidRPr="007C65D7">
        <w:rPr>
          <w:rFonts w:cstheme="minorHAnsi"/>
          <w:b/>
          <w:bCs/>
          <w:snapToGrid w:val="0"/>
          <w:szCs w:val="24"/>
        </w:rPr>
        <w:t xml:space="preserve"> </w:t>
      </w:r>
      <w:r w:rsidR="009D55E2" w:rsidRPr="007C65D7">
        <w:rPr>
          <w:rFonts w:cstheme="minorHAnsi"/>
          <w:snapToGrid w:val="0"/>
          <w:szCs w:val="24"/>
        </w:rPr>
        <w:t>below.</w:t>
      </w:r>
      <w:r w:rsidR="00D34011" w:rsidRPr="007C65D7">
        <w:rPr>
          <w:snapToGrid w:val="0"/>
        </w:rPr>
        <w:t xml:space="preserve"> </w:t>
      </w:r>
      <w:bookmarkStart w:id="3" w:name="_Ref147741313"/>
    </w:p>
    <w:p w14:paraId="13DC54C9" w14:textId="70E77D2B" w:rsidR="009D55E2" w:rsidRPr="007C65D7" w:rsidRDefault="009D55E2" w:rsidP="00C724E2">
      <w:pPr>
        <w:pStyle w:val="Caption"/>
        <w:keepNext/>
        <w:widowControl w:val="0"/>
        <w:spacing w:after="0"/>
        <w:rPr>
          <w:rStyle w:val="CommentReference"/>
          <w:i w:val="0"/>
          <w:iCs w:val="0"/>
        </w:rPr>
      </w:pPr>
      <w:bookmarkStart w:id="4" w:name="_Ref147748939"/>
      <w:r w:rsidRPr="007C65D7">
        <w:rPr>
          <w:rStyle w:val="CommentReference"/>
          <w:i w:val="0"/>
          <w:iCs w:val="0"/>
        </w:rPr>
        <w:t xml:space="preserve">Table </w:t>
      </w:r>
      <w:r w:rsidR="00C95E12" w:rsidRPr="007C65D7">
        <w:rPr>
          <w:rStyle w:val="CommentReference"/>
          <w:i w:val="0"/>
          <w:iCs w:val="0"/>
        </w:rPr>
        <w:fldChar w:fldCharType="begin" w:fldLock="1"/>
      </w:r>
      <w:r w:rsidR="00C95E12" w:rsidRPr="007C65D7">
        <w:rPr>
          <w:rStyle w:val="CommentReference"/>
          <w:i w:val="0"/>
          <w:iCs w:val="0"/>
        </w:rPr>
        <w:instrText xml:space="preserve"> SEQ Table \* ARABIC </w:instrText>
      </w:r>
      <w:r w:rsidR="00C95E12" w:rsidRPr="007C65D7">
        <w:rPr>
          <w:rStyle w:val="CommentReference"/>
          <w:i w:val="0"/>
          <w:iCs w:val="0"/>
        </w:rPr>
        <w:fldChar w:fldCharType="separate"/>
      </w:r>
      <w:r w:rsidR="00707345" w:rsidRPr="00582245">
        <w:rPr>
          <w:rStyle w:val="CommentReference"/>
          <w:i w:val="0"/>
          <w:iCs w:val="0"/>
        </w:rPr>
        <w:t>1</w:t>
      </w:r>
      <w:r w:rsidR="00C95E12" w:rsidRPr="007C65D7">
        <w:rPr>
          <w:rStyle w:val="CommentReference"/>
          <w:i w:val="0"/>
          <w:iCs w:val="0"/>
        </w:rPr>
        <w:fldChar w:fldCharType="end"/>
      </w:r>
      <w:bookmarkEnd w:id="3"/>
      <w:bookmarkEnd w:id="4"/>
      <w:r w:rsidR="007945C0" w:rsidRPr="007C65D7">
        <w:rPr>
          <w:rStyle w:val="CommentReference"/>
          <w:i w:val="0"/>
          <w:iCs w:val="0"/>
        </w:rPr>
        <w:t>:</w:t>
      </w:r>
      <w:r w:rsidRPr="007C65D7">
        <w:rPr>
          <w:rStyle w:val="CommentReference"/>
          <w:i w:val="0"/>
          <w:iCs w:val="0"/>
        </w:rPr>
        <w:t xml:space="preserve"> Summary of key matters to be addressed</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Table 1: Summary of key matters to be addressed"/>
        <w:tblDescription w:val="Table 1: Summary of key matters to be addressed"/>
      </w:tblPr>
      <w:tblGrid>
        <w:gridCol w:w="3822"/>
        <w:gridCol w:w="4008"/>
        <w:gridCol w:w="1164"/>
      </w:tblGrid>
      <w:tr w:rsidR="002C633F" w:rsidRPr="007C65D7" w14:paraId="5D2DC7BB" w14:textId="77777777" w:rsidTr="00C724E2">
        <w:trPr>
          <w:cantSplit/>
          <w:tblHeader/>
        </w:trPr>
        <w:tc>
          <w:tcPr>
            <w:tcW w:w="2125" w:type="pct"/>
            <w:tcBorders>
              <w:bottom w:val="single" w:sz="4" w:space="0" w:color="auto"/>
            </w:tcBorders>
          </w:tcPr>
          <w:p w14:paraId="47875CEE" w14:textId="64F5C99E" w:rsidR="00D34011" w:rsidRPr="00582245" w:rsidRDefault="00D34011" w:rsidP="00C724E2">
            <w:pPr>
              <w:pStyle w:val="In-tableHeading"/>
              <w:keepNext w:val="0"/>
              <w:rPr>
                <w:szCs w:val="20"/>
                <w:lang w:val="en-AU"/>
              </w:rPr>
            </w:pPr>
            <w:r w:rsidRPr="00582245">
              <w:rPr>
                <w:szCs w:val="20"/>
                <w:lang w:val="en-AU"/>
              </w:rPr>
              <w:t>Matter of concern</w:t>
            </w:r>
            <w:r w:rsidR="008F0E17" w:rsidRPr="00582245">
              <w:rPr>
                <w:szCs w:val="20"/>
                <w:lang w:val="en-AU"/>
              </w:rPr>
              <w:t xml:space="preserve"> (July 2023 PSD)</w:t>
            </w:r>
          </w:p>
        </w:tc>
        <w:tc>
          <w:tcPr>
            <w:tcW w:w="2228" w:type="pct"/>
            <w:tcBorders>
              <w:bottom w:val="single" w:sz="4" w:space="0" w:color="auto"/>
            </w:tcBorders>
          </w:tcPr>
          <w:p w14:paraId="2F0501E9" w14:textId="41F16558" w:rsidR="00D34011" w:rsidRPr="00582245" w:rsidRDefault="00D34011" w:rsidP="00C724E2">
            <w:pPr>
              <w:pStyle w:val="In-tableHeading"/>
              <w:keepNext w:val="0"/>
              <w:rPr>
                <w:szCs w:val="20"/>
                <w:lang w:val="en-AU"/>
              </w:rPr>
            </w:pPr>
            <w:r w:rsidRPr="00582245">
              <w:rPr>
                <w:szCs w:val="20"/>
                <w:lang w:val="en-AU"/>
              </w:rPr>
              <w:t>Response</w:t>
            </w:r>
          </w:p>
        </w:tc>
        <w:tc>
          <w:tcPr>
            <w:tcW w:w="647" w:type="pct"/>
            <w:tcBorders>
              <w:bottom w:val="single" w:sz="4" w:space="0" w:color="auto"/>
            </w:tcBorders>
          </w:tcPr>
          <w:p w14:paraId="06AD57D9" w14:textId="20B07578" w:rsidR="00D34011" w:rsidRPr="00582245" w:rsidRDefault="00D34011" w:rsidP="00C724E2">
            <w:pPr>
              <w:pStyle w:val="In-tableHeading"/>
              <w:keepNext w:val="0"/>
              <w:rPr>
                <w:szCs w:val="20"/>
                <w:lang w:val="en-AU"/>
              </w:rPr>
            </w:pPr>
            <w:r w:rsidRPr="00582245">
              <w:rPr>
                <w:szCs w:val="20"/>
                <w:lang w:val="en-AU"/>
              </w:rPr>
              <w:t>Addressed?</w:t>
            </w:r>
          </w:p>
        </w:tc>
      </w:tr>
      <w:tr w:rsidR="002C633F" w:rsidRPr="007C65D7" w14:paraId="41739F84" w14:textId="77777777" w:rsidTr="003A0ECE">
        <w:trPr>
          <w:cantSplit/>
        </w:trPr>
        <w:tc>
          <w:tcPr>
            <w:tcW w:w="2125" w:type="pct"/>
            <w:tcBorders>
              <w:bottom w:val="single" w:sz="4" w:space="0" w:color="auto"/>
            </w:tcBorders>
          </w:tcPr>
          <w:p w14:paraId="6B3446A2" w14:textId="370DD614" w:rsidR="008B2802" w:rsidRPr="007C65D7" w:rsidRDefault="004E5A36" w:rsidP="00E46633">
            <w:pPr>
              <w:pStyle w:val="TableText"/>
              <w:keepNext w:val="0"/>
              <w:widowControl w:val="0"/>
              <w:rPr>
                <w:szCs w:val="20"/>
              </w:rPr>
            </w:pPr>
            <w:r w:rsidRPr="007C65D7">
              <w:rPr>
                <w:szCs w:val="20"/>
              </w:rPr>
              <w:t>R</w:t>
            </w:r>
            <w:r w:rsidR="008B2802" w:rsidRPr="007C65D7">
              <w:rPr>
                <w:szCs w:val="20"/>
              </w:rPr>
              <w:t xml:space="preserve">evision to the restriction as outlined in paragraphs 7.4 </w:t>
            </w:r>
            <w:r w:rsidR="008E2BA1" w:rsidRPr="007C65D7">
              <w:rPr>
                <w:szCs w:val="20"/>
              </w:rPr>
              <w:t xml:space="preserve">to </w:t>
            </w:r>
            <w:r w:rsidRPr="007C65D7">
              <w:rPr>
                <w:szCs w:val="20"/>
              </w:rPr>
              <w:t>7.6</w:t>
            </w:r>
            <w:r w:rsidR="00A50185" w:rsidRPr="007C65D7">
              <w:rPr>
                <w:szCs w:val="20"/>
              </w:rPr>
              <w:softHyphen/>
            </w:r>
            <w:r w:rsidR="00A50185" w:rsidRPr="007C65D7">
              <w:rPr>
                <w:szCs w:val="20"/>
              </w:rPr>
              <w:softHyphen/>
            </w:r>
            <w:r w:rsidR="008F0E17" w:rsidRPr="007C65D7">
              <w:rPr>
                <w:szCs w:val="20"/>
              </w:rPr>
              <w:t>:</w:t>
            </w:r>
          </w:p>
        </w:tc>
        <w:tc>
          <w:tcPr>
            <w:tcW w:w="2228" w:type="pct"/>
            <w:tcBorders>
              <w:bottom w:val="single" w:sz="4" w:space="0" w:color="auto"/>
            </w:tcBorders>
          </w:tcPr>
          <w:p w14:paraId="4F86B4C1" w14:textId="11931BD9" w:rsidR="00E46633" w:rsidRPr="007C65D7" w:rsidRDefault="00E46633" w:rsidP="00E46633"/>
        </w:tc>
        <w:tc>
          <w:tcPr>
            <w:tcW w:w="647" w:type="pct"/>
            <w:tcBorders>
              <w:bottom w:val="single" w:sz="4" w:space="0" w:color="auto"/>
            </w:tcBorders>
          </w:tcPr>
          <w:p w14:paraId="40542A06" w14:textId="65C3453D" w:rsidR="00D34011" w:rsidRPr="007C65D7" w:rsidRDefault="00D34011" w:rsidP="00C724E2">
            <w:pPr>
              <w:pStyle w:val="TableText"/>
              <w:keepNext w:val="0"/>
              <w:widowControl w:val="0"/>
              <w:rPr>
                <w:szCs w:val="20"/>
              </w:rPr>
            </w:pPr>
          </w:p>
        </w:tc>
      </w:tr>
      <w:tr w:rsidR="008556A1" w:rsidRPr="007C65D7" w14:paraId="35601506" w14:textId="77777777" w:rsidTr="003A0ECE">
        <w:trPr>
          <w:cantSplit/>
        </w:trPr>
        <w:tc>
          <w:tcPr>
            <w:tcW w:w="2125" w:type="pct"/>
            <w:tcBorders>
              <w:top w:val="single" w:sz="4" w:space="0" w:color="auto"/>
              <w:bottom w:val="single" w:sz="4" w:space="0" w:color="auto"/>
            </w:tcBorders>
          </w:tcPr>
          <w:p w14:paraId="35922346" w14:textId="6C7465F3" w:rsidR="008556A1" w:rsidRPr="007C65D7" w:rsidRDefault="008556A1" w:rsidP="00DD59D8">
            <w:pPr>
              <w:pStyle w:val="TableText"/>
              <w:keepNext w:val="0"/>
              <w:widowControl w:val="0"/>
              <w:numPr>
                <w:ilvl w:val="0"/>
                <w:numId w:val="3"/>
              </w:numPr>
              <w:ind w:left="318" w:hanging="318"/>
              <w:rPr>
                <w:iCs/>
                <w:szCs w:val="20"/>
              </w:rPr>
            </w:pPr>
            <w:r w:rsidRPr="007C65D7">
              <w:rPr>
                <w:iCs/>
                <w:szCs w:val="20"/>
              </w:rPr>
              <w:t>the proposed restriction should reflect the peak LVOT gradient from the EXPLORER-HCM trial (</w:t>
            </w:r>
            <w:r w:rsidRPr="007C65D7">
              <w:rPr>
                <w:szCs w:val="20"/>
              </w:rPr>
              <w:t>≥</w:t>
            </w:r>
            <w:r w:rsidRPr="007C65D7">
              <w:rPr>
                <w:iCs/>
                <w:szCs w:val="20"/>
              </w:rPr>
              <w:t>50 mm Hg</w:t>
            </w:r>
            <w:r w:rsidRPr="007C65D7">
              <w:rPr>
                <w:szCs w:val="20"/>
              </w:rPr>
              <w:t xml:space="preserve"> at rest,</w:t>
            </w:r>
            <w:r w:rsidRPr="007C65D7">
              <w:rPr>
                <w:iCs/>
                <w:szCs w:val="20"/>
              </w:rPr>
              <w:t xml:space="preserve"> after Valsalva manoeuvre</w:t>
            </w:r>
            <w:r w:rsidRPr="007C65D7">
              <w:rPr>
                <w:szCs w:val="20"/>
              </w:rPr>
              <w:t xml:space="preserve"> </w:t>
            </w:r>
            <w:r w:rsidRPr="007C65D7">
              <w:rPr>
                <w:iCs/>
                <w:szCs w:val="20"/>
              </w:rPr>
              <w:t>or exercise)</w:t>
            </w:r>
          </w:p>
        </w:tc>
        <w:tc>
          <w:tcPr>
            <w:tcW w:w="2228" w:type="pct"/>
            <w:tcBorders>
              <w:top w:val="single" w:sz="4" w:space="0" w:color="auto"/>
              <w:bottom w:val="single" w:sz="4" w:space="0" w:color="auto"/>
            </w:tcBorders>
          </w:tcPr>
          <w:p w14:paraId="425FFA6A" w14:textId="767C791B" w:rsidR="00E46633" w:rsidRPr="002D2C0B" w:rsidRDefault="008556A1" w:rsidP="00E46633">
            <w:pPr>
              <w:pStyle w:val="TableText"/>
              <w:keepNext w:val="0"/>
              <w:widowControl w:val="0"/>
              <w:numPr>
                <w:ilvl w:val="0"/>
                <w:numId w:val="4"/>
              </w:numPr>
              <w:ind w:left="221" w:hanging="221"/>
              <w:rPr>
                <w:szCs w:val="20"/>
              </w:rPr>
            </w:pPr>
            <w:r w:rsidRPr="007C65D7">
              <w:rPr>
                <w:szCs w:val="20"/>
              </w:rPr>
              <w:t xml:space="preserve">proposed a PBS restriction that only includes patients with a peak LVOT gradient ≥50 mm Hg (at rest or with provocation </w:t>
            </w:r>
            <w:r w:rsidR="00755AB0" w:rsidRPr="007C65D7">
              <w:rPr>
                <w:szCs w:val="20"/>
              </w:rPr>
              <w:t>(</w:t>
            </w:r>
            <w:r w:rsidRPr="007C65D7">
              <w:rPr>
                <w:szCs w:val="20"/>
              </w:rPr>
              <w:t>Valsalva manoeuvre or post exercise</w:t>
            </w:r>
            <w:r w:rsidR="00755AB0" w:rsidRPr="007C65D7">
              <w:rPr>
                <w:szCs w:val="20"/>
              </w:rPr>
              <w:t>)</w:t>
            </w:r>
            <w:r w:rsidRPr="007C65D7">
              <w:rPr>
                <w:szCs w:val="20"/>
              </w:rPr>
              <w:t>.</w:t>
            </w:r>
          </w:p>
        </w:tc>
        <w:tc>
          <w:tcPr>
            <w:tcW w:w="647" w:type="pct"/>
            <w:tcBorders>
              <w:top w:val="single" w:sz="4" w:space="0" w:color="auto"/>
              <w:bottom w:val="single" w:sz="4" w:space="0" w:color="auto"/>
            </w:tcBorders>
          </w:tcPr>
          <w:p w14:paraId="77168102" w14:textId="0F442FD2" w:rsidR="008556A1" w:rsidRPr="007C65D7" w:rsidRDefault="008556A1" w:rsidP="00C724E2">
            <w:pPr>
              <w:pStyle w:val="TableText"/>
              <w:keepNext w:val="0"/>
              <w:widowControl w:val="0"/>
              <w:rPr>
                <w:szCs w:val="20"/>
              </w:rPr>
            </w:pPr>
            <w:r w:rsidRPr="007C65D7">
              <w:rPr>
                <w:szCs w:val="20"/>
              </w:rPr>
              <w:t>Y</w:t>
            </w:r>
          </w:p>
        </w:tc>
      </w:tr>
      <w:tr w:rsidR="008556A1" w:rsidRPr="007C65D7" w14:paraId="49A8AE73" w14:textId="77777777" w:rsidTr="003A0ECE">
        <w:trPr>
          <w:cantSplit/>
        </w:trPr>
        <w:tc>
          <w:tcPr>
            <w:tcW w:w="2125" w:type="pct"/>
            <w:tcBorders>
              <w:top w:val="single" w:sz="4" w:space="0" w:color="auto"/>
              <w:bottom w:val="single" w:sz="4" w:space="0" w:color="auto"/>
            </w:tcBorders>
          </w:tcPr>
          <w:p w14:paraId="1314DD4A" w14:textId="6D314864" w:rsidR="008556A1" w:rsidRPr="007C65D7" w:rsidRDefault="008556A1" w:rsidP="00DD59D8">
            <w:pPr>
              <w:pStyle w:val="TableText"/>
              <w:keepNext w:val="0"/>
              <w:widowControl w:val="0"/>
              <w:numPr>
                <w:ilvl w:val="0"/>
                <w:numId w:val="3"/>
              </w:numPr>
              <w:ind w:left="318" w:hanging="318"/>
              <w:rPr>
                <w:szCs w:val="20"/>
              </w:rPr>
            </w:pPr>
            <w:r w:rsidRPr="007C65D7">
              <w:rPr>
                <w:iCs/>
                <w:szCs w:val="20"/>
              </w:rPr>
              <w:t>continuing treatment with mavacamten would require demonstration of ongoing clinical response</w:t>
            </w:r>
          </w:p>
        </w:tc>
        <w:tc>
          <w:tcPr>
            <w:tcW w:w="2228" w:type="pct"/>
            <w:tcBorders>
              <w:top w:val="single" w:sz="4" w:space="0" w:color="auto"/>
              <w:bottom w:val="single" w:sz="4" w:space="0" w:color="auto"/>
            </w:tcBorders>
          </w:tcPr>
          <w:p w14:paraId="4031E716" w14:textId="0F076769" w:rsidR="008556A1" w:rsidRPr="007C65D7" w:rsidRDefault="008556A1" w:rsidP="00DD59D8">
            <w:pPr>
              <w:pStyle w:val="TableText"/>
              <w:keepNext w:val="0"/>
              <w:widowControl w:val="0"/>
              <w:numPr>
                <w:ilvl w:val="0"/>
                <w:numId w:val="4"/>
              </w:numPr>
              <w:ind w:left="221" w:hanging="221"/>
              <w:rPr>
                <w:szCs w:val="20"/>
              </w:rPr>
            </w:pPr>
            <w:r w:rsidRPr="007C65D7">
              <w:rPr>
                <w:szCs w:val="20"/>
              </w:rPr>
              <w:t>proposed the following wording for the PBAC’s consideration:</w:t>
            </w:r>
          </w:p>
          <w:p w14:paraId="227A0F04" w14:textId="079D8937" w:rsidR="00E46633" w:rsidRPr="007C65D7" w:rsidRDefault="004C37C7" w:rsidP="00E46633">
            <w:pPr>
              <w:pStyle w:val="TableText"/>
              <w:keepNext w:val="0"/>
              <w:widowControl w:val="0"/>
              <w:rPr>
                <w:szCs w:val="20"/>
              </w:rPr>
            </w:pPr>
            <w:r w:rsidRPr="007C65D7">
              <w:rPr>
                <w:szCs w:val="20"/>
              </w:rPr>
              <w:t>‘</w:t>
            </w:r>
            <w:r w:rsidR="008556A1" w:rsidRPr="007C65D7">
              <w:rPr>
                <w:szCs w:val="20"/>
              </w:rPr>
              <w:t>Consideration should be given to discontinue treatment in patients who have shown no response (e.g., no improvement in symptoms, quality of life, exercise capacity, or LVOT gradient) after 4-6 months on the maximum tolerated dose.</w:t>
            </w:r>
            <w:r w:rsidR="00A820C8" w:rsidRPr="007C65D7">
              <w:rPr>
                <w:szCs w:val="20"/>
              </w:rPr>
              <w:t>’</w:t>
            </w:r>
          </w:p>
        </w:tc>
        <w:tc>
          <w:tcPr>
            <w:tcW w:w="647" w:type="pct"/>
            <w:tcBorders>
              <w:top w:val="single" w:sz="4" w:space="0" w:color="auto"/>
              <w:bottom w:val="single" w:sz="4" w:space="0" w:color="auto"/>
            </w:tcBorders>
          </w:tcPr>
          <w:p w14:paraId="3F9EC998" w14:textId="4FCABF69" w:rsidR="008556A1" w:rsidRPr="007C65D7" w:rsidRDefault="008556A1" w:rsidP="00C724E2">
            <w:pPr>
              <w:pStyle w:val="TableText"/>
              <w:keepNext w:val="0"/>
              <w:widowControl w:val="0"/>
              <w:rPr>
                <w:szCs w:val="20"/>
              </w:rPr>
            </w:pPr>
            <w:r w:rsidRPr="007C65D7">
              <w:rPr>
                <w:szCs w:val="20"/>
              </w:rPr>
              <w:t>Y</w:t>
            </w:r>
          </w:p>
        </w:tc>
      </w:tr>
      <w:tr w:rsidR="008556A1" w:rsidRPr="007C65D7" w14:paraId="47AC9245" w14:textId="77777777" w:rsidTr="003A0ECE">
        <w:trPr>
          <w:cantSplit/>
        </w:trPr>
        <w:tc>
          <w:tcPr>
            <w:tcW w:w="2125" w:type="pct"/>
            <w:tcBorders>
              <w:top w:val="single" w:sz="4" w:space="0" w:color="auto"/>
              <w:bottom w:val="single" w:sz="4" w:space="0" w:color="auto"/>
            </w:tcBorders>
          </w:tcPr>
          <w:p w14:paraId="011F2701" w14:textId="28025CAA" w:rsidR="008556A1" w:rsidRPr="007C65D7" w:rsidRDefault="008556A1" w:rsidP="00DD59D8">
            <w:pPr>
              <w:pStyle w:val="TableText"/>
              <w:keepNext w:val="0"/>
              <w:widowControl w:val="0"/>
              <w:numPr>
                <w:ilvl w:val="0"/>
                <w:numId w:val="3"/>
              </w:numPr>
              <w:ind w:left="318" w:hanging="318"/>
              <w:rPr>
                <w:szCs w:val="20"/>
              </w:rPr>
            </w:pPr>
            <w:r w:rsidRPr="007C65D7">
              <w:rPr>
                <w:szCs w:val="20"/>
              </w:rPr>
              <w:t xml:space="preserve">appropriate to position mavacamten after a patient remained symptomatic after previously receiving </w:t>
            </w:r>
            <w:r w:rsidRPr="007C65D7">
              <w:rPr>
                <w:iCs/>
                <w:szCs w:val="20"/>
              </w:rPr>
              <w:t>trials</w:t>
            </w:r>
            <w:r w:rsidRPr="007C65D7">
              <w:rPr>
                <w:szCs w:val="20"/>
              </w:rPr>
              <w:t xml:space="preserve"> of </w:t>
            </w:r>
            <w:r w:rsidRPr="007C65D7">
              <w:rPr>
                <w:szCs w:val="20"/>
                <w:u w:val="single"/>
              </w:rPr>
              <w:t>both</w:t>
            </w:r>
            <w:r w:rsidRPr="007C65D7">
              <w:rPr>
                <w:szCs w:val="20"/>
              </w:rPr>
              <w:t xml:space="preserve"> a </w:t>
            </w:r>
            <w:r w:rsidR="00755AB0" w:rsidRPr="007C65D7">
              <w:rPr>
                <w:szCs w:val="20"/>
              </w:rPr>
              <w:t>B</w:t>
            </w:r>
            <w:r w:rsidRPr="007C65D7">
              <w:rPr>
                <w:szCs w:val="20"/>
              </w:rPr>
              <w:t xml:space="preserve">B and a </w:t>
            </w:r>
            <w:r w:rsidR="00755AB0" w:rsidRPr="007C65D7">
              <w:rPr>
                <w:szCs w:val="20"/>
              </w:rPr>
              <w:t>CC</w:t>
            </w:r>
            <w:r w:rsidRPr="007C65D7">
              <w:rPr>
                <w:szCs w:val="20"/>
              </w:rPr>
              <w:t xml:space="preserve">B </w:t>
            </w:r>
            <w:r w:rsidRPr="007C65D7">
              <w:rPr>
                <w:iCs/>
                <w:szCs w:val="20"/>
              </w:rPr>
              <w:t>(unless intolerant/contraindicated to one or both) rather than after a trial of either a BB or CCB.</w:t>
            </w:r>
          </w:p>
        </w:tc>
        <w:tc>
          <w:tcPr>
            <w:tcW w:w="2228" w:type="pct"/>
            <w:tcBorders>
              <w:top w:val="single" w:sz="4" w:space="0" w:color="auto"/>
              <w:bottom w:val="single" w:sz="4" w:space="0" w:color="auto"/>
            </w:tcBorders>
          </w:tcPr>
          <w:p w14:paraId="5FE06E7E" w14:textId="02F9D523" w:rsidR="008556A1" w:rsidRPr="007C65D7" w:rsidRDefault="008556A1" w:rsidP="00DD59D8">
            <w:pPr>
              <w:pStyle w:val="TableText"/>
              <w:keepNext w:val="0"/>
              <w:widowControl w:val="0"/>
              <w:numPr>
                <w:ilvl w:val="0"/>
                <w:numId w:val="4"/>
              </w:numPr>
              <w:ind w:left="221" w:hanging="221"/>
              <w:rPr>
                <w:szCs w:val="20"/>
              </w:rPr>
            </w:pPr>
            <w:r w:rsidRPr="007C65D7">
              <w:rPr>
                <w:szCs w:val="20"/>
              </w:rPr>
              <w:t xml:space="preserve">proposed a PBS restriction that </w:t>
            </w:r>
            <w:r w:rsidR="00EE3D63" w:rsidRPr="007C65D7">
              <w:rPr>
                <w:szCs w:val="20"/>
              </w:rPr>
              <w:t xml:space="preserve">requires </w:t>
            </w:r>
            <w:r w:rsidRPr="007C65D7">
              <w:rPr>
                <w:szCs w:val="20"/>
              </w:rPr>
              <w:t>patients</w:t>
            </w:r>
            <w:r w:rsidR="00EE3D63" w:rsidRPr="007C65D7">
              <w:rPr>
                <w:szCs w:val="20"/>
              </w:rPr>
              <w:t xml:space="preserve"> to</w:t>
            </w:r>
            <w:r w:rsidRPr="007C65D7">
              <w:rPr>
                <w:szCs w:val="20"/>
              </w:rPr>
              <w:t xml:space="preserve"> have had prior treatment with both a BB and CCB unless intolerant or contraindicated.</w:t>
            </w:r>
          </w:p>
          <w:p w14:paraId="2327F5B5" w14:textId="7FAF03F3" w:rsidR="00E46633" w:rsidRPr="007C65D7" w:rsidRDefault="00E46633" w:rsidP="00E46633"/>
        </w:tc>
        <w:tc>
          <w:tcPr>
            <w:tcW w:w="647" w:type="pct"/>
            <w:tcBorders>
              <w:top w:val="single" w:sz="4" w:space="0" w:color="auto"/>
              <w:bottom w:val="single" w:sz="4" w:space="0" w:color="auto"/>
            </w:tcBorders>
          </w:tcPr>
          <w:p w14:paraId="4F09D7E7" w14:textId="301E0978" w:rsidR="008556A1" w:rsidRPr="007C65D7" w:rsidRDefault="008556A1" w:rsidP="00C724E2">
            <w:pPr>
              <w:pStyle w:val="TableText"/>
              <w:keepNext w:val="0"/>
              <w:widowControl w:val="0"/>
              <w:rPr>
                <w:szCs w:val="20"/>
              </w:rPr>
            </w:pPr>
            <w:r w:rsidRPr="007C65D7">
              <w:rPr>
                <w:szCs w:val="20"/>
              </w:rPr>
              <w:t>Y</w:t>
            </w:r>
          </w:p>
        </w:tc>
      </w:tr>
      <w:tr w:rsidR="008556A1" w:rsidRPr="007C65D7" w14:paraId="4F19C9E7" w14:textId="77777777" w:rsidTr="00D24D31">
        <w:trPr>
          <w:cantSplit/>
        </w:trPr>
        <w:tc>
          <w:tcPr>
            <w:tcW w:w="2125" w:type="pct"/>
            <w:tcBorders>
              <w:top w:val="single" w:sz="4" w:space="0" w:color="auto"/>
              <w:bottom w:val="single" w:sz="4" w:space="0" w:color="auto"/>
            </w:tcBorders>
          </w:tcPr>
          <w:p w14:paraId="23616551" w14:textId="2B6386E0" w:rsidR="008556A1" w:rsidRPr="007C65D7" w:rsidRDefault="008556A1" w:rsidP="00DD59D8">
            <w:pPr>
              <w:pStyle w:val="TableText"/>
              <w:keepNext w:val="0"/>
              <w:widowControl w:val="0"/>
              <w:numPr>
                <w:ilvl w:val="0"/>
                <w:numId w:val="3"/>
              </w:numPr>
              <w:ind w:left="318" w:hanging="318"/>
              <w:rPr>
                <w:szCs w:val="20"/>
              </w:rPr>
            </w:pPr>
            <w:r w:rsidRPr="007C65D7">
              <w:rPr>
                <w:szCs w:val="20"/>
              </w:rPr>
              <w:t>the</w:t>
            </w:r>
            <w:r w:rsidRPr="00582245">
              <w:rPr>
                <w:szCs w:val="20"/>
              </w:rPr>
              <w:t xml:space="preserve"> </w:t>
            </w:r>
            <w:r w:rsidRPr="007C65D7">
              <w:rPr>
                <w:rFonts w:cstheme="minorHAnsi"/>
                <w:iCs/>
                <w:szCs w:val="20"/>
              </w:rPr>
              <w:t>proposed restriction should include a definition of familial HCM (i.e. first degree relatives).</w:t>
            </w:r>
          </w:p>
        </w:tc>
        <w:tc>
          <w:tcPr>
            <w:tcW w:w="2228" w:type="pct"/>
            <w:tcBorders>
              <w:top w:val="single" w:sz="4" w:space="0" w:color="auto"/>
              <w:bottom w:val="single" w:sz="4" w:space="0" w:color="auto"/>
            </w:tcBorders>
          </w:tcPr>
          <w:p w14:paraId="6A788C3F" w14:textId="4F753EE3" w:rsidR="008556A1" w:rsidRPr="007C65D7" w:rsidRDefault="00C63626" w:rsidP="00DD59D8">
            <w:pPr>
              <w:pStyle w:val="TableText"/>
              <w:keepNext w:val="0"/>
              <w:widowControl w:val="0"/>
              <w:numPr>
                <w:ilvl w:val="0"/>
                <w:numId w:val="4"/>
              </w:numPr>
              <w:ind w:left="221" w:hanging="221"/>
              <w:rPr>
                <w:szCs w:val="20"/>
              </w:rPr>
            </w:pPr>
            <w:r w:rsidRPr="007C65D7">
              <w:rPr>
                <w:rFonts w:cstheme="minorHAnsi"/>
                <w:iCs/>
                <w:szCs w:val="20"/>
              </w:rPr>
              <w:t>accepted</w:t>
            </w:r>
            <w:r w:rsidRPr="007C65D7">
              <w:rPr>
                <w:rFonts w:eastAsia="Times New Roman" w:cs="Arial"/>
                <w:iCs/>
                <w:szCs w:val="20"/>
              </w:rPr>
              <w:t xml:space="preserve"> the PBAC Secretariat’s proposed wording that familial HCM be defined as </w:t>
            </w:r>
            <w:r w:rsidR="00A820C8" w:rsidRPr="007C65D7">
              <w:rPr>
                <w:rFonts w:eastAsia="Times New Roman" w:cs="Arial"/>
                <w:iCs/>
                <w:szCs w:val="20"/>
              </w:rPr>
              <w:t>‘</w:t>
            </w:r>
            <w:r w:rsidRPr="007C65D7">
              <w:rPr>
                <w:rFonts w:eastAsia="Times New Roman" w:cs="Arial"/>
                <w:iCs/>
                <w:szCs w:val="20"/>
              </w:rPr>
              <w:t>at least one first degree relative with a diagnosis of hypertrophic cardiomyopathy</w:t>
            </w:r>
            <w:r w:rsidR="00A820C8" w:rsidRPr="007C65D7">
              <w:rPr>
                <w:rFonts w:eastAsia="Times New Roman" w:cs="Arial"/>
                <w:iCs/>
                <w:szCs w:val="20"/>
              </w:rPr>
              <w:t>’</w:t>
            </w:r>
          </w:p>
        </w:tc>
        <w:tc>
          <w:tcPr>
            <w:tcW w:w="647" w:type="pct"/>
            <w:tcBorders>
              <w:top w:val="single" w:sz="4" w:space="0" w:color="auto"/>
              <w:bottom w:val="single" w:sz="4" w:space="0" w:color="auto"/>
            </w:tcBorders>
          </w:tcPr>
          <w:p w14:paraId="2DA93317" w14:textId="5AD8B7B0" w:rsidR="008556A1" w:rsidRPr="007C65D7" w:rsidRDefault="00C63626" w:rsidP="00C724E2">
            <w:pPr>
              <w:pStyle w:val="TableText"/>
              <w:keepNext w:val="0"/>
              <w:widowControl w:val="0"/>
              <w:rPr>
                <w:szCs w:val="20"/>
              </w:rPr>
            </w:pPr>
            <w:r w:rsidRPr="007C65D7">
              <w:rPr>
                <w:szCs w:val="20"/>
              </w:rPr>
              <w:t>Y</w:t>
            </w:r>
          </w:p>
        </w:tc>
      </w:tr>
      <w:tr w:rsidR="002C633F" w:rsidRPr="007C65D7" w14:paraId="6E83CDA9" w14:textId="77777777" w:rsidTr="00C724E2">
        <w:trPr>
          <w:cantSplit/>
        </w:trPr>
        <w:tc>
          <w:tcPr>
            <w:tcW w:w="2125" w:type="pct"/>
            <w:tcBorders>
              <w:bottom w:val="nil"/>
            </w:tcBorders>
          </w:tcPr>
          <w:p w14:paraId="008A6CCC" w14:textId="5FFA637A" w:rsidR="00D34011" w:rsidRPr="007C65D7" w:rsidRDefault="004E5A36" w:rsidP="00C724E2">
            <w:pPr>
              <w:pStyle w:val="TableText"/>
              <w:keepLines/>
              <w:widowControl w:val="0"/>
              <w:rPr>
                <w:szCs w:val="20"/>
              </w:rPr>
            </w:pPr>
            <w:r w:rsidRPr="007C65D7">
              <w:rPr>
                <w:szCs w:val="20"/>
              </w:rPr>
              <w:lastRenderedPageBreak/>
              <w:t>R</w:t>
            </w:r>
            <w:r w:rsidR="008B2802" w:rsidRPr="007C65D7">
              <w:rPr>
                <w:szCs w:val="20"/>
              </w:rPr>
              <w:t>evision to the economic model as outlined in paragraph</w:t>
            </w:r>
            <w:r w:rsidR="00634E12" w:rsidRPr="007C65D7">
              <w:rPr>
                <w:szCs w:val="20"/>
              </w:rPr>
              <w:t>s</w:t>
            </w:r>
            <w:r w:rsidR="008B2802" w:rsidRPr="007C65D7">
              <w:rPr>
                <w:szCs w:val="20"/>
              </w:rPr>
              <w:t xml:space="preserve"> </w:t>
            </w:r>
            <w:r w:rsidRPr="007C65D7">
              <w:rPr>
                <w:szCs w:val="20"/>
              </w:rPr>
              <w:t>7.11 and 7.13</w:t>
            </w:r>
            <w:r w:rsidR="00E7708B" w:rsidRPr="007C65D7">
              <w:rPr>
                <w:szCs w:val="20"/>
              </w:rPr>
              <w:t>:</w:t>
            </w:r>
            <w:r w:rsidR="008B2802" w:rsidRPr="007C65D7">
              <w:rPr>
                <w:szCs w:val="20"/>
              </w:rPr>
              <w:tab/>
            </w:r>
          </w:p>
          <w:p w14:paraId="5C9F432C" w14:textId="28F01B23" w:rsidR="004E5A36" w:rsidRPr="007C65D7" w:rsidRDefault="004E5A36" w:rsidP="00C724E2">
            <w:pPr>
              <w:pStyle w:val="TableText"/>
              <w:keepLines/>
              <w:widowControl w:val="0"/>
              <w:rPr>
                <w:szCs w:val="20"/>
              </w:rPr>
            </w:pPr>
          </w:p>
        </w:tc>
        <w:tc>
          <w:tcPr>
            <w:tcW w:w="2228" w:type="pct"/>
            <w:tcBorders>
              <w:bottom w:val="nil"/>
            </w:tcBorders>
          </w:tcPr>
          <w:p w14:paraId="64E0DE1A" w14:textId="3A215EA8" w:rsidR="00D34011" w:rsidRPr="007C65D7" w:rsidRDefault="00D34011" w:rsidP="00C724E2">
            <w:pPr>
              <w:pStyle w:val="TableText"/>
              <w:keepLines/>
              <w:widowControl w:val="0"/>
              <w:rPr>
                <w:szCs w:val="20"/>
              </w:rPr>
            </w:pPr>
          </w:p>
        </w:tc>
        <w:tc>
          <w:tcPr>
            <w:tcW w:w="647" w:type="pct"/>
            <w:tcBorders>
              <w:bottom w:val="nil"/>
            </w:tcBorders>
          </w:tcPr>
          <w:p w14:paraId="7A6D4E21" w14:textId="5B2EA398" w:rsidR="00D34011" w:rsidRPr="007C65D7" w:rsidRDefault="00D34011" w:rsidP="00C724E2">
            <w:pPr>
              <w:pStyle w:val="TableText"/>
              <w:keepLines/>
              <w:widowControl w:val="0"/>
              <w:rPr>
                <w:szCs w:val="20"/>
              </w:rPr>
            </w:pPr>
          </w:p>
        </w:tc>
      </w:tr>
      <w:tr w:rsidR="0079560B" w:rsidRPr="007C65D7" w14:paraId="4C9D0835" w14:textId="77777777" w:rsidTr="00D50972">
        <w:trPr>
          <w:cantSplit/>
          <w:trHeight w:val="1389"/>
        </w:trPr>
        <w:tc>
          <w:tcPr>
            <w:tcW w:w="2125" w:type="pct"/>
            <w:vMerge w:val="restart"/>
            <w:tcBorders>
              <w:top w:val="nil"/>
              <w:right w:val="single" w:sz="4" w:space="0" w:color="auto"/>
            </w:tcBorders>
          </w:tcPr>
          <w:p w14:paraId="7C44F6B1" w14:textId="675091E9" w:rsidR="0079560B" w:rsidRPr="007C65D7" w:rsidRDefault="0079560B" w:rsidP="00DD59D8">
            <w:pPr>
              <w:pStyle w:val="TableText"/>
              <w:keepNext w:val="0"/>
              <w:keepLines/>
              <w:widowControl w:val="0"/>
              <w:numPr>
                <w:ilvl w:val="0"/>
                <w:numId w:val="5"/>
              </w:numPr>
              <w:ind w:left="318" w:hanging="318"/>
              <w:rPr>
                <w:szCs w:val="20"/>
              </w:rPr>
            </w:pPr>
            <w:r w:rsidRPr="007C65D7">
              <w:rPr>
                <w:szCs w:val="20"/>
              </w:rPr>
              <w:t xml:space="preserve">a respecified base case should also include </w:t>
            </w:r>
            <w:r w:rsidRPr="007C65D7">
              <w:rPr>
                <w:szCs w:val="20"/>
                <w:u w:val="single"/>
              </w:rPr>
              <w:t>more conservative assumptions for mortality, hospitalisation and SRT rates</w:t>
            </w:r>
            <w:r w:rsidRPr="007C65D7">
              <w:rPr>
                <w:szCs w:val="20"/>
              </w:rPr>
              <w:t>. A respecified base case was estimated during PBAC consideration using parameters the PBAC</w:t>
            </w:r>
            <w:r w:rsidR="0044745A" w:rsidRPr="007C65D7">
              <w:rPr>
                <w:szCs w:val="20"/>
              </w:rPr>
              <w:t xml:space="preserve"> advised should be applied to the economic model</w:t>
            </w:r>
            <w:r w:rsidR="00582245">
              <w:rPr>
                <w:szCs w:val="20"/>
              </w:rPr>
              <w:t xml:space="preserve"> </w:t>
            </w:r>
            <w:r w:rsidR="0066792B" w:rsidRPr="007C65D7">
              <w:rPr>
                <w:szCs w:val="20"/>
              </w:rPr>
              <w:t>(</w:t>
            </w:r>
            <w:r w:rsidR="008F4612" w:rsidRPr="007C65D7">
              <w:rPr>
                <w:szCs w:val="20"/>
              </w:rPr>
              <w:t xml:space="preserve">details in </w:t>
            </w:r>
            <w:r w:rsidR="0066792B" w:rsidRPr="007C65D7">
              <w:rPr>
                <w:szCs w:val="20"/>
              </w:rPr>
              <w:t>Table</w:t>
            </w:r>
            <w:r w:rsidR="000B2B51" w:rsidRPr="007C65D7">
              <w:rPr>
                <w:szCs w:val="20"/>
              </w:rPr>
              <w:t xml:space="preserve"> 16 of the PSD):</w:t>
            </w:r>
          </w:p>
          <w:p w14:paraId="4CD0B9B3" w14:textId="7A293797" w:rsidR="0079560B" w:rsidRPr="007C65D7" w:rsidRDefault="0079560B" w:rsidP="00C724E2">
            <w:pPr>
              <w:pStyle w:val="TableText"/>
              <w:keepNext w:val="0"/>
              <w:keepLines/>
              <w:widowControl w:val="0"/>
              <w:tabs>
                <w:tab w:val="left" w:pos="540"/>
                <w:tab w:val="left" w:pos="720"/>
                <w:tab w:val="left" w:pos="864"/>
              </w:tabs>
              <w:ind w:left="318"/>
              <w:rPr>
                <w:szCs w:val="20"/>
              </w:rPr>
            </w:pPr>
            <w:r w:rsidRPr="007C65D7">
              <w:rPr>
                <w:szCs w:val="20"/>
              </w:rPr>
              <w:t>•</w:t>
            </w:r>
            <w:r w:rsidRPr="007C65D7">
              <w:rPr>
                <w:szCs w:val="20"/>
              </w:rPr>
              <w:tab/>
              <w:t>20-year time horizon</w:t>
            </w:r>
          </w:p>
          <w:p w14:paraId="7E70D6D9" w14:textId="1A468DAD" w:rsidR="0079560B" w:rsidRPr="007C65D7" w:rsidRDefault="0079560B" w:rsidP="00C724E2">
            <w:pPr>
              <w:pStyle w:val="TableText"/>
              <w:keepNext w:val="0"/>
              <w:keepLines/>
              <w:widowControl w:val="0"/>
              <w:tabs>
                <w:tab w:val="left" w:pos="540"/>
              </w:tabs>
              <w:ind w:left="318"/>
              <w:rPr>
                <w:szCs w:val="20"/>
              </w:rPr>
            </w:pPr>
            <w:r w:rsidRPr="007C65D7">
              <w:rPr>
                <w:szCs w:val="20"/>
              </w:rPr>
              <w:t>•</w:t>
            </w:r>
            <w:r w:rsidRPr="007C65D7">
              <w:rPr>
                <w:szCs w:val="20"/>
              </w:rPr>
              <w:tab/>
              <w:t>TP truncation at 30 weeks both arms</w:t>
            </w:r>
          </w:p>
          <w:p w14:paraId="49EF4655" w14:textId="6AF2F24B" w:rsidR="0079560B" w:rsidRPr="007C65D7" w:rsidRDefault="0079560B" w:rsidP="00C724E2">
            <w:pPr>
              <w:pStyle w:val="TableText"/>
              <w:keepNext w:val="0"/>
              <w:keepLines/>
              <w:widowControl w:val="0"/>
              <w:tabs>
                <w:tab w:val="left" w:pos="540"/>
              </w:tabs>
              <w:ind w:left="318"/>
              <w:rPr>
                <w:szCs w:val="20"/>
              </w:rPr>
            </w:pPr>
            <w:r w:rsidRPr="007C65D7">
              <w:rPr>
                <w:szCs w:val="20"/>
              </w:rPr>
              <w:t>•</w:t>
            </w:r>
            <w:r w:rsidRPr="007C65D7">
              <w:rPr>
                <w:szCs w:val="20"/>
              </w:rPr>
              <w:tab/>
              <w:t>Removal of mortality benefits</w:t>
            </w:r>
            <w:r w:rsidR="006F15B6" w:rsidRPr="006F15B6">
              <w:rPr>
                <w:szCs w:val="20"/>
              </w:rPr>
              <w:t xml:space="preserve"> </w:t>
            </w:r>
          </w:p>
          <w:p w14:paraId="7B69FC53" w14:textId="76C08D4E" w:rsidR="0079560B" w:rsidRPr="007C65D7" w:rsidRDefault="0079560B" w:rsidP="00C724E2">
            <w:pPr>
              <w:pStyle w:val="TableText"/>
              <w:keepNext w:val="0"/>
              <w:keepLines/>
              <w:widowControl w:val="0"/>
              <w:tabs>
                <w:tab w:val="left" w:pos="540"/>
              </w:tabs>
              <w:ind w:left="318"/>
              <w:rPr>
                <w:szCs w:val="20"/>
              </w:rPr>
            </w:pPr>
            <w:r w:rsidRPr="007C65D7">
              <w:rPr>
                <w:szCs w:val="20"/>
              </w:rPr>
              <w:t>•</w:t>
            </w:r>
            <w:r w:rsidRPr="007C65D7">
              <w:rPr>
                <w:szCs w:val="20"/>
              </w:rPr>
              <w:tab/>
              <w:t>Reduced by half for CV rates:</w:t>
            </w:r>
          </w:p>
          <w:p w14:paraId="2C01E700" w14:textId="40E4CE3C" w:rsidR="0079560B" w:rsidRPr="007C65D7" w:rsidRDefault="0079560B" w:rsidP="00C724E2">
            <w:pPr>
              <w:pStyle w:val="TableText"/>
              <w:keepNext w:val="0"/>
              <w:keepLines/>
              <w:widowControl w:val="0"/>
              <w:tabs>
                <w:tab w:val="left" w:pos="540"/>
              </w:tabs>
              <w:ind w:left="601"/>
              <w:rPr>
                <w:szCs w:val="20"/>
              </w:rPr>
            </w:pPr>
            <w:r w:rsidRPr="007C65D7">
              <w:rPr>
                <w:szCs w:val="20"/>
              </w:rPr>
              <w:t xml:space="preserve">NYHA II (i.e. 0.38 →0.19) and </w:t>
            </w:r>
          </w:p>
          <w:p w14:paraId="6007C5BD" w14:textId="24C89BA8" w:rsidR="0079560B" w:rsidRPr="007C65D7" w:rsidRDefault="0079560B" w:rsidP="00C724E2">
            <w:pPr>
              <w:pStyle w:val="TableText"/>
              <w:keepNext w:val="0"/>
              <w:keepLines/>
              <w:widowControl w:val="0"/>
              <w:tabs>
                <w:tab w:val="left" w:pos="540"/>
              </w:tabs>
              <w:ind w:left="601"/>
              <w:rPr>
                <w:szCs w:val="20"/>
              </w:rPr>
            </w:pPr>
            <w:r w:rsidRPr="007C65D7">
              <w:rPr>
                <w:szCs w:val="20"/>
              </w:rPr>
              <w:t>NYHA III/IV patients (i.e. 1.00 →0.50)</w:t>
            </w:r>
          </w:p>
          <w:p w14:paraId="5293AF6F" w14:textId="18FA8378" w:rsidR="0079560B" w:rsidRPr="007C65D7" w:rsidRDefault="0079560B" w:rsidP="0059624D">
            <w:pPr>
              <w:pStyle w:val="TableText"/>
              <w:keepNext w:val="0"/>
              <w:keepLines/>
              <w:widowControl w:val="0"/>
              <w:tabs>
                <w:tab w:val="left" w:pos="540"/>
              </w:tabs>
              <w:ind w:left="539" w:hanging="231"/>
              <w:rPr>
                <w:szCs w:val="20"/>
              </w:rPr>
            </w:pPr>
            <w:r w:rsidRPr="007C65D7">
              <w:rPr>
                <w:szCs w:val="20"/>
              </w:rPr>
              <w:t>•</w:t>
            </w:r>
            <w:r w:rsidRPr="007C65D7">
              <w:rPr>
                <w:szCs w:val="20"/>
              </w:rPr>
              <w:tab/>
              <w:t xml:space="preserve">Patients (%) escalating from </w:t>
            </w:r>
            <w:r w:rsidR="00BA46B9" w:rsidRPr="007C65D7">
              <w:rPr>
                <w:szCs w:val="20"/>
              </w:rPr>
              <w:t xml:space="preserve">mavacamten </w:t>
            </w:r>
            <w:r w:rsidRPr="007C65D7">
              <w:rPr>
                <w:szCs w:val="20"/>
              </w:rPr>
              <w:t>to SRT using VALOR-HCM (</w:t>
            </w:r>
            <w:r w:rsidRPr="007C65D7">
              <w:rPr>
                <w:iCs/>
                <w:szCs w:val="20"/>
              </w:rPr>
              <w:t>all NYHA classes: 3.6%).</w:t>
            </w:r>
          </w:p>
          <w:p w14:paraId="28852E52" w14:textId="32525ABD" w:rsidR="0079560B" w:rsidRPr="007C65D7" w:rsidRDefault="0079560B" w:rsidP="00C724E2">
            <w:pPr>
              <w:pStyle w:val="TableText"/>
              <w:keepNext w:val="0"/>
              <w:keepLines/>
              <w:widowControl w:val="0"/>
              <w:rPr>
                <w:szCs w:val="20"/>
              </w:rPr>
            </w:pPr>
          </w:p>
        </w:tc>
        <w:tc>
          <w:tcPr>
            <w:tcW w:w="2228" w:type="pct"/>
            <w:vMerge w:val="restart"/>
            <w:tcBorders>
              <w:top w:val="nil"/>
              <w:left w:val="single" w:sz="4" w:space="0" w:color="auto"/>
              <w:bottom w:val="nil"/>
              <w:right w:val="single" w:sz="4" w:space="0" w:color="auto"/>
            </w:tcBorders>
          </w:tcPr>
          <w:p w14:paraId="59D12B61" w14:textId="067AFF1D" w:rsidR="0079560B" w:rsidRPr="007C65D7" w:rsidRDefault="0079560B" w:rsidP="00DD59D8">
            <w:pPr>
              <w:pStyle w:val="TableText"/>
              <w:keepNext w:val="0"/>
              <w:keepLines/>
              <w:widowControl w:val="0"/>
              <w:numPr>
                <w:ilvl w:val="0"/>
                <w:numId w:val="6"/>
              </w:numPr>
              <w:ind w:left="221" w:hanging="221"/>
              <w:rPr>
                <w:szCs w:val="20"/>
              </w:rPr>
            </w:pPr>
            <w:r w:rsidRPr="007C65D7">
              <w:rPr>
                <w:szCs w:val="20"/>
              </w:rPr>
              <w:t xml:space="preserve">included more conservative assumptions for mortality and SRT rates, aligned Table 16 of the July 2023 </w:t>
            </w:r>
            <w:r w:rsidR="00CA2A81" w:rsidRPr="007C65D7">
              <w:rPr>
                <w:szCs w:val="20"/>
              </w:rPr>
              <w:t>PS</w:t>
            </w:r>
            <w:r w:rsidR="00731A74" w:rsidRPr="007C65D7">
              <w:rPr>
                <w:szCs w:val="20"/>
              </w:rPr>
              <w:t>D</w:t>
            </w:r>
            <w:r w:rsidR="00CA2A81" w:rsidRPr="007C65D7">
              <w:rPr>
                <w:szCs w:val="20"/>
              </w:rPr>
              <w:t>:</w:t>
            </w:r>
            <w:r w:rsidRPr="007C65D7">
              <w:rPr>
                <w:szCs w:val="20"/>
              </w:rPr>
              <w:t xml:space="preserve"> </w:t>
            </w:r>
            <w:r w:rsidR="00731A74" w:rsidRPr="007C65D7">
              <w:rPr>
                <w:szCs w:val="20"/>
              </w:rPr>
              <w:t>m</w:t>
            </w:r>
            <w:r w:rsidRPr="007C65D7">
              <w:rPr>
                <w:szCs w:val="20"/>
              </w:rPr>
              <w:t xml:space="preserve">ortality benefit is removed; </w:t>
            </w:r>
            <w:r w:rsidR="00731A74" w:rsidRPr="007C65D7">
              <w:rPr>
                <w:szCs w:val="20"/>
              </w:rPr>
              <w:t>p</w:t>
            </w:r>
            <w:r w:rsidRPr="007C65D7">
              <w:rPr>
                <w:szCs w:val="20"/>
              </w:rPr>
              <w:t xml:space="preserve">atients (%) escalating from </w:t>
            </w:r>
            <w:r w:rsidR="007D47B7" w:rsidRPr="007C65D7">
              <w:rPr>
                <w:szCs w:val="20"/>
              </w:rPr>
              <w:t xml:space="preserve">mavacamten </w:t>
            </w:r>
            <w:r w:rsidRPr="007C65D7">
              <w:rPr>
                <w:szCs w:val="20"/>
              </w:rPr>
              <w:t>to SRT using VALOR-HCM (all NYHA classes: 3.6%).</w:t>
            </w:r>
          </w:p>
          <w:p w14:paraId="184EBEF5" w14:textId="3799B5C1" w:rsidR="0079560B" w:rsidRPr="007C65D7" w:rsidRDefault="0079560B" w:rsidP="00DD59D8">
            <w:pPr>
              <w:pStyle w:val="TableText"/>
              <w:keepNext w:val="0"/>
              <w:keepLines/>
              <w:widowControl w:val="0"/>
              <w:numPr>
                <w:ilvl w:val="0"/>
                <w:numId w:val="6"/>
              </w:numPr>
              <w:ind w:left="221" w:hanging="221"/>
              <w:rPr>
                <w:szCs w:val="20"/>
              </w:rPr>
            </w:pPr>
            <w:r w:rsidRPr="007C65D7">
              <w:rPr>
                <w:szCs w:val="20"/>
              </w:rPr>
              <w:t>provided new evidence (Charron et al (unpublished)) which shows that hospitalisations increase with NYHA class; proposed that the assumptions specific to hospitalisation rates remain as detailed in the July 2023 resubmission</w:t>
            </w:r>
            <w:r w:rsidR="00360E81" w:rsidRPr="007C65D7">
              <w:rPr>
                <w:szCs w:val="20"/>
              </w:rPr>
              <w:t>, i.e.</w:t>
            </w:r>
            <w:r w:rsidRPr="007C65D7">
              <w:rPr>
                <w:szCs w:val="20"/>
              </w:rPr>
              <w:t xml:space="preserve"> CV hospitalisation rates: NYHA II, 0.38 and NYHA III/IV, 1.00</w:t>
            </w:r>
          </w:p>
        </w:tc>
        <w:tc>
          <w:tcPr>
            <w:tcW w:w="647" w:type="pct"/>
            <w:tcBorders>
              <w:top w:val="nil"/>
              <w:left w:val="single" w:sz="4" w:space="0" w:color="auto"/>
              <w:bottom w:val="nil"/>
              <w:right w:val="single" w:sz="4" w:space="0" w:color="auto"/>
            </w:tcBorders>
          </w:tcPr>
          <w:p w14:paraId="20007534" w14:textId="4F59B5E8" w:rsidR="0079560B" w:rsidRPr="007C65D7" w:rsidRDefault="0079560B" w:rsidP="00C724E2">
            <w:pPr>
              <w:pStyle w:val="TableText"/>
              <w:keepNext w:val="0"/>
              <w:keepLines/>
              <w:widowControl w:val="0"/>
              <w:rPr>
                <w:szCs w:val="20"/>
              </w:rPr>
            </w:pPr>
            <w:r w:rsidRPr="007C65D7">
              <w:rPr>
                <w:szCs w:val="20"/>
              </w:rPr>
              <w:t>Y</w:t>
            </w:r>
          </w:p>
        </w:tc>
      </w:tr>
      <w:tr w:rsidR="0079560B" w:rsidRPr="007C65D7" w14:paraId="6C2A7C65" w14:textId="77777777" w:rsidTr="00C724E2">
        <w:trPr>
          <w:cantSplit/>
          <w:trHeight w:val="1194"/>
        </w:trPr>
        <w:tc>
          <w:tcPr>
            <w:tcW w:w="2125" w:type="pct"/>
            <w:vMerge/>
            <w:tcBorders>
              <w:bottom w:val="nil"/>
              <w:right w:val="single" w:sz="4" w:space="0" w:color="auto"/>
            </w:tcBorders>
          </w:tcPr>
          <w:p w14:paraId="288EE8E9" w14:textId="77777777" w:rsidR="0079560B" w:rsidRPr="007C65D7" w:rsidRDefault="0079560B" w:rsidP="00DD59D8">
            <w:pPr>
              <w:pStyle w:val="TableText"/>
              <w:keepNext w:val="0"/>
              <w:keepLines/>
              <w:widowControl w:val="0"/>
              <w:numPr>
                <w:ilvl w:val="0"/>
                <w:numId w:val="5"/>
              </w:numPr>
              <w:ind w:left="318" w:hanging="318"/>
              <w:rPr>
                <w:szCs w:val="20"/>
              </w:rPr>
            </w:pPr>
          </w:p>
        </w:tc>
        <w:tc>
          <w:tcPr>
            <w:tcW w:w="2228" w:type="pct"/>
            <w:vMerge/>
            <w:tcBorders>
              <w:top w:val="nil"/>
              <w:left w:val="single" w:sz="4" w:space="0" w:color="auto"/>
              <w:bottom w:val="nil"/>
              <w:right w:val="single" w:sz="4" w:space="0" w:color="auto"/>
            </w:tcBorders>
          </w:tcPr>
          <w:p w14:paraId="0D89FBEE" w14:textId="77777777" w:rsidR="0079560B" w:rsidRPr="007C65D7" w:rsidRDefault="0079560B" w:rsidP="00DD59D8">
            <w:pPr>
              <w:pStyle w:val="TableText"/>
              <w:keepNext w:val="0"/>
              <w:keepLines/>
              <w:widowControl w:val="0"/>
              <w:numPr>
                <w:ilvl w:val="0"/>
                <w:numId w:val="6"/>
              </w:numPr>
              <w:ind w:left="221" w:hanging="221"/>
              <w:rPr>
                <w:szCs w:val="20"/>
              </w:rPr>
            </w:pPr>
          </w:p>
        </w:tc>
        <w:tc>
          <w:tcPr>
            <w:tcW w:w="647" w:type="pct"/>
            <w:tcBorders>
              <w:top w:val="nil"/>
              <w:left w:val="single" w:sz="4" w:space="0" w:color="auto"/>
              <w:bottom w:val="nil"/>
              <w:right w:val="single" w:sz="4" w:space="0" w:color="auto"/>
            </w:tcBorders>
          </w:tcPr>
          <w:p w14:paraId="01927F4E" w14:textId="0BBDCEF5" w:rsidR="0079560B" w:rsidRPr="007C65D7" w:rsidRDefault="0079560B" w:rsidP="00C724E2">
            <w:pPr>
              <w:pStyle w:val="TableText"/>
              <w:keepNext w:val="0"/>
              <w:keepLines/>
              <w:widowControl w:val="0"/>
              <w:rPr>
                <w:szCs w:val="20"/>
              </w:rPr>
            </w:pPr>
            <w:r w:rsidRPr="007C65D7">
              <w:rPr>
                <w:szCs w:val="20"/>
              </w:rPr>
              <w:t>N</w:t>
            </w:r>
          </w:p>
        </w:tc>
      </w:tr>
      <w:tr w:rsidR="002C633F" w:rsidRPr="007C65D7" w14:paraId="2DF1DD08" w14:textId="77777777" w:rsidTr="00C724E2">
        <w:trPr>
          <w:cantSplit/>
        </w:trPr>
        <w:tc>
          <w:tcPr>
            <w:tcW w:w="2125" w:type="pct"/>
            <w:tcBorders>
              <w:top w:val="nil"/>
            </w:tcBorders>
          </w:tcPr>
          <w:p w14:paraId="49207A7D" w14:textId="3B6782A2" w:rsidR="00D34011" w:rsidRPr="007C65D7" w:rsidRDefault="008B2802" w:rsidP="00DD59D8">
            <w:pPr>
              <w:pStyle w:val="TableText"/>
              <w:keepNext w:val="0"/>
              <w:keepLines/>
              <w:widowControl w:val="0"/>
              <w:numPr>
                <w:ilvl w:val="0"/>
                <w:numId w:val="5"/>
              </w:numPr>
              <w:ind w:left="318" w:hanging="318"/>
              <w:rPr>
                <w:szCs w:val="20"/>
              </w:rPr>
            </w:pPr>
            <w:r w:rsidRPr="007C65D7">
              <w:rPr>
                <w:szCs w:val="20"/>
              </w:rPr>
              <w:t>a price reduction that results in an ICER of not more than $45,000 per QALY gained;</w:t>
            </w:r>
          </w:p>
        </w:tc>
        <w:tc>
          <w:tcPr>
            <w:tcW w:w="2228" w:type="pct"/>
            <w:tcBorders>
              <w:top w:val="nil"/>
            </w:tcBorders>
          </w:tcPr>
          <w:p w14:paraId="7E07F94E" w14:textId="64DCC94A" w:rsidR="00D34011" w:rsidRPr="007C65D7" w:rsidRDefault="005C2BA1" w:rsidP="00C724E2">
            <w:pPr>
              <w:pStyle w:val="TableText"/>
              <w:keepNext w:val="0"/>
              <w:keepLines/>
              <w:widowControl w:val="0"/>
              <w:ind w:left="221" w:hanging="221"/>
              <w:rPr>
                <w:szCs w:val="20"/>
              </w:rPr>
            </w:pPr>
            <w:r w:rsidRPr="007C65D7">
              <w:rPr>
                <w:bCs w:val="0"/>
                <w:szCs w:val="20"/>
              </w:rPr>
              <w:t>ii)</w:t>
            </w:r>
            <w:r w:rsidR="006F15B6" w:rsidRPr="006F15B6">
              <w:rPr>
                <w:szCs w:val="20"/>
              </w:rPr>
              <w:t xml:space="preserve"> </w:t>
            </w:r>
            <w:r w:rsidR="007945C0" w:rsidRPr="007C65D7">
              <w:rPr>
                <w:szCs w:val="20"/>
              </w:rPr>
              <w:t>offered a</w:t>
            </w:r>
            <w:r w:rsidR="00521B0F" w:rsidRPr="00521B0F">
              <w:rPr>
                <w:szCs w:val="20"/>
              </w:rPr>
              <w:t xml:space="preserve"> </w:t>
            </w:r>
            <w:r w:rsidR="00521B0F" w:rsidRPr="00521B0F">
              <w:rPr>
                <w:color w:val="000000"/>
                <w:spacing w:val="45"/>
                <w:szCs w:val="20"/>
                <w:shd w:val="solid" w:color="000000" w:fill="000000"/>
                <w:fitText w:val="330" w:id="-1032076032"/>
                <w14:textFill>
                  <w14:solidFill>
                    <w14:srgbClr w14:val="000000">
                      <w14:alpha w14:val="100000"/>
                    </w14:srgbClr>
                  </w14:solidFill>
                </w14:textFill>
              </w:rPr>
              <w:t>|||</w:t>
            </w:r>
            <w:r w:rsidR="00521B0F" w:rsidRPr="00521B0F">
              <w:rPr>
                <w:color w:val="000000"/>
                <w:spacing w:val="15"/>
                <w:szCs w:val="20"/>
                <w:shd w:val="solid" w:color="000000" w:fill="000000"/>
                <w:fitText w:val="330" w:id="-1032076032"/>
                <w14:textFill>
                  <w14:solidFill>
                    <w14:srgbClr w14:val="000000">
                      <w14:alpha w14:val="100000"/>
                    </w14:srgbClr>
                  </w14:solidFill>
                </w14:textFill>
              </w:rPr>
              <w:t>|</w:t>
            </w:r>
            <w:r w:rsidR="007945C0" w:rsidRPr="007C65D7">
              <w:rPr>
                <w:szCs w:val="20"/>
              </w:rPr>
              <w:t xml:space="preserve">% price reduction from </w:t>
            </w:r>
            <w:r w:rsidR="00A14D53" w:rsidRPr="007C65D7">
              <w:rPr>
                <w:szCs w:val="20"/>
              </w:rPr>
              <w:t xml:space="preserve">AEMP </w:t>
            </w:r>
            <w:r w:rsidR="00521B0F" w:rsidRPr="00521B0F">
              <w:rPr>
                <w:szCs w:val="20"/>
              </w:rPr>
              <w:t>$</w:t>
            </w:r>
            <w:r w:rsidR="00521B0F" w:rsidRPr="00521B0F">
              <w:rPr>
                <w:rFonts w:hint="eastAsia"/>
                <w:color w:val="000000"/>
                <w:w w:val="24"/>
                <w:szCs w:val="20"/>
                <w:shd w:val="solid" w:color="000000" w:fill="000000"/>
                <w:fitText w:val="110" w:id="-1032076031"/>
                <w14:textFill>
                  <w14:solidFill>
                    <w14:srgbClr w14:val="000000">
                      <w14:alpha w14:val="100000"/>
                    </w14:srgbClr>
                  </w14:solidFill>
                </w14:textFill>
              </w:rPr>
              <w:t xml:space="preserve">　</w:t>
            </w:r>
            <w:r w:rsidR="00521B0F" w:rsidRPr="00521B0F">
              <w:rPr>
                <w:color w:val="000000"/>
                <w:w w:val="24"/>
                <w:szCs w:val="20"/>
                <w:shd w:val="solid" w:color="000000" w:fill="000000"/>
                <w:fitText w:val="110" w:id="-1032076031"/>
                <w14:textFill>
                  <w14:solidFill>
                    <w14:srgbClr w14:val="000000">
                      <w14:alpha w14:val="100000"/>
                    </w14:srgbClr>
                  </w14:solidFill>
                </w14:textFill>
              </w:rPr>
              <w:t>|</w:t>
            </w:r>
            <w:r w:rsidR="00521B0F" w:rsidRPr="00521B0F">
              <w:rPr>
                <w:rFonts w:hint="eastAsia"/>
                <w:color w:val="000000"/>
                <w:w w:val="24"/>
                <w:szCs w:val="20"/>
                <w:shd w:val="solid" w:color="000000" w:fill="000000"/>
                <w:fitText w:val="110" w:id="-1032076031"/>
                <w14:textFill>
                  <w14:solidFill>
                    <w14:srgbClr w14:val="000000">
                      <w14:alpha w14:val="100000"/>
                    </w14:srgbClr>
                  </w14:solidFill>
                </w14:textFill>
              </w:rPr>
              <w:t xml:space="preserve">　</w:t>
            </w:r>
            <w:r w:rsidR="00521B0F" w:rsidRPr="00521B0F">
              <w:rPr>
                <w:szCs w:val="20"/>
              </w:rPr>
              <w:t xml:space="preserve"> </w:t>
            </w:r>
            <w:r w:rsidR="007945C0" w:rsidRPr="007C65D7">
              <w:rPr>
                <w:szCs w:val="20"/>
              </w:rPr>
              <w:t xml:space="preserve">to </w:t>
            </w:r>
            <w:r w:rsidR="00521B0F" w:rsidRPr="00521B0F">
              <w:rPr>
                <w:szCs w:val="20"/>
              </w:rPr>
              <w:t>$</w:t>
            </w:r>
            <w:r w:rsidR="00521B0F" w:rsidRPr="00521B0F">
              <w:rPr>
                <w:rFonts w:hint="eastAsia"/>
                <w:color w:val="000000"/>
                <w:w w:val="24"/>
                <w:szCs w:val="20"/>
                <w:shd w:val="solid" w:color="000000" w:fill="000000"/>
                <w:fitText w:val="110" w:id="-1032076030"/>
                <w14:textFill>
                  <w14:solidFill>
                    <w14:srgbClr w14:val="000000">
                      <w14:alpha w14:val="100000"/>
                    </w14:srgbClr>
                  </w14:solidFill>
                </w14:textFill>
              </w:rPr>
              <w:t xml:space="preserve">　</w:t>
            </w:r>
            <w:r w:rsidR="00521B0F" w:rsidRPr="00521B0F">
              <w:rPr>
                <w:color w:val="000000"/>
                <w:w w:val="24"/>
                <w:szCs w:val="20"/>
                <w:shd w:val="solid" w:color="000000" w:fill="000000"/>
                <w:fitText w:val="110" w:id="-1032076030"/>
                <w14:textFill>
                  <w14:solidFill>
                    <w14:srgbClr w14:val="000000">
                      <w14:alpha w14:val="100000"/>
                    </w14:srgbClr>
                  </w14:solidFill>
                </w14:textFill>
              </w:rPr>
              <w:t>|</w:t>
            </w:r>
            <w:r w:rsidR="00521B0F" w:rsidRPr="00521B0F">
              <w:rPr>
                <w:rFonts w:hint="eastAsia"/>
                <w:color w:val="000000"/>
                <w:w w:val="24"/>
                <w:szCs w:val="20"/>
                <w:shd w:val="solid" w:color="000000" w:fill="000000"/>
                <w:fitText w:val="110" w:id="-1032076030"/>
                <w14:textFill>
                  <w14:solidFill>
                    <w14:srgbClr w14:val="000000">
                      <w14:alpha w14:val="100000"/>
                    </w14:srgbClr>
                  </w14:solidFill>
                </w14:textFill>
              </w:rPr>
              <w:t xml:space="preserve">　</w:t>
            </w:r>
            <w:r w:rsidR="00521B0F" w:rsidRPr="00521B0F">
              <w:rPr>
                <w:szCs w:val="20"/>
              </w:rPr>
              <w:t xml:space="preserve"> </w:t>
            </w:r>
            <w:r w:rsidR="007945C0" w:rsidRPr="007C65D7">
              <w:rPr>
                <w:szCs w:val="20"/>
              </w:rPr>
              <w:t xml:space="preserve">for mavacamten (28 pack) with a resultant ICER of </w:t>
            </w:r>
            <w:r w:rsidR="00521B0F" w:rsidRPr="00521B0F">
              <w:rPr>
                <w:szCs w:val="20"/>
              </w:rPr>
              <w:t>$</w:t>
            </w:r>
            <w:r w:rsidR="00521B0F" w:rsidRPr="00521B0F">
              <w:rPr>
                <w:rFonts w:hint="eastAsia"/>
                <w:color w:val="000000"/>
                <w:w w:val="24"/>
                <w:szCs w:val="20"/>
                <w:shd w:val="solid" w:color="000000" w:fill="000000"/>
                <w:fitText w:val="110" w:id="-1032076029"/>
                <w14:textFill>
                  <w14:solidFill>
                    <w14:srgbClr w14:val="000000">
                      <w14:alpha w14:val="100000"/>
                    </w14:srgbClr>
                  </w14:solidFill>
                </w14:textFill>
              </w:rPr>
              <w:t xml:space="preserve">　</w:t>
            </w:r>
            <w:r w:rsidR="00521B0F" w:rsidRPr="00521B0F">
              <w:rPr>
                <w:color w:val="000000"/>
                <w:w w:val="24"/>
                <w:szCs w:val="20"/>
                <w:shd w:val="solid" w:color="000000" w:fill="000000"/>
                <w:fitText w:val="110" w:id="-1032076029"/>
                <w14:textFill>
                  <w14:solidFill>
                    <w14:srgbClr w14:val="000000">
                      <w14:alpha w14:val="100000"/>
                    </w14:srgbClr>
                  </w14:solidFill>
                </w14:textFill>
              </w:rPr>
              <w:t>|</w:t>
            </w:r>
            <w:r w:rsidR="00521B0F" w:rsidRPr="00521B0F">
              <w:rPr>
                <w:rFonts w:hint="eastAsia"/>
                <w:color w:val="000000"/>
                <w:w w:val="24"/>
                <w:szCs w:val="20"/>
                <w:shd w:val="solid" w:color="000000" w:fill="000000"/>
                <w:fitText w:val="110" w:id="-1032076029"/>
                <w14:textFill>
                  <w14:solidFill>
                    <w14:srgbClr w14:val="000000">
                      <w14:alpha w14:val="100000"/>
                    </w14:srgbClr>
                  </w14:solidFill>
                </w14:textFill>
              </w:rPr>
              <w:t xml:space="preserve">　</w:t>
            </w:r>
            <w:r w:rsidR="000C36EE">
              <w:rPr>
                <w:szCs w:val="20"/>
                <w:vertAlign w:val="superscript"/>
              </w:rPr>
              <w:t>1</w:t>
            </w:r>
            <w:r w:rsidR="007945C0" w:rsidRPr="007C65D7">
              <w:rPr>
                <w:szCs w:val="20"/>
              </w:rPr>
              <w:t>/QALY gained</w:t>
            </w:r>
          </w:p>
        </w:tc>
        <w:tc>
          <w:tcPr>
            <w:tcW w:w="647" w:type="pct"/>
            <w:tcBorders>
              <w:top w:val="nil"/>
            </w:tcBorders>
          </w:tcPr>
          <w:p w14:paraId="5175BB10" w14:textId="214BB503" w:rsidR="00D34011" w:rsidRPr="007C65D7" w:rsidRDefault="007945C0" w:rsidP="00C724E2">
            <w:pPr>
              <w:pStyle w:val="TableText"/>
              <w:keepNext w:val="0"/>
              <w:keepLines/>
              <w:widowControl w:val="0"/>
              <w:rPr>
                <w:szCs w:val="20"/>
              </w:rPr>
            </w:pPr>
            <w:r w:rsidRPr="007C65D7">
              <w:rPr>
                <w:szCs w:val="20"/>
              </w:rPr>
              <w:t>Y</w:t>
            </w:r>
          </w:p>
        </w:tc>
      </w:tr>
      <w:tr w:rsidR="002C633F" w:rsidRPr="007C65D7" w14:paraId="3B47EDB5" w14:textId="77777777" w:rsidTr="00C724E2">
        <w:trPr>
          <w:cantSplit/>
        </w:trPr>
        <w:tc>
          <w:tcPr>
            <w:tcW w:w="2125" w:type="pct"/>
          </w:tcPr>
          <w:p w14:paraId="1FA45752" w14:textId="542FD9CB" w:rsidR="007945C0" w:rsidRPr="007C65D7" w:rsidRDefault="007945C0" w:rsidP="00C724E2">
            <w:pPr>
              <w:pStyle w:val="TableText"/>
              <w:keepNext w:val="0"/>
              <w:widowControl w:val="0"/>
              <w:rPr>
                <w:szCs w:val="20"/>
              </w:rPr>
            </w:pPr>
            <w:r w:rsidRPr="007C65D7">
              <w:rPr>
                <w:szCs w:val="20"/>
              </w:rPr>
              <w:t>A</w:t>
            </w:r>
            <w:r w:rsidR="008B2802" w:rsidRPr="007C65D7">
              <w:rPr>
                <w:szCs w:val="20"/>
              </w:rPr>
              <w:t xml:space="preserve"> revised RSA inclusive of a 100% rebate to Government for expenditure over the subsidisation cap using the revised financial estimates with a reduced drug price</w:t>
            </w:r>
            <w:r w:rsidRPr="007C65D7">
              <w:rPr>
                <w:szCs w:val="20"/>
              </w:rPr>
              <w:t xml:space="preserve"> as outlined in para</w:t>
            </w:r>
            <w:r w:rsidR="00634E12" w:rsidRPr="007C65D7">
              <w:rPr>
                <w:szCs w:val="20"/>
              </w:rPr>
              <w:t>graphs</w:t>
            </w:r>
            <w:r w:rsidRPr="007C65D7">
              <w:rPr>
                <w:szCs w:val="20"/>
              </w:rPr>
              <w:t xml:space="preserve"> 7.12 and 7.13</w:t>
            </w:r>
            <w:r w:rsidR="00634E12" w:rsidRPr="007C65D7">
              <w:rPr>
                <w:szCs w:val="20"/>
              </w:rPr>
              <w:t>.</w:t>
            </w:r>
          </w:p>
        </w:tc>
        <w:tc>
          <w:tcPr>
            <w:tcW w:w="2228" w:type="pct"/>
          </w:tcPr>
          <w:p w14:paraId="751DDBF6" w14:textId="0FE50912" w:rsidR="007945C0" w:rsidRPr="007C65D7" w:rsidRDefault="00105038" w:rsidP="00C724E2">
            <w:pPr>
              <w:pStyle w:val="TableText"/>
              <w:keepNext w:val="0"/>
              <w:widowControl w:val="0"/>
              <w:rPr>
                <w:szCs w:val="20"/>
              </w:rPr>
            </w:pPr>
            <w:r w:rsidRPr="007C65D7">
              <w:rPr>
                <w:szCs w:val="20"/>
              </w:rPr>
              <w:t>F</w:t>
            </w:r>
            <w:r w:rsidR="007945C0" w:rsidRPr="007C65D7">
              <w:rPr>
                <w:szCs w:val="20"/>
              </w:rPr>
              <w:t>inancial estimates include:</w:t>
            </w:r>
          </w:p>
          <w:p w14:paraId="158C5173" w14:textId="2DABD8AB" w:rsidR="007945C0" w:rsidRPr="007C65D7" w:rsidRDefault="007945C0" w:rsidP="00DD59D8">
            <w:pPr>
              <w:pStyle w:val="TableText"/>
              <w:keepNext w:val="0"/>
              <w:widowControl w:val="0"/>
              <w:numPr>
                <w:ilvl w:val="0"/>
                <w:numId w:val="6"/>
              </w:numPr>
              <w:ind w:left="221" w:hanging="221"/>
              <w:rPr>
                <w:szCs w:val="20"/>
              </w:rPr>
            </w:pPr>
            <w:r w:rsidRPr="007C65D7">
              <w:rPr>
                <w:szCs w:val="20"/>
              </w:rPr>
              <w:t>reduced mavacamten ex-manufacturer price (</w:t>
            </w:r>
            <w:r w:rsidR="00521B0F" w:rsidRPr="00521B0F">
              <w:rPr>
                <w:szCs w:val="20"/>
              </w:rPr>
              <w:t>$</w:t>
            </w:r>
            <w:r w:rsidR="00521B0F" w:rsidRPr="00521B0F">
              <w:rPr>
                <w:rFonts w:hint="eastAsia"/>
                <w:color w:val="000000"/>
                <w:w w:val="24"/>
                <w:szCs w:val="20"/>
                <w:shd w:val="solid" w:color="000000" w:fill="000000"/>
                <w:fitText w:val="110" w:id="-1032076028"/>
                <w14:textFill>
                  <w14:solidFill>
                    <w14:srgbClr w14:val="000000">
                      <w14:alpha w14:val="100000"/>
                    </w14:srgbClr>
                  </w14:solidFill>
                </w14:textFill>
              </w:rPr>
              <w:t xml:space="preserve">　</w:t>
            </w:r>
            <w:r w:rsidR="00521B0F" w:rsidRPr="00521B0F">
              <w:rPr>
                <w:color w:val="000000"/>
                <w:w w:val="24"/>
                <w:szCs w:val="20"/>
                <w:shd w:val="solid" w:color="000000" w:fill="000000"/>
                <w:fitText w:val="110" w:id="-1032076028"/>
                <w14:textFill>
                  <w14:solidFill>
                    <w14:srgbClr w14:val="000000">
                      <w14:alpha w14:val="100000"/>
                    </w14:srgbClr>
                  </w14:solidFill>
                </w14:textFill>
              </w:rPr>
              <w:t>|</w:t>
            </w:r>
            <w:r w:rsidR="00521B0F" w:rsidRPr="00521B0F">
              <w:rPr>
                <w:rFonts w:hint="eastAsia"/>
                <w:color w:val="000000"/>
                <w:w w:val="24"/>
                <w:szCs w:val="20"/>
                <w:shd w:val="solid" w:color="000000" w:fill="000000"/>
                <w:fitText w:val="110" w:id="-1032076028"/>
                <w14:textFill>
                  <w14:solidFill>
                    <w14:srgbClr w14:val="000000">
                      <w14:alpha w14:val="100000"/>
                    </w14:srgbClr>
                  </w14:solidFill>
                </w14:textFill>
              </w:rPr>
              <w:t xml:space="preserve">　</w:t>
            </w:r>
            <w:r w:rsidRPr="007C65D7">
              <w:rPr>
                <w:szCs w:val="20"/>
              </w:rPr>
              <w:t xml:space="preserve"> per 28 capsule pack)</w:t>
            </w:r>
          </w:p>
          <w:p w14:paraId="431D5D9A" w14:textId="0470E57C" w:rsidR="007945C0" w:rsidRPr="007C65D7" w:rsidRDefault="007945C0" w:rsidP="00DD59D8">
            <w:pPr>
              <w:pStyle w:val="TableText"/>
              <w:keepNext w:val="0"/>
              <w:widowControl w:val="0"/>
              <w:numPr>
                <w:ilvl w:val="0"/>
                <w:numId w:val="6"/>
              </w:numPr>
              <w:ind w:left="221" w:hanging="221"/>
              <w:rPr>
                <w:szCs w:val="20"/>
              </w:rPr>
            </w:pPr>
            <w:r w:rsidRPr="007C65D7">
              <w:rPr>
                <w:szCs w:val="20"/>
              </w:rPr>
              <w:t>updated fees and markups due to indexation from 1 July 2023</w:t>
            </w:r>
          </w:p>
          <w:p w14:paraId="589CB8F5" w14:textId="4A3C22DA" w:rsidR="007945C0" w:rsidRPr="007C65D7" w:rsidRDefault="007945C0" w:rsidP="00DD59D8">
            <w:pPr>
              <w:pStyle w:val="TableText"/>
              <w:keepNext w:val="0"/>
              <w:widowControl w:val="0"/>
              <w:numPr>
                <w:ilvl w:val="0"/>
                <w:numId w:val="6"/>
              </w:numPr>
              <w:ind w:left="221" w:hanging="221"/>
              <w:rPr>
                <w:szCs w:val="20"/>
              </w:rPr>
            </w:pPr>
            <w:r w:rsidRPr="007C65D7">
              <w:rPr>
                <w:szCs w:val="20"/>
              </w:rPr>
              <w:t>updated MBS cost for items 55126 and 55134 from 1 July 2023</w:t>
            </w:r>
          </w:p>
          <w:p w14:paraId="0F706AF2" w14:textId="49E81F75" w:rsidR="007945C0" w:rsidRPr="007C65D7" w:rsidRDefault="007945C0" w:rsidP="00DD59D8">
            <w:pPr>
              <w:pStyle w:val="TableText"/>
              <w:keepNext w:val="0"/>
              <w:widowControl w:val="0"/>
              <w:numPr>
                <w:ilvl w:val="0"/>
                <w:numId w:val="6"/>
              </w:numPr>
              <w:ind w:left="221" w:hanging="221"/>
              <w:rPr>
                <w:szCs w:val="20"/>
              </w:rPr>
            </w:pPr>
            <w:r w:rsidRPr="007C65D7">
              <w:rPr>
                <w:szCs w:val="20"/>
              </w:rPr>
              <w:t>change to first year of listing (now 2024)</w:t>
            </w:r>
          </w:p>
          <w:p w14:paraId="7EB6A7C5" w14:textId="09093742" w:rsidR="00D34011" w:rsidRPr="007C65D7" w:rsidRDefault="00634E12" w:rsidP="00DD59D8">
            <w:pPr>
              <w:pStyle w:val="TableText"/>
              <w:keepNext w:val="0"/>
              <w:widowControl w:val="0"/>
              <w:numPr>
                <w:ilvl w:val="0"/>
                <w:numId w:val="6"/>
              </w:numPr>
              <w:ind w:left="221" w:hanging="221"/>
              <w:rPr>
                <w:szCs w:val="20"/>
              </w:rPr>
            </w:pPr>
            <w:r w:rsidRPr="007C65D7">
              <w:rPr>
                <w:szCs w:val="20"/>
              </w:rPr>
              <w:t>an</w:t>
            </w:r>
            <w:r w:rsidR="007945C0" w:rsidRPr="007C65D7">
              <w:rPr>
                <w:szCs w:val="20"/>
              </w:rPr>
              <w:t xml:space="preserve"> RSA inclusive of a</w:t>
            </w:r>
            <w:r w:rsidR="00521B0F" w:rsidRPr="00521B0F">
              <w:rPr>
                <w:szCs w:val="20"/>
              </w:rPr>
              <w:t xml:space="preserve"> </w:t>
            </w:r>
            <w:r w:rsidR="00521B0F" w:rsidRPr="00521B0F">
              <w:rPr>
                <w:color w:val="000000"/>
                <w:spacing w:val="45"/>
                <w:szCs w:val="20"/>
                <w:shd w:val="solid" w:color="000000" w:fill="000000"/>
                <w:fitText w:val="330" w:id="-1032076027"/>
                <w14:textFill>
                  <w14:solidFill>
                    <w14:srgbClr w14:val="000000">
                      <w14:alpha w14:val="100000"/>
                    </w14:srgbClr>
                  </w14:solidFill>
                </w14:textFill>
              </w:rPr>
              <w:t>|||</w:t>
            </w:r>
            <w:r w:rsidR="00521B0F" w:rsidRPr="00521B0F">
              <w:rPr>
                <w:color w:val="000000"/>
                <w:spacing w:val="15"/>
                <w:szCs w:val="20"/>
                <w:shd w:val="solid" w:color="000000" w:fill="000000"/>
                <w:fitText w:val="330" w:id="-1032076027"/>
                <w14:textFill>
                  <w14:solidFill>
                    <w14:srgbClr w14:val="000000">
                      <w14:alpha w14:val="100000"/>
                    </w14:srgbClr>
                  </w14:solidFill>
                </w14:textFill>
              </w:rPr>
              <w:t>|</w:t>
            </w:r>
            <w:r w:rsidR="007945C0" w:rsidRPr="007C65D7">
              <w:rPr>
                <w:szCs w:val="20"/>
              </w:rPr>
              <w:t>% rebate above the subsidisation cap</w:t>
            </w:r>
          </w:p>
        </w:tc>
        <w:tc>
          <w:tcPr>
            <w:tcW w:w="647" w:type="pct"/>
          </w:tcPr>
          <w:p w14:paraId="404F3F9B" w14:textId="3A24DE6D" w:rsidR="00D34011" w:rsidRPr="007C65D7" w:rsidRDefault="007945C0" w:rsidP="00C724E2">
            <w:pPr>
              <w:pStyle w:val="TableText"/>
              <w:keepNext w:val="0"/>
              <w:widowControl w:val="0"/>
              <w:rPr>
                <w:szCs w:val="20"/>
              </w:rPr>
            </w:pPr>
            <w:r w:rsidRPr="007C65D7">
              <w:rPr>
                <w:szCs w:val="20"/>
              </w:rPr>
              <w:t>Y</w:t>
            </w:r>
          </w:p>
        </w:tc>
      </w:tr>
    </w:tbl>
    <w:p w14:paraId="32B95A78" w14:textId="11F61006" w:rsidR="009D55E2" w:rsidRPr="007C65D7" w:rsidRDefault="009D55E2" w:rsidP="00C724E2">
      <w:pPr>
        <w:pStyle w:val="TableFigureFooter"/>
        <w:widowControl w:val="0"/>
      </w:pPr>
      <w:r w:rsidRPr="007C65D7">
        <w:t xml:space="preserve">Source: </w:t>
      </w:r>
      <w:r w:rsidR="00D12C09" w:rsidRPr="007C65D7">
        <w:t xml:space="preserve">Mavacamten </w:t>
      </w:r>
      <w:r w:rsidR="003B4C69" w:rsidRPr="007C65D7">
        <w:t xml:space="preserve">PSD </w:t>
      </w:r>
      <w:r w:rsidR="00D12C09" w:rsidRPr="007C65D7">
        <w:t>July 2023 PBAC; November 2023 mavacamten early re-entry resubmission</w:t>
      </w:r>
    </w:p>
    <w:p w14:paraId="6C032848" w14:textId="4FBE7620" w:rsidR="002765FE" w:rsidRDefault="00B42FB2" w:rsidP="00C724E2">
      <w:pPr>
        <w:pStyle w:val="TableFigureFooter"/>
        <w:widowControl w:val="0"/>
      </w:pPr>
      <w:r w:rsidRPr="007C65D7">
        <w:t xml:space="preserve">BB = beta blocker; CCB = calcium channel blocker; </w:t>
      </w:r>
      <w:r w:rsidR="004C37C7" w:rsidRPr="007C65D7">
        <w:t xml:space="preserve">HCM = hypertrophic cardiomyopathy; </w:t>
      </w:r>
      <w:r w:rsidR="00403AC8" w:rsidRPr="007C65D7">
        <w:t xml:space="preserve">ICER = incremental cost-effectiveness ratio; </w:t>
      </w:r>
      <w:r w:rsidRPr="007C65D7">
        <w:t xml:space="preserve">LVOT = left ventricular outflow tract; </w:t>
      </w:r>
      <w:r w:rsidR="003E1160" w:rsidRPr="007C65D7">
        <w:t xml:space="preserve">NYHA = New York Heart Association; </w:t>
      </w:r>
      <w:r w:rsidRPr="007C65D7">
        <w:t>PSD = Public Summary Document</w:t>
      </w:r>
      <w:r w:rsidR="00A869A4" w:rsidRPr="007C65D7">
        <w:t xml:space="preserve">; </w:t>
      </w:r>
      <w:r w:rsidR="00403AC8" w:rsidRPr="007C65D7">
        <w:t xml:space="preserve">RSA = risk sharing arrangement; </w:t>
      </w:r>
      <w:r w:rsidR="000B2B51" w:rsidRPr="007C65D7">
        <w:t xml:space="preserve">SRT = septal reduction therapy; </w:t>
      </w:r>
      <w:r w:rsidR="00A869A4" w:rsidRPr="007C65D7">
        <w:t>TP = transition probability.</w:t>
      </w:r>
    </w:p>
    <w:p w14:paraId="58C682B7" w14:textId="6C783015" w:rsidR="000C36EE" w:rsidRPr="006F15B6" w:rsidRDefault="000C36EE" w:rsidP="00C724E2">
      <w:pPr>
        <w:pStyle w:val="TableFigureFooter"/>
        <w:widowControl w:val="0"/>
        <w:rPr>
          <w:i/>
          <w:iCs/>
        </w:rPr>
      </w:pPr>
      <w:r w:rsidRPr="006F15B6">
        <w:rPr>
          <w:i/>
          <w:iCs/>
        </w:rPr>
        <w:t>The redacted values correspond to the following ranges:</w:t>
      </w:r>
    </w:p>
    <w:p w14:paraId="59D983FF" w14:textId="0F564C39" w:rsidR="000C36EE" w:rsidRPr="006F15B6" w:rsidRDefault="000C36EE" w:rsidP="00C724E2">
      <w:pPr>
        <w:pStyle w:val="TableFigureFooter"/>
        <w:widowControl w:val="0"/>
        <w:rPr>
          <w:i/>
          <w:iCs/>
        </w:rPr>
      </w:pPr>
      <w:r w:rsidRPr="006F15B6">
        <w:rPr>
          <w:i/>
          <w:iCs/>
          <w:vertAlign w:val="superscript"/>
        </w:rPr>
        <w:t>1</w:t>
      </w:r>
      <w:r w:rsidRPr="006F15B6">
        <w:rPr>
          <w:i/>
          <w:iCs/>
        </w:rPr>
        <w:t xml:space="preserve"> $35,000 to &lt; $45,000</w:t>
      </w:r>
    </w:p>
    <w:p w14:paraId="0935F4B2" w14:textId="15DE73BB" w:rsidR="5D80A09E" w:rsidRPr="007C65D7" w:rsidRDefault="004877C2" w:rsidP="003A0ECE">
      <w:pPr>
        <w:pStyle w:val="2-SectionHeading"/>
        <w:numPr>
          <w:ilvl w:val="0"/>
          <w:numId w:val="2"/>
        </w:numPr>
        <w:rPr>
          <w:rFonts w:eastAsiaTheme="minorEastAsia"/>
        </w:rPr>
      </w:pPr>
      <w:r w:rsidRPr="007C65D7">
        <w:t>Background</w:t>
      </w:r>
    </w:p>
    <w:p w14:paraId="5B1486F8" w14:textId="77777777" w:rsidR="007379A5" w:rsidRPr="007C65D7" w:rsidRDefault="007379A5" w:rsidP="003A0ECE">
      <w:pPr>
        <w:pStyle w:val="4-SubsectionHeading"/>
        <w:keepNext/>
      </w:pPr>
      <w:r w:rsidRPr="007C65D7">
        <w:t>Registration status</w:t>
      </w:r>
    </w:p>
    <w:p w14:paraId="486DB945" w14:textId="6D47D22F" w:rsidR="00D12C09" w:rsidRPr="007C65D7" w:rsidRDefault="00D12C09" w:rsidP="003A0ECE">
      <w:pPr>
        <w:pStyle w:val="3-BodyText"/>
        <w:keepNext/>
      </w:pPr>
      <w:r w:rsidRPr="007C65D7">
        <w:t xml:space="preserve">Mavacamten was TGA registered on 15 September 2022 for the treatment of adults with symptomatic NYHA class II-III obstructive HCM. </w:t>
      </w:r>
      <w:r w:rsidR="00F74B68" w:rsidRPr="007C65D7">
        <w:t xml:space="preserve">The product information was revised on </w:t>
      </w:r>
      <w:r w:rsidR="00E318FC" w:rsidRPr="007C65D7">
        <w:t xml:space="preserve">17 July 2023, with the addition </w:t>
      </w:r>
      <w:r w:rsidR="00BE7632">
        <w:t xml:space="preserve">in a boxed warning </w:t>
      </w:r>
      <w:r w:rsidR="00E318FC" w:rsidRPr="007C65D7">
        <w:t>of the risk of heart failure due to systolic dysfunction</w:t>
      </w:r>
      <w:r w:rsidR="00BE7632">
        <w:t>. The special warnings and precautions for use notes that p</w:t>
      </w:r>
      <w:r w:rsidR="00BE7632" w:rsidRPr="00BE7632">
        <w:t xml:space="preserve">atients with a serious intercurrent illness such as serious infections or arrhythmia (including atrial fibrillation or other uncontrolled tachyarrhythmia) or those </w:t>
      </w:r>
      <w:r w:rsidR="00BE7632" w:rsidRPr="00BE7632">
        <w:lastRenderedPageBreak/>
        <w:t>undergoing major cardiac surgery may be at greater risk of systolic dysfunction and progress to heart failure.</w:t>
      </w:r>
    </w:p>
    <w:p w14:paraId="13131259" w14:textId="6E7464A9" w:rsidR="007379A5" w:rsidRPr="007C65D7" w:rsidRDefault="007379A5" w:rsidP="007379A5">
      <w:pPr>
        <w:pStyle w:val="4-SubsectionHeading"/>
      </w:pPr>
      <w:r w:rsidRPr="007C65D7">
        <w:t>Previous consideration</w:t>
      </w:r>
    </w:p>
    <w:p w14:paraId="28C79C9D" w14:textId="75EFF79A" w:rsidR="007379A5" w:rsidRPr="00582245" w:rsidRDefault="007379A5" w:rsidP="007379A5">
      <w:pPr>
        <w:pStyle w:val="3-BodyText"/>
        <w:rPr>
          <w:snapToGrid w:val="0"/>
        </w:rPr>
      </w:pPr>
      <w:r w:rsidRPr="00582245">
        <w:rPr>
          <w:snapToGrid w:val="0"/>
        </w:rPr>
        <w:t>In July 2023, the PBAC did not recommend the listing of mavacamten for the treatment of adults with symptomatic obstructive HCM.</w:t>
      </w:r>
      <w:r w:rsidRPr="007C65D7">
        <w:t xml:space="preserve"> </w:t>
      </w:r>
      <w:r w:rsidRPr="00582245">
        <w:rPr>
          <w:snapToGrid w:val="0"/>
        </w:rPr>
        <w:t xml:space="preserve">The PBAC considered that mavacamten ± beta blocker/calcium channel blocker (BB/CCB) provided a </w:t>
      </w:r>
      <w:r w:rsidRPr="007C65D7">
        <w:rPr>
          <w:rFonts w:eastAsia="Calibri"/>
        </w:rPr>
        <w:t xml:space="preserve">moderate </w:t>
      </w:r>
      <w:r w:rsidRPr="00582245">
        <w:rPr>
          <w:snapToGrid w:val="0"/>
        </w:rPr>
        <w:t>and important clinical benefit over standard of care (BB/CCB) in terms of symptomatic improvement, however considered a number of issues remained unresolved in the resubmission. These issues included the proposed place in therapy, the uncertain impact of mavacamten on long-term clinical endpoints, such as hospitalisations and mortality, and a number of optimistic assumptions related to clinical benefit in the economic model that were not supported by clinical trial evidence, that led to an uncertain and underestimated incremental cost-effectiveness ratio (ICER)</w:t>
      </w:r>
      <w:r w:rsidR="00547AC6" w:rsidRPr="00582245">
        <w:rPr>
          <w:snapToGrid w:val="0"/>
        </w:rPr>
        <w:t xml:space="preserve"> (paragraph 7.1, mavacamten Public Summary Document [PSD], July 2023 PBAC meeting)</w:t>
      </w:r>
    </w:p>
    <w:p w14:paraId="1E357FD2" w14:textId="15598540" w:rsidR="007379A5" w:rsidRPr="00582245" w:rsidRDefault="007379A5" w:rsidP="007379A5">
      <w:pPr>
        <w:pStyle w:val="3-BodyText"/>
      </w:pPr>
      <w:r w:rsidRPr="007C65D7">
        <w:t xml:space="preserve">In July 2023, the PBAC considered the following changes may address these outstanding issues without requiring further re-evaluation: </w:t>
      </w:r>
    </w:p>
    <w:p w14:paraId="05756180" w14:textId="61821C3B" w:rsidR="007379A5" w:rsidRPr="00582245" w:rsidRDefault="007379A5" w:rsidP="002D2C0B">
      <w:pPr>
        <w:pStyle w:val="3-BodyText"/>
        <w:numPr>
          <w:ilvl w:val="0"/>
          <w:numId w:val="7"/>
        </w:numPr>
        <w:ind w:left="1134" w:hanging="357"/>
      </w:pPr>
      <w:r w:rsidRPr="00582245">
        <w:t xml:space="preserve">revision to the restriction as outlined in paragraphs </w:t>
      </w:r>
      <w:r w:rsidR="0030254F" w:rsidRPr="00582245">
        <w:t>7.4 to 7.6</w:t>
      </w:r>
      <w:r w:rsidRPr="00582245">
        <w:t>;</w:t>
      </w:r>
    </w:p>
    <w:p w14:paraId="032A268C" w14:textId="7A14EA17" w:rsidR="007379A5" w:rsidRPr="00582245" w:rsidRDefault="007379A5" w:rsidP="002D2C0B">
      <w:pPr>
        <w:pStyle w:val="3-BodyText"/>
        <w:numPr>
          <w:ilvl w:val="0"/>
          <w:numId w:val="7"/>
        </w:numPr>
        <w:ind w:left="1134" w:hanging="357"/>
      </w:pPr>
      <w:r w:rsidRPr="00582245">
        <w:t xml:space="preserve">revision to the economic model as outlined in paragraph </w:t>
      </w:r>
      <w:r w:rsidR="0030254F" w:rsidRPr="00582245">
        <w:t>7.11</w:t>
      </w:r>
      <w:r w:rsidRPr="00582245">
        <w:t>;</w:t>
      </w:r>
    </w:p>
    <w:p w14:paraId="0315816F" w14:textId="77777777" w:rsidR="007379A5" w:rsidRPr="00582245" w:rsidRDefault="007379A5" w:rsidP="002D2C0B">
      <w:pPr>
        <w:pStyle w:val="3-BodyText"/>
        <w:numPr>
          <w:ilvl w:val="0"/>
          <w:numId w:val="7"/>
        </w:numPr>
        <w:ind w:left="1134" w:hanging="357"/>
      </w:pPr>
      <w:r w:rsidRPr="00582245">
        <w:t>a price reduction that results in an ICER of not more than $45,000 per QALY gained;</w:t>
      </w:r>
    </w:p>
    <w:p w14:paraId="6B13381F" w14:textId="2A700E4C" w:rsidR="007379A5" w:rsidRPr="00582245" w:rsidRDefault="007379A5" w:rsidP="002D2C0B">
      <w:pPr>
        <w:pStyle w:val="3-BodyText"/>
        <w:numPr>
          <w:ilvl w:val="0"/>
          <w:numId w:val="7"/>
        </w:numPr>
        <w:ind w:left="1134" w:hanging="357"/>
      </w:pPr>
      <w:r w:rsidRPr="007C65D7">
        <w:t>a revised RSA inclusive of a 100% rebate to Government</w:t>
      </w:r>
      <w:r w:rsidRPr="00582245">
        <w:t xml:space="preserve"> </w:t>
      </w:r>
      <w:r w:rsidRPr="007C65D7">
        <w:t>for expenditure over the subsidisation cap using the revised financial estimates with a reduced drug price</w:t>
      </w:r>
      <w:r w:rsidR="003868C3" w:rsidRPr="007C65D7">
        <w:t xml:space="preserve"> (paragraph 7.13, mavacamten PSD, July 2023 PBAC meeting)</w:t>
      </w:r>
      <w:r w:rsidRPr="007C65D7">
        <w:t>.</w:t>
      </w:r>
    </w:p>
    <w:p w14:paraId="424F94A5" w14:textId="62236485" w:rsidR="00A46BD1" w:rsidRPr="007C65D7" w:rsidRDefault="00A46BD1" w:rsidP="00C3504E">
      <w:pPr>
        <w:pStyle w:val="3-BodyText"/>
        <w:numPr>
          <w:ilvl w:val="0"/>
          <w:numId w:val="0"/>
        </w:numPr>
        <w:spacing w:before="120"/>
        <w:ind w:left="1440" w:hanging="720"/>
        <w:rPr>
          <w:rFonts w:cstheme="minorHAnsi"/>
          <w:szCs w:val="24"/>
        </w:rPr>
      </w:pPr>
      <w:r w:rsidRPr="007C65D7">
        <w:t>See</w:t>
      </w:r>
      <w:r w:rsidR="00C3504E" w:rsidRPr="007C65D7">
        <w:t xml:space="preserve"> </w:t>
      </w:r>
      <w:r w:rsidR="00C3504E" w:rsidRPr="007C65D7">
        <w:rPr>
          <w:rFonts w:cstheme="minorHAnsi"/>
          <w:b/>
          <w:bCs/>
          <w:szCs w:val="24"/>
        </w:rPr>
        <w:fldChar w:fldCharType="begin" w:fldLock="1"/>
      </w:r>
      <w:r w:rsidR="00C3504E" w:rsidRPr="007C65D7">
        <w:rPr>
          <w:rFonts w:cstheme="minorHAnsi"/>
          <w:b/>
          <w:bCs/>
          <w:szCs w:val="24"/>
        </w:rPr>
        <w:instrText xml:space="preserve"> REF _Ref147748939 \h  \* MERGEFORMAT </w:instrText>
      </w:r>
      <w:r w:rsidR="00C3504E" w:rsidRPr="007C65D7">
        <w:rPr>
          <w:rFonts w:cstheme="minorHAnsi"/>
          <w:b/>
          <w:bCs/>
          <w:szCs w:val="24"/>
        </w:rPr>
      </w:r>
      <w:r w:rsidR="00C3504E" w:rsidRPr="007C65D7">
        <w:rPr>
          <w:rFonts w:cstheme="minorHAnsi"/>
          <w:b/>
          <w:bCs/>
          <w:szCs w:val="24"/>
        </w:rPr>
        <w:fldChar w:fldCharType="separate"/>
      </w:r>
      <w:r w:rsidR="00C3504E" w:rsidRPr="007C65D7">
        <w:rPr>
          <w:rStyle w:val="CommentReference"/>
          <w:rFonts w:asciiTheme="minorHAnsi" w:hAnsiTheme="minorHAnsi" w:cstheme="minorHAnsi"/>
          <w:b w:val="0"/>
          <w:bCs/>
          <w:sz w:val="24"/>
          <w:szCs w:val="24"/>
        </w:rPr>
        <w:t xml:space="preserve">Table </w:t>
      </w:r>
      <w:r w:rsidR="00C3504E" w:rsidRPr="00582245">
        <w:rPr>
          <w:rStyle w:val="CommentReference"/>
          <w:rFonts w:asciiTheme="minorHAnsi" w:hAnsiTheme="minorHAnsi" w:cstheme="minorHAnsi"/>
          <w:b w:val="0"/>
          <w:bCs/>
          <w:sz w:val="24"/>
          <w:szCs w:val="24"/>
        </w:rPr>
        <w:t>1</w:t>
      </w:r>
      <w:r w:rsidR="00C3504E" w:rsidRPr="007C65D7">
        <w:rPr>
          <w:rFonts w:cstheme="minorHAnsi"/>
          <w:b/>
          <w:bCs/>
          <w:szCs w:val="24"/>
        </w:rPr>
        <w:fldChar w:fldCharType="end"/>
      </w:r>
      <w:r w:rsidRPr="007C65D7">
        <w:rPr>
          <w:rFonts w:cstheme="minorHAnsi"/>
          <w:b/>
          <w:bCs/>
          <w:szCs w:val="24"/>
        </w:rPr>
        <w:t xml:space="preserve"> </w:t>
      </w:r>
      <w:r w:rsidRPr="007C65D7">
        <w:rPr>
          <w:rFonts w:cstheme="minorHAnsi"/>
          <w:szCs w:val="24"/>
        </w:rPr>
        <w:t>above</w:t>
      </w:r>
      <w:r w:rsidRPr="007C65D7">
        <w:rPr>
          <w:sz w:val="32"/>
          <w:szCs w:val="28"/>
        </w:rPr>
        <w:t xml:space="preserve"> </w:t>
      </w:r>
      <w:r w:rsidRPr="007C65D7">
        <w:t>for further detail.</w:t>
      </w:r>
    </w:p>
    <w:p w14:paraId="256C712D" w14:textId="4B3018F4" w:rsidR="0090775A" w:rsidRPr="007C65D7" w:rsidRDefault="004F6160" w:rsidP="006C5B33">
      <w:pPr>
        <w:pStyle w:val="3-BodyText"/>
      </w:pPr>
      <w:r w:rsidRPr="007C65D7">
        <w:t xml:space="preserve">The PICO from the </w:t>
      </w:r>
      <w:r w:rsidR="00D12C09" w:rsidRPr="007C65D7">
        <w:t>p</w:t>
      </w:r>
      <w:r w:rsidRPr="007C65D7">
        <w:t>revious submission is presented below</w:t>
      </w:r>
      <w:r w:rsidR="00A07C4C" w:rsidRPr="007C65D7">
        <w:t>.</w:t>
      </w:r>
    </w:p>
    <w:p w14:paraId="6E068388" w14:textId="24E61D82" w:rsidR="00D12C09" w:rsidRPr="007C65D7" w:rsidRDefault="00D12C09" w:rsidP="002D2C0B">
      <w:pPr>
        <w:pStyle w:val="Caption"/>
        <w:keepNext/>
        <w:keepLines/>
        <w:spacing w:after="0"/>
        <w:rPr>
          <w:rStyle w:val="CommentReference"/>
          <w:i w:val="0"/>
          <w:iCs w:val="0"/>
        </w:rPr>
      </w:pPr>
      <w:bookmarkStart w:id="5" w:name="_Ref132341662"/>
      <w:r w:rsidRPr="007C65D7">
        <w:rPr>
          <w:rStyle w:val="CommentReference"/>
          <w:i w:val="0"/>
          <w:iCs w:val="0"/>
        </w:rPr>
        <w:t xml:space="preserve">Table </w:t>
      </w:r>
      <w:bookmarkEnd w:id="5"/>
      <w:r w:rsidR="00C95E12" w:rsidRPr="007C65D7">
        <w:rPr>
          <w:rStyle w:val="CommentReference"/>
          <w:i w:val="0"/>
          <w:iCs w:val="0"/>
        </w:rPr>
        <w:fldChar w:fldCharType="begin" w:fldLock="1"/>
      </w:r>
      <w:r w:rsidR="00C95E12" w:rsidRPr="007C65D7">
        <w:rPr>
          <w:rStyle w:val="CommentReference"/>
          <w:i w:val="0"/>
          <w:iCs w:val="0"/>
        </w:rPr>
        <w:instrText xml:space="preserve"> SEQ Table \* ARABIC </w:instrText>
      </w:r>
      <w:r w:rsidR="00C95E12" w:rsidRPr="007C65D7">
        <w:rPr>
          <w:rStyle w:val="CommentReference"/>
          <w:i w:val="0"/>
          <w:iCs w:val="0"/>
        </w:rPr>
        <w:fldChar w:fldCharType="separate"/>
      </w:r>
      <w:r w:rsidR="00707345" w:rsidRPr="00582245">
        <w:rPr>
          <w:rStyle w:val="CommentReference"/>
          <w:i w:val="0"/>
          <w:iCs w:val="0"/>
        </w:rPr>
        <w:t>2</w:t>
      </w:r>
      <w:r w:rsidR="00C95E12" w:rsidRPr="007C65D7">
        <w:rPr>
          <w:rStyle w:val="CommentReference"/>
          <w:i w:val="0"/>
          <w:iCs w:val="0"/>
        </w:rPr>
        <w:fldChar w:fldCharType="end"/>
      </w:r>
      <w:r w:rsidRPr="007C65D7">
        <w:rPr>
          <w:rStyle w:val="CommentReference"/>
          <w:i w:val="0"/>
          <w:iCs w:val="0"/>
        </w:rPr>
        <w:t xml:space="preserve">: Key components of the clinical issue addressed by the resubmission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Key components of the clinical issue addressed by the resubmission "/>
        <w:tblDescription w:val="Table 2: Key components of the clinical issue addressed by the resubmission "/>
      </w:tblPr>
      <w:tblGrid>
        <w:gridCol w:w="1643"/>
        <w:gridCol w:w="7373"/>
      </w:tblGrid>
      <w:tr w:rsidR="00D12C09" w:rsidRPr="007C65D7" w14:paraId="049AF6C5" w14:textId="77777777" w:rsidTr="00C66BFD">
        <w:tc>
          <w:tcPr>
            <w:tcW w:w="911" w:type="pct"/>
            <w:vAlign w:val="center"/>
          </w:tcPr>
          <w:p w14:paraId="0AF0EF3F" w14:textId="77777777" w:rsidR="00D12C09" w:rsidRPr="00582245" w:rsidRDefault="00D12C09" w:rsidP="002D2C0B">
            <w:pPr>
              <w:pStyle w:val="In-tableHeading"/>
              <w:keepLines/>
              <w:widowControl/>
              <w:rPr>
                <w:lang w:val="en-AU"/>
              </w:rPr>
            </w:pPr>
            <w:r w:rsidRPr="00582245">
              <w:rPr>
                <w:lang w:val="en-AU"/>
              </w:rPr>
              <w:t>Component</w:t>
            </w:r>
          </w:p>
        </w:tc>
        <w:tc>
          <w:tcPr>
            <w:tcW w:w="4089" w:type="pct"/>
            <w:vAlign w:val="center"/>
          </w:tcPr>
          <w:p w14:paraId="5816FAA8" w14:textId="77777777" w:rsidR="00D12C09" w:rsidRPr="00582245" w:rsidRDefault="00D12C09" w:rsidP="002D2C0B">
            <w:pPr>
              <w:pStyle w:val="In-tableHeading"/>
              <w:keepLines/>
              <w:widowControl/>
              <w:rPr>
                <w:lang w:val="en-AU"/>
              </w:rPr>
            </w:pPr>
            <w:r w:rsidRPr="00582245">
              <w:rPr>
                <w:lang w:val="en-AU"/>
              </w:rPr>
              <w:t>Description</w:t>
            </w:r>
          </w:p>
        </w:tc>
      </w:tr>
      <w:tr w:rsidR="00D12C09" w:rsidRPr="007C65D7" w14:paraId="3E5FB0DC" w14:textId="77777777" w:rsidTr="00473C64">
        <w:tc>
          <w:tcPr>
            <w:tcW w:w="911" w:type="pct"/>
            <w:shd w:val="clear" w:color="auto" w:fill="auto"/>
            <w:vAlign w:val="center"/>
          </w:tcPr>
          <w:p w14:paraId="47F9A115" w14:textId="77777777" w:rsidR="00D12C09" w:rsidRPr="007C65D7" w:rsidRDefault="00D12C09" w:rsidP="002D2C0B">
            <w:pPr>
              <w:pStyle w:val="TableText"/>
              <w:keepLines/>
            </w:pPr>
            <w:r w:rsidRPr="007C65D7">
              <w:t>Population</w:t>
            </w:r>
          </w:p>
        </w:tc>
        <w:tc>
          <w:tcPr>
            <w:tcW w:w="4089" w:type="pct"/>
            <w:shd w:val="clear" w:color="auto" w:fill="auto"/>
          </w:tcPr>
          <w:p w14:paraId="4EA58156" w14:textId="77777777" w:rsidR="00D12C09" w:rsidRPr="007C65D7" w:rsidRDefault="00D12C09" w:rsidP="002D2C0B">
            <w:pPr>
              <w:pStyle w:val="TableText"/>
              <w:keepLines/>
            </w:pPr>
            <w:r w:rsidRPr="007C65D7">
              <w:t xml:space="preserve">Adult patients with symptomatic obstructive hypertrophic cardiomyopathy </w:t>
            </w:r>
          </w:p>
        </w:tc>
      </w:tr>
      <w:tr w:rsidR="00D12C09" w:rsidRPr="007C65D7" w14:paraId="2459E3BA" w14:textId="77777777" w:rsidTr="00473C64">
        <w:tc>
          <w:tcPr>
            <w:tcW w:w="911" w:type="pct"/>
            <w:shd w:val="clear" w:color="auto" w:fill="auto"/>
            <w:vAlign w:val="center"/>
          </w:tcPr>
          <w:p w14:paraId="7810C1FC" w14:textId="77777777" w:rsidR="00D12C09" w:rsidRPr="007C65D7" w:rsidRDefault="00D12C09" w:rsidP="002D2C0B">
            <w:pPr>
              <w:pStyle w:val="TableText"/>
              <w:keepLines/>
            </w:pPr>
            <w:r w:rsidRPr="007C65D7">
              <w:t>Intervention</w:t>
            </w:r>
          </w:p>
        </w:tc>
        <w:tc>
          <w:tcPr>
            <w:tcW w:w="4089" w:type="pct"/>
            <w:shd w:val="clear" w:color="auto" w:fill="auto"/>
          </w:tcPr>
          <w:p w14:paraId="35EEC720" w14:textId="56EE991D" w:rsidR="00D12C09" w:rsidRPr="007C65D7" w:rsidRDefault="00D12C09" w:rsidP="002D2C0B">
            <w:pPr>
              <w:pStyle w:val="TableText"/>
              <w:keepLines/>
            </w:pPr>
            <w:r w:rsidRPr="007C65D7">
              <w:t xml:space="preserve">Mavacamten </w:t>
            </w:r>
            <w:r w:rsidR="006A36F6" w:rsidRPr="007C65D7">
              <w:t>±</w:t>
            </w:r>
            <w:r w:rsidRPr="007C65D7">
              <w:t xml:space="preserve"> BB/CCB</w:t>
            </w:r>
          </w:p>
        </w:tc>
      </w:tr>
      <w:tr w:rsidR="00D12C09" w:rsidRPr="007C65D7" w14:paraId="6533A374" w14:textId="77777777" w:rsidTr="00473C64">
        <w:tc>
          <w:tcPr>
            <w:tcW w:w="911" w:type="pct"/>
            <w:shd w:val="clear" w:color="auto" w:fill="auto"/>
            <w:vAlign w:val="center"/>
          </w:tcPr>
          <w:p w14:paraId="27822CE4" w14:textId="77777777" w:rsidR="00D12C09" w:rsidRPr="007C65D7" w:rsidRDefault="00D12C09" w:rsidP="002D2C0B">
            <w:pPr>
              <w:pStyle w:val="TableText"/>
              <w:keepLines/>
            </w:pPr>
            <w:r w:rsidRPr="007C65D7">
              <w:t>Comparator</w:t>
            </w:r>
          </w:p>
        </w:tc>
        <w:tc>
          <w:tcPr>
            <w:tcW w:w="4089" w:type="pct"/>
            <w:shd w:val="clear" w:color="auto" w:fill="auto"/>
          </w:tcPr>
          <w:p w14:paraId="4800E3E5" w14:textId="5FD59A2E" w:rsidR="00D12C09" w:rsidRPr="007C65D7" w:rsidRDefault="00D12C09" w:rsidP="002D2C0B">
            <w:pPr>
              <w:pStyle w:val="TableText"/>
              <w:keepLines/>
            </w:pPr>
            <w:r w:rsidRPr="007C65D7">
              <w:t>BBs or CCBs (SOC) as per the pivotal clinical trial EXPLORER-HCM.</w:t>
            </w:r>
          </w:p>
        </w:tc>
      </w:tr>
      <w:tr w:rsidR="00D12C09" w:rsidRPr="007C65D7" w14:paraId="089CCB3E" w14:textId="77777777" w:rsidTr="00473C64">
        <w:tc>
          <w:tcPr>
            <w:tcW w:w="911" w:type="pct"/>
            <w:shd w:val="clear" w:color="auto" w:fill="auto"/>
            <w:vAlign w:val="center"/>
          </w:tcPr>
          <w:p w14:paraId="09127C20" w14:textId="77777777" w:rsidR="00D12C09" w:rsidRPr="007C65D7" w:rsidRDefault="00D12C09" w:rsidP="002D2C0B">
            <w:pPr>
              <w:pStyle w:val="TableText"/>
              <w:keepLines/>
            </w:pPr>
            <w:r w:rsidRPr="007C65D7">
              <w:t>Outcomes</w:t>
            </w:r>
          </w:p>
        </w:tc>
        <w:tc>
          <w:tcPr>
            <w:tcW w:w="4089" w:type="pct"/>
            <w:shd w:val="clear" w:color="auto" w:fill="auto"/>
          </w:tcPr>
          <w:p w14:paraId="25308914" w14:textId="3930E63C" w:rsidR="00D12C09" w:rsidRPr="007C65D7" w:rsidRDefault="00D12C09" w:rsidP="002D2C0B">
            <w:pPr>
              <w:pStyle w:val="Tabletext0"/>
              <w:keepNext/>
              <w:keepLines/>
            </w:pPr>
            <w:r w:rsidRPr="007C65D7">
              <w:t xml:space="preserve">Primary: </w:t>
            </w:r>
            <w:r w:rsidR="007711B5" w:rsidRPr="007C65D7">
              <w:t>a</w:t>
            </w:r>
            <w:r w:rsidRPr="007C65D7">
              <w:t>n improvement of ≥1.5 mL/kg/min mixed venous oxygen tension (pVO2) and a reduction of ≥1 class in NYHA Functional Class (Composite 1) OR;</w:t>
            </w:r>
          </w:p>
          <w:p w14:paraId="5207999C" w14:textId="23FD712D" w:rsidR="00D12C09" w:rsidRPr="007C65D7" w:rsidRDefault="007711B5" w:rsidP="002D2C0B">
            <w:pPr>
              <w:pStyle w:val="TableText"/>
              <w:keepLines/>
            </w:pPr>
            <w:r w:rsidRPr="007C65D7">
              <w:t>a</w:t>
            </w:r>
            <w:r w:rsidR="00D12C09" w:rsidRPr="007C65D7">
              <w:t xml:space="preserve">n improvement of ≥3.0 mL/kg/min in pVO2 with no worsening in NYHA Functional Class (Composite 2). </w:t>
            </w:r>
          </w:p>
        </w:tc>
      </w:tr>
      <w:tr w:rsidR="00D12C09" w:rsidRPr="007C65D7" w14:paraId="3FE7909E" w14:textId="77777777" w:rsidTr="00C66BFD">
        <w:tc>
          <w:tcPr>
            <w:tcW w:w="911" w:type="pct"/>
            <w:shd w:val="clear" w:color="auto" w:fill="auto"/>
            <w:vAlign w:val="center"/>
          </w:tcPr>
          <w:p w14:paraId="022DCDA3" w14:textId="77777777" w:rsidR="00D12C09" w:rsidRPr="007C65D7" w:rsidRDefault="00D12C09" w:rsidP="002D2C0B">
            <w:pPr>
              <w:pStyle w:val="TableText"/>
              <w:keepLines/>
            </w:pPr>
            <w:r w:rsidRPr="007C65D7">
              <w:t>Clinical claim</w:t>
            </w:r>
          </w:p>
        </w:tc>
        <w:tc>
          <w:tcPr>
            <w:tcW w:w="4089" w:type="pct"/>
            <w:shd w:val="clear" w:color="auto" w:fill="auto"/>
          </w:tcPr>
          <w:p w14:paraId="32369DF6" w14:textId="4CEB9BF8" w:rsidR="00D12C09" w:rsidRPr="007C65D7" w:rsidRDefault="00D12C09" w:rsidP="002D2C0B">
            <w:pPr>
              <w:pStyle w:val="Tabletext0"/>
              <w:keepNext/>
              <w:keepLines/>
            </w:pPr>
            <w:r w:rsidRPr="007C65D7">
              <w:t xml:space="preserve">Mavacamten </w:t>
            </w:r>
            <w:r w:rsidR="006A36F6" w:rsidRPr="007C65D7">
              <w:t>±</w:t>
            </w:r>
            <w:r w:rsidRPr="007C65D7">
              <w:t xml:space="preserve"> BB/CCB is superior in terms of efficacy to monotherapy BBs or CCBs. </w:t>
            </w:r>
          </w:p>
          <w:p w14:paraId="7456C59A" w14:textId="05CB6405" w:rsidR="00D12C09" w:rsidRPr="007C65D7" w:rsidRDefault="00D12C09" w:rsidP="002D2C0B">
            <w:pPr>
              <w:pStyle w:val="TableText"/>
              <w:keepLines/>
            </w:pPr>
            <w:r w:rsidRPr="007C65D7">
              <w:t xml:space="preserve">Mavacamten </w:t>
            </w:r>
            <w:r w:rsidR="006A36F6" w:rsidRPr="007C65D7">
              <w:t>±</w:t>
            </w:r>
            <w:r w:rsidRPr="007C65D7">
              <w:t xml:space="preserve"> BB/CCB has an </w:t>
            </w:r>
            <w:r w:rsidRPr="00582245">
              <w:t>inferior but manageable</w:t>
            </w:r>
            <w:r w:rsidRPr="007C65D7">
              <w:t xml:space="preserve"> safety profile to monotherapy BBs or CCBs.</w:t>
            </w:r>
          </w:p>
        </w:tc>
      </w:tr>
    </w:tbl>
    <w:p w14:paraId="31A3D7FD" w14:textId="66C8CF02" w:rsidR="00D12C09" w:rsidRPr="007C65D7" w:rsidRDefault="00D12C09" w:rsidP="002D2C0B">
      <w:pPr>
        <w:pStyle w:val="FooterTableFigure"/>
        <w:keepNext/>
        <w:keepLines/>
      </w:pPr>
      <w:r w:rsidRPr="007C65D7">
        <w:t xml:space="preserve">Source: Table 1, mavacamten </w:t>
      </w:r>
      <w:r w:rsidR="00EE4044" w:rsidRPr="007C65D7">
        <w:t>PSD</w:t>
      </w:r>
      <w:r w:rsidRPr="007C65D7">
        <w:t>, July 2023.</w:t>
      </w:r>
    </w:p>
    <w:p w14:paraId="75A1CF89" w14:textId="30899891" w:rsidR="00D12C09" w:rsidRPr="007C65D7" w:rsidRDefault="00D12C09" w:rsidP="00D12C09">
      <w:pPr>
        <w:pStyle w:val="FooterTableFigure"/>
      </w:pPr>
      <w:r w:rsidRPr="007C65D7">
        <w:t>BB</w:t>
      </w:r>
      <w:r w:rsidR="003E1160" w:rsidRPr="007C65D7">
        <w:t xml:space="preserve"> </w:t>
      </w:r>
      <w:r w:rsidRPr="007C65D7">
        <w:t>= beta-blockers; CCB</w:t>
      </w:r>
      <w:r w:rsidR="003E1160" w:rsidRPr="007C65D7">
        <w:t xml:space="preserve"> </w:t>
      </w:r>
      <w:r w:rsidRPr="007C65D7">
        <w:t>= calcium channel blockers; kg</w:t>
      </w:r>
      <w:r w:rsidR="003E1160" w:rsidRPr="007C65D7">
        <w:t xml:space="preserve"> </w:t>
      </w:r>
      <w:r w:rsidRPr="007C65D7">
        <w:t>= kilogram; mg</w:t>
      </w:r>
      <w:r w:rsidR="003E1160" w:rsidRPr="007C65D7">
        <w:t xml:space="preserve"> </w:t>
      </w:r>
      <w:r w:rsidRPr="007C65D7">
        <w:t xml:space="preserve">= milligram; </w:t>
      </w:r>
      <w:bookmarkStart w:id="6" w:name="_Hlk150431514"/>
      <w:r w:rsidRPr="007C65D7">
        <w:t>NYHA</w:t>
      </w:r>
      <w:r w:rsidR="003E1160" w:rsidRPr="007C65D7">
        <w:t xml:space="preserve"> </w:t>
      </w:r>
      <w:r w:rsidRPr="007C65D7">
        <w:t>= New York Heart Association</w:t>
      </w:r>
      <w:bookmarkEnd w:id="6"/>
      <w:r w:rsidRPr="007C65D7">
        <w:t>; pVO2</w:t>
      </w:r>
      <w:r w:rsidR="003E1160" w:rsidRPr="007C65D7">
        <w:t xml:space="preserve"> </w:t>
      </w:r>
      <w:r w:rsidRPr="007C65D7">
        <w:t>= peak oxygen consumption; SOC = standard of care.</w:t>
      </w:r>
    </w:p>
    <w:p w14:paraId="587432E9" w14:textId="35F19CC9" w:rsidR="00C068A6" w:rsidRPr="007C65D7" w:rsidRDefault="004B2E01" w:rsidP="00DD59D8">
      <w:pPr>
        <w:pStyle w:val="2-SectionHeading"/>
        <w:numPr>
          <w:ilvl w:val="0"/>
          <w:numId w:val="2"/>
        </w:numPr>
      </w:pPr>
      <w:r w:rsidRPr="007C65D7">
        <w:lastRenderedPageBreak/>
        <w:t>Requested listing</w:t>
      </w:r>
      <w:r w:rsidR="007C08E0" w:rsidRPr="007C65D7">
        <w:t xml:space="preserve"> </w:t>
      </w:r>
    </w:p>
    <w:p w14:paraId="52B32E3B" w14:textId="2C3CD913" w:rsidR="00733CCC" w:rsidRPr="007C65D7" w:rsidRDefault="00802E34" w:rsidP="00733CCC">
      <w:pPr>
        <w:pStyle w:val="3-BodyText"/>
      </w:pPr>
      <w:r w:rsidRPr="007C65D7">
        <w:t>In</w:t>
      </w:r>
      <w:r w:rsidR="00733CCC" w:rsidRPr="007C65D7">
        <w:t xml:space="preserve"> July 2023</w:t>
      </w:r>
      <w:r w:rsidRPr="007C65D7">
        <w:t>, the</w:t>
      </w:r>
      <w:r w:rsidR="00733CCC" w:rsidRPr="007C65D7">
        <w:t xml:space="preserve"> PBAC considered the appropriate authority level was </w:t>
      </w:r>
      <w:r w:rsidR="00733CCC" w:rsidRPr="007C65D7">
        <w:rPr>
          <w:color w:val="000000" w:themeColor="text1"/>
        </w:rPr>
        <w:t>a written authority listing for initial therapy and a telephone/online PBS authority for continuing therapy</w:t>
      </w:r>
      <w:r w:rsidR="003433BA" w:rsidRPr="007C65D7">
        <w:rPr>
          <w:color w:val="000000" w:themeColor="text1"/>
        </w:rPr>
        <w:t>, including</w:t>
      </w:r>
      <w:r w:rsidR="00733CCC" w:rsidRPr="007C65D7">
        <w:rPr>
          <w:color w:val="000000" w:themeColor="text1"/>
        </w:rPr>
        <w:t xml:space="preserve"> a requirement for clinical monitoring by cardiologists or consultant physicians with experience in the management of </w:t>
      </w:r>
      <w:r w:rsidR="003433BA" w:rsidRPr="007C65D7">
        <w:rPr>
          <w:color w:val="000000" w:themeColor="text1"/>
        </w:rPr>
        <w:t>HCM</w:t>
      </w:r>
      <w:r w:rsidR="00733CCC" w:rsidRPr="007C65D7">
        <w:rPr>
          <w:color w:val="000000" w:themeColor="text1"/>
        </w:rPr>
        <w:t>.</w:t>
      </w:r>
    </w:p>
    <w:p w14:paraId="157F847A" w14:textId="3AAB5E34" w:rsidR="006D0625" w:rsidRPr="007C65D7" w:rsidRDefault="007A3577" w:rsidP="00DD59D8">
      <w:pPr>
        <w:pStyle w:val="3-BodyText"/>
      </w:pPr>
      <w:r w:rsidRPr="007C65D7">
        <w:t>In the July 2023 commentary, the PBAC Secretariat</w:t>
      </w:r>
      <w:r w:rsidR="005328A1" w:rsidRPr="007C65D7">
        <w:t xml:space="preserve"> had</w:t>
      </w:r>
      <w:r w:rsidRPr="007C65D7">
        <w:t xml:space="preserve"> proposed PBAC consider an additional restriction option that </w:t>
      </w:r>
      <w:r w:rsidR="00D36FC2" w:rsidRPr="007C65D7">
        <w:t xml:space="preserve">was </w:t>
      </w:r>
      <w:r w:rsidRPr="007C65D7">
        <w:t>inclusive of all treatment phases with suggested authority type (telephone/electronic)</w:t>
      </w:r>
      <w:r w:rsidR="00F65EDB" w:rsidRPr="007C65D7">
        <w:t xml:space="preserve">. </w:t>
      </w:r>
      <w:r w:rsidR="00733CCC" w:rsidRPr="007C65D7">
        <w:t xml:space="preserve">In this resubmission, two </w:t>
      </w:r>
      <w:r w:rsidR="00203194" w:rsidRPr="007C65D7">
        <w:t xml:space="preserve">listing </w:t>
      </w:r>
      <w:r w:rsidR="00733CCC" w:rsidRPr="007C65D7">
        <w:t xml:space="preserve">options </w:t>
      </w:r>
      <w:r w:rsidR="00DA382F" w:rsidRPr="007C65D7">
        <w:t xml:space="preserve">were </w:t>
      </w:r>
      <w:r w:rsidR="00733CCC" w:rsidRPr="007C65D7">
        <w:t>proposed for the PBAC’s consideration</w:t>
      </w:r>
      <w:r w:rsidR="00203194" w:rsidRPr="007C65D7">
        <w:t>:</w:t>
      </w:r>
      <w:r w:rsidR="00733CCC" w:rsidRPr="007C65D7">
        <w:t xml:space="preserve"> </w:t>
      </w:r>
      <w:r w:rsidR="00203194" w:rsidRPr="007C65D7">
        <w:t xml:space="preserve">(1) </w:t>
      </w:r>
      <w:r w:rsidR="004854EC" w:rsidRPr="007C65D7">
        <w:t xml:space="preserve">an </w:t>
      </w:r>
      <w:r w:rsidR="00733CCC" w:rsidRPr="007C65D7">
        <w:t>‘all treatment phase’ restriction</w:t>
      </w:r>
      <w:r w:rsidR="00203194" w:rsidRPr="007C65D7">
        <w:t>;</w:t>
      </w:r>
      <w:r w:rsidR="006F15B6" w:rsidRPr="006F15B6">
        <w:t xml:space="preserve"> </w:t>
      </w:r>
      <w:r w:rsidR="00203194" w:rsidRPr="007C65D7">
        <w:t>and (2)</w:t>
      </w:r>
      <w:r w:rsidR="00C6022A" w:rsidRPr="007C65D7">
        <w:t xml:space="preserve"> separate</w:t>
      </w:r>
      <w:r w:rsidR="00733CCC" w:rsidRPr="007C65D7">
        <w:t xml:space="preserve"> initial, continuing and grandfather restrictions.</w:t>
      </w:r>
      <w:r w:rsidRPr="007C65D7">
        <w:t xml:space="preserve"> </w:t>
      </w:r>
      <w:r w:rsidR="00F71922" w:rsidRPr="007C65D7">
        <w:t>T</w:t>
      </w:r>
      <w:r w:rsidR="006D0625" w:rsidRPr="007C65D7">
        <w:t>he</w:t>
      </w:r>
      <w:r w:rsidR="00112ECF" w:rsidRPr="007C65D7">
        <w:t xml:space="preserve"> resubmission’s proposed </w:t>
      </w:r>
      <w:r w:rsidR="006D0625" w:rsidRPr="007C65D7">
        <w:t>initial and continuing</w:t>
      </w:r>
      <w:r w:rsidR="00112ECF" w:rsidRPr="007C65D7">
        <w:t xml:space="preserve"> listings are presented </w:t>
      </w:r>
      <w:r w:rsidR="006D0625" w:rsidRPr="007C65D7">
        <w:t xml:space="preserve">below in </w:t>
      </w:r>
      <w:r w:rsidR="006632B3" w:rsidRPr="007C65D7">
        <w:fldChar w:fldCharType="begin" w:fldLock="1"/>
      </w:r>
      <w:r w:rsidR="006632B3" w:rsidRPr="007C65D7">
        <w:instrText xml:space="preserve"> REF _Ref150434128 \h </w:instrText>
      </w:r>
      <w:r w:rsidR="006D0625" w:rsidRPr="007C65D7">
        <w:instrText xml:space="preserve"> \* MERGEFORMAT </w:instrText>
      </w:r>
      <w:r w:rsidR="006632B3" w:rsidRPr="007C65D7">
        <w:fldChar w:fldCharType="separate"/>
      </w:r>
      <w:r w:rsidR="00707345" w:rsidRPr="007C65D7">
        <w:t xml:space="preserve">Table </w:t>
      </w:r>
      <w:r w:rsidR="00707345" w:rsidRPr="00582245">
        <w:t>3</w:t>
      </w:r>
      <w:r w:rsidR="006632B3" w:rsidRPr="007C65D7">
        <w:fldChar w:fldCharType="end"/>
      </w:r>
      <w:r w:rsidR="006D0625" w:rsidRPr="007C65D7">
        <w:t xml:space="preserve"> and</w:t>
      </w:r>
      <w:r w:rsidR="006632B3" w:rsidRPr="007C65D7">
        <w:t xml:space="preserve"> </w:t>
      </w:r>
      <w:r w:rsidR="006632B3" w:rsidRPr="007C65D7">
        <w:fldChar w:fldCharType="begin" w:fldLock="1"/>
      </w:r>
      <w:r w:rsidR="006632B3" w:rsidRPr="007C65D7">
        <w:instrText xml:space="preserve"> REF _Ref150434142 \h </w:instrText>
      </w:r>
      <w:r w:rsidR="006D0625" w:rsidRPr="007C65D7">
        <w:instrText xml:space="preserve"> \* MERGEFORMAT </w:instrText>
      </w:r>
      <w:r w:rsidR="006632B3" w:rsidRPr="007C65D7">
        <w:fldChar w:fldCharType="separate"/>
      </w:r>
      <w:r w:rsidR="00707345" w:rsidRPr="007C65D7">
        <w:t xml:space="preserve">Table </w:t>
      </w:r>
      <w:r w:rsidR="00707345" w:rsidRPr="00582245">
        <w:t>4</w:t>
      </w:r>
      <w:r w:rsidR="006632B3" w:rsidRPr="007C65D7">
        <w:fldChar w:fldCharType="end"/>
      </w:r>
      <w:r w:rsidR="00F71922" w:rsidRPr="007C65D7">
        <w:t xml:space="preserve"> below</w:t>
      </w:r>
      <w:r w:rsidR="00112ECF" w:rsidRPr="007C65D7">
        <w:t xml:space="preserve">. </w:t>
      </w:r>
      <w:r w:rsidR="006D0625" w:rsidRPr="007C65D7">
        <w:t>Additions proposed by the Secretariat are in italics and deletions are in strikethrough.</w:t>
      </w:r>
    </w:p>
    <w:p w14:paraId="47300B24" w14:textId="45B07BFB" w:rsidR="001C6252" w:rsidRPr="007C65D7" w:rsidRDefault="001C6252" w:rsidP="00DD59D8">
      <w:pPr>
        <w:pStyle w:val="3-BodyText"/>
      </w:pPr>
      <w:r w:rsidRPr="007C65D7">
        <w:t>The pre-PBAC response suggested that:</w:t>
      </w:r>
    </w:p>
    <w:p w14:paraId="1E91347C" w14:textId="4BFC34A6" w:rsidR="001C6252" w:rsidRPr="007C65D7" w:rsidRDefault="009A3D3F" w:rsidP="001C6252">
      <w:pPr>
        <w:pStyle w:val="3-BodyText"/>
        <w:numPr>
          <w:ilvl w:val="2"/>
          <w:numId w:val="2"/>
        </w:numPr>
        <w:ind w:left="1134" w:hanging="357"/>
      </w:pPr>
      <w:r w:rsidRPr="007C65D7">
        <w:t>An LVEF threshold of &lt;50%, not 55%, would be appropriate for the continuing and discontinuation phases, given the PI instruction that, ‘</w:t>
      </w:r>
      <w:r w:rsidRPr="004A755C">
        <w:t xml:space="preserve">If at any clinical visit LVEF is &lt;50%, treatment should be interrupted. Restart treatment after 4 weeks at one lower dose level (e.g., 5 to 2.5 mg; 10 to 5 mg; 15 to 10 mg) if LVEF ≥50%. Patients on 2.5 mg who temporarily interrupted treatment on two consecutive occasions </w:t>
      </w:r>
      <w:r w:rsidRPr="00582245">
        <w:t>because their LVEF remains &lt;50% should discontinue treatmen</w:t>
      </w:r>
      <w:r w:rsidRPr="007C65D7">
        <w:t>t’.</w:t>
      </w:r>
    </w:p>
    <w:p w14:paraId="58656021" w14:textId="752D27E5" w:rsidR="00CE2626" w:rsidRPr="007C65D7" w:rsidRDefault="009A3D3F" w:rsidP="001C6252">
      <w:pPr>
        <w:pStyle w:val="3-BodyText"/>
        <w:numPr>
          <w:ilvl w:val="2"/>
          <w:numId w:val="2"/>
        </w:numPr>
        <w:ind w:left="1134" w:hanging="357"/>
      </w:pPr>
      <w:r w:rsidRPr="007C65D7">
        <w:t>The continuing response assessment should be at 4</w:t>
      </w:r>
      <w:r w:rsidR="00582245">
        <w:sym w:font="Symbol" w:char="F02D"/>
      </w:r>
      <w:r w:rsidRPr="007C65D7">
        <w:t xml:space="preserve">6 months </w:t>
      </w:r>
      <w:r w:rsidRPr="00582245">
        <w:t>on the optimal dose</w:t>
      </w:r>
      <w:r w:rsidRPr="007C65D7">
        <w:rPr>
          <w:i/>
          <w:iCs/>
        </w:rPr>
        <w:t xml:space="preserve"> </w:t>
      </w:r>
      <w:r w:rsidRPr="007C65D7">
        <w:t>of mavacamten, rather than 4</w:t>
      </w:r>
      <w:r w:rsidR="00582245">
        <w:sym w:font="Symbol" w:char="F02D"/>
      </w:r>
      <w:r w:rsidRPr="007C65D7">
        <w:t xml:space="preserve">6 months after treatment initiation per the Secretariat suggestions. The pre-PBAC response </w:t>
      </w:r>
      <w:r w:rsidR="00CE2626" w:rsidRPr="007C65D7">
        <w:t xml:space="preserve">noted that </w:t>
      </w:r>
      <w:r w:rsidR="00133A75" w:rsidRPr="007C65D7">
        <w:t xml:space="preserve">per the PI, </w:t>
      </w:r>
      <w:r w:rsidR="00CE2626" w:rsidRPr="007C65D7">
        <w:t>the earliest timepoint a patient can titrate to the 10 mg and 15 mg dose is at 12 and 24 weeks respectively, and considered that assessment at 4</w:t>
      </w:r>
      <w:r w:rsidR="00582245">
        <w:sym w:font="Symbol" w:char="F02D"/>
      </w:r>
      <w:r w:rsidR="00CE2626" w:rsidRPr="007C65D7">
        <w:t>6 months</w:t>
      </w:r>
      <w:r w:rsidR="00D74B84" w:rsidRPr="007C65D7">
        <w:t xml:space="preserve"> after initiation</w:t>
      </w:r>
      <w:r w:rsidR="00CE2626" w:rsidRPr="007C65D7">
        <w:t xml:space="preserve"> may not allow sufficient time for a patient to demonstrate response</w:t>
      </w:r>
      <w:r w:rsidR="00C85A37" w:rsidRPr="007C65D7">
        <w:t xml:space="preserve"> </w:t>
      </w:r>
      <w:r w:rsidR="00050AC7" w:rsidRPr="007C65D7">
        <w:t>at</w:t>
      </w:r>
      <w:r w:rsidR="00C85A37" w:rsidRPr="007C65D7">
        <w:t xml:space="preserve"> these dose</w:t>
      </w:r>
      <w:r w:rsidR="00050AC7" w:rsidRPr="007C65D7">
        <w:t>s</w:t>
      </w:r>
      <w:r w:rsidR="00CE2626" w:rsidRPr="007C65D7">
        <w:t xml:space="preserve">. </w:t>
      </w:r>
    </w:p>
    <w:p w14:paraId="257C9741" w14:textId="510911CC" w:rsidR="009A3D3F" w:rsidRPr="007C65D7" w:rsidRDefault="00CE2626" w:rsidP="004A755C">
      <w:pPr>
        <w:pStyle w:val="3-BodyText"/>
        <w:numPr>
          <w:ilvl w:val="2"/>
          <w:numId w:val="2"/>
        </w:numPr>
        <w:ind w:left="1134" w:hanging="357"/>
      </w:pPr>
      <w:r w:rsidRPr="007C65D7">
        <w:t xml:space="preserve">The initial phase repeats should be increased from 2 to 5, to allow for 6 months treatment in total and adequate time to demonstrate response. The pre-PBAC response noted that mavacamten requires titration and individualised dosing based on echocardiogram, and as such the timeframe in which patients transition to maintenance therapy will vary. </w:t>
      </w:r>
    </w:p>
    <w:p w14:paraId="1E690A63" w14:textId="0D5BA083" w:rsidR="00AA1EEB" w:rsidRPr="007C65D7" w:rsidRDefault="00AA1EEB" w:rsidP="00E9307B">
      <w:pPr>
        <w:pStyle w:val="3-BodyText"/>
      </w:pPr>
      <w:r w:rsidRPr="007C65D7">
        <w:t xml:space="preserve">The resubmission did not specify a published DPMQ but special pricing arrangements are requested. The revised effective DPMQ is </w:t>
      </w:r>
      <w:r w:rsidR="00521B0F" w:rsidRPr="00521B0F">
        <w:t>$</w:t>
      </w:r>
      <w:r w:rsidR="00521B0F" w:rsidRPr="00DB3A96">
        <w:rPr>
          <w:color w:val="000000"/>
          <w:w w:val="15"/>
          <w:shd w:val="solid" w:color="000000" w:fill="000000"/>
          <w:fitText w:val="-20" w:id="-1032076026"/>
          <w14:textFill>
            <w14:solidFill>
              <w14:srgbClr w14:val="000000">
                <w14:alpha w14:val="100000"/>
              </w14:srgbClr>
            </w14:solidFill>
          </w14:textFill>
        </w:rPr>
        <w:t xml:space="preserve">| </w:t>
      </w:r>
      <w:r w:rsidR="00521B0F" w:rsidRPr="00DB3A96">
        <w:rPr>
          <w:color w:val="000000"/>
          <w:spacing w:val="-61"/>
          <w:w w:val="15"/>
          <w:shd w:val="solid" w:color="000000" w:fill="000000"/>
          <w:fitText w:val="-20" w:id="-1032076026"/>
          <w14:textFill>
            <w14:solidFill>
              <w14:srgbClr w14:val="000000">
                <w14:alpha w14:val="100000"/>
              </w14:srgbClr>
            </w14:solidFill>
          </w14:textFill>
        </w:rPr>
        <w:t>|</w:t>
      </w:r>
      <w:r w:rsidRPr="007C65D7">
        <w:t xml:space="preserve">. The </w:t>
      </w:r>
      <w:r w:rsidR="00587CEF">
        <w:t xml:space="preserve">pre-PBAC response confirmed the proposed </w:t>
      </w:r>
      <w:r w:rsidR="00587CEF" w:rsidRPr="007C65D7">
        <w:t xml:space="preserve">published DPMQ </w:t>
      </w:r>
      <w:r w:rsidR="00587CEF">
        <w:t xml:space="preserve">was as </w:t>
      </w:r>
      <w:r w:rsidRPr="007C65D7">
        <w:t>previously requested from July 2023</w:t>
      </w:r>
      <w:r w:rsidR="00587CEF">
        <w:t>, that is</w:t>
      </w:r>
      <w:r w:rsidRPr="007C65D7">
        <w:t xml:space="preserve"> $2,312.92. </w:t>
      </w:r>
    </w:p>
    <w:p w14:paraId="4909DB8F" w14:textId="0A632DA5" w:rsidR="004F18A6" w:rsidRPr="007C65D7" w:rsidRDefault="006632B3" w:rsidP="002D2C0B">
      <w:pPr>
        <w:pStyle w:val="TableFigureHeading"/>
        <w:keepLines/>
      </w:pPr>
      <w:bookmarkStart w:id="7" w:name="_Ref150434128"/>
      <w:bookmarkStart w:id="8" w:name="_Ref150434125"/>
      <w:r w:rsidRPr="007C65D7">
        <w:t xml:space="preserve">Table </w:t>
      </w:r>
      <w:fldSimple w:instr=" SEQ Table \* ARABIC " w:fldLock="1">
        <w:r w:rsidR="00707345" w:rsidRPr="004A755C">
          <w:t>3</w:t>
        </w:r>
      </w:fldSimple>
      <w:bookmarkEnd w:id="7"/>
      <w:r w:rsidRPr="007C65D7">
        <w:t xml:space="preserve">: </w:t>
      </w:r>
      <w:r w:rsidR="004F18A6" w:rsidRPr="007C65D7">
        <w:t>Initial Restriction</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9"/>
        <w:gridCol w:w="815"/>
        <w:gridCol w:w="817"/>
        <w:gridCol w:w="815"/>
        <w:gridCol w:w="817"/>
        <w:gridCol w:w="1803"/>
      </w:tblGrid>
      <w:tr w:rsidR="003A0ECE" w:rsidRPr="003A0ECE" w14:paraId="06A8A1AD" w14:textId="77777777" w:rsidTr="00F71922">
        <w:trPr>
          <w:trHeight w:val="20"/>
        </w:trPr>
        <w:tc>
          <w:tcPr>
            <w:tcW w:w="2190" w:type="pct"/>
            <w:vAlign w:val="center"/>
          </w:tcPr>
          <w:p w14:paraId="1A38C8A1" w14:textId="77777777" w:rsidR="004F18A6" w:rsidRPr="003A0ECE" w:rsidRDefault="004F18A6" w:rsidP="002D2C0B">
            <w:pPr>
              <w:keepNext/>
              <w:keepLines/>
              <w:rPr>
                <w:rFonts w:ascii="Arial Narrow" w:hAnsi="Arial Narrow" w:cs="Arial"/>
                <w:b/>
                <w:bCs/>
                <w:sz w:val="20"/>
                <w:szCs w:val="20"/>
              </w:rPr>
            </w:pPr>
            <w:r w:rsidRPr="003A0ECE">
              <w:rPr>
                <w:rFonts w:ascii="Arial Narrow" w:hAnsi="Arial Narrow" w:cs="Arial"/>
                <w:b/>
                <w:bCs/>
                <w:sz w:val="20"/>
                <w:szCs w:val="20"/>
              </w:rPr>
              <w:t>MEDICINAL PRODUCT</w:t>
            </w:r>
          </w:p>
          <w:p w14:paraId="0F758D80" w14:textId="77777777" w:rsidR="004F18A6" w:rsidRPr="003A0ECE" w:rsidRDefault="004F18A6" w:rsidP="002D2C0B">
            <w:pPr>
              <w:keepNext/>
              <w:keepLines/>
              <w:rPr>
                <w:rFonts w:ascii="Arial Narrow" w:hAnsi="Arial Narrow" w:cs="Arial"/>
                <w:b/>
                <w:sz w:val="20"/>
                <w:szCs w:val="20"/>
              </w:rPr>
            </w:pPr>
            <w:r w:rsidRPr="003A0ECE">
              <w:rPr>
                <w:rFonts w:ascii="Arial Narrow" w:hAnsi="Arial Narrow" w:cs="Arial"/>
                <w:b/>
                <w:bCs/>
                <w:sz w:val="20"/>
                <w:szCs w:val="20"/>
              </w:rPr>
              <w:t>medicinal product pack</w:t>
            </w:r>
          </w:p>
        </w:tc>
        <w:tc>
          <w:tcPr>
            <w:tcW w:w="452" w:type="pct"/>
            <w:vAlign w:val="center"/>
          </w:tcPr>
          <w:p w14:paraId="2BC22624" w14:textId="77777777" w:rsidR="004F18A6" w:rsidRPr="003A0ECE" w:rsidRDefault="004F18A6" w:rsidP="002D2C0B">
            <w:pPr>
              <w:keepNext/>
              <w:keepLines/>
              <w:jc w:val="center"/>
              <w:rPr>
                <w:rFonts w:ascii="Arial Narrow" w:hAnsi="Arial Narrow" w:cs="Arial"/>
                <w:b/>
                <w:sz w:val="20"/>
                <w:szCs w:val="20"/>
              </w:rPr>
            </w:pPr>
            <w:r w:rsidRPr="003A0ECE">
              <w:rPr>
                <w:rFonts w:ascii="Arial Narrow" w:hAnsi="Arial Narrow" w:cs="Arial"/>
                <w:b/>
                <w:sz w:val="20"/>
                <w:szCs w:val="20"/>
              </w:rPr>
              <w:t>PBS item code</w:t>
            </w:r>
          </w:p>
        </w:tc>
        <w:tc>
          <w:tcPr>
            <w:tcW w:w="453" w:type="pct"/>
            <w:vAlign w:val="center"/>
          </w:tcPr>
          <w:p w14:paraId="523E0739" w14:textId="77777777" w:rsidR="004F18A6" w:rsidRPr="003A0ECE" w:rsidRDefault="004F18A6" w:rsidP="002D2C0B">
            <w:pPr>
              <w:keepNext/>
              <w:keepLines/>
              <w:jc w:val="center"/>
              <w:rPr>
                <w:rFonts w:ascii="Arial Narrow" w:hAnsi="Arial Narrow" w:cs="Arial"/>
                <w:b/>
                <w:sz w:val="20"/>
                <w:szCs w:val="20"/>
              </w:rPr>
            </w:pPr>
            <w:r w:rsidRPr="003A0ECE">
              <w:rPr>
                <w:rFonts w:ascii="Arial Narrow" w:hAnsi="Arial Narrow" w:cs="Arial"/>
                <w:b/>
                <w:sz w:val="20"/>
                <w:szCs w:val="20"/>
              </w:rPr>
              <w:t>Max. qty packs</w:t>
            </w:r>
          </w:p>
        </w:tc>
        <w:tc>
          <w:tcPr>
            <w:tcW w:w="452" w:type="pct"/>
            <w:vAlign w:val="center"/>
          </w:tcPr>
          <w:p w14:paraId="30A7EEDF" w14:textId="77777777" w:rsidR="004F18A6" w:rsidRPr="003A0ECE" w:rsidRDefault="004F18A6" w:rsidP="002D2C0B">
            <w:pPr>
              <w:keepNext/>
              <w:keepLines/>
              <w:jc w:val="center"/>
              <w:rPr>
                <w:rFonts w:ascii="Arial Narrow" w:hAnsi="Arial Narrow" w:cs="Arial"/>
                <w:b/>
                <w:sz w:val="20"/>
                <w:szCs w:val="20"/>
              </w:rPr>
            </w:pPr>
            <w:r w:rsidRPr="003A0ECE">
              <w:rPr>
                <w:rFonts w:ascii="Arial Narrow" w:hAnsi="Arial Narrow" w:cs="Arial"/>
                <w:b/>
                <w:sz w:val="20"/>
                <w:szCs w:val="20"/>
              </w:rPr>
              <w:t>Max. qty units</w:t>
            </w:r>
          </w:p>
        </w:tc>
        <w:tc>
          <w:tcPr>
            <w:tcW w:w="453" w:type="pct"/>
            <w:vAlign w:val="center"/>
          </w:tcPr>
          <w:p w14:paraId="3583C0B2" w14:textId="77777777" w:rsidR="004F18A6" w:rsidRPr="003A0ECE" w:rsidRDefault="004F18A6" w:rsidP="002D2C0B">
            <w:pPr>
              <w:keepNext/>
              <w:keepLines/>
              <w:jc w:val="center"/>
              <w:rPr>
                <w:rFonts w:ascii="Arial Narrow" w:hAnsi="Arial Narrow" w:cs="Arial"/>
                <w:b/>
                <w:sz w:val="20"/>
                <w:szCs w:val="20"/>
              </w:rPr>
            </w:pPr>
            <w:r w:rsidRPr="003A0ECE">
              <w:rPr>
                <w:rFonts w:ascii="Arial Narrow" w:hAnsi="Arial Narrow" w:cs="Arial"/>
                <w:b/>
                <w:sz w:val="20"/>
                <w:szCs w:val="20"/>
              </w:rPr>
              <w:t>№.of</w:t>
            </w:r>
          </w:p>
          <w:p w14:paraId="1A8444C8" w14:textId="77777777" w:rsidR="004F18A6" w:rsidRPr="003A0ECE" w:rsidRDefault="004F18A6" w:rsidP="002D2C0B">
            <w:pPr>
              <w:keepNext/>
              <w:keepLines/>
              <w:jc w:val="center"/>
              <w:rPr>
                <w:rFonts w:ascii="Arial Narrow" w:hAnsi="Arial Narrow" w:cs="Arial"/>
                <w:b/>
                <w:sz w:val="20"/>
                <w:szCs w:val="20"/>
              </w:rPr>
            </w:pPr>
            <w:r w:rsidRPr="003A0ECE">
              <w:rPr>
                <w:rFonts w:ascii="Arial Narrow" w:hAnsi="Arial Narrow" w:cs="Arial"/>
                <w:b/>
                <w:sz w:val="20"/>
                <w:szCs w:val="20"/>
              </w:rPr>
              <w:t>Rpts</w:t>
            </w:r>
          </w:p>
        </w:tc>
        <w:tc>
          <w:tcPr>
            <w:tcW w:w="1000" w:type="pct"/>
            <w:vAlign w:val="center"/>
          </w:tcPr>
          <w:p w14:paraId="5F4F7782" w14:textId="77777777" w:rsidR="004F18A6" w:rsidRPr="003A0ECE" w:rsidRDefault="004F18A6" w:rsidP="002D2C0B">
            <w:pPr>
              <w:keepNext/>
              <w:keepLines/>
              <w:rPr>
                <w:rFonts w:ascii="Arial Narrow" w:hAnsi="Arial Narrow" w:cs="Arial"/>
                <w:b/>
                <w:sz w:val="20"/>
                <w:szCs w:val="20"/>
              </w:rPr>
            </w:pPr>
            <w:r w:rsidRPr="003A0ECE">
              <w:rPr>
                <w:rFonts w:ascii="Arial Narrow" w:hAnsi="Arial Narrow" w:cs="Arial"/>
                <w:b/>
                <w:sz w:val="20"/>
                <w:szCs w:val="20"/>
              </w:rPr>
              <w:t>Available brands</w:t>
            </w:r>
          </w:p>
        </w:tc>
      </w:tr>
      <w:tr w:rsidR="003A0ECE" w:rsidRPr="003A0ECE" w14:paraId="0EDC6B88" w14:textId="77777777" w:rsidTr="00F71922">
        <w:trPr>
          <w:trHeight w:val="20"/>
        </w:trPr>
        <w:tc>
          <w:tcPr>
            <w:tcW w:w="5000" w:type="pct"/>
            <w:gridSpan w:val="6"/>
            <w:vAlign w:val="center"/>
          </w:tcPr>
          <w:p w14:paraId="0E4F2F76" w14:textId="77777777" w:rsidR="004F18A6" w:rsidRPr="003A0ECE" w:rsidRDefault="004F18A6" w:rsidP="002D2C0B">
            <w:pPr>
              <w:keepNext/>
              <w:keepLines/>
              <w:rPr>
                <w:rFonts w:ascii="Arial Narrow" w:hAnsi="Arial Narrow" w:cs="Arial"/>
                <w:sz w:val="20"/>
                <w:szCs w:val="20"/>
              </w:rPr>
            </w:pPr>
            <w:r w:rsidRPr="003A0ECE">
              <w:rPr>
                <w:rFonts w:ascii="Arial Narrow" w:hAnsi="Arial Narrow" w:cs="Arial"/>
                <w:sz w:val="20"/>
                <w:szCs w:val="20"/>
              </w:rPr>
              <w:t>MAVACAMTEN</w:t>
            </w:r>
          </w:p>
        </w:tc>
      </w:tr>
      <w:tr w:rsidR="003A0ECE" w:rsidRPr="003A0ECE" w14:paraId="753678B2" w14:textId="77777777" w:rsidTr="00F71922">
        <w:trPr>
          <w:trHeight w:val="20"/>
        </w:trPr>
        <w:tc>
          <w:tcPr>
            <w:tcW w:w="2190" w:type="pct"/>
            <w:vAlign w:val="center"/>
          </w:tcPr>
          <w:p w14:paraId="3915F395" w14:textId="77777777" w:rsidR="004F18A6" w:rsidRPr="003A0ECE" w:rsidRDefault="004F18A6" w:rsidP="002D2C0B">
            <w:pPr>
              <w:keepNext/>
              <w:keepLines/>
              <w:rPr>
                <w:rFonts w:ascii="Arial Narrow" w:hAnsi="Arial Narrow" w:cs="Arial"/>
                <w:sz w:val="20"/>
                <w:szCs w:val="20"/>
              </w:rPr>
            </w:pPr>
            <w:r w:rsidRPr="003A0ECE">
              <w:rPr>
                <w:rFonts w:ascii="Arial Narrow" w:hAnsi="Arial Narrow" w:cs="Arial"/>
                <w:sz w:val="20"/>
                <w:szCs w:val="20"/>
              </w:rPr>
              <w:t xml:space="preserve">mavacamten 2.5 mg capsule, 28 </w:t>
            </w:r>
          </w:p>
        </w:tc>
        <w:tc>
          <w:tcPr>
            <w:tcW w:w="452" w:type="pct"/>
            <w:vAlign w:val="center"/>
          </w:tcPr>
          <w:p w14:paraId="1A2E774B" w14:textId="77777777" w:rsidR="004F18A6" w:rsidRPr="003A0ECE" w:rsidRDefault="004F18A6" w:rsidP="002D2C0B">
            <w:pPr>
              <w:keepNext/>
              <w:keepLines/>
              <w:jc w:val="center"/>
              <w:rPr>
                <w:rFonts w:ascii="Arial Narrow" w:hAnsi="Arial Narrow" w:cs="Arial"/>
                <w:sz w:val="20"/>
                <w:szCs w:val="20"/>
              </w:rPr>
            </w:pPr>
            <w:r w:rsidRPr="003A0ECE">
              <w:rPr>
                <w:rFonts w:ascii="Arial Narrow" w:hAnsi="Arial Narrow" w:cs="Arial"/>
                <w:sz w:val="20"/>
                <w:szCs w:val="20"/>
              </w:rPr>
              <w:t>NEW</w:t>
            </w:r>
          </w:p>
        </w:tc>
        <w:tc>
          <w:tcPr>
            <w:tcW w:w="453" w:type="pct"/>
            <w:vAlign w:val="center"/>
          </w:tcPr>
          <w:p w14:paraId="03A33BC3" w14:textId="77777777" w:rsidR="004F18A6" w:rsidRPr="003A0ECE" w:rsidRDefault="004F18A6" w:rsidP="002D2C0B">
            <w:pPr>
              <w:keepNext/>
              <w:keepLines/>
              <w:jc w:val="center"/>
              <w:rPr>
                <w:rFonts w:ascii="Arial Narrow" w:hAnsi="Arial Narrow" w:cs="Arial"/>
                <w:sz w:val="20"/>
                <w:szCs w:val="20"/>
              </w:rPr>
            </w:pPr>
            <w:r w:rsidRPr="003A0ECE">
              <w:rPr>
                <w:rFonts w:ascii="Arial Narrow" w:hAnsi="Arial Narrow" w:cs="Arial"/>
                <w:sz w:val="20"/>
                <w:szCs w:val="20"/>
              </w:rPr>
              <w:t>1</w:t>
            </w:r>
          </w:p>
        </w:tc>
        <w:tc>
          <w:tcPr>
            <w:tcW w:w="452" w:type="pct"/>
            <w:vAlign w:val="center"/>
          </w:tcPr>
          <w:p w14:paraId="28384E34" w14:textId="77777777" w:rsidR="004F18A6" w:rsidRPr="003A0ECE" w:rsidRDefault="004F18A6" w:rsidP="002D2C0B">
            <w:pPr>
              <w:keepNext/>
              <w:keepLines/>
              <w:jc w:val="center"/>
              <w:rPr>
                <w:rFonts w:ascii="Arial Narrow" w:hAnsi="Arial Narrow" w:cs="Arial"/>
                <w:sz w:val="20"/>
                <w:szCs w:val="20"/>
              </w:rPr>
            </w:pPr>
            <w:r w:rsidRPr="003A0ECE">
              <w:rPr>
                <w:rFonts w:ascii="Arial Narrow" w:hAnsi="Arial Narrow" w:cs="Arial"/>
                <w:sz w:val="20"/>
                <w:szCs w:val="20"/>
              </w:rPr>
              <w:t>28</w:t>
            </w:r>
          </w:p>
        </w:tc>
        <w:tc>
          <w:tcPr>
            <w:tcW w:w="453" w:type="pct"/>
            <w:vAlign w:val="center"/>
          </w:tcPr>
          <w:p w14:paraId="131CFABC" w14:textId="77777777" w:rsidR="004F18A6" w:rsidRPr="003A0ECE" w:rsidRDefault="004F18A6" w:rsidP="002D2C0B">
            <w:pPr>
              <w:keepNext/>
              <w:keepLines/>
              <w:jc w:val="center"/>
              <w:rPr>
                <w:rFonts w:ascii="Arial Narrow" w:hAnsi="Arial Narrow" w:cs="Arial"/>
                <w:sz w:val="20"/>
                <w:szCs w:val="20"/>
              </w:rPr>
            </w:pPr>
            <w:r w:rsidRPr="003A0ECE">
              <w:rPr>
                <w:rFonts w:ascii="Arial Narrow" w:hAnsi="Arial Narrow" w:cs="Arial"/>
                <w:sz w:val="20"/>
                <w:szCs w:val="20"/>
              </w:rPr>
              <w:t>2</w:t>
            </w:r>
          </w:p>
        </w:tc>
        <w:tc>
          <w:tcPr>
            <w:tcW w:w="1000" w:type="pct"/>
            <w:vAlign w:val="center"/>
          </w:tcPr>
          <w:p w14:paraId="59CBA99B" w14:textId="77777777" w:rsidR="004F18A6" w:rsidRPr="003A0ECE" w:rsidRDefault="004F18A6" w:rsidP="002D2C0B">
            <w:pPr>
              <w:keepNext/>
              <w:keepLines/>
              <w:rPr>
                <w:rFonts w:ascii="Arial Narrow" w:hAnsi="Arial Narrow" w:cs="Arial"/>
                <w:sz w:val="20"/>
                <w:szCs w:val="20"/>
              </w:rPr>
            </w:pPr>
            <w:r w:rsidRPr="003A0ECE">
              <w:rPr>
                <w:rFonts w:ascii="Arial Narrow" w:hAnsi="Arial Narrow" w:cs="Arial"/>
                <w:sz w:val="20"/>
                <w:szCs w:val="20"/>
              </w:rPr>
              <w:t>Camzyos®</w:t>
            </w:r>
          </w:p>
        </w:tc>
      </w:tr>
      <w:tr w:rsidR="003A0ECE" w:rsidRPr="003A0ECE" w14:paraId="2D6CC9FC" w14:textId="77777777" w:rsidTr="00F71922">
        <w:trPr>
          <w:trHeight w:val="20"/>
        </w:trPr>
        <w:tc>
          <w:tcPr>
            <w:tcW w:w="2190" w:type="pct"/>
            <w:vAlign w:val="center"/>
          </w:tcPr>
          <w:p w14:paraId="45C13941" w14:textId="77777777" w:rsidR="004F18A6" w:rsidRPr="003A0ECE" w:rsidRDefault="004F18A6" w:rsidP="002D2C0B">
            <w:pPr>
              <w:keepNext/>
              <w:keepLines/>
              <w:rPr>
                <w:rFonts w:ascii="Arial Narrow" w:hAnsi="Arial Narrow" w:cs="Arial"/>
                <w:sz w:val="20"/>
                <w:szCs w:val="20"/>
              </w:rPr>
            </w:pPr>
            <w:r w:rsidRPr="003A0ECE">
              <w:rPr>
                <w:rFonts w:ascii="Arial Narrow" w:hAnsi="Arial Narrow" w:cs="Arial"/>
                <w:sz w:val="20"/>
                <w:szCs w:val="20"/>
              </w:rPr>
              <w:t>mavacamten 5 mg capsule, 28</w:t>
            </w:r>
          </w:p>
        </w:tc>
        <w:tc>
          <w:tcPr>
            <w:tcW w:w="452" w:type="pct"/>
            <w:vAlign w:val="center"/>
          </w:tcPr>
          <w:p w14:paraId="20BE3E5E" w14:textId="77777777" w:rsidR="004F18A6" w:rsidRPr="003A0ECE" w:rsidRDefault="004F18A6" w:rsidP="002D2C0B">
            <w:pPr>
              <w:keepNext/>
              <w:keepLines/>
              <w:jc w:val="center"/>
              <w:rPr>
                <w:rFonts w:ascii="Arial Narrow" w:hAnsi="Arial Narrow" w:cs="Arial"/>
                <w:sz w:val="20"/>
                <w:szCs w:val="20"/>
              </w:rPr>
            </w:pPr>
            <w:r w:rsidRPr="003A0ECE">
              <w:rPr>
                <w:rFonts w:ascii="Arial Narrow" w:hAnsi="Arial Narrow" w:cs="Arial"/>
                <w:sz w:val="20"/>
                <w:szCs w:val="20"/>
              </w:rPr>
              <w:t>NEW</w:t>
            </w:r>
          </w:p>
        </w:tc>
        <w:tc>
          <w:tcPr>
            <w:tcW w:w="453" w:type="pct"/>
            <w:vAlign w:val="center"/>
          </w:tcPr>
          <w:p w14:paraId="3D6B6820" w14:textId="77777777" w:rsidR="004F18A6" w:rsidRPr="003A0ECE" w:rsidRDefault="004F18A6" w:rsidP="002D2C0B">
            <w:pPr>
              <w:keepNext/>
              <w:keepLines/>
              <w:jc w:val="center"/>
              <w:rPr>
                <w:rFonts w:ascii="Arial Narrow" w:hAnsi="Arial Narrow" w:cs="Arial"/>
                <w:sz w:val="20"/>
                <w:szCs w:val="20"/>
              </w:rPr>
            </w:pPr>
            <w:r w:rsidRPr="003A0ECE">
              <w:rPr>
                <w:rFonts w:ascii="Arial Narrow" w:hAnsi="Arial Narrow" w:cs="Arial"/>
                <w:sz w:val="20"/>
                <w:szCs w:val="20"/>
              </w:rPr>
              <w:t>1</w:t>
            </w:r>
          </w:p>
        </w:tc>
        <w:tc>
          <w:tcPr>
            <w:tcW w:w="452" w:type="pct"/>
            <w:vAlign w:val="center"/>
          </w:tcPr>
          <w:p w14:paraId="5C867482" w14:textId="77777777" w:rsidR="004F18A6" w:rsidRPr="003A0ECE" w:rsidRDefault="004F18A6" w:rsidP="002D2C0B">
            <w:pPr>
              <w:keepNext/>
              <w:keepLines/>
              <w:jc w:val="center"/>
              <w:rPr>
                <w:rFonts w:ascii="Arial Narrow" w:hAnsi="Arial Narrow" w:cs="Arial"/>
                <w:sz w:val="20"/>
                <w:szCs w:val="20"/>
              </w:rPr>
            </w:pPr>
            <w:r w:rsidRPr="003A0ECE">
              <w:rPr>
                <w:rFonts w:ascii="Arial Narrow" w:hAnsi="Arial Narrow" w:cs="Arial"/>
                <w:sz w:val="20"/>
                <w:szCs w:val="20"/>
              </w:rPr>
              <w:t>28</w:t>
            </w:r>
          </w:p>
        </w:tc>
        <w:tc>
          <w:tcPr>
            <w:tcW w:w="453" w:type="pct"/>
            <w:vAlign w:val="center"/>
          </w:tcPr>
          <w:p w14:paraId="2D3073BF" w14:textId="77777777" w:rsidR="004F18A6" w:rsidRPr="003A0ECE" w:rsidRDefault="004F18A6" w:rsidP="002D2C0B">
            <w:pPr>
              <w:keepNext/>
              <w:keepLines/>
              <w:jc w:val="center"/>
              <w:rPr>
                <w:rFonts w:ascii="Arial Narrow" w:hAnsi="Arial Narrow" w:cs="Arial"/>
                <w:sz w:val="20"/>
                <w:szCs w:val="20"/>
              </w:rPr>
            </w:pPr>
            <w:r w:rsidRPr="003A0ECE">
              <w:rPr>
                <w:rFonts w:ascii="Arial Narrow" w:hAnsi="Arial Narrow" w:cs="Arial"/>
                <w:sz w:val="20"/>
                <w:szCs w:val="20"/>
              </w:rPr>
              <w:t>2</w:t>
            </w:r>
          </w:p>
        </w:tc>
        <w:tc>
          <w:tcPr>
            <w:tcW w:w="1000" w:type="pct"/>
            <w:vAlign w:val="center"/>
          </w:tcPr>
          <w:p w14:paraId="36D53C08" w14:textId="77777777" w:rsidR="004F18A6" w:rsidRPr="003A0ECE" w:rsidRDefault="004F18A6" w:rsidP="002D2C0B">
            <w:pPr>
              <w:keepNext/>
              <w:keepLines/>
              <w:rPr>
                <w:rFonts w:ascii="Arial Narrow" w:hAnsi="Arial Narrow" w:cs="Arial"/>
                <w:sz w:val="20"/>
                <w:szCs w:val="20"/>
              </w:rPr>
            </w:pPr>
            <w:r w:rsidRPr="003A0ECE">
              <w:rPr>
                <w:rFonts w:ascii="Arial Narrow" w:hAnsi="Arial Narrow" w:cs="Arial"/>
                <w:sz w:val="20"/>
                <w:szCs w:val="20"/>
              </w:rPr>
              <w:t>Camzyos®</w:t>
            </w:r>
          </w:p>
        </w:tc>
      </w:tr>
      <w:tr w:rsidR="003A0ECE" w:rsidRPr="003A0ECE" w14:paraId="71A14160"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right w:val="single" w:sz="4" w:space="0" w:color="auto"/>
            </w:tcBorders>
            <w:vAlign w:val="center"/>
          </w:tcPr>
          <w:p w14:paraId="418DA289" w14:textId="77777777" w:rsidR="004F18A6" w:rsidRPr="003A0ECE" w:rsidRDefault="004F18A6" w:rsidP="0066099F">
            <w:pPr>
              <w:rPr>
                <w:rFonts w:ascii="Arial Narrow" w:hAnsi="Arial Narrow" w:cs="Arial"/>
                <w:sz w:val="20"/>
                <w:szCs w:val="20"/>
              </w:rPr>
            </w:pPr>
          </w:p>
        </w:tc>
      </w:tr>
      <w:tr w:rsidR="003A0ECE" w:rsidRPr="003A0ECE" w14:paraId="47006004"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right w:val="single" w:sz="4" w:space="0" w:color="auto"/>
            </w:tcBorders>
            <w:vAlign w:val="center"/>
          </w:tcPr>
          <w:p w14:paraId="5255F763" w14:textId="77777777" w:rsidR="004F18A6" w:rsidRPr="003A0ECE" w:rsidRDefault="004F18A6" w:rsidP="0066099F">
            <w:pPr>
              <w:keepLines/>
              <w:rPr>
                <w:rFonts w:ascii="Arial Narrow" w:hAnsi="Arial Narrow" w:cs="Arial"/>
                <w:b/>
                <w:sz w:val="20"/>
                <w:szCs w:val="20"/>
              </w:rPr>
            </w:pPr>
            <w:r w:rsidRPr="003A0ECE">
              <w:rPr>
                <w:rFonts w:ascii="Arial Narrow" w:hAnsi="Arial Narrow" w:cs="Arial"/>
                <w:b/>
                <w:sz w:val="20"/>
                <w:szCs w:val="20"/>
              </w:rPr>
              <w:t xml:space="preserve">Restriction Summary [new 1] / Treatment of Concept: [new 2] </w:t>
            </w:r>
          </w:p>
        </w:tc>
      </w:tr>
      <w:tr w:rsidR="003A0ECE" w:rsidRPr="003A0ECE" w14:paraId="1218EE5D"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4704521" w14:textId="77777777" w:rsidR="004F18A6" w:rsidRPr="003A0ECE" w:rsidRDefault="004F18A6" w:rsidP="0066099F">
            <w:pPr>
              <w:keepLines/>
              <w:rPr>
                <w:rFonts w:ascii="Arial Narrow" w:hAnsi="Arial Narrow" w:cs="Arial"/>
                <w:sz w:val="20"/>
                <w:szCs w:val="20"/>
              </w:rPr>
            </w:pPr>
            <w:r w:rsidRPr="003A0ECE">
              <w:rPr>
                <w:rFonts w:ascii="Arial Narrow" w:hAnsi="Arial Narrow" w:cs="Arial"/>
                <w:b/>
                <w:sz w:val="20"/>
                <w:szCs w:val="20"/>
              </w:rPr>
              <w:t xml:space="preserve">Category / Program: </w:t>
            </w:r>
            <w:r w:rsidRPr="003A0ECE">
              <w:rPr>
                <w:rFonts w:ascii="Arial Narrow" w:hAnsi="Arial Narrow" w:cs="Arial"/>
                <w:sz w:val="20"/>
                <w:szCs w:val="20"/>
              </w:rPr>
              <w:t xml:space="preserve">GENERAL – General Schedule (Code GE) </w:t>
            </w:r>
          </w:p>
        </w:tc>
      </w:tr>
      <w:tr w:rsidR="003A0ECE" w:rsidRPr="003A0ECE" w14:paraId="18EE1D9E"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17D2480" w14:textId="370D6F76" w:rsidR="004F18A6" w:rsidRPr="003A0ECE" w:rsidRDefault="004F18A6" w:rsidP="0066099F">
            <w:pPr>
              <w:keepLines/>
              <w:rPr>
                <w:rFonts w:ascii="Arial Narrow" w:hAnsi="Arial Narrow" w:cs="Arial"/>
                <w:b/>
                <w:sz w:val="20"/>
                <w:szCs w:val="20"/>
              </w:rPr>
            </w:pPr>
            <w:r w:rsidRPr="003A0ECE">
              <w:rPr>
                <w:rFonts w:ascii="Arial Narrow" w:hAnsi="Arial Narrow" w:cs="Arial"/>
                <w:b/>
                <w:sz w:val="20"/>
                <w:szCs w:val="20"/>
              </w:rPr>
              <w:t xml:space="preserve">Prescriber type: </w:t>
            </w:r>
            <w:r w:rsidRPr="003A0ECE">
              <w:rPr>
                <w:rFonts w:ascii="Arial Narrow" w:hAnsi="Arial Narrow" w:cs="Arial"/>
                <w:sz w:val="20"/>
                <w:szCs w:val="20"/>
              </w:rPr>
              <w:fldChar w:fldCharType="begin" w:fldLock="1">
                <w:ffData>
                  <w:name w:val=""/>
                  <w:enabled/>
                  <w:calcOnExit w:val="0"/>
                  <w:checkBox>
                    <w:sizeAuto/>
                    <w:default w:val="1"/>
                  </w:checkBox>
                </w:ffData>
              </w:fldChar>
            </w:r>
            <w:r w:rsidRPr="003A0ECE">
              <w:rPr>
                <w:rFonts w:ascii="Arial Narrow" w:hAnsi="Arial Narrow" w:cs="Arial"/>
                <w:sz w:val="20"/>
                <w:szCs w:val="20"/>
              </w:rPr>
              <w:instrText xml:space="preserve"> FORMCHECKBOX </w:instrText>
            </w:r>
            <w:r w:rsidR="00DB3A96">
              <w:rPr>
                <w:rFonts w:ascii="Arial Narrow" w:hAnsi="Arial Narrow" w:cs="Arial"/>
                <w:sz w:val="20"/>
                <w:szCs w:val="20"/>
              </w:rPr>
            </w:r>
            <w:r w:rsidR="00DB3A96">
              <w:rPr>
                <w:rFonts w:ascii="Arial Narrow" w:hAnsi="Arial Narrow" w:cs="Arial"/>
                <w:sz w:val="20"/>
                <w:szCs w:val="20"/>
              </w:rPr>
              <w:fldChar w:fldCharType="separate"/>
            </w:r>
            <w:r w:rsidRPr="003A0ECE">
              <w:rPr>
                <w:rFonts w:ascii="Arial Narrow" w:hAnsi="Arial Narrow" w:cs="Arial"/>
                <w:sz w:val="20"/>
                <w:szCs w:val="20"/>
              </w:rPr>
              <w:fldChar w:fldCharType="end"/>
            </w:r>
            <w:r w:rsidRPr="003A0ECE">
              <w:rPr>
                <w:rFonts w:ascii="Arial Narrow" w:hAnsi="Arial Narrow" w:cs="Arial"/>
                <w:sz w:val="20"/>
                <w:szCs w:val="20"/>
              </w:rPr>
              <w:t>Medical Practitioners</w:t>
            </w:r>
            <w:r w:rsidR="006F15B6" w:rsidRPr="006F15B6">
              <w:rPr>
                <w:rFonts w:ascii="Arial Narrow" w:hAnsi="Arial Narrow" w:cs="Arial"/>
                <w:sz w:val="20"/>
                <w:szCs w:val="20"/>
              </w:rPr>
              <w:t xml:space="preserve"> </w:t>
            </w:r>
          </w:p>
        </w:tc>
      </w:tr>
      <w:tr w:rsidR="003A0ECE" w:rsidRPr="003A0ECE" w14:paraId="5E4B1052"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1F2E515" w14:textId="291F4EDE" w:rsidR="004F18A6" w:rsidRPr="003A0ECE" w:rsidRDefault="004F18A6" w:rsidP="0066099F">
            <w:pPr>
              <w:rPr>
                <w:rFonts w:ascii="Arial Narrow" w:eastAsia="Calibri" w:hAnsi="Arial Narrow" w:cs="Arial"/>
                <w:sz w:val="20"/>
                <w:szCs w:val="20"/>
              </w:rPr>
            </w:pPr>
            <w:r w:rsidRPr="003A0ECE">
              <w:rPr>
                <w:rFonts w:ascii="Arial Narrow" w:hAnsi="Arial Narrow" w:cs="Arial"/>
                <w:b/>
                <w:sz w:val="20"/>
                <w:szCs w:val="20"/>
              </w:rPr>
              <w:t xml:space="preserve">Restriction Type: </w:t>
            </w:r>
            <w:r w:rsidRPr="003A0ECE">
              <w:rPr>
                <w:rFonts w:ascii="Arial Narrow" w:eastAsia="Calibri" w:hAnsi="Arial Narrow" w:cs="Arial"/>
                <w:sz w:val="20"/>
                <w:szCs w:val="20"/>
              </w:rPr>
              <w:fldChar w:fldCharType="begin" w:fldLock="1">
                <w:ffData>
                  <w:name w:val=""/>
                  <w:enabled/>
                  <w:calcOnExit w:val="0"/>
                  <w:checkBox>
                    <w:sizeAuto/>
                    <w:default w:val="1"/>
                  </w:checkBox>
                </w:ffData>
              </w:fldChar>
            </w:r>
            <w:r w:rsidRPr="003A0ECE">
              <w:rPr>
                <w:rFonts w:ascii="Arial Narrow" w:eastAsia="Calibri" w:hAnsi="Arial Narrow" w:cs="Arial"/>
                <w:sz w:val="20"/>
                <w:szCs w:val="20"/>
              </w:rPr>
              <w:instrText xml:space="preserve"> FORMCHECKBOX </w:instrText>
            </w:r>
            <w:r w:rsidR="00DB3A96">
              <w:rPr>
                <w:rFonts w:ascii="Arial Narrow" w:eastAsia="Calibri" w:hAnsi="Arial Narrow" w:cs="Arial"/>
                <w:sz w:val="20"/>
                <w:szCs w:val="20"/>
              </w:rPr>
            </w:r>
            <w:r w:rsidR="00DB3A96">
              <w:rPr>
                <w:rFonts w:ascii="Arial Narrow" w:eastAsia="Calibri" w:hAnsi="Arial Narrow" w:cs="Arial"/>
                <w:sz w:val="20"/>
                <w:szCs w:val="20"/>
              </w:rPr>
              <w:fldChar w:fldCharType="separate"/>
            </w:r>
            <w:r w:rsidRPr="003A0ECE">
              <w:rPr>
                <w:rFonts w:ascii="Arial Narrow" w:eastAsia="Calibri" w:hAnsi="Arial Narrow" w:cs="Arial"/>
                <w:sz w:val="20"/>
                <w:szCs w:val="20"/>
              </w:rPr>
              <w:fldChar w:fldCharType="end"/>
            </w:r>
            <w:r w:rsidRPr="003A0ECE">
              <w:rPr>
                <w:rFonts w:ascii="Arial Narrow" w:eastAsia="Calibri" w:hAnsi="Arial Narrow" w:cs="Arial"/>
                <w:sz w:val="20"/>
                <w:szCs w:val="20"/>
              </w:rPr>
              <w:t xml:space="preserve"> immediate/real-time assessment by Services Australia via the online PBS Authorities System (real time assessment), or in writing via HPOS form upload or mail; requires at least one concept ID to be marked as ‘FULL’ for full assessment by Services Australia)</w:t>
            </w:r>
          </w:p>
        </w:tc>
      </w:tr>
      <w:tr w:rsidR="003A0ECE" w:rsidRPr="003A0ECE" w14:paraId="7AFAFF40"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172ED701" w14:textId="31215E76" w:rsidR="004F18A6" w:rsidRPr="003A0ECE" w:rsidRDefault="004F18A6" w:rsidP="006D0625">
            <w:pPr>
              <w:rPr>
                <w:rFonts w:ascii="Arial Narrow" w:hAnsi="Arial Narrow" w:cs="Arial"/>
                <w:sz w:val="20"/>
                <w:szCs w:val="20"/>
              </w:rPr>
            </w:pPr>
            <w:r w:rsidRPr="003A0ECE">
              <w:rPr>
                <w:rFonts w:ascii="Arial Narrow" w:hAnsi="Arial Narrow" w:cs="Arial"/>
                <w:b/>
                <w:bCs/>
                <w:sz w:val="20"/>
                <w:szCs w:val="20"/>
              </w:rPr>
              <w:t>Administrative Advice:</w:t>
            </w:r>
            <w:r w:rsidR="006D0625" w:rsidRPr="003A0ECE">
              <w:rPr>
                <w:rFonts w:ascii="Arial Narrow" w:hAnsi="Arial Narrow" w:cs="Arial"/>
                <w:b/>
                <w:bCs/>
                <w:sz w:val="20"/>
                <w:szCs w:val="20"/>
              </w:rPr>
              <w:t xml:space="preserve"> </w:t>
            </w:r>
            <w:r w:rsidRPr="003A0ECE">
              <w:rPr>
                <w:rFonts w:ascii="Arial Narrow" w:hAnsi="Arial Narrow" w:cs="Arial"/>
                <w:sz w:val="20"/>
                <w:szCs w:val="20"/>
              </w:rPr>
              <w:t>No increase in the maximum number of repeats may be authorised.</w:t>
            </w:r>
          </w:p>
        </w:tc>
      </w:tr>
      <w:tr w:rsidR="003A0ECE" w:rsidRPr="003A0ECE" w14:paraId="173D5602"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6CFF3FBE" w14:textId="6831971A" w:rsidR="004F18A6" w:rsidRPr="003A0ECE" w:rsidRDefault="004F18A6" w:rsidP="006D0625">
            <w:pPr>
              <w:rPr>
                <w:rFonts w:ascii="Arial Narrow" w:hAnsi="Arial Narrow" w:cs="Arial"/>
                <w:sz w:val="20"/>
                <w:szCs w:val="20"/>
              </w:rPr>
            </w:pPr>
            <w:r w:rsidRPr="003A0ECE">
              <w:rPr>
                <w:rFonts w:ascii="Arial Narrow" w:hAnsi="Arial Narrow" w:cs="Arial"/>
                <w:b/>
                <w:bCs/>
                <w:sz w:val="20"/>
                <w:szCs w:val="20"/>
              </w:rPr>
              <w:t>Administrative Advice:</w:t>
            </w:r>
            <w:r w:rsidR="006D0625" w:rsidRPr="003A0ECE">
              <w:rPr>
                <w:rFonts w:ascii="Arial Narrow" w:hAnsi="Arial Narrow" w:cs="Arial"/>
                <w:b/>
                <w:bCs/>
                <w:sz w:val="20"/>
                <w:szCs w:val="20"/>
              </w:rPr>
              <w:t xml:space="preserve"> </w:t>
            </w:r>
            <w:r w:rsidRPr="003A0ECE">
              <w:rPr>
                <w:rFonts w:ascii="Arial Narrow" w:hAnsi="Arial Narrow" w:cs="Arial"/>
                <w:sz w:val="20"/>
                <w:szCs w:val="20"/>
              </w:rPr>
              <w:t>Special Pricing Arrangements apply.</w:t>
            </w:r>
          </w:p>
        </w:tc>
      </w:tr>
      <w:tr w:rsidR="003A0ECE" w:rsidRPr="003A0ECE" w14:paraId="647D57E7"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128A737E" w14:textId="517EB02A" w:rsidR="004F18A6" w:rsidRPr="003A0ECE" w:rsidRDefault="004F18A6" w:rsidP="006D0625">
            <w:pPr>
              <w:rPr>
                <w:rFonts w:ascii="Arial Narrow" w:hAnsi="Arial Narrow" w:cs="Arial"/>
                <w:b/>
                <w:bCs/>
                <w:sz w:val="20"/>
                <w:szCs w:val="20"/>
              </w:rPr>
            </w:pPr>
            <w:r w:rsidRPr="003A0ECE">
              <w:rPr>
                <w:rFonts w:ascii="Arial Narrow" w:hAnsi="Arial Narrow" w:cs="Arial"/>
                <w:b/>
                <w:bCs/>
                <w:sz w:val="20"/>
                <w:szCs w:val="20"/>
              </w:rPr>
              <w:t>Administrative Advice:</w:t>
            </w:r>
            <w:r w:rsidR="006D0625" w:rsidRPr="003A0ECE">
              <w:rPr>
                <w:rFonts w:ascii="Arial Narrow" w:hAnsi="Arial Narrow" w:cs="Arial"/>
                <w:b/>
                <w:bCs/>
                <w:sz w:val="20"/>
                <w:szCs w:val="20"/>
              </w:rPr>
              <w:t xml:space="preserve"> </w:t>
            </w:r>
            <w:r w:rsidRPr="003A0ECE">
              <w:rPr>
                <w:rFonts w:ascii="Arial Narrow" w:hAnsi="Arial Narrow" w:cs="Arial"/>
                <w:sz w:val="20"/>
                <w:szCs w:val="20"/>
              </w:rPr>
              <w:t>Confirmation of eligibility for treatment with diagnostic reports must be documented in the patient’s medical records.</w:t>
            </w:r>
          </w:p>
        </w:tc>
      </w:tr>
      <w:tr w:rsidR="003A0ECE" w:rsidRPr="003A0ECE" w14:paraId="0627DD18"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61293D77" w14:textId="04390E6F" w:rsidR="004F18A6" w:rsidRPr="003A0ECE" w:rsidRDefault="004F18A6" w:rsidP="006D0625">
            <w:pPr>
              <w:rPr>
                <w:rFonts w:ascii="Arial Narrow" w:hAnsi="Arial Narrow" w:cs="Arial"/>
                <w:b/>
                <w:bCs/>
                <w:sz w:val="20"/>
                <w:szCs w:val="20"/>
              </w:rPr>
            </w:pPr>
            <w:r w:rsidRPr="003A0ECE">
              <w:rPr>
                <w:rFonts w:ascii="Arial Narrow" w:hAnsi="Arial Narrow" w:cs="Arial"/>
                <w:b/>
                <w:bCs/>
                <w:sz w:val="20"/>
                <w:szCs w:val="20"/>
              </w:rPr>
              <w:t>Caution</w:t>
            </w:r>
            <w:r w:rsidRPr="003A0ECE">
              <w:rPr>
                <w:rFonts w:ascii="Arial Narrow" w:hAnsi="Arial Narrow" w:cs="Arial"/>
                <w:b/>
                <w:bCs/>
                <w:i/>
                <w:iCs/>
                <w:sz w:val="20"/>
                <w:szCs w:val="20"/>
              </w:rPr>
              <w:t xml:space="preserve">: </w:t>
            </w:r>
            <w:r w:rsidRPr="003A0ECE">
              <w:rPr>
                <w:rFonts w:ascii="Arial Narrow" w:hAnsi="Arial Narrow" w:cs="Arial"/>
                <w:sz w:val="20"/>
                <w:szCs w:val="20"/>
              </w:rPr>
              <w:t xml:space="preserve">The patient’s condition should be assessed prior to receiving treatment and closely monitored throughout the treatment period. </w:t>
            </w:r>
          </w:p>
        </w:tc>
      </w:tr>
      <w:tr w:rsidR="003A0ECE" w:rsidRPr="003A0ECE" w14:paraId="017E33AF" w14:textId="77777777" w:rsidTr="00F71922">
        <w:tblPrEx>
          <w:tblCellMar>
            <w:top w:w="15" w:type="dxa"/>
            <w:bottom w:w="15" w:type="dxa"/>
          </w:tblCellMar>
          <w:tblLook w:val="04A0" w:firstRow="1" w:lastRow="0" w:firstColumn="1" w:lastColumn="0" w:noHBand="0" w:noVBand="1"/>
        </w:tblPrEx>
        <w:trPr>
          <w:trHeight w:val="116"/>
        </w:trPr>
        <w:tc>
          <w:tcPr>
            <w:tcW w:w="5000" w:type="pct"/>
            <w:gridSpan w:val="6"/>
            <w:vAlign w:val="center"/>
          </w:tcPr>
          <w:p w14:paraId="4259938C" w14:textId="77777777" w:rsidR="004F18A6" w:rsidRPr="003A0ECE" w:rsidRDefault="004F18A6" w:rsidP="0066099F">
            <w:pPr>
              <w:keepLines/>
              <w:rPr>
                <w:rFonts w:ascii="Arial Narrow" w:hAnsi="Arial Narrow" w:cs="Arial"/>
                <w:bCs/>
                <w:sz w:val="20"/>
                <w:szCs w:val="20"/>
              </w:rPr>
            </w:pPr>
            <w:r w:rsidRPr="003A0ECE">
              <w:rPr>
                <w:rFonts w:ascii="Arial Narrow" w:hAnsi="Arial Narrow" w:cs="Arial"/>
                <w:b/>
                <w:bCs/>
                <w:sz w:val="20"/>
                <w:szCs w:val="20"/>
              </w:rPr>
              <w:t xml:space="preserve">Condition: </w:t>
            </w:r>
            <w:r w:rsidRPr="003A0ECE">
              <w:rPr>
                <w:rFonts w:ascii="Arial Narrow" w:hAnsi="Arial Narrow" w:cs="Arial"/>
                <w:bCs/>
                <w:sz w:val="20"/>
                <w:szCs w:val="20"/>
              </w:rPr>
              <w:t>Symptomatic obstructive hypertrophic cardiomyopathy</w:t>
            </w:r>
          </w:p>
        </w:tc>
      </w:tr>
      <w:tr w:rsidR="003A0ECE" w:rsidRPr="003A0ECE" w14:paraId="2623511E"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vAlign w:val="center"/>
            <w:hideMark/>
          </w:tcPr>
          <w:p w14:paraId="61918189" w14:textId="77777777" w:rsidR="004F18A6" w:rsidRPr="003A0ECE" w:rsidRDefault="004F18A6" w:rsidP="0066099F">
            <w:pPr>
              <w:keepLines/>
              <w:rPr>
                <w:rFonts w:ascii="Arial Narrow" w:hAnsi="Arial Narrow" w:cs="Arial"/>
                <w:sz w:val="20"/>
                <w:szCs w:val="20"/>
              </w:rPr>
            </w:pPr>
            <w:r w:rsidRPr="003A0ECE">
              <w:rPr>
                <w:rFonts w:ascii="Arial Narrow" w:hAnsi="Arial Narrow" w:cs="Arial"/>
                <w:b/>
                <w:bCs/>
                <w:sz w:val="20"/>
                <w:szCs w:val="20"/>
              </w:rPr>
              <w:t>Indication:</w:t>
            </w:r>
            <w:r w:rsidRPr="003A0ECE">
              <w:rPr>
                <w:rFonts w:ascii="Arial Narrow" w:hAnsi="Arial Narrow" w:cs="Arial"/>
                <w:sz w:val="20"/>
                <w:szCs w:val="20"/>
              </w:rPr>
              <w:t xml:space="preserve"> Symptomatic obstructive hypertrophic cardiomyopathy</w:t>
            </w:r>
          </w:p>
        </w:tc>
      </w:tr>
      <w:tr w:rsidR="003A0ECE" w:rsidRPr="003A0ECE" w14:paraId="76C5D890"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33EBC3DE" w14:textId="77777777" w:rsidR="004F18A6" w:rsidRPr="003A0ECE" w:rsidRDefault="004F18A6" w:rsidP="0066099F">
            <w:pPr>
              <w:keepLines/>
              <w:rPr>
                <w:rFonts w:ascii="Arial Narrow" w:hAnsi="Arial Narrow" w:cs="Arial"/>
                <w:b/>
                <w:bCs/>
                <w:sz w:val="20"/>
                <w:szCs w:val="20"/>
              </w:rPr>
            </w:pPr>
            <w:r w:rsidRPr="003A0ECE">
              <w:rPr>
                <w:rFonts w:ascii="Arial Narrow" w:hAnsi="Arial Narrow" w:cs="Arial"/>
                <w:b/>
                <w:bCs/>
                <w:sz w:val="20"/>
                <w:szCs w:val="20"/>
              </w:rPr>
              <w:t xml:space="preserve">Treatment Phase: </w:t>
            </w:r>
            <w:r w:rsidRPr="003A0ECE">
              <w:rPr>
                <w:rFonts w:ascii="Arial Narrow" w:hAnsi="Arial Narrow" w:cs="Arial"/>
                <w:sz w:val="20"/>
                <w:szCs w:val="20"/>
              </w:rPr>
              <w:t>Initial treatment</w:t>
            </w:r>
          </w:p>
        </w:tc>
      </w:tr>
      <w:tr w:rsidR="003A0ECE" w:rsidRPr="003A0ECE" w14:paraId="1096EB3A"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1F120001" w14:textId="77777777" w:rsidR="004F18A6" w:rsidRPr="003A0ECE" w:rsidRDefault="004F18A6" w:rsidP="0066099F">
            <w:pPr>
              <w:keepLines/>
              <w:rPr>
                <w:rFonts w:ascii="Arial Narrow" w:hAnsi="Arial Narrow" w:cs="Arial"/>
                <w:b/>
                <w:bCs/>
                <w:sz w:val="20"/>
                <w:szCs w:val="20"/>
              </w:rPr>
            </w:pPr>
          </w:p>
        </w:tc>
      </w:tr>
      <w:tr w:rsidR="003A0ECE" w:rsidRPr="003A0ECE" w14:paraId="65524850"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08CAC0C7" w14:textId="77777777" w:rsidR="004F18A6" w:rsidRPr="003A0ECE" w:rsidRDefault="004F18A6" w:rsidP="0066099F">
            <w:pPr>
              <w:keepLines/>
              <w:rPr>
                <w:rFonts w:ascii="Arial Narrow" w:hAnsi="Arial Narrow" w:cs="Arial"/>
                <w:b/>
                <w:bCs/>
                <w:sz w:val="20"/>
                <w:szCs w:val="20"/>
              </w:rPr>
            </w:pPr>
            <w:r w:rsidRPr="003A0ECE">
              <w:rPr>
                <w:rFonts w:ascii="Arial Narrow" w:hAnsi="Arial Narrow" w:cs="Arial"/>
                <w:b/>
                <w:bCs/>
                <w:sz w:val="20"/>
                <w:szCs w:val="20"/>
              </w:rPr>
              <w:t>Clinical criteria:</w:t>
            </w:r>
          </w:p>
        </w:tc>
      </w:tr>
      <w:tr w:rsidR="003A0ECE" w:rsidRPr="003A0ECE" w14:paraId="670E2213"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20AD23D8" w14:textId="1BEB5D44" w:rsidR="004F18A6" w:rsidRPr="003A0ECE" w:rsidRDefault="004F18A6" w:rsidP="0066099F">
            <w:pPr>
              <w:keepLines/>
              <w:rPr>
                <w:rFonts w:ascii="Arial Narrow" w:hAnsi="Arial Narrow" w:cs="Arial"/>
                <w:bCs/>
                <w:sz w:val="20"/>
                <w:szCs w:val="20"/>
              </w:rPr>
            </w:pPr>
            <w:r w:rsidRPr="003A0ECE">
              <w:rPr>
                <w:rFonts w:ascii="Arial Narrow" w:hAnsi="Arial Narrow" w:cs="Arial"/>
                <w:bCs/>
                <w:sz w:val="20"/>
                <w:szCs w:val="20"/>
              </w:rPr>
              <w:t xml:space="preserve">Patient must have confirmed left ventricular hypertrophy due to hypertrophic cardiomyopathy with maximal left ventricular wall thickness </w:t>
            </w:r>
            <w:r w:rsidR="006D0625" w:rsidRPr="003A0ECE">
              <w:rPr>
                <w:rFonts w:ascii="Arial Narrow" w:hAnsi="Arial Narrow" w:cs="Arial"/>
                <w:bCs/>
                <w:strike/>
                <w:sz w:val="20"/>
                <w:szCs w:val="20"/>
              </w:rPr>
              <w:t>at least one of</w:t>
            </w:r>
            <w:r w:rsidR="006D0625" w:rsidRPr="003A0ECE">
              <w:rPr>
                <w:rFonts w:ascii="Arial Narrow" w:hAnsi="Arial Narrow" w:cs="Arial"/>
                <w:bCs/>
                <w:sz w:val="20"/>
                <w:szCs w:val="20"/>
              </w:rPr>
              <w:t xml:space="preserve"> </w:t>
            </w:r>
            <w:r w:rsidRPr="003A0ECE">
              <w:rPr>
                <w:rFonts w:ascii="Arial Narrow" w:hAnsi="Arial Narrow" w:cs="Arial"/>
                <w:bCs/>
                <w:i/>
                <w:iCs/>
                <w:sz w:val="20"/>
                <w:szCs w:val="20"/>
              </w:rPr>
              <w:t>either</w:t>
            </w:r>
            <w:r w:rsidRPr="003A0ECE">
              <w:rPr>
                <w:rFonts w:ascii="Arial Narrow" w:hAnsi="Arial Narrow" w:cs="Arial"/>
                <w:bCs/>
                <w:sz w:val="20"/>
                <w:szCs w:val="20"/>
              </w:rPr>
              <w:t>:</w:t>
            </w:r>
          </w:p>
          <w:p w14:paraId="2D44D5D5" w14:textId="77777777" w:rsidR="004F18A6" w:rsidRPr="003A0ECE" w:rsidRDefault="004F18A6" w:rsidP="00DD59D8">
            <w:pPr>
              <w:keepLines/>
              <w:numPr>
                <w:ilvl w:val="0"/>
                <w:numId w:val="9"/>
              </w:numPr>
              <w:contextualSpacing/>
              <w:rPr>
                <w:rFonts w:ascii="Arial Narrow" w:hAnsi="Arial Narrow" w:cs="Arial"/>
                <w:bCs/>
                <w:snapToGrid w:val="0"/>
                <w:sz w:val="20"/>
                <w:szCs w:val="20"/>
              </w:rPr>
            </w:pPr>
            <w:r w:rsidRPr="003A0ECE">
              <w:rPr>
                <w:rFonts w:ascii="Arial Narrow" w:hAnsi="Arial Narrow" w:cs="Arial"/>
                <w:bCs/>
                <w:snapToGrid w:val="0"/>
                <w:sz w:val="20"/>
                <w:szCs w:val="20"/>
              </w:rPr>
              <w:t xml:space="preserve">no less than 15 mm, </w:t>
            </w:r>
            <w:r w:rsidRPr="003A0ECE">
              <w:rPr>
                <w:rFonts w:ascii="Arial Narrow" w:hAnsi="Arial Narrow" w:cs="Arial"/>
                <w:bCs/>
                <w:i/>
                <w:iCs/>
                <w:snapToGrid w:val="0"/>
                <w:sz w:val="20"/>
                <w:szCs w:val="20"/>
              </w:rPr>
              <w:t>OR</w:t>
            </w:r>
          </w:p>
          <w:p w14:paraId="44CC2758" w14:textId="77777777" w:rsidR="004F18A6" w:rsidRPr="003A0ECE" w:rsidRDefault="004F18A6" w:rsidP="00DD59D8">
            <w:pPr>
              <w:keepLines/>
              <w:numPr>
                <w:ilvl w:val="0"/>
                <w:numId w:val="9"/>
              </w:numPr>
              <w:contextualSpacing/>
              <w:rPr>
                <w:rFonts w:ascii="Arial Narrow" w:hAnsi="Arial Narrow" w:cs="Arial"/>
                <w:bCs/>
                <w:snapToGrid w:val="0"/>
                <w:sz w:val="20"/>
                <w:szCs w:val="20"/>
              </w:rPr>
            </w:pPr>
            <w:r w:rsidRPr="003A0ECE">
              <w:rPr>
                <w:rFonts w:ascii="Arial Narrow" w:hAnsi="Arial Narrow" w:cs="Arial"/>
                <w:bCs/>
                <w:snapToGrid w:val="0"/>
                <w:sz w:val="20"/>
                <w:szCs w:val="20"/>
              </w:rPr>
              <w:t>no less than 13 mm if patient has familial hypertrophic cardiomyopathy</w:t>
            </w:r>
            <w:r w:rsidRPr="003A0ECE">
              <w:rPr>
                <w:rFonts w:ascii="Arial Narrow" w:hAnsi="Arial Narrow" w:cs="Arial"/>
                <w:b/>
                <w:bCs/>
                <w:snapToGrid w:val="0"/>
                <w:sz w:val="20"/>
                <w:szCs w:val="20"/>
              </w:rPr>
              <w:t xml:space="preserve"> </w:t>
            </w:r>
            <w:r w:rsidRPr="003A0ECE">
              <w:rPr>
                <w:rFonts w:ascii="Arial Narrow" w:hAnsi="Arial Narrow" w:cs="Arial"/>
                <w:snapToGrid w:val="0"/>
                <w:sz w:val="20"/>
                <w:szCs w:val="20"/>
              </w:rPr>
              <w:t>(at least one first degree relative with a diagnosis of hypertrophic cardiomyopathy)</w:t>
            </w:r>
          </w:p>
        </w:tc>
      </w:tr>
      <w:tr w:rsidR="003A0ECE" w:rsidRPr="003A0ECE" w14:paraId="7DA66DBB"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243E1B34" w14:textId="77777777" w:rsidR="004F18A6" w:rsidRPr="003A0ECE" w:rsidRDefault="004F18A6" w:rsidP="0066099F">
            <w:pPr>
              <w:keepLines/>
              <w:rPr>
                <w:rFonts w:ascii="Arial Narrow" w:hAnsi="Arial Narrow" w:cs="Arial"/>
                <w:b/>
                <w:bCs/>
                <w:sz w:val="20"/>
                <w:szCs w:val="20"/>
              </w:rPr>
            </w:pPr>
            <w:r w:rsidRPr="003A0ECE">
              <w:rPr>
                <w:rFonts w:ascii="Arial Narrow" w:hAnsi="Arial Narrow" w:cs="Arial"/>
                <w:b/>
                <w:bCs/>
                <w:sz w:val="20"/>
                <w:szCs w:val="20"/>
              </w:rPr>
              <w:t>AND</w:t>
            </w:r>
          </w:p>
        </w:tc>
      </w:tr>
      <w:tr w:rsidR="003A0ECE" w:rsidRPr="003A0ECE" w14:paraId="6A7A6298"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74CCA8F3" w14:textId="77777777" w:rsidR="004F18A6" w:rsidRPr="003A0ECE" w:rsidRDefault="004F18A6" w:rsidP="0066099F">
            <w:pPr>
              <w:keepLines/>
              <w:rPr>
                <w:rFonts w:ascii="Arial Narrow" w:hAnsi="Arial Narrow" w:cs="Arial"/>
                <w:b/>
                <w:bCs/>
                <w:sz w:val="20"/>
                <w:szCs w:val="20"/>
              </w:rPr>
            </w:pPr>
            <w:r w:rsidRPr="003A0ECE">
              <w:rPr>
                <w:rFonts w:ascii="Arial Narrow" w:hAnsi="Arial Narrow" w:cs="Arial"/>
                <w:b/>
                <w:bCs/>
                <w:sz w:val="20"/>
                <w:szCs w:val="20"/>
              </w:rPr>
              <w:t>Clinical criteria:</w:t>
            </w:r>
          </w:p>
        </w:tc>
      </w:tr>
      <w:tr w:rsidR="003A0ECE" w:rsidRPr="003A0ECE" w14:paraId="6D5AF7D5"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742545D8" w14:textId="2F65C23C" w:rsidR="004F18A6" w:rsidRPr="003A0ECE" w:rsidRDefault="004F18A6" w:rsidP="0066099F">
            <w:pPr>
              <w:keepLines/>
              <w:rPr>
                <w:rFonts w:ascii="Arial Narrow" w:hAnsi="Arial Narrow" w:cs="Arial"/>
                <w:bCs/>
                <w:sz w:val="20"/>
                <w:szCs w:val="20"/>
              </w:rPr>
            </w:pPr>
            <w:r w:rsidRPr="003A0ECE">
              <w:rPr>
                <w:rFonts w:ascii="Arial Narrow" w:hAnsi="Arial Narrow" w:cs="Arial"/>
                <w:bCs/>
                <w:sz w:val="20"/>
                <w:szCs w:val="20"/>
              </w:rPr>
              <w:t>Patient must have confirmed peak left ventricular outflow tract (LVOT) gradient of no less than</w:t>
            </w:r>
            <w:r w:rsidRPr="003A0ECE">
              <w:rPr>
                <w:rFonts w:ascii="Arial Narrow" w:hAnsi="Arial Narrow" w:cs="Arial"/>
                <w:bCs/>
                <w:i/>
                <w:iCs/>
                <w:sz w:val="20"/>
                <w:szCs w:val="20"/>
              </w:rPr>
              <w:t xml:space="preserve"> </w:t>
            </w:r>
            <w:r w:rsidRPr="003A0ECE">
              <w:rPr>
                <w:rFonts w:ascii="Arial Narrow" w:hAnsi="Arial Narrow" w:cs="Arial"/>
                <w:bCs/>
                <w:sz w:val="20"/>
                <w:szCs w:val="20"/>
              </w:rPr>
              <w:t>50mm Hg</w:t>
            </w:r>
            <w:r w:rsidR="006D0625" w:rsidRPr="003A0ECE">
              <w:rPr>
                <w:rFonts w:ascii="Arial Narrow" w:hAnsi="Arial Narrow" w:cs="Arial"/>
                <w:bCs/>
                <w:sz w:val="20"/>
                <w:szCs w:val="20"/>
              </w:rPr>
              <w:t xml:space="preserve">, </w:t>
            </w:r>
            <w:r w:rsidRPr="003A0ECE">
              <w:rPr>
                <w:rFonts w:ascii="Arial Narrow" w:hAnsi="Arial Narrow" w:cs="Arial"/>
                <w:bCs/>
                <w:sz w:val="20"/>
                <w:szCs w:val="20"/>
              </w:rPr>
              <w:t>which is measured either:</w:t>
            </w:r>
          </w:p>
          <w:p w14:paraId="54F56D7F" w14:textId="77777777" w:rsidR="004F18A6" w:rsidRPr="003A0ECE" w:rsidRDefault="004F18A6" w:rsidP="00DD59D8">
            <w:pPr>
              <w:keepLines/>
              <w:numPr>
                <w:ilvl w:val="0"/>
                <w:numId w:val="10"/>
              </w:numPr>
              <w:contextualSpacing/>
              <w:rPr>
                <w:rFonts w:ascii="Arial Narrow" w:hAnsi="Arial Narrow" w:cs="Arial"/>
                <w:bCs/>
                <w:snapToGrid w:val="0"/>
                <w:sz w:val="20"/>
                <w:szCs w:val="20"/>
              </w:rPr>
            </w:pPr>
            <w:r w:rsidRPr="003A0ECE">
              <w:rPr>
                <w:rFonts w:ascii="Arial Narrow" w:hAnsi="Arial Narrow" w:cs="Arial"/>
                <w:bCs/>
                <w:snapToGrid w:val="0"/>
                <w:sz w:val="20"/>
                <w:szCs w:val="20"/>
              </w:rPr>
              <w:t>at rest, or</w:t>
            </w:r>
          </w:p>
          <w:p w14:paraId="66768F0E" w14:textId="042F1250" w:rsidR="004F18A6" w:rsidRPr="003A0ECE" w:rsidRDefault="004F18A6" w:rsidP="00DD59D8">
            <w:pPr>
              <w:keepLines/>
              <w:numPr>
                <w:ilvl w:val="0"/>
                <w:numId w:val="10"/>
              </w:numPr>
              <w:contextualSpacing/>
              <w:rPr>
                <w:rFonts w:ascii="Arial Narrow" w:hAnsi="Arial Narrow" w:cs="Arial"/>
                <w:bCs/>
                <w:snapToGrid w:val="0"/>
                <w:sz w:val="20"/>
                <w:szCs w:val="20"/>
              </w:rPr>
            </w:pPr>
            <w:r w:rsidRPr="003A0ECE">
              <w:rPr>
                <w:rFonts w:ascii="Arial Narrow" w:hAnsi="Arial Narrow" w:cs="Arial"/>
                <w:bCs/>
                <w:snapToGrid w:val="0"/>
                <w:sz w:val="20"/>
                <w:szCs w:val="20"/>
              </w:rPr>
              <w:t xml:space="preserve">after provocation with at least one of </w:t>
            </w:r>
            <w:r w:rsidR="006D0625" w:rsidRPr="003A0ECE">
              <w:rPr>
                <w:rFonts w:ascii="Arial Narrow" w:hAnsi="Arial Narrow" w:cs="Arial"/>
                <w:bCs/>
                <w:snapToGrid w:val="0"/>
                <w:sz w:val="20"/>
                <w:szCs w:val="20"/>
              </w:rPr>
              <w:t>(i)</w:t>
            </w:r>
            <w:r w:rsidRPr="003A0ECE">
              <w:rPr>
                <w:rFonts w:ascii="Arial Narrow" w:hAnsi="Arial Narrow" w:cs="Arial"/>
                <w:bCs/>
                <w:snapToGrid w:val="0"/>
                <w:sz w:val="20"/>
                <w:szCs w:val="20"/>
              </w:rPr>
              <w:t xml:space="preserve"> Valsalva manoeuvre, </w:t>
            </w:r>
            <w:r w:rsidR="006D0625" w:rsidRPr="003A0ECE">
              <w:rPr>
                <w:rFonts w:ascii="Arial Narrow" w:hAnsi="Arial Narrow" w:cs="Arial"/>
                <w:bCs/>
                <w:snapToGrid w:val="0"/>
                <w:sz w:val="20"/>
                <w:szCs w:val="20"/>
              </w:rPr>
              <w:t>(i</w:t>
            </w:r>
            <w:r w:rsidR="00185D8D" w:rsidRPr="003A0ECE">
              <w:rPr>
                <w:rFonts w:ascii="Arial Narrow" w:hAnsi="Arial Narrow" w:cs="Arial"/>
                <w:bCs/>
                <w:snapToGrid w:val="0"/>
                <w:sz w:val="20"/>
                <w:szCs w:val="20"/>
              </w:rPr>
              <w:t>i</w:t>
            </w:r>
            <w:r w:rsidR="006D0625" w:rsidRPr="003A0ECE">
              <w:rPr>
                <w:rFonts w:ascii="Arial Narrow" w:hAnsi="Arial Narrow" w:cs="Arial"/>
                <w:bCs/>
                <w:snapToGrid w:val="0"/>
                <w:sz w:val="20"/>
                <w:szCs w:val="20"/>
              </w:rPr>
              <w:t xml:space="preserve">) </w:t>
            </w:r>
            <w:r w:rsidRPr="003A0ECE">
              <w:rPr>
                <w:rFonts w:ascii="Arial Narrow" w:hAnsi="Arial Narrow" w:cs="Arial"/>
                <w:bCs/>
                <w:snapToGrid w:val="0"/>
                <w:sz w:val="20"/>
                <w:szCs w:val="20"/>
              </w:rPr>
              <w:t>exercise.</w:t>
            </w:r>
          </w:p>
        </w:tc>
      </w:tr>
      <w:tr w:rsidR="003A0ECE" w:rsidRPr="003A0ECE" w14:paraId="6E82E8E6"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55E287DC" w14:textId="77777777" w:rsidR="004F18A6" w:rsidRPr="003A0ECE" w:rsidRDefault="004F18A6" w:rsidP="0066099F">
            <w:pPr>
              <w:keepLines/>
              <w:rPr>
                <w:rFonts w:ascii="Arial Narrow" w:hAnsi="Arial Narrow" w:cs="Arial"/>
                <w:b/>
                <w:bCs/>
                <w:sz w:val="20"/>
                <w:szCs w:val="20"/>
              </w:rPr>
            </w:pPr>
            <w:r w:rsidRPr="003A0ECE">
              <w:rPr>
                <w:rFonts w:ascii="Arial Narrow" w:hAnsi="Arial Narrow" w:cs="Arial"/>
                <w:b/>
                <w:bCs/>
                <w:sz w:val="20"/>
                <w:szCs w:val="20"/>
              </w:rPr>
              <w:t>AND</w:t>
            </w:r>
          </w:p>
        </w:tc>
      </w:tr>
      <w:tr w:rsidR="003A0ECE" w:rsidRPr="003A0ECE" w14:paraId="049BDB45"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2F2DA190" w14:textId="77777777" w:rsidR="004F18A6" w:rsidRPr="003A0ECE" w:rsidRDefault="004F18A6" w:rsidP="0066099F">
            <w:pPr>
              <w:keepLines/>
              <w:rPr>
                <w:rFonts w:ascii="Arial Narrow" w:hAnsi="Arial Narrow" w:cs="Arial"/>
                <w:b/>
                <w:bCs/>
                <w:sz w:val="20"/>
                <w:szCs w:val="20"/>
              </w:rPr>
            </w:pPr>
            <w:r w:rsidRPr="003A0ECE">
              <w:rPr>
                <w:rFonts w:ascii="Arial Narrow" w:hAnsi="Arial Narrow" w:cs="Arial"/>
                <w:b/>
                <w:bCs/>
                <w:sz w:val="20"/>
                <w:szCs w:val="20"/>
              </w:rPr>
              <w:t>Clinical criteria:</w:t>
            </w:r>
          </w:p>
        </w:tc>
      </w:tr>
      <w:tr w:rsidR="003A0ECE" w:rsidRPr="003A0ECE" w14:paraId="73A548AC"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A37A441" w14:textId="7FFBCF05" w:rsidR="004F18A6" w:rsidRPr="003A0ECE" w:rsidRDefault="004F18A6" w:rsidP="0066099F">
            <w:pPr>
              <w:keepLines/>
              <w:rPr>
                <w:rFonts w:ascii="Arial Narrow" w:hAnsi="Arial Narrow" w:cs="Arial"/>
                <w:b/>
                <w:bCs/>
                <w:sz w:val="20"/>
                <w:szCs w:val="20"/>
              </w:rPr>
            </w:pPr>
            <w:r w:rsidRPr="003A0ECE">
              <w:rPr>
                <w:rFonts w:ascii="Arial Narrow" w:hAnsi="Arial Narrow" w:cs="Arial"/>
                <w:bCs/>
                <w:sz w:val="20"/>
                <w:szCs w:val="20"/>
              </w:rPr>
              <w:t xml:space="preserve">Patient must have a </w:t>
            </w:r>
            <w:r w:rsidRPr="003A0ECE">
              <w:rPr>
                <w:rFonts w:ascii="Arial Narrow" w:hAnsi="Arial Narrow" w:cs="Arial"/>
                <w:bCs/>
                <w:i/>
                <w:iCs/>
                <w:sz w:val="20"/>
                <w:szCs w:val="20"/>
              </w:rPr>
              <w:t>current</w:t>
            </w:r>
            <w:r w:rsidR="006D0625" w:rsidRPr="003A0ECE">
              <w:rPr>
                <w:rFonts w:ascii="Arial Narrow" w:hAnsi="Arial Narrow" w:cs="Arial"/>
                <w:bCs/>
                <w:sz w:val="20"/>
                <w:szCs w:val="20"/>
              </w:rPr>
              <w:t xml:space="preserve"> </w:t>
            </w:r>
            <w:r w:rsidR="006D0625" w:rsidRPr="003A0ECE">
              <w:rPr>
                <w:rFonts w:ascii="Arial Narrow" w:hAnsi="Arial Narrow" w:cs="Arial"/>
                <w:bCs/>
                <w:strike/>
                <w:sz w:val="20"/>
                <w:szCs w:val="20"/>
              </w:rPr>
              <w:t>documented</w:t>
            </w:r>
            <w:r w:rsidRPr="003A0ECE">
              <w:rPr>
                <w:rFonts w:ascii="Arial Narrow" w:hAnsi="Arial Narrow" w:cs="Arial"/>
                <w:bCs/>
                <w:sz w:val="20"/>
                <w:szCs w:val="20"/>
              </w:rPr>
              <w:t xml:space="preserve"> left ventricular ejection fraction (LVEF) of no less than 55%,</w:t>
            </w:r>
          </w:p>
        </w:tc>
      </w:tr>
      <w:tr w:rsidR="003A0ECE" w:rsidRPr="003A0ECE" w14:paraId="4269A050"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26E1E061" w14:textId="77777777" w:rsidR="004F18A6" w:rsidRPr="003A0ECE" w:rsidRDefault="004F18A6" w:rsidP="0066099F">
            <w:pPr>
              <w:keepLines/>
              <w:rPr>
                <w:rFonts w:ascii="Arial Narrow" w:hAnsi="Arial Narrow" w:cs="Arial"/>
                <w:b/>
                <w:bCs/>
                <w:sz w:val="20"/>
                <w:szCs w:val="20"/>
              </w:rPr>
            </w:pPr>
            <w:r w:rsidRPr="003A0ECE">
              <w:rPr>
                <w:rFonts w:ascii="Arial Narrow" w:hAnsi="Arial Narrow" w:cs="Arial"/>
                <w:b/>
                <w:bCs/>
                <w:sz w:val="20"/>
                <w:szCs w:val="20"/>
              </w:rPr>
              <w:t>AND</w:t>
            </w:r>
          </w:p>
        </w:tc>
      </w:tr>
      <w:tr w:rsidR="003A0ECE" w:rsidRPr="003A0ECE" w14:paraId="20308E50"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937E3F1" w14:textId="77777777" w:rsidR="004F18A6" w:rsidRPr="003A0ECE" w:rsidRDefault="004F18A6" w:rsidP="0066099F">
            <w:pPr>
              <w:keepLines/>
              <w:rPr>
                <w:rFonts w:ascii="Arial Narrow" w:hAnsi="Arial Narrow" w:cs="Arial"/>
                <w:b/>
                <w:bCs/>
                <w:sz w:val="20"/>
                <w:szCs w:val="20"/>
              </w:rPr>
            </w:pPr>
            <w:r w:rsidRPr="003A0ECE">
              <w:rPr>
                <w:rFonts w:ascii="Arial Narrow" w:hAnsi="Arial Narrow" w:cs="Arial"/>
                <w:b/>
                <w:bCs/>
                <w:sz w:val="20"/>
                <w:szCs w:val="20"/>
              </w:rPr>
              <w:t>Clinical criteria:</w:t>
            </w:r>
          </w:p>
        </w:tc>
      </w:tr>
      <w:tr w:rsidR="003A0ECE" w:rsidRPr="003A0ECE" w14:paraId="4A6F2489"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01D04CE9" w14:textId="77777777" w:rsidR="004F18A6" w:rsidRPr="003A0ECE" w:rsidRDefault="004F18A6" w:rsidP="0066099F">
            <w:pPr>
              <w:keepLines/>
              <w:rPr>
                <w:rFonts w:ascii="Arial Narrow" w:hAnsi="Arial Narrow" w:cs="Arial"/>
                <w:sz w:val="20"/>
                <w:szCs w:val="20"/>
              </w:rPr>
            </w:pPr>
            <w:r w:rsidRPr="003A0ECE">
              <w:rPr>
                <w:rFonts w:ascii="Arial Narrow" w:hAnsi="Arial Narrow" w:cs="Arial"/>
                <w:sz w:val="20"/>
                <w:szCs w:val="20"/>
              </w:rPr>
              <w:t>Patient must have had prior treatment with both a</w:t>
            </w:r>
            <w:r w:rsidRPr="003A0ECE">
              <w:rPr>
                <w:rFonts w:ascii="Arial Narrow" w:hAnsi="Arial Narrow" w:cs="Arial"/>
                <w:i/>
                <w:iCs/>
                <w:sz w:val="20"/>
                <w:szCs w:val="20"/>
              </w:rPr>
              <w:t xml:space="preserve"> </w:t>
            </w:r>
            <w:r w:rsidRPr="003A0ECE">
              <w:rPr>
                <w:rFonts w:ascii="Arial Narrow" w:hAnsi="Arial Narrow" w:cs="Arial"/>
                <w:sz w:val="20"/>
                <w:szCs w:val="20"/>
              </w:rPr>
              <w:t xml:space="preserve">(i) beta-blocker and (ii) non-dihydropyridine calcium channel blocker, unless at least one of the following is present: </w:t>
            </w:r>
          </w:p>
          <w:p w14:paraId="2F2342D0" w14:textId="77777777" w:rsidR="004F18A6" w:rsidRPr="003A0ECE" w:rsidRDefault="004F18A6" w:rsidP="00DD59D8">
            <w:pPr>
              <w:numPr>
                <w:ilvl w:val="0"/>
                <w:numId w:val="8"/>
              </w:numPr>
              <w:ind w:left="1077"/>
              <w:contextualSpacing/>
              <w:rPr>
                <w:rFonts w:ascii="Arial Narrow" w:hAnsi="Arial Narrow" w:cs="Arial"/>
                <w:snapToGrid w:val="0"/>
                <w:sz w:val="20"/>
                <w:szCs w:val="20"/>
              </w:rPr>
            </w:pPr>
            <w:r w:rsidRPr="003A0ECE">
              <w:rPr>
                <w:rFonts w:ascii="Arial Narrow" w:hAnsi="Arial Narrow" w:cs="Arial"/>
                <w:snapToGrid w:val="0"/>
                <w:sz w:val="20"/>
                <w:szCs w:val="20"/>
              </w:rPr>
              <w:t xml:space="preserve">a contraindication to beta-blocker </w:t>
            </w:r>
            <w:r w:rsidRPr="003A0ECE">
              <w:rPr>
                <w:rFonts w:ascii="Arial Narrow" w:hAnsi="Arial Narrow" w:cs="Arial"/>
                <w:i/>
                <w:iCs/>
                <w:snapToGrid w:val="0"/>
                <w:sz w:val="20"/>
                <w:szCs w:val="20"/>
              </w:rPr>
              <w:t>and</w:t>
            </w:r>
            <w:r w:rsidRPr="003A0ECE">
              <w:rPr>
                <w:rFonts w:ascii="Arial Narrow" w:hAnsi="Arial Narrow" w:cs="Arial"/>
                <w:snapToGrid w:val="0"/>
                <w:sz w:val="20"/>
                <w:szCs w:val="20"/>
              </w:rPr>
              <w:t>/</w:t>
            </w:r>
            <w:r w:rsidRPr="003A0ECE">
              <w:rPr>
                <w:rFonts w:ascii="Arial Narrow" w:hAnsi="Arial Narrow" w:cs="Arial"/>
                <w:i/>
                <w:iCs/>
                <w:snapToGrid w:val="0"/>
                <w:sz w:val="20"/>
                <w:szCs w:val="20"/>
              </w:rPr>
              <w:t>or</w:t>
            </w:r>
            <w:r w:rsidRPr="003A0ECE">
              <w:rPr>
                <w:rFonts w:ascii="Arial Narrow" w:hAnsi="Arial Narrow" w:cs="Arial"/>
                <w:snapToGrid w:val="0"/>
                <w:sz w:val="20"/>
                <w:szCs w:val="20"/>
              </w:rPr>
              <w:t xml:space="preserve"> non-dihydropyridine calcium channel blocker therapy as listed in the TGA approved Product Information,</w:t>
            </w:r>
          </w:p>
          <w:p w14:paraId="76C6F9EE" w14:textId="1CDE415C" w:rsidR="004F18A6" w:rsidRPr="003A0ECE" w:rsidRDefault="004F18A6" w:rsidP="00DD59D8">
            <w:pPr>
              <w:numPr>
                <w:ilvl w:val="0"/>
                <w:numId w:val="8"/>
              </w:numPr>
              <w:ind w:left="1077"/>
              <w:contextualSpacing/>
              <w:rPr>
                <w:rFonts w:ascii="Arial Narrow" w:hAnsi="Arial Narrow" w:cs="Arial"/>
                <w:b/>
                <w:bCs/>
                <w:sz w:val="20"/>
                <w:szCs w:val="20"/>
              </w:rPr>
            </w:pPr>
            <w:r w:rsidRPr="003A0ECE">
              <w:rPr>
                <w:rFonts w:ascii="Arial Narrow" w:hAnsi="Arial Narrow" w:cs="Arial"/>
                <w:sz w:val="20"/>
                <w:szCs w:val="20"/>
              </w:rPr>
              <w:t xml:space="preserve">an intolerance to beta-blocker </w:t>
            </w:r>
            <w:r w:rsidR="00185D8D" w:rsidRPr="003A0ECE">
              <w:rPr>
                <w:rFonts w:ascii="Arial Narrow" w:hAnsi="Arial Narrow" w:cs="Arial"/>
                <w:i/>
                <w:iCs/>
                <w:snapToGrid w:val="0"/>
                <w:sz w:val="20"/>
                <w:szCs w:val="20"/>
              </w:rPr>
              <w:t>and</w:t>
            </w:r>
            <w:r w:rsidR="00185D8D" w:rsidRPr="003A0ECE">
              <w:rPr>
                <w:rFonts w:ascii="Arial Narrow" w:hAnsi="Arial Narrow" w:cs="Arial"/>
                <w:snapToGrid w:val="0"/>
                <w:sz w:val="20"/>
                <w:szCs w:val="20"/>
              </w:rPr>
              <w:t>/</w:t>
            </w:r>
            <w:r w:rsidR="00185D8D" w:rsidRPr="003A0ECE">
              <w:rPr>
                <w:rFonts w:ascii="Arial Narrow" w:hAnsi="Arial Narrow" w:cs="Arial"/>
                <w:i/>
                <w:iCs/>
                <w:snapToGrid w:val="0"/>
                <w:sz w:val="20"/>
                <w:szCs w:val="20"/>
              </w:rPr>
              <w:t>or</w:t>
            </w:r>
            <w:r w:rsidR="00185D8D" w:rsidRPr="003A0ECE">
              <w:rPr>
                <w:rFonts w:ascii="Arial Narrow" w:hAnsi="Arial Narrow" w:cs="Arial"/>
                <w:snapToGrid w:val="0"/>
                <w:sz w:val="20"/>
                <w:szCs w:val="20"/>
              </w:rPr>
              <w:t xml:space="preserve"> </w:t>
            </w:r>
            <w:r w:rsidRPr="003A0ECE">
              <w:rPr>
                <w:rFonts w:ascii="Arial Narrow" w:hAnsi="Arial Narrow" w:cs="Arial"/>
                <w:sz w:val="20"/>
                <w:szCs w:val="20"/>
              </w:rPr>
              <w:t>non-dihydropyridine calcium channel blocker therapy.</w:t>
            </w:r>
          </w:p>
        </w:tc>
      </w:tr>
      <w:tr w:rsidR="003A0ECE" w:rsidRPr="003A0ECE" w14:paraId="432BCE3E"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4D96607" w14:textId="77777777" w:rsidR="004F18A6" w:rsidRPr="003A0ECE" w:rsidRDefault="004F18A6" w:rsidP="0066099F">
            <w:pPr>
              <w:keepLines/>
              <w:rPr>
                <w:rFonts w:ascii="Arial Narrow" w:hAnsi="Arial Narrow" w:cs="Arial"/>
                <w:sz w:val="20"/>
                <w:szCs w:val="20"/>
              </w:rPr>
            </w:pPr>
            <w:r w:rsidRPr="003A0ECE">
              <w:rPr>
                <w:rFonts w:ascii="Arial Narrow" w:hAnsi="Arial Narrow" w:cs="Arial"/>
                <w:b/>
                <w:bCs/>
                <w:sz w:val="20"/>
                <w:szCs w:val="20"/>
              </w:rPr>
              <w:t>AND</w:t>
            </w:r>
          </w:p>
        </w:tc>
      </w:tr>
      <w:tr w:rsidR="003A0ECE" w:rsidRPr="003A0ECE" w14:paraId="03E13D7A"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294071B" w14:textId="77777777" w:rsidR="004F18A6" w:rsidRPr="003A0ECE" w:rsidRDefault="004F18A6" w:rsidP="0066099F">
            <w:pPr>
              <w:keepLines/>
              <w:rPr>
                <w:rFonts w:ascii="Arial Narrow" w:hAnsi="Arial Narrow" w:cs="Arial"/>
                <w:sz w:val="20"/>
                <w:szCs w:val="20"/>
              </w:rPr>
            </w:pPr>
            <w:r w:rsidRPr="003A0ECE">
              <w:rPr>
                <w:rFonts w:ascii="Arial Narrow" w:hAnsi="Arial Narrow" w:cs="Arial"/>
                <w:b/>
                <w:bCs/>
                <w:sz w:val="20"/>
                <w:szCs w:val="20"/>
              </w:rPr>
              <w:t>Clinical criteria:</w:t>
            </w:r>
          </w:p>
        </w:tc>
      </w:tr>
      <w:tr w:rsidR="003A0ECE" w:rsidRPr="003A0ECE" w14:paraId="78FF724F"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3001A4E" w14:textId="49624DC2" w:rsidR="004F18A6" w:rsidRPr="003A0ECE" w:rsidRDefault="004F18A6" w:rsidP="0066099F">
            <w:pPr>
              <w:keepLines/>
              <w:rPr>
                <w:rFonts w:ascii="Arial Narrow" w:hAnsi="Arial Narrow" w:cs="Arial"/>
                <w:sz w:val="20"/>
                <w:szCs w:val="20"/>
              </w:rPr>
            </w:pPr>
            <w:r w:rsidRPr="003A0ECE">
              <w:rPr>
                <w:rFonts w:ascii="Arial Narrow" w:hAnsi="Arial Narrow" w:cs="Arial"/>
                <w:sz w:val="20"/>
                <w:szCs w:val="20"/>
              </w:rPr>
              <w:t xml:space="preserve">Patient must be undergoing treatment with at least one of (i) a beta-blocker (ii) non-dihydropyridine calcium channel blocker, unless at least one of the following is present: </w:t>
            </w:r>
          </w:p>
          <w:p w14:paraId="65FE20E1" w14:textId="5A3B473F" w:rsidR="004F18A6" w:rsidRPr="003A0ECE" w:rsidRDefault="004F18A6" w:rsidP="00DD59D8">
            <w:pPr>
              <w:numPr>
                <w:ilvl w:val="0"/>
                <w:numId w:val="20"/>
              </w:numPr>
              <w:contextualSpacing/>
              <w:rPr>
                <w:rFonts w:ascii="Arial Narrow" w:hAnsi="Arial Narrow" w:cs="Arial"/>
                <w:snapToGrid w:val="0"/>
                <w:sz w:val="20"/>
                <w:szCs w:val="20"/>
              </w:rPr>
            </w:pPr>
            <w:r w:rsidRPr="003A0ECE">
              <w:rPr>
                <w:rFonts w:ascii="Arial Narrow" w:hAnsi="Arial Narrow" w:cs="Arial"/>
                <w:snapToGrid w:val="0"/>
                <w:sz w:val="20"/>
                <w:szCs w:val="20"/>
              </w:rPr>
              <w:lastRenderedPageBreak/>
              <w:t xml:space="preserve">a contraindication to beta-blocker </w:t>
            </w:r>
            <w:r w:rsidR="00185D8D" w:rsidRPr="003A0ECE">
              <w:rPr>
                <w:rFonts w:ascii="Arial Narrow" w:hAnsi="Arial Narrow" w:cs="Arial"/>
                <w:i/>
                <w:iCs/>
                <w:snapToGrid w:val="0"/>
                <w:sz w:val="20"/>
                <w:szCs w:val="20"/>
              </w:rPr>
              <w:t>and</w:t>
            </w:r>
            <w:r w:rsidR="00185D8D" w:rsidRPr="003A0ECE">
              <w:rPr>
                <w:rFonts w:ascii="Arial Narrow" w:hAnsi="Arial Narrow" w:cs="Arial"/>
                <w:snapToGrid w:val="0"/>
                <w:sz w:val="20"/>
                <w:szCs w:val="20"/>
              </w:rPr>
              <w:t>/</w:t>
            </w:r>
            <w:r w:rsidR="00185D8D" w:rsidRPr="003A0ECE">
              <w:rPr>
                <w:rFonts w:ascii="Arial Narrow" w:hAnsi="Arial Narrow" w:cs="Arial"/>
                <w:i/>
                <w:iCs/>
                <w:snapToGrid w:val="0"/>
                <w:sz w:val="20"/>
                <w:szCs w:val="20"/>
              </w:rPr>
              <w:t>or</w:t>
            </w:r>
            <w:r w:rsidR="00185D8D" w:rsidRPr="003A0ECE">
              <w:rPr>
                <w:rFonts w:ascii="Arial Narrow" w:hAnsi="Arial Narrow" w:cs="Arial"/>
                <w:snapToGrid w:val="0"/>
                <w:sz w:val="20"/>
                <w:szCs w:val="20"/>
              </w:rPr>
              <w:t xml:space="preserve"> </w:t>
            </w:r>
            <w:r w:rsidRPr="003A0ECE">
              <w:rPr>
                <w:rFonts w:ascii="Arial Narrow" w:hAnsi="Arial Narrow" w:cs="Arial"/>
                <w:snapToGrid w:val="0"/>
                <w:sz w:val="20"/>
                <w:szCs w:val="20"/>
              </w:rPr>
              <w:t>non-dihydropyridine calcium channel blocker therapy as listed in the TGA approved Product Information,</w:t>
            </w:r>
          </w:p>
          <w:p w14:paraId="614040B6" w14:textId="2F292DDB" w:rsidR="004F18A6" w:rsidRPr="003A0ECE" w:rsidRDefault="004F18A6" w:rsidP="00DD59D8">
            <w:pPr>
              <w:pStyle w:val="ListParagraph"/>
              <w:keepLines/>
              <w:numPr>
                <w:ilvl w:val="0"/>
                <w:numId w:val="20"/>
              </w:numPr>
              <w:spacing w:after="0"/>
              <w:contextualSpacing/>
              <w:jc w:val="both"/>
              <w:rPr>
                <w:rFonts w:ascii="Arial Narrow" w:hAnsi="Arial Narrow"/>
                <w:sz w:val="20"/>
                <w:szCs w:val="20"/>
              </w:rPr>
            </w:pPr>
            <w:r w:rsidRPr="003A0ECE">
              <w:rPr>
                <w:rFonts w:ascii="Arial Narrow" w:hAnsi="Arial Narrow"/>
                <w:sz w:val="20"/>
                <w:szCs w:val="20"/>
              </w:rPr>
              <w:t xml:space="preserve">an intolerance to beta-blocker </w:t>
            </w:r>
            <w:r w:rsidR="00185D8D" w:rsidRPr="003A0ECE">
              <w:rPr>
                <w:rFonts w:ascii="Arial Narrow" w:hAnsi="Arial Narrow"/>
                <w:i/>
                <w:iCs/>
                <w:sz w:val="20"/>
                <w:szCs w:val="20"/>
              </w:rPr>
              <w:t>and</w:t>
            </w:r>
            <w:r w:rsidR="00185D8D" w:rsidRPr="003A0ECE">
              <w:rPr>
                <w:rFonts w:ascii="Arial Narrow" w:hAnsi="Arial Narrow"/>
                <w:sz w:val="20"/>
                <w:szCs w:val="20"/>
              </w:rPr>
              <w:t>/</w:t>
            </w:r>
            <w:r w:rsidR="00185D8D" w:rsidRPr="003A0ECE">
              <w:rPr>
                <w:rFonts w:ascii="Arial Narrow" w:hAnsi="Arial Narrow"/>
                <w:i/>
                <w:iCs/>
                <w:sz w:val="20"/>
                <w:szCs w:val="20"/>
              </w:rPr>
              <w:t>or</w:t>
            </w:r>
            <w:r w:rsidR="00185D8D" w:rsidRPr="003A0ECE">
              <w:rPr>
                <w:rFonts w:ascii="Arial Narrow" w:hAnsi="Arial Narrow"/>
                <w:sz w:val="20"/>
                <w:szCs w:val="20"/>
              </w:rPr>
              <w:t xml:space="preserve"> </w:t>
            </w:r>
            <w:r w:rsidRPr="003A0ECE">
              <w:rPr>
                <w:rFonts w:ascii="Arial Narrow" w:hAnsi="Arial Narrow"/>
                <w:sz w:val="20"/>
                <w:szCs w:val="20"/>
              </w:rPr>
              <w:t>non-dihydropyridine calcium channel blocker therapy.</w:t>
            </w:r>
          </w:p>
        </w:tc>
      </w:tr>
      <w:tr w:rsidR="003A0ECE" w:rsidRPr="003A0ECE" w14:paraId="4A5D1C86"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7AD14BFD" w14:textId="77777777" w:rsidR="004F18A6" w:rsidRPr="003A0ECE" w:rsidRDefault="004F18A6" w:rsidP="0066099F">
            <w:pPr>
              <w:keepLines/>
              <w:rPr>
                <w:rFonts w:ascii="Arial Narrow" w:hAnsi="Arial Narrow" w:cs="Arial"/>
                <w:b/>
                <w:bCs/>
                <w:sz w:val="20"/>
                <w:szCs w:val="20"/>
              </w:rPr>
            </w:pPr>
            <w:r w:rsidRPr="003A0ECE">
              <w:rPr>
                <w:rFonts w:ascii="Arial Narrow" w:hAnsi="Arial Narrow" w:cs="Arial"/>
                <w:b/>
                <w:bCs/>
                <w:sz w:val="20"/>
                <w:szCs w:val="20"/>
              </w:rPr>
              <w:lastRenderedPageBreak/>
              <w:t>AND</w:t>
            </w:r>
          </w:p>
        </w:tc>
      </w:tr>
      <w:tr w:rsidR="003A0ECE" w:rsidRPr="003A0ECE" w14:paraId="5FC49FE2"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711C2502" w14:textId="77777777" w:rsidR="004F18A6" w:rsidRPr="003A0ECE" w:rsidRDefault="004F18A6" w:rsidP="0066099F">
            <w:pPr>
              <w:keepLines/>
              <w:rPr>
                <w:rFonts w:ascii="Arial Narrow" w:hAnsi="Arial Narrow" w:cs="Arial"/>
                <w:b/>
                <w:bCs/>
                <w:sz w:val="20"/>
                <w:szCs w:val="20"/>
              </w:rPr>
            </w:pPr>
            <w:r w:rsidRPr="003A0ECE">
              <w:rPr>
                <w:rFonts w:ascii="Arial Narrow" w:hAnsi="Arial Narrow" w:cs="Arial"/>
                <w:b/>
                <w:bCs/>
                <w:sz w:val="20"/>
                <w:szCs w:val="20"/>
              </w:rPr>
              <w:t>Clinical criteria:</w:t>
            </w:r>
          </w:p>
        </w:tc>
      </w:tr>
      <w:tr w:rsidR="003A0ECE" w:rsidRPr="003A0ECE" w14:paraId="65D24453"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15367925" w14:textId="0485B61B" w:rsidR="004F18A6" w:rsidRPr="003A0ECE" w:rsidRDefault="004F18A6" w:rsidP="0066099F">
            <w:pPr>
              <w:keepLines/>
              <w:rPr>
                <w:rFonts w:ascii="Arial Narrow" w:hAnsi="Arial Narrow" w:cs="Arial"/>
                <w:sz w:val="20"/>
                <w:szCs w:val="20"/>
              </w:rPr>
            </w:pPr>
            <w:r w:rsidRPr="003A0ECE">
              <w:rPr>
                <w:rFonts w:ascii="Arial Narrow" w:hAnsi="Arial Narrow" w:cs="Arial"/>
                <w:sz w:val="20"/>
                <w:szCs w:val="20"/>
              </w:rPr>
              <w:t>Patient must be symptomatic with NYHA classes II or III</w:t>
            </w:r>
          </w:p>
        </w:tc>
      </w:tr>
      <w:tr w:rsidR="003A0ECE" w:rsidRPr="003A0ECE" w14:paraId="7A4C7C5C"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2CD17399" w14:textId="77777777" w:rsidR="004F18A6" w:rsidRPr="003A0ECE" w:rsidRDefault="004F18A6" w:rsidP="0066099F">
            <w:pPr>
              <w:keepLines/>
              <w:rPr>
                <w:rFonts w:ascii="Arial Narrow" w:hAnsi="Arial Narrow" w:cs="Arial"/>
                <w:b/>
                <w:bCs/>
                <w:sz w:val="20"/>
                <w:szCs w:val="20"/>
              </w:rPr>
            </w:pPr>
            <w:r w:rsidRPr="003A0ECE">
              <w:rPr>
                <w:rFonts w:ascii="Arial Narrow" w:hAnsi="Arial Narrow" w:cs="Arial"/>
                <w:b/>
                <w:bCs/>
                <w:sz w:val="20"/>
                <w:szCs w:val="20"/>
              </w:rPr>
              <w:t>Treatment criteria:</w:t>
            </w:r>
          </w:p>
        </w:tc>
      </w:tr>
      <w:tr w:rsidR="003A0ECE" w:rsidRPr="003A0ECE" w14:paraId="6F606C18"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34BD612" w14:textId="77777777" w:rsidR="004F18A6" w:rsidRPr="003A0ECE" w:rsidRDefault="004F18A6" w:rsidP="0066099F">
            <w:pPr>
              <w:keepLines/>
              <w:rPr>
                <w:rFonts w:ascii="Arial Narrow" w:hAnsi="Arial Narrow" w:cs="Arial"/>
                <w:sz w:val="20"/>
                <w:szCs w:val="20"/>
              </w:rPr>
            </w:pPr>
            <w:r w:rsidRPr="003A0ECE">
              <w:rPr>
                <w:rFonts w:ascii="Arial Narrow" w:hAnsi="Arial Narrow" w:cs="Arial"/>
                <w:sz w:val="20"/>
                <w:szCs w:val="20"/>
              </w:rPr>
              <w:t xml:space="preserve">Must be treated by a cardiologist; or </w:t>
            </w:r>
          </w:p>
        </w:tc>
      </w:tr>
      <w:tr w:rsidR="003A0ECE" w:rsidRPr="003A0ECE" w14:paraId="1A7DB2D6"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11FC2B6" w14:textId="77777777" w:rsidR="004F18A6" w:rsidRPr="003A0ECE" w:rsidRDefault="004F18A6" w:rsidP="0066099F">
            <w:pPr>
              <w:keepLines/>
              <w:rPr>
                <w:rFonts w:ascii="Arial Narrow" w:hAnsi="Arial Narrow" w:cs="Arial"/>
                <w:sz w:val="20"/>
                <w:szCs w:val="20"/>
              </w:rPr>
            </w:pPr>
            <w:r w:rsidRPr="003A0ECE">
              <w:rPr>
                <w:rFonts w:ascii="Arial Narrow" w:hAnsi="Arial Narrow" w:cs="Arial"/>
                <w:sz w:val="20"/>
                <w:szCs w:val="20"/>
              </w:rPr>
              <w:t>Must be treated by a consultant physician with experience in the management of hypertrophic cardiomyopathy</w:t>
            </w:r>
          </w:p>
        </w:tc>
      </w:tr>
      <w:tr w:rsidR="003A0ECE" w:rsidRPr="003A0ECE" w14:paraId="1387E13A"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22CFA8B5" w14:textId="77777777" w:rsidR="004F18A6" w:rsidRPr="003A0ECE" w:rsidRDefault="004F18A6" w:rsidP="0066099F">
            <w:pPr>
              <w:keepLines/>
              <w:rPr>
                <w:rFonts w:ascii="Arial Narrow" w:hAnsi="Arial Narrow" w:cs="Arial"/>
                <w:b/>
                <w:bCs/>
                <w:sz w:val="20"/>
                <w:szCs w:val="20"/>
              </w:rPr>
            </w:pPr>
            <w:r w:rsidRPr="003A0ECE">
              <w:rPr>
                <w:rFonts w:ascii="Arial Narrow" w:hAnsi="Arial Narrow" w:cs="Arial"/>
                <w:b/>
                <w:bCs/>
                <w:sz w:val="20"/>
                <w:szCs w:val="20"/>
              </w:rPr>
              <w:t>Population criteria:</w:t>
            </w:r>
          </w:p>
        </w:tc>
      </w:tr>
      <w:tr w:rsidR="003A0ECE" w:rsidRPr="003A0ECE" w14:paraId="26605474"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5ED82DC2" w14:textId="77777777" w:rsidR="004F18A6" w:rsidRPr="003A0ECE" w:rsidRDefault="004F18A6" w:rsidP="0066099F">
            <w:pPr>
              <w:keepLines/>
              <w:rPr>
                <w:rFonts w:ascii="Arial Narrow" w:hAnsi="Arial Narrow" w:cs="Arial"/>
                <w:sz w:val="20"/>
                <w:szCs w:val="20"/>
              </w:rPr>
            </w:pPr>
            <w:r w:rsidRPr="003A0ECE">
              <w:rPr>
                <w:rFonts w:ascii="Arial Narrow" w:hAnsi="Arial Narrow" w:cs="Arial"/>
                <w:sz w:val="20"/>
                <w:szCs w:val="20"/>
              </w:rPr>
              <w:t>Patient must be at least 18 years of age.</w:t>
            </w:r>
          </w:p>
        </w:tc>
      </w:tr>
      <w:tr w:rsidR="004F18A6" w:rsidRPr="003A0ECE" w14:paraId="36495352"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4302724" w14:textId="77777777" w:rsidR="004F18A6" w:rsidRPr="003A0ECE" w:rsidRDefault="004F18A6" w:rsidP="0066099F">
            <w:pPr>
              <w:rPr>
                <w:rFonts w:ascii="Arial Narrow" w:hAnsi="Arial Narrow" w:cs="Arial"/>
                <w:sz w:val="20"/>
                <w:szCs w:val="20"/>
              </w:rPr>
            </w:pPr>
            <w:r w:rsidRPr="003A0ECE">
              <w:rPr>
                <w:rFonts w:ascii="Arial Narrow" w:hAnsi="Arial Narrow" w:cs="Arial"/>
                <w:b/>
                <w:bCs/>
                <w:sz w:val="20"/>
                <w:szCs w:val="20"/>
              </w:rPr>
              <w:t>Administrative Advice</w:t>
            </w:r>
            <w:r w:rsidRPr="003A0ECE">
              <w:rPr>
                <w:rFonts w:ascii="Arial Narrow" w:hAnsi="Arial Narrow" w:cs="Arial"/>
                <w:sz w:val="20"/>
                <w:szCs w:val="20"/>
              </w:rPr>
              <w:t>:</w:t>
            </w:r>
          </w:p>
          <w:p w14:paraId="0A11DECA" w14:textId="77777777" w:rsidR="006D0625" w:rsidRPr="003A0ECE" w:rsidRDefault="004F18A6" w:rsidP="0066099F">
            <w:pPr>
              <w:rPr>
                <w:rFonts w:ascii="Arial Narrow" w:hAnsi="Arial Narrow" w:cs="Arial"/>
                <w:sz w:val="20"/>
                <w:szCs w:val="20"/>
              </w:rPr>
            </w:pPr>
            <w:r w:rsidRPr="003A0ECE">
              <w:rPr>
                <w:rFonts w:ascii="Arial Narrow" w:hAnsi="Arial Narrow" w:cs="Arial"/>
                <w:sz w:val="20"/>
                <w:szCs w:val="20"/>
              </w:rPr>
              <w:t>The authority application must be made via the online PBS Authorities System (real time assessment), or in writing via HPOS form upload or mail and must include details (date, unique identifying number/code or provider number) of the echocardiogram or cardiac MRI report confirming:</w:t>
            </w:r>
          </w:p>
          <w:p w14:paraId="565A6D5D" w14:textId="213ED987" w:rsidR="004F18A6" w:rsidRPr="003A0ECE" w:rsidRDefault="004F18A6" w:rsidP="00DD59D8">
            <w:pPr>
              <w:pStyle w:val="ListParagraph"/>
              <w:numPr>
                <w:ilvl w:val="3"/>
                <w:numId w:val="2"/>
              </w:numPr>
              <w:ind w:left="314" w:hanging="269"/>
              <w:rPr>
                <w:rFonts w:ascii="Arial Narrow" w:hAnsi="Arial Narrow"/>
                <w:sz w:val="20"/>
                <w:szCs w:val="20"/>
              </w:rPr>
            </w:pPr>
            <w:r w:rsidRPr="003A0ECE">
              <w:rPr>
                <w:rFonts w:ascii="Arial Narrow" w:hAnsi="Arial Narrow"/>
                <w:sz w:val="20"/>
                <w:szCs w:val="20"/>
              </w:rPr>
              <w:t>the diagnosis of hypertrophic cardiomyopathy (confirmed left ventricular hypertrophy due to HCM with maximal left ventricular wall thickness) of either:</w:t>
            </w:r>
          </w:p>
          <w:p w14:paraId="66226818" w14:textId="4165D213" w:rsidR="004F18A6" w:rsidRPr="003A0ECE" w:rsidRDefault="004F18A6" w:rsidP="00DD59D8">
            <w:pPr>
              <w:pStyle w:val="ListParagraph"/>
              <w:numPr>
                <w:ilvl w:val="1"/>
                <w:numId w:val="25"/>
              </w:numPr>
              <w:rPr>
                <w:rFonts w:ascii="Arial Narrow" w:hAnsi="Arial Narrow"/>
                <w:sz w:val="20"/>
                <w:szCs w:val="20"/>
              </w:rPr>
            </w:pPr>
            <w:r w:rsidRPr="003A0ECE">
              <w:rPr>
                <w:rFonts w:ascii="Arial Narrow" w:hAnsi="Arial Narrow"/>
                <w:sz w:val="20"/>
                <w:szCs w:val="20"/>
              </w:rPr>
              <w:t>no less than 15mm or</w:t>
            </w:r>
          </w:p>
          <w:p w14:paraId="51003C5B" w14:textId="76BAF3E7" w:rsidR="004F18A6" w:rsidRPr="003A0ECE" w:rsidRDefault="004F18A6" w:rsidP="00DD59D8">
            <w:pPr>
              <w:pStyle w:val="ListParagraph"/>
              <w:numPr>
                <w:ilvl w:val="1"/>
                <w:numId w:val="25"/>
              </w:numPr>
              <w:rPr>
                <w:rFonts w:ascii="Arial Narrow" w:hAnsi="Arial Narrow"/>
                <w:sz w:val="20"/>
                <w:szCs w:val="20"/>
              </w:rPr>
            </w:pPr>
            <w:r w:rsidRPr="003A0ECE">
              <w:rPr>
                <w:rFonts w:ascii="Arial Narrow" w:hAnsi="Arial Narrow"/>
                <w:sz w:val="20"/>
                <w:szCs w:val="20"/>
              </w:rPr>
              <w:t>no less than 13mm if patient has familial HCM (at least one first degree relative with a diagnosis of hypertrophic cardiomyopathy); and</w:t>
            </w:r>
          </w:p>
          <w:p w14:paraId="6C890786" w14:textId="7D2BE1AC" w:rsidR="004F18A6" w:rsidRPr="003A0ECE" w:rsidRDefault="004F18A6" w:rsidP="00DD59D8">
            <w:pPr>
              <w:pStyle w:val="ListParagraph"/>
              <w:numPr>
                <w:ilvl w:val="3"/>
                <w:numId w:val="2"/>
              </w:numPr>
              <w:ind w:left="314" w:hanging="269"/>
              <w:rPr>
                <w:rFonts w:ascii="Arial Narrow" w:hAnsi="Arial Narrow"/>
                <w:sz w:val="20"/>
                <w:szCs w:val="20"/>
              </w:rPr>
            </w:pPr>
            <w:r w:rsidRPr="003A0ECE">
              <w:rPr>
                <w:rFonts w:ascii="Arial Narrow" w:hAnsi="Arial Narrow"/>
                <w:sz w:val="20"/>
                <w:szCs w:val="20"/>
              </w:rPr>
              <w:t xml:space="preserve">peak left ventricular outflow tract (LVOT) gradient of no less than 50mm Hg, prior to commencing treatment with this drug which is measured either: </w:t>
            </w:r>
          </w:p>
          <w:p w14:paraId="5FF29D42" w14:textId="41F02E30" w:rsidR="004F18A6" w:rsidRPr="003A0ECE" w:rsidRDefault="004F18A6" w:rsidP="00DD59D8">
            <w:pPr>
              <w:pStyle w:val="ListParagraph"/>
              <w:numPr>
                <w:ilvl w:val="0"/>
                <w:numId w:val="26"/>
              </w:numPr>
              <w:rPr>
                <w:rFonts w:ascii="Arial Narrow" w:hAnsi="Arial Narrow"/>
                <w:sz w:val="20"/>
                <w:szCs w:val="20"/>
              </w:rPr>
            </w:pPr>
            <w:r w:rsidRPr="003A0ECE">
              <w:rPr>
                <w:rFonts w:ascii="Arial Narrow" w:hAnsi="Arial Narrow"/>
                <w:sz w:val="20"/>
                <w:szCs w:val="20"/>
              </w:rPr>
              <w:t>at rest, OR</w:t>
            </w:r>
          </w:p>
          <w:p w14:paraId="7987D74C" w14:textId="3628CDA4" w:rsidR="004F18A6" w:rsidRPr="003A0ECE" w:rsidRDefault="004F18A6" w:rsidP="00DD59D8">
            <w:pPr>
              <w:pStyle w:val="ListParagraph"/>
              <w:numPr>
                <w:ilvl w:val="0"/>
                <w:numId w:val="26"/>
              </w:numPr>
              <w:rPr>
                <w:rFonts w:ascii="Arial Narrow" w:hAnsi="Arial Narrow"/>
                <w:sz w:val="20"/>
                <w:szCs w:val="20"/>
              </w:rPr>
            </w:pPr>
            <w:r w:rsidRPr="003A0ECE">
              <w:rPr>
                <w:rFonts w:ascii="Arial Narrow" w:hAnsi="Arial Narrow"/>
                <w:sz w:val="20"/>
                <w:szCs w:val="20"/>
              </w:rPr>
              <w:t>after provocation with at least one of (a) Valsalva manoeuvre, (b) exercise; and</w:t>
            </w:r>
          </w:p>
          <w:p w14:paraId="2EA9F412" w14:textId="5665DD20" w:rsidR="004F18A6" w:rsidRPr="003A0ECE" w:rsidRDefault="004F18A6" w:rsidP="00DD59D8">
            <w:pPr>
              <w:pStyle w:val="ListParagraph"/>
              <w:numPr>
                <w:ilvl w:val="3"/>
                <w:numId w:val="2"/>
              </w:numPr>
              <w:ind w:left="314" w:hanging="269"/>
              <w:rPr>
                <w:rFonts w:ascii="Arial Narrow" w:hAnsi="Arial Narrow"/>
                <w:sz w:val="20"/>
                <w:szCs w:val="20"/>
              </w:rPr>
            </w:pPr>
            <w:r w:rsidRPr="003A0ECE">
              <w:rPr>
                <w:rFonts w:ascii="Arial Narrow" w:hAnsi="Arial Narrow"/>
                <w:sz w:val="20"/>
                <w:szCs w:val="20"/>
              </w:rPr>
              <w:t>left ventricular ejection fraction (LVEF) of no less than 55%.</w:t>
            </w:r>
          </w:p>
          <w:p w14:paraId="62947F28" w14:textId="77777777" w:rsidR="004F18A6" w:rsidRPr="003A0ECE" w:rsidRDefault="004F18A6" w:rsidP="0066099F">
            <w:pPr>
              <w:rPr>
                <w:rFonts w:ascii="Arial Narrow" w:hAnsi="Arial Narrow" w:cs="Arial"/>
                <w:sz w:val="20"/>
                <w:szCs w:val="20"/>
              </w:rPr>
            </w:pPr>
            <w:r w:rsidRPr="003A0ECE">
              <w:rPr>
                <w:rFonts w:ascii="Arial Narrow" w:hAnsi="Arial Narrow" w:cs="Arial"/>
                <w:sz w:val="20"/>
                <w:szCs w:val="20"/>
              </w:rPr>
              <w:t xml:space="preserve">All </w:t>
            </w:r>
            <w:r w:rsidRPr="003A0ECE">
              <w:rPr>
                <w:rFonts w:ascii="Arial Narrow" w:hAnsi="Arial Narrow" w:cs="Arial"/>
                <w:i/>
                <w:iCs/>
                <w:sz w:val="20"/>
                <w:szCs w:val="20"/>
              </w:rPr>
              <w:t>results and</w:t>
            </w:r>
            <w:r w:rsidRPr="003A0ECE">
              <w:rPr>
                <w:rFonts w:ascii="Arial Narrow" w:hAnsi="Arial Narrow" w:cs="Arial"/>
                <w:sz w:val="20"/>
                <w:szCs w:val="20"/>
              </w:rPr>
              <w:t xml:space="preserve"> reports must be documented in the patient's medical records.</w:t>
            </w:r>
          </w:p>
          <w:p w14:paraId="75DF0A34" w14:textId="77777777" w:rsidR="004F18A6" w:rsidRPr="003A0ECE" w:rsidRDefault="004F18A6" w:rsidP="0066099F">
            <w:pPr>
              <w:rPr>
                <w:rFonts w:ascii="Arial Narrow" w:hAnsi="Arial Narrow" w:cs="Arial"/>
                <w:sz w:val="20"/>
                <w:szCs w:val="20"/>
              </w:rPr>
            </w:pPr>
          </w:p>
          <w:p w14:paraId="08976395" w14:textId="77777777" w:rsidR="004F18A6" w:rsidRPr="003A0ECE" w:rsidRDefault="004F18A6" w:rsidP="0066099F">
            <w:pPr>
              <w:rPr>
                <w:rFonts w:ascii="Arial Narrow" w:hAnsi="Arial Narrow" w:cs="Arial"/>
                <w:sz w:val="20"/>
                <w:szCs w:val="20"/>
              </w:rPr>
            </w:pPr>
            <w:r w:rsidRPr="003A0ECE">
              <w:rPr>
                <w:rFonts w:ascii="Arial Narrow" w:hAnsi="Arial Narrow" w:cs="Arial"/>
                <w:sz w:val="20"/>
                <w:szCs w:val="20"/>
              </w:rPr>
              <w:t>If the application is submitted through HPOS form upload or mail, it must include:</w:t>
            </w:r>
          </w:p>
          <w:p w14:paraId="32D3F3D1" w14:textId="1CE0F895" w:rsidR="004F18A6" w:rsidRPr="003A0ECE" w:rsidRDefault="004F18A6" w:rsidP="00DD59D8">
            <w:pPr>
              <w:pStyle w:val="ListParagraph"/>
              <w:numPr>
                <w:ilvl w:val="0"/>
                <w:numId w:val="27"/>
              </w:numPr>
              <w:rPr>
                <w:rFonts w:ascii="Arial Narrow" w:hAnsi="Arial Narrow"/>
                <w:sz w:val="20"/>
                <w:szCs w:val="20"/>
              </w:rPr>
            </w:pPr>
            <w:r w:rsidRPr="003A0ECE">
              <w:rPr>
                <w:rFonts w:ascii="Arial Narrow" w:hAnsi="Arial Narrow"/>
                <w:sz w:val="20"/>
                <w:szCs w:val="20"/>
              </w:rPr>
              <w:t>A completed authority prescription form; and</w:t>
            </w:r>
          </w:p>
          <w:p w14:paraId="083D649B" w14:textId="07C27A4F" w:rsidR="004F18A6" w:rsidRPr="003A0ECE" w:rsidRDefault="004F18A6" w:rsidP="00DD59D8">
            <w:pPr>
              <w:pStyle w:val="ListParagraph"/>
              <w:numPr>
                <w:ilvl w:val="0"/>
                <w:numId w:val="27"/>
              </w:numPr>
              <w:rPr>
                <w:rFonts w:ascii="Arial Narrow" w:hAnsi="Arial Narrow"/>
                <w:i/>
                <w:iCs/>
                <w:sz w:val="20"/>
                <w:szCs w:val="20"/>
              </w:rPr>
            </w:pPr>
            <w:r w:rsidRPr="003A0ECE">
              <w:rPr>
                <w:rFonts w:ascii="Arial Narrow" w:hAnsi="Arial Narrow"/>
                <w:sz w:val="20"/>
                <w:szCs w:val="20"/>
              </w:rPr>
              <w:t>A completed authority application form relevant to the indication and treatment phase (the latest version is located on the website specified in the Administrative Advice)</w:t>
            </w:r>
            <w:r w:rsidR="007C65D7" w:rsidRPr="003A0ECE">
              <w:rPr>
                <w:rFonts w:ascii="Arial Narrow" w:hAnsi="Arial Narrow"/>
                <w:sz w:val="20"/>
                <w:szCs w:val="20"/>
              </w:rPr>
              <w:t xml:space="preserve">. </w:t>
            </w:r>
          </w:p>
        </w:tc>
      </w:tr>
    </w:tbl>
    <w:p w14:paraId="593E631B" w14:textId="14DB0ACE" w:rsidR="004F18A6" w:rsidRPr="003A0ECE" w:rsidRDefault="004F18A6" w:rsidP="004F18A6">
      <w:pPr>
        <w:jc w:val="left"/>
      </w:pPr>
    </w:p>
    <w:p w14:paraId="496CDBF9" w14:textId="1AAAF261" w:rsidR="004F18A6" w:rsidRPr="003A0ECE" w:rsidRDefault="006632B3" w:rsidP="00F71922">
      <w:pPr>
        <w:pStyle w:val="TableFigureHeading"/>
      </w:pPr>
      <w:bookmarkStart w:id="9" w:name="_Ref150434142"/>
      <w:r w:rsidRPr="003A0ECE">
        <w:lastRenderedPageBreak/>
        <w:t xml:space="preserve">Table </w:t>
      </w:r>
      <w:fldSimple w:instr=" SEQ Table \* ARABIC " w:fldLock="1">
        <w:r w:rsidR="00707345" w:rsidRPr="003A0ECE">
          <w:t>4</w:t>
        </w:r>
      </w:fldSimple>
      <w:bookmarkEnd w:id="9"/>
      <w:r w:rsidRPr="003A0ECE">
        <w:t xml:space="preserve">: </w:t>
      </w:r>
      <w:r w:rsidR="004F18A6" w:rsidRPr="003A0ECE">
        <w:t xml:space="preserve">Continuing Treatment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7"/>
        <w:gridCol w:w="732"/>
        <w:gridCol w:w="734"/>
        <w:gridCol w:w="734"/>
        <w:gridCol w:w="734"/>
        <w:gridCol w:w="2395"/>
      </w:tblGrid>
      <w:tr w:rsidR="003A0ECE" w:rsidRPr="003A0ECE" w14:paraId="56307173" w14:textId="77777777" w:rsidTr="00F71922">
        <w:trPr>
          <w:trHeight w:val="20"/>
        </w:trPr>
        <w:tc>
          <w:tcPr>
            <w:tcW w:w="2045" w:type="pct"/>
            <w:vAlign w:val="center"/>
          </w:tcPr>
          <w:p w14:paraId="703FBF23" w14:textId="77777777" w:rsidR="004F18A6" w:rsidRPr="003A0ECE" w:rsidRDefault="004F18A6" w:rsidP="0066099F">
            <w:pPr>
              <w:keepLines/>
              <w:rPr>
                <w:rFonts w:ascii="Arial Narrow" w:hAnsi="Arial Narrow" w:cs="Arial"/>
                <w:b/>
                <w:bCs/>
                <w:sz w:val="20"/>
                <w:szCs w:val="20"/>
              </w:rPr>
            </w:pPr>
            <w:r w:rsidRPr="003A0ECE">
              <w:rPr>
                <w:rFonts w:ascii="Arial Narrow" w:hAnsi="Arial Narrow" w:cs="Arial"/>
                <w:b/>
                <w:bCs/>
                <w:sz w:val="20"/>
                <w:szCs w:val="20"/>
              </w:rPr>
              <w:t>MEDICINAL PRODUCT</w:t>
            </w:r>
          </w:p>
          <w:p w14:paraId="5894A031" w14:textId="77777777" w:rsidR="004F18A6" w:rsidRPr="003A0ECE" w:rsidRDefault="004F18A6" w:rsidP="0066099F">
            <w:pPr>
              <w:keepLines/>
              <w:rPr>
                <w:rFonts w:ascii="Arial Narrow" w:hAnsi="Arial Narrow" w:cs="Arial"/>
                <w:b/>
                <w:sz w:val="20"/>
                <w:szCs w:val="20"/>
              </w:rPr>
            </w:pPr>
            <w:r w:rsidRPr="003A0ECE">
              <w:rPr>
                <w:rFonts w:ascii="Arial Narrow" w:hAnsi="Arial Narrow" w:cs="Arial"/>
                <w:b/>
                <w:bCs/>
                <w:sz w:val="20"/>
                <w:szCs w:val="20"/>
              </w:rPr>
              <w:t>medicinal product pack</w:t>
            </w:r>
          </w:p>
        </w:tc>
        <w:tc>
          <w:tcPr>
            <w:tcW w:w="406" w:type="pct"/>
            <w:vAlign w:val="center"/>
          </w:tcPr>
          <w:p w14:paraId="58D26904" w14:textId="77777777" w:rsidR="004F18A6" w:rsidRPr="003A0ECE" w:rsidRDefault="004F18A6" w:rsidP="0066099F">
            <w:pPr>
              <w:keepLines/>
              <w:jc w:val="center"/>
              <w:rPr>
                <w:rFonts w:ascii="Arial Narrow" w:hAnsi="Arial Narrow" w:cs="Arial"/>
                <w:b/>
                <w:sz w:val="20"/>
                <w:szCs w:val="20"/>
              </w:rPr>
            </w:pPr>
            <w:r w:rsidRPr="003A0ECE">
              <w:rPr>
                <w:rFonts w:ascii="Arial Narrow" w:hAnsi="Arial Narrow" w:cs="Arial"/>
                <w:b/>
                <w:sz w:val="20"/>
                <w:szCs w:val="20"/>
              </w:rPr>
              <w:t>PBS item code</w:t>
            </w:r>
          </w:p>
        </w:tc>
        <w:tc>
          <w:tcPr>
            <w:tcW w:w="407" w:type="pct"/>
            <w:vAlign w:val="center"/>
          </w:tcPr>
          <w:p w14:paraId="1B13A9E7" w14:textId="77777777" w:rsidR="004F18A6" w:rsidRPr="003A0ECE" w:rsidRDefault="004F18A6" w:rsidP="0066099F">
            <w:pPr>
              <w:keepLines/>
              <w:jc w:val="center"/>
              <w:rPr>
                <w:rFonts w:ascii="Arial Narrow" w:hAnsi="Arial Narrow" w:cs="Arial"/>
                <w:b/>
                <w:sz w:val="20"/>
                <w:szCs w:val="20"/>
              </w:rPr>
            </w:pPr>
            <w:r w:rsidRPr="003A0ECE">
              <w:rPr>
                <w:rFonts w:ascii="Arial Narrow" w:hAnsi="Arial Narrow" w:cs="Arial"/>
                <w:b/>
                <w:sz w:val="20"/>
                <w:szCs w:val="20"/>
              </w:rPr>
              <w:t>Max. qty packs</w:t>
            </w:r>
          </w:p>
        </w:tc>
        <w:tc>
          <w:tcPr>
            <w:tcW w:w="407" w:type="pct"/>
            <w:vAlign w:val="center"/>
          </w:tcPr>
          <w:p w14:paraId="5C69C886" w14:textId="77777777" w:rsidR="004F18A6" w:rsidRPr="003A0ECE" w:rsidRDefault="004F18A6" w:rsidP="0066099F">
            <w:pPr>
              <w:keepLines/>
              <w:jc w:val="center"/>
              <w:rPr>
                <w:rFonts w:ascii="Arial Narrow" w:hAnsi="Arial Narrow" w:cs="Arial"/>
                <w:b/>
                <w:sz w:val="20"/>
                <w:szCs w:val="20"/>
              </w:rPr>
            </w:pPr>
            <w:r w:rsidRPr="003A0ECE">
              <w:rPr>
                <w:rFonts w:ascii="Arial Narrow" w:hAnsi="Arial Narrow" w:cs="Arial"/>
                <w:b/>
                <w:sz w:val="20"/>
                <w:szCs w:val="20"/>
              </w:rPr>
              <w:t>Max. qty units</w:t>
            </w:r>
          </w:p>
        </w:tc>
        <w:tc>
          <w:tcPr>
            <w:tcW w:w="407" w:type="pct"/>
            <w:vAlign w:val="center"/>
          </w:tcPr>
          <w:p w14:paraId="613EB311" w14:textId="77777777" w:rsidR="004F18A6" w:rsidRPr="003A0ECE" w:rsidRDefault="004F18A6" w:rsidP="0066099F">
            <w:pPr>
              <w:keepLines/>
              <w:jc w:val="center"/>
              <w:rPr>
                <w:rFonts w:ascii="Arial Narrow" w:hAnsi="Arial Narrow" w:cs="Arial"/>
                <w:b/>
                <w:sz w:val="20"/>
                <w:szCs w:val="20"/>
              </w:rPr>
            </w:pPr>
            <w:r w:rsidRPr="003A0ECE">
              <w:rPr>
                <w:rFonts w:ascii="Arial Narrow" w:hAnsi="Arial Narrow" w:cs="Arial"/>
                <w:b/>
                <w:sz w:val="20"/>
                <w:szCs w:val="20"/>
              </w:rPr>
              <w:t>№.of</w:t>
            </w:r>
          </w:p>
          <w:p w14:paraId="3D686CB7" w14:textId="77777777" w:rsidR="004F18A6" w:rsidRPr="003A0ECE" w:rsidRDefault="004F18A6" w:rsidP="0066099F">
            <w:pPr>
              <w:keepLines/>
              <w:jc w:val="center"/>
              <w:rPr>
                <w:rFonts w:ascii="Arial Narrow" w:hAnsi="Arial Narrow" w:cs="Arial"/>
                <w:b/>
                <w:sz w:val="20"/>
                <w:szCs w:val="20"/>
              </w:rPr>
            </w:pPr>
            <w:r w:rsidRPr="003A0ECE">
              <w:rPr>
                <w:rFonts w:ascii="Arial Narrow" w:hAnsi="Arial Narrow" w:cs="Arial"/>
                <w:b/>
                <w:sz w:val="20"/>
                <w:szCs w:val="20"/>
              </w:rPr>
              <w:t>Rpts</w:t>
            </w:r>
          </w:p>
        </w:tc>
        <w:tc>
          <w:tcPr>
            <w:tcW w:w="1328" w:type="pct"/>
            <w:vAlign w:val="center"/>
          </w:tcPr>
          <w:p w14:paraId="6A1F84A4" w14:textId="77777777" w:rsidR="004F18A6" w:rsidRPr="003A0ECE" w:rsidRDefault="004F18A6" w:rsidP="0066099F">
            <w:pPr>
              <w:keepLines/>
              <w:rPr>
                <w:rFonts w:ascii="Arial Narrow" w:hAnsi="Arial Narrow" w:cs="Arial"/>
                <w:b/>
                <w:sz w:val="20"/>
                <w:szCs w:val="20"/>
              </w:rPr>
            </w:pPr>
            <w:r w:rsidRPr="003A0ECE">
              <w:rPr>
                <w:rFonts w:ascii="Arial Narrow" w:hAnsi="Arial Narrow" w:cs="Arial"/>
                <w:b/>
                <w:sz w:val="20"/>
                <w:szCs w:val="20"/>
              </w:rPr>
              <w:t>Available brands</w:t>
            </w:r>
          </w:p>
        </w:tc>
      </w:tr>
      <w:tr w:rsidR="003A0ECE" w:rsidRPr="003A0ECE" w14:paraId="2E6E8D7D" w14:textId="77777777" w:rsidTr="00F71922">
        <w:trPr>
          <w:trHeight w:val="20"/>
        </w:trPr>
        <w:tc>
          <w:tcPr>
            <w:tcW w:w="5000" w:type="pct"/>
            <w:gridSpan w:val="6"/>
            <w:vAlign w:val="center"/>
          </w:tcPr>
          <w:p w14:paraId="1B7D3BDF" w14:textId="77777777" w:rsidR="004F18A6" w:rsidRPr="003A0ECE" w:rsidRDefault="004F18A6" w:rsidP="0066099F">
            <w:pPr>
              <w:keepLines/>
              <w:rPr>
                <w:rFonts w:ascii="Arial Narrow" w:hAnsi="Arial Narrow" w:cs="Arial"/>
                <w:sz w:val="20"/>
                <w:szCs w:val="20"/>
              </w:rPr>
            </w:pPr>
            <w:r w:rsidRPr="003A0ECE">
              <w:rPr>
                <w:rFonts w:ascii="Arial Narrow" w:hAnsi="Arial Narrow" w:cs="Arial"/>
                <w:sz w:val="20"/>
                <w:szCs w:val="20"/>
              </w:rPr>
              <w:t>MAVACAMTEN</w:t>
            </w:r>
          </w:p>
        </w:tc>
      </w:tr>
      <w:tr w:rsidR="003A0ECE" w:rsidRPr="003A0ECE" w14:paraId="0A2B5BBD" w14:textId="77777777" w:rsidTr="00F71922">
        <w:trPr>
          <w:trHeight w:val="20"/>
        </w:trPr>
        <w:tc>
          <w:tcPr>
            <w:tcW w:w="2045" w:type="pct"/>
            <w:vAlign w:val="center"/>
          </w:tcPr>
          <w:p w14:paraId="6236C615" w14:textId="77777777" w:rsidR="004F18A6" w:rsidRPr="003A0ECE" w:rsidRDefault="004F18A6" w:rsidP="0066099F">
            <w:pPr>
              <w:keepLines/>
              <w:rPr>
                <w:rFonts w:ascii="Arial Narrow" w:hAnsi="Arial Narrow" w:cs="Arial"/>
                <w:sz w:val="20"/>
                <w:szCs w:val="20"/>
              </w:rPr>
            </w:pPr>
            <w:r w:rsidRPr="003A0ECE">
              <w:rPr>
                <w:rFonts w:ascii="Arial Narrow" w:hAnsi="Arial Narrow" w:cs="Arial"/>
                <w:sz w:val="20"/>
                <w:szCs w:val="20"/>
              </w:rPr>
              <w:t xml:space="preserve">mavacamten 2.5 mg capsule, 28 </w:t>
            </w:r>
          </w:p>
        </w:tc>
        <w:tc>
          <w:tcPr>
            <w:tcW w:w="406" w:type="pct"/>
            <w:vAlign w:val="center"/>
          </w:tcPr>
          <w:p w14:paraId="6A59ED04" w14:textId="77777777" w:rsidR="004F18A6" w:rsidRPr="003A0ECE" w:rsidRDefault="004F18A6" w:rsidP="0066099F">
            <w:pPr>
              <w:keepLines/>
              <w:jc w:val="center"/>
              <w:rPr>
                <w:rFonts w:ascii="Arial Narrow" w:hAnsi="Arial Narrow" w:cs="Arial"/>
                <w:sz w:val="20"/>
                <w:szCs w:val="20"/>
              </w:rPr>
            </w:pPr>
            <w:r w:rsidRPr="003A0ECE">
              <w:rPr>
                <w:rFonts w:ascii="Arial Narrow" w:hAnsi="Arial Narrow" w:cs="Arial"/>
                <w:sz w:val="20"/>
                <w:szCs w:val="20"/>
              </w:rPr>
              <w:t>NEW</w:t>
            </w:r>
          </w:p>
        </w:tc>
        <w:tc>
          <w:tcPr>
            <w:tcW w:w="407" w:type="pct"/>
            <w:vAlign w:val="center"/>
          </w:tcPr>
          <w:p w14:paraId="16E6A70B" w14:textId="77777777" w:rsidR="004F18A6" w:rsidRPr="003A0ECE" w:rsidRDefault="004F18A6" w:rsidP="0066099F">
            <w:pPr>
              <w:keepLines/>
              <w:jc w:val="center"/>
              <w:rPr>
                <w:rFonts w:ascii="Arial Narrow" w:hAnsi="Arial Narrow" w:cs="Arial"/>
                <w:sz w:val="20"/>
                <w:szCs w:val="20"/>
              </w:rPr>
            </w:pPr>
            <w:r w:rsidRPr="003A0ECE">
              <w:rPr>
                <w:rFonts w:ascii="Arial Narrow" w:hAnsi="Arial Narrow" w:cs="Arial"/>
                <w:sz w:val="20"/>
                <w:szCs w:val="20"/>
              </w:rPr>
              <w:t>1</w:t>
            </w:r>
          </w:p>
        </w:tc>
        <w:tc>
          <w:tcPr>
            <w:tcW w:w="407" w:type="pct"/>
            <w:vAlign w:val="center"/>
          </w:tcPr>
          <w:p w14:paraId="29A31CC0" w14:textId="77777777" w:rsidR="004F18A6" w:rsidRPr="003A0ECE" w:rsidRDefault="004F18A6" w:rsidP="0066099F">
            <w:pPr>
              <w:keepLines/>
              <w:jc w:val="center"/>
              <w:rPr>
                <w:rFonts w:ascii="Arial Narrow" w:hAnsi="Arial Narrow" w:cs="Arial"/>
                <w:sz w:val="20"/>
                <w:szCs w:val="20"/>
              </w:rPr>
            </w:pPr>
            <w:r w:rsidRPr="003A0ECE">
              <w:rPr>
                <w:rFonts w:ascii="Arial Narrow" w:hAnsi="Arial Narrow" w:cs="Arial"/>
                <w:sz w:val="20"/>
                <w:szCs w:val="20"/>
              </w:rPr>
              <w:t>28</w:t>
            </w:r>
          </w:p>
        </w:tc>
        <w:tc>
          <w:tcPr>
            <w:tcW w:w="407" w:type="pct"/>
            <w:vAlign w:val="center"/>
          </w:tcPr>
          <w:p w14:paraId="7192BDB9" w14:textId="77777777" w:rsidR="004F18A6" w:rsidRPr="003A0ECE" w:rsidRDefault="004F18A6" w:rsidP="0066099F">
            <w:pPr>
              <w:keepLines/>
              <w:jc w:val="center"/>
              <w:rPr>
                <w:rFonts w:ascii="Arial Narrow" w:hAnsi="Arial Narrow" w:cs="Arial"/>
                <w:sz w:val="20"/>
                <w:szCs w:val="20"/>
              </w:rPr>
            </w:pPr>
            <w:r w:rsidRPr="003A0ECE">
              <w:rPr>
                <w:rFonts w:ascii="Arial Narrow" w:hAnsi="Arial Narrow" w:cs="Arial"/>
                <w:sz w:val="20"/>
                <w:szCs w:val="20"/>
              </w:rPr>
              <w:t>5</w:t>
            </w:r>
          </w:p>
        </w:tc>
        <w:tc>
          <w:tcPr>
            <w:tcW w:w="1328" w:type="pct"/>
            <w:vAlign w:val="center"/>
          </w:tcPr>
          <w:p w14:paraId="25856974" w14:textId="77777777" w:rsidR="004F18A6" w:rsidRPr="003A0ECE" w:rsidRDefault="004F18A6" w:rsidP="0066099F">
            <w:pPr>
              <w:keepLines/>
              <w:rPr>
                <w:rFonts w:ascii="Arial Narrow" w:hAnsi="Arial Narrow" w:cs="Arial"/>
                <w:sz w:val="20"/>
                <w:szCs w:val="20"/>
              </w:rPr>
            </w:pPr>
            <w:r w:rsidRPr="003A0ECE">
              <w:rPr>
                <w:rFonts w:ascii="Arial Narrow" w:hAnsi="Arial Narrow" w:cs="Arial"/>
                <w:sz w:val="20"/>
                <w:szCs w:val="20"/>
              </w:rPr>
              <w:t>Camzyos®</w:t>
            </w:r>
          </w:p>
        </w:tc>
      </w:tr>
      <w:tr w:rsidR="003A0ECE" w:rsidRPr="003A0ECE" w14:paraId="433BEEDC" w14:textId="77777777" w:rsidTr="00F71922">
        <w:trPr>
          <w:trHeight w:val="20"/>
        </w:trPr>
        <w:tc>
          <w:tcPr>
            <w:tcW w:w="2045" w:type="pct"/>
            <w:vAlign w:val="center"/>
          </w:tcPr>
          <w:p w14:paraId="3C6B17E9" w14:textId="77777777" w:rsidR="004F18A6" w:rsidRPr="003A0ECE" w:rsidRDefault="004F18A6" w:rsidP="0066099F">
            <w:pPr>
              <w:keepLines/>
              <w:rPr>
                <w:rFonts w:ascii="Arial Narrow" w:hAnsi="Arial Narrow" w:cs="Arial"/>
                <w:sz w:val="20"/>
                <w:szCs w:val="20"/>
              </w:rPr>
            </w:pPr>
            <w:r w:rsidRPr="003A0ECE">
              <w:rPr>
                <w:rFonts w:ascii="Arial Narrow" w:hAnsi="Arial Narrow" w:cs="Arial"/>
                <w:sz w:val="20"/>
                <w:szCs w:val="20"/>
              </w:rPr>
              <w:t>mavacamten 5 mg capsule, 28</w:t>
            </w:r>
          </w:p>
        </w:tc>
        <w:tc>
          <w:tcPr>
            <w:tcW w:w="406" w:type="pct"/>
            <w:vAlign w:val="center"/>
          </w:tcPr>
          <w:p w14:paraId="73810C99" w14:textId="77777777" w:rsidR="004F18A6" w:rsidRPr="003A0ECE" w:rsidRDefault="004F18A6" w:rsidP="0066099F">
            <w:pPr>
              <w:keepLines/>
              <w:jc w:val="center"/>
              <w:rPr>
                <w:rFonts w:ascii="Arial Narrow" w:hAnsi="Arial Narrow" w:cs="Arial"/>
                <w:sz w:val="20"/>
                <w:szCs w:val="20"/>
              </w:rPr>
            </w:pPr>
            <w:r w:rsidRPr="003A0ECE">
              <w:rPr>
                <w:rFonts w:ascii="Arial Narrow" w:hAnsi="Arial Narrow" w:cs="Arial"/>
                <w:sz w:val="20"/>
                <w:szCs w:val="20"/>
              </w:rPr>
              <w:t>NEW</w:t>
            </w:r>
          </w:p>
        </w:tc>
        <w:tc>
          <w:tcPr>
            <w:tcW w:w="407" w:type="pct"/>
            <w:vAlign w:val="center"/>
          </w:tcPr>
          <w:p w14:paraId="38CD4A4F" w14:textId="77777777" w:rsidR="004F18A6" w:rsidRPr="003A0ECE" w:rsidRDefault="004F18A6" w:rsidP="0066099F">
            <w:pPr>
              <w:keepLines/>
              <w:jc w:val="center"/>
              <w:rPr>
                <w:rFonts w:ascii="Arial Narrow" w:hAnsi="Arial Narrow" w:cs="Arial"/>
                <w:sz w:val="20"/>
                <w:szCs w:val="20"/>
              </w:rPr>
            </w:pPr>
            <w:r w:rsidRPr="003A0ECE">
              <w:rPr>
                <w:rFonts w:ascii="Arial Narrow" w:hAnsi="Arial Narrow" w:cs="Arial"/>
                <w:sz w:val="20"/>
                <w:szCs w:val="20"/>
              </w:rPr>
              <w:t>1</w:t>
            </w:r>
          </w:p>
        </w:tc>
        <w:tc>
          <w:tcPr>
            <w:tcW w:w="407" w:type="pct"/>
            <w:vAlign w:val="center"/>
          </w:tcPr>
          <w:p w14:paraId="36A894F0" w14:textId="77777777" w:rsidR="004F18A6" w:rsidRPr="003A0ECE" w:rsidRDefault="004F18A6" w:rsidP="0066099F">
            <w:pPr>
              <w:keepLines/>
              <w:jc w:val="center"/>
              <w:rPr>
                <w:rFonts w:ascii="Arial Narrow" w:hAnsi="Arial Narrow" w:cs="Arial"/>
                <w:sz w:val="20"/>
                <w:szCs w:val="20"/>
              </w:rPr>
            </w:pPr>
            <w:r w:rsidRPr="003A0ECE">
              <w:rPr>
                <w:rFonts w:ascii="Arial Narrow" w:hAnsi="Arial Narrow" w:cs="Arial"/>
                <w:sz w:val="20"/>
                <w:szCs w:val="20"/>
              </w:rPr>
              <w:t>28</w:t>
            </w:r>
          </w:p>
        </w:tc>
        <w:tc>
          <w:tcPr>
            <w:tcW w:w="407" w:type="pct"/>
            <w:vAlign w:val="center"/>
          </w:tcPr>
          <w:p w14:paraId="7C6685AA" w14:textId="77777777" w:rsidR="004F18A6" w:rsidRPr="003A0ECE" w:rsidRDefault="004F18A6" w:rsidP="0066099F">
            <w:pPr>
              <w:keepLines/>
              <w:jc w:val="center"/>
              <w:rPr>
                <w:rFonts w:ascii="Arial Narrow" w:hAnsi="Arial Narrow" w:cs="Arial"/>
                <w:sz w:val="20"/>
                <w:szCs w:val="20"/>
              </w:rPr>
            </w:pPr>
            <w:r w:rsidRPr="003A0ECE">
              <w:rPr>
                <w:rFonts w:ascii="Arial Narrow" w:hAnsi="Arial Narrow" w:cs="Arial"/>
                <w:sz w:val="20"/>
                <w:szCs w:val="20"/>
              </w:rPr>
              <w:t>5</w:t>
            </w:r>
          </w:p>
        </w:tc>
        <w:tc>
          <w:tcPr>
            <w:tcW w:w="1328" w:type="pct"/>
            <w:vAlign w:val="center"/>
          </w:tcPr>
          <w:p w14:paraId="0422B9BB" w14:textId="77777777" w:rsidR="004F18A6" w:rsidRPr="003A0ECE" w:rsidRDefault="004F18A6" w:rsidP="0066099F">
            <w:pPr>
              <w:keepLines/>
              <w:rPr>
                <w:rFonts w:ascii="Arial Narrow" w:hAnsi="Arial Narrow" w:cs="Arial"/>
                <w:sz w:val="20"/>
                <w:szCs w:val="20"/>
              </w:rPr>
            </w:pPr>
            <w:r w:rsidRPr="003A0ECE">
              <w:rPr>
                <w:rFonts w:ascii="Arial Narrow" w:hAnsi="Arial Narrow" w:cs="Arial"/>
                <w:sz w:val="20"/>
                <w:szCs w:val="20"/>
              </w:rPr>
              <w:t>Camzyos®</w:t>
            </w:r>
          </w:p>
        </w:tc>
      </w:tr>
      <w:tr w:rsidR="003A0ECE" w:rsidRPr="003A0ECE" w14:paraId="0778DBDD" w14:textId="77777777" w:rsidTr="00F71922">
        <w:trPr>
          <w:trHeight w:val="20"/>
        </w:trPr>
        <w:tc>
          <w:tcPr>
            <w:tcW w:w="2045" w:type="pct"/>
            <w:vAlign w:val="center"/>
          </w:tcPr>
          <w:p w14:paraId="6D47430A" w14:textId="77777777" w:rsidR="004F18A6" w:rsidRPr="003A0ECE" w:rsidRDefault="004F18A6" w:rsidP="0066099F">
            <w:pPr>
              <w:keepLines/>
              <w:rPr>
                <w:rFonts w:ascii="Arial Narrow" w:hAnsi="Arial Narrow" w:cs="Arial"/>
                <w:sz w:val="20"/>
                <w:szCs w:val="20"/>
              </w:rPr>
            </w:pPr>
            <w:r w:rsidRPr="003A0ECE">
              <w:rPr>
                <w:rFonts w:ascii="Arial Narrow" w:hAnsi="Arial Narrow" w:cs="Arial"/>
                <w:sz w:val="20"/>
                <w:szCs w:val="20"/>
              </w:rPr>
              <w:t>mavacamten 10 mg capsule, 28</w:t>
            </w:r>
          </w:p>
        </w:tc>
        <w:tc>
          <w:tcPr>
            <w:tcW w:w="406" w:type="pct"/>
            <w:vAlign w:val="center"/>
          </w:tcPr>
          <w:p w14:paraId="61E3BDA8" w14:textId="77777777" w:rsidR="004F18A6" w:rsidRPr="003A0ECE" w:rsidRDefault="004F18A6" w:rsidP="0066099F">
            <w:pPr>
              <w:keepLines/>
              <w:jc w:val="center"/>
              <w:rPr>
                <w:rFonts w:ascii="Arial Narrow" w:hAnsi="Arial Narrow" w:cs="Arial"/>
                <w:sz w:val="20"/>
                <w:szCs w:val="20"/>
              </w:rPr>
            </w:pPr>
            <w:r w:rsidRPr="003A0ECE">
              <w:rPr>
                <w:rFonts w:ascii="Arial Narrow" w:hAnsi="Arial Narrow" w:cs="Arial"/>
                <w:sz w:val="20"/>
                <w:szCs w:val="20"/>
              </w:rPr>
              <w:t>NEW</w:t>
            </w:r>
          </w:p>
        </w:tc>
        <w:tc>
          <w:tcPr>
            <w:tcW w:w="407" w:type="pct"/>
            <w:vAlign w:val="center"/>
          </w:tcPr>
          <w:p w14:paraId="78EFCCF0" w14:textId="77777777" w:rsidR="004F18A6" w:rsidRPr="003A0ECE" w:rsidRDefault="004F18A6" w:rsidP="0066099F">
            <w:pPr>
              <w:keepLines/>
              <w:jc w:val="center"/>
              <w:rPr>
                <w:rFonts w:ascii="Arial Narrow" w:hAnsi="Arial Narrow" w:cs="Arial"/>
                <w:sz w:val="20"/>
                <w:szCs w:val="20"/>
              </w:rPr>
            </w:pPr>
            <w:r w:rsidRPr="003A0ECE">
              <w:rPr>
                <w:rFonts w:ascii="Arial Narrow" w:hAnsi="Arial Narrow" w:cs="Arial"/>
                <w:sz w:val="20"/>
                <w:szCs w:val="20"/>
              </w:rPr>
              <w:t>1</w:t>
            </w:r>
          </w:p>
        </w:tc>
        <w:tc>
          <w:tcPr>
            <w:tcW w:w="407" w:type="pct"/>
            <w:vAlign w:val="center"/>
          </w:tcPr>
          <w:p w14:paraId="22961D82" w14:textId="77777777" w:rsidR="004F18A6" w:rsidRPr="003A0ECE" w:rsidRDefault="004F18A6" w:rsidP="0066099F">
            <w:pPr>
              <w:keepLines/>
              <w:jc w:val="center"/>
              <w:rPr>
                <w:rFonts w:ascii="Arial Narrow" w:hAnsi="Arial Narrow" w:cs="Arial"/>
                <w:sz w:val="20"/>
                <w:szCs w:val="20"/>
              </w:rPr>
            </w:pPr>
            <w:r w:rsidRPr="003A0ECE">
              <w:rPr>
                <w:rFonts w:ascii="Arial Narrow" w:hAnsi="Arial Narrow" w:cs="Arial"/>
                <w:sz w:val="20"/>
                <w:szCs w:val="20"/>
              </w:rPr>
              <w:t>28</w:t>
            </w:r>
          </w:p>
        </w:tc>
        <w:tc>
          <w:tcPr>
            <w:tcW w:w="407" w:type="pct"/>
            <w:vAlign w:val="center"/>
          </w:tcPr>
          <w:p w14:paraId="73F6C3B0" w14:textId="77777777" w:rsidR="004F18A6" w:rsidRPr="003A0ECE" w:rsidRDefault="004F18A6" w:rsidP="0066099F">
            <w:pPr>
              <w:keepLines/>
              <w:jc w:val="center"/>
              <w:rPr>
                <w:rFonts w:ascii="Arial Narrow" w:hAnsi="Arial Narrow" w:cs="Arial"/>
                <w:sz w:val="20"/>
                <w:szCs w:val="20"/>
              </w:rPr>
            </w:pPr>
            <w:r w:rsidRPr="003A0ECE">
              <w:rPr>
                <w:rFonts w:ascii="Arial Narrow" w:hAnsi="Arial Narrow" w:cs="Arial"/>
                <w:sz w:val="20"/>
                <w:szCs w:val="20"/>
              </w:rPr>
              <w:t>5</w:t>
            </w:r>
          </w:p>
        </w:tc>
        <w:tc>
          <w:tcPr>
            <w:tcW w:w="1328" w:type="pct"/>
            <w:vAlign w:val="center"/>
          </w:tcPr>
          <w:p w14:paraId="5CBE315E" w14:textId="77777777" w:rsidR="004F18A6" w:rsidRPr="003A0ECE" w:rsidRDefault="004F18A6" w:rsidP="0066099F">
            <w:pPr>
              <w:keepLines/>
              <w:rPr>
                <w:rFonts w:ascii="Arial Narrow" w:hAnsi="Arial Narrow" w:cs="Arial"/>
                <w:sz w:val="20"/>
                <w:szCs w:val="20"/>
              </w:rPr>
            </w:pPr>
            <w:r w:rsidRPr="003A0ECE">
              <w:rPr>
                <w:rFonts w:ascii="Arial Narrow" w:hAnsi="Arial Narrow" w:cs="Arial"/>
                <w:sz w:val="20"/>
                <w:szCs w:val="20"/>
              </w:rPr>
              <w:t>Camzyos®</w:t>
            </w:r>
          </w:p>
        </w:tc>
      </w:tr>
      <w:tr w:rsidR="003A0ECE" w:rsidRPr="003A0ECE" w14:paraId="09E40D7B" w14:textId="77777777" w:rsidTr="00F71922">
        <w:trPr>
          <w:trHeight w:val="20"/>
        </w:trPr>
        <w:tc>
          <w:tcPr>
            <w:tcW w:w="2045" w:type="pct"/>
            <w:vAlign w:val="center"/>
          </w:tcPr>
          <w:p w14:paraId="4297524D" w14:textId="77777777" w:rsidR="004F18A6" w:rsidRPr="003A0ECE" w:rsidRDefault="004F18A6" w:rsidP="0066099F">
            <w:pPr>
              <w:keepLines/>
              <w:rPr>
                <w:rFonts w:ascii="Arial Narrow" w:hAnsi="Arial Narrow" w:cs="Arial"/>
                <w:sz w:val="20"/>
                <w:szCs w:val="20"/>
              </w:rPr>
            </w:pPr>
            <w:r w:rsidRPr="003A0ECE">
              <w:rPr>
                <w:rFonts w:ascii="Arial Narrow" w:hAnsi="Arial Narrow" w:cs="Arial"/>
                <w:sz w:val="20"/>
                <w:szCs w:val="20"/>
              </w:rPr>
              <w:t>mavacamten 15 mg capsule, 28</w:t>
            </w:r>
          </w:p>
        </w:tc>
        <w:tc>
          <w:tcPr>
            <w:tcW w:w="406" w:type="pct"/>
            <w:vAlign w:val="center"/>
          </w:tcPr>
          <w:p w14:paraId="423D2379" w14:textId="77777777" w:rsidR="004F18A6" w:rsidRPr="003A0ECE" w:rsidRDefault="004F18A6" w:rsidP="0066099F">
            <w:pPr>
              <w:keepLines/>
              <w:jc w:val="center"/>
              <w:rPr>
                <w:rFonts w:ascii="Arial Narrow" w:hAnsi="Arial Narrow" w:cs="Arial"/>
                <w:sz w:val="20"/>
                <w:szCs w:val="20"/>
              </w:rPr>
            </w:pPr>
            <w:r w:rsidRPr="003A0ECE">
              <w:rPr>
                <w:rFonts w:ascii="Arial Narrow" w:hAnsi="Arial Narrow" w:cs="Arial"/>
                <w:sz w:val="20"/>
                <w:szCs w:val="20"/>
              </w:rPr>
              <w:t>NEW</w:t>
            </w:r>
          </w:p>
        </w:tc>
        <w:tc>
          <w:tcPr>
            <w:tcW w:w="407" w:type="pct"/>
            <w:vAlign w:val="center"/>
          </w:tcPr>
          <w:p w14:paraId="3E86A815" w14:textId="77777777" w:rsidR="004F18A6" w:rsidRPr="003A0ECE" w:rsidRDefault="004F18A6" w:rsidP="0066099F">
            <w:pPr>
              <w:keepLines/>
              <w:jc w:val="center"/>
              <w:rPr>
                <w:rFonts w:ascii="Arial Narrow" w:hAnsi="Arial Narrow" w:cs="Arial"/>
                <w:sz w:val="20"/>
                <w:szCs w:val="20"/>
              </w:rPr>
            </w:pPr>
            <w:r w:rsidRPr="003A0ECE">
              <w:rPr>
                <w:rFonts w:ascii="Arial Narrow" w:hAnsi="Arial Narrow" w:cs="Arial"/>
                <w:sz w:val="20"/>
                <w:szCs w:val="20"/>
              </w:rPr>
              <w:t>1</w:t>
            </w:r>
          </w:p>
        </w:tc>
        <w:tc>
          <w:tcPr>
            <w:tcW w:w="407" w:type="pct"/>
            <w:vAlign w:val="center"/>
          </w:tcPr>
          <w:p w14:paraId="4EEB0046" w14:textId="77777777" w:rsidR="004F18A6" w:rsidRPr="003A0ECE" w:rsidRDefault="004F18A6" w:rsidP="0066099F">
            <w:pPr>
              <w:keepLines/>
              <w:jc w:val="center"/>
              <w:rPr>
                <w:rFonts w:ascii="Arial Narrow" w:hAnsi="Arial Narrow" w:cs="Arial"/>
                <w:sz w:val="20"/>
                <w:szCs w:val="20"/>
              </w:rPr>
            </w:pPr>
            <w:r w:rsidRPr="003A0ECE">
              <w:rPr>
                <w:rFonts w:ascii="Arial Narrow" w:hAnsi="Arial Narrow" w:cs="Arial"/>
                <w:sz w:val="20"/>
                <w:szCs w:val="20"/>
              </w:rPr>
              <w:t>28</w:t>
            </w:r>
          </w:p>
        </w:tc>
        <w:tc>
          <w:tcPr>
            <w:tcW w:w="407" w:type="pct"/>
            <w:vAlign w:val="center"/>
          </w:tcPr>
          <w:p w14:paraId="287664AF" w14:textId="77777777" w:rsidR="004F18A6" w:rsidRPr="003A0ECE" w:rsidRDefault="004F18A6" w:rsidP="0066099F">
            <w:pPr>
              <w:keepLines/>
              <w:jc w:val="center"/>
              <w:rPr>
                <w:rFonts w:ascii="Arial Narrow" w:hAnsi="Arial Narrow" w:cs="Arial"/>
                <w:sz w:val="20"/>
                <w:szCs w:val="20"/>
              </w:rPr>
            </w:pPr>
            <w:r w:rsidRPr="003A0ECE">
              <w:rPr>
                <w:rFonts w:ascii="Arial Narrow" w:hAnsi="Arial Narrow" w:cs="Arial"/>
                <w:sz w:val="20"/>
                <w:szCs w:val="20"/>
              </w:rPr>
              <w:t>5</w:t>
            </w:r>
          </w:p>
        </w:tc>
        <w:tc>
          <w:tcPr>
            <w:tcW w:w="1328" w:type="pct"/>
            <w:vAlign w:val="center"/>
          </w:tcPr>
          <w:p w14:paraId="61014C96" w14:textId="77777777" w:rsidR="004F18A6" w:rsidRPr="003A0ECE" w:rsidRDefault="004F18A6" w:rsidP="0066099F">
            <w:pPr>
              <w:keepLines/>
              <w:rPr>
                <w:rFonts w:ascii="Arial Narrow" w:hAnsi="Arial Narrow" w:cs="Arial"/>
                <w:sz w:val="20"/>
                <w:szCs w:val="20"/>
              </w:rPr>
            </w:pPr>
            <w:r w:rsidRPr="003A0ECE">
              <w:rPr>
                <w:rFonts w:ascii="Arial Narrow" w:hAnsi="Arial Narrow" w:cs="Arial"/>
                <w:sz w:val="20"/>
                <w:szCs w:val="20"/>
              </w:rPr>
              <w:t>Camzyos®</w:t>
            </w:r>
          </w:p>
        </w:tc>
      </w:tr>
      <w:tr w:rsidR="003A0ECE" w:rsidRPr="003A0ECE" w14:paraId="6BA4E814"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right w:val="single" w:sz="4" w:space="0" w:color="auto"/>
            </w:tcBorders>
            <w:vAlign w:val="center"/>
          </w:tcPr>
          <w:p w14:paraId="0CE5EC3F" w14:textId="77777777" w:rsidR="004F18A6" w:rsidRPr="003A0ECE" w:rsidRDefault="004F18A6" w:rsidP="0066099F">
            <w:pPr>
              <w:rPr>
                <w:rFonts w:ascii="Arial Narrow" w:hAnsi="Arial Narrow" w:cs="Arial"/>
                <w:sz w:val="20"/>
                <w:szCs w:val="20"/>
              </w:rPr>
            </w:pPr>
          </w:p>
        </w:tc>
      </w:tr>
      <w:tr w:rsidR="003A0ECE" w:rsidRPr="003A0ECE" w14:paraId="28A4F9B5"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0683423" w14:textId="77777777" w:rsidR="004F18A6" w:rsidRPr="003A0ECE" w:rsidRDefault="004F18A6" w:rsidP="0066099F">
            <w:pPr>
              <w:rPr>
                <w:rFonts w:ascii="Arial Narrow" w:hAnsi="Arial Narrow" w:cs="Arial"/>
                <w:sz w:val="20"/>
                <w:szCs w:val="20"/>
              </w:rPr>
            </w:pPr>
            <w:r w:rsidRPr="003A0ECE">
              <w:rPr>
                <w:rFonts w:ascii="Arial Narrow" w:hAnsi="Arial Narrow" w:cs="Arial"/>
                <w:sz w:val="20"/>
                <w:szCs w:val="20"/>
              </w:rPr>
              <w:t xml:space="preserve">Restriction Summary [new 3] / Treatment of Concept: [new 4] </w:t>
            </w:r>
          </w:p>
        </w:tc>
      </w:tr>
      <w:tr w:rsidR="003A0ECE" w:rsidRPr="003A0ECE" w14:paraId="6351F685"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C0C6A2C" w14:textId="77777777" w:rsidR="004F18A6" w:rsidRPr="003A0ECE" w:rsidRDefault="004F18A6" w:rsidP="0066099F">
            <w:pPr>
              <w:keepLines/>
              <w:rPr>
                <w:rFonts w:ascii="Arial Narrow" w:hAnsi="Arial Narrow" w:cs="Arial"/>
                <w:sz w:val="20"/>
                <w:szCs w:val="20"/>
              </w:rPr>
            </w:pPr>
            <w:r w:rsidRPr="003A0ECE">
              <w:rPr>
                <w:rFonts w:ascii="Arial Narrow" w:hAnsi="Arial Narrow" w:cs="Arial"/>
                <w:b/>
                <w:sz w:val="20"/>
                <w:szCs w:val="20"/>
              </w:rPr>
              <w:t xml:space="preserve">Category / Program: </w:t>
            </w:r>
            <w:r w:rsidRPr="003A0ECE">
              <w:rPr>
                <w:rFonts w:ascii="Arial Narrow" w:hAnsi="Arial Narrow" w:cs="Arial"/>
                <w:sz w:val="20"/>
                <w:szCs w:val="20"/>
              </w:rPr>
              <w:t xml:space="preserve">GENERAL – General Schedule (Code GE) </w:t>
            </w:r>
          </w:p>
        </w:tc>
      </w:tr>
      <w:tr w:rsidR="003A0ECE" w:rsidRPr="003A0ECE" w14:paraId="5D83A89B"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A6B32AB" w14:textId="77777777" w:rsidR="004F18A6" w:rsidRPr="003A0ECE" w:rsidRDefault="004F18A6" w:rsidP="0066099F">
            <w:pPr>
              <w:keepLines/>
              <w:rPr>
                <w:rFonts w:ascii="Arial Narrow" w:hAnsi="Arial Narrow" w:cs="Arial"/>
                <w:b/>
                <w:sz w:val="20"/>
                <w:szCs w:val="20"/>
              </w:rPr>
            </w:pPr>
            <w:r w:rsidRPr="003A0ECE">
              <w:rPr>
                <w:rFonts w:ascii="Arial Narrow" w:hAnsi="Arial Narrow" w:cs="Arial"/>
                <w:b/>
                <w:sz w:val="20"/>
                <w:szCs w:val="20"/>
              </w:rPr>
              <w:t xml:space="preserve">Prescriber type: </w:t>
            </w:r>
            <w:r w:rsidRPr="003A0ECE">
              <w:rPr>
                <w:rFonts w:ascii="Arial Narrow" w:hAnsi="Arial Narrow" w:cs="Arial"/>
                <w:sz w:val="20"/>
                <w:szCs w:val="20"/>
              </w:rPr>
              <w:fldChar w:fldCharType="begin" w:fldLock="1">
                <w:ffData>
                  <w:name w:val=""/>
                  <w:enabled/>
                  <w:calcOnExit w:val="0"/>
                  <w:checkBox>
                    <w:sizeAuto/>
                    <w:default w:val="1"/>
                  </w:checkBox>
                </w:ffData>
              </w:fldChar>
            </w:r>
            <w:r w:rsidRPr="003A0ECE">
              <w:rPr>
                <w:rFonts w:ascii="Arial Narrow" w:hAnsi="Arial Narrow" w:cs="Arial"/>
                <w:sz w:val="20"/>
                <w:szCs w:val="20"/>
              </w:rPr>
              <w:instrText xml:space="preserve"> FORMCHECKBOX </w:instrText>
            </w:r>
            <w:r w:rsidR="00DB3A96">
              <w:rPr>
                <w:rFonts w:ascii="Arial Narrow" w:hAnsi="Arial Narrow" w:cs="Arial"/>
                <w:sz w:val="20"/>
                <w:szCs w:val="20"/>
              </w:rPr>
            </w:r>
            <w:r w:rsidR="00DB3A96">
              <w:rPr>
                <w:rFonts w:ascii="Arial Narrow" w:hAnsi="Arial Narrow" w:cs="Arial"/>
                <w:sz w:val="20"/>
                <w:szCs w:val="20"/>
              </w:rPr>
              <w:fldChar w:fldCharType="separate"/>
            </w:r>
            <w:r w:rsidRPr="003A0ECE">
              <w:rPr>
                <w:rFonts w:ascii="Arial Narrow" w:hAnsi="Arial Narrow" w:cs="Arial"/>
                <w:sz w:val="20"/>
                <w:szCs w:val="20"/>
              </w:rPr>
              <w:fldChar w:fldCharType="end"/>
            </w:r>
            <w:r w:rsidRPr="003A0ECE">
              <w:rPr>
                <w:rFonts w:ascii="Arial Narrow" w:hAnsi="Arial Narrow" w:cs="Arial"/>
                <w:sz w:val="20"/>
                <w:szCs w:val="20"/>
              </w:rPr>
              <w:t xml:space="preserve">Medical Practitioners </w:t>
            </w:r>
          </w:p>
        </w:tc>
      </w:tr>
      <w:tr w:rsidR="003A0ECE" w:rsidRPr="003A0ECE" w14:paraId="49D48C3E" w14:textId="77777777" w:rsidTr="00F71922">
        <w:tblPrEx>
          <w:tblCellMar>
            <w:top w:w="15" w:type="dxa"/>
            <w:bottom w:w="15" w:type="dxa"/>
          </w:tblCellMar>
          <w:tblLook w:val="04A0" w:firstRow="1" w:lastRow="0" w:firstColumn="1" w:lastColumn="0" w:noHBand="0" w:noVBand="1"/>
        </w:tblPrEx>
        <w:trPr>
          <w:trHeight w:val="317"/>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EE81E06" w14:textId="77777777" w:rsidR="004F18A6" w:rsidRPr="003A0ECE" w:rsidRDefault="004F18A6" w:rsidP="0066099F">
            <w:pPr>
              <w:rPr>
                <w:rFonts w:ascii="Arial Narrow" w:eastAsia="Calibri" w:hAnsi="Arial Narrow" w:cs="Arial"/>
                <w:sz w:val="20"/>
                <w:szCs w:val="20"/>
              </w:rPr>
            </w:pPr>
            <w:r w:rsidRPr="003A0ECE">
              <w:rPr>
                <w:rFonts w:ascii="Arial Narrow" w:hAnsi="Arial Narrow" w:cs="Arial"/>
                <w:b/>
                <w:sz w:val="20"/>
                <w:szCs w:val="20"/>
              </w:rPr>
              <w:t xml:space="preserve">Restriction type: </w:t>
            </w:r>
            <w:r w:rsidRPr="003A0ECE">
              <w:rPr>
                <w:rFonts w:ascii="Arial Narrow" w:eastAsia="Calibri" w:hAnsi="Arial Narrow" w:cs="Arial"/>
                <w:sz w:val="20"/>
                <w:szCs w:val="20"/>
              </w:rPr>
              <w:fldChar w:fldCharType="begin" w:fldLock="1">
                <w:ffData>
                  <w:name w:val=""/>
                  <w:enabled/>
                  <w:calcOnExit w:val="0"/>
                  <w:checkBox>
                    <w:sizeAuto/>
                    <w:default w:val="1"/>
                  </w:checkBox>
                </w:ffData>
              </w:fldChar>
            </w:r>
            <w:r w:rsidRPr="003A0ECE">
              <w:rPr>
                <w:rFonts w:ascii="Arial Narrow" w:eastAsia="Calibri" w:hAnsi="Arial Narrow" w:cs="Arial"/>
                <w:sz w:val="20"/>
                <w:szCs w:val="20"/>
              </w:rPr>
              <w:instrText xml:space="preserve"> FORMCHECKBOX </w:instrText>
            </w:r>
            <w:r w:rsidR="00DB3A96">
              <w:rPr>
                <w:rFonts w:ascii="Arial Narrow" w:eastAsia="Calibri" w:hAnsi="Arial Narrow" w:cs="Arial"/>
                <w:sz w:val="20"/>
                <w:szCs w:val="20"/>
              </w:rPr>
            </w:r>
            <w:r w:rsidR="00DB3A96">
              <w:rPr>
                <w:rFonts w:ascii="Arial Narrow" w:eastAsia="Calibri" w:hAnsi="Arial Narrow" w:cs="Arial"/>
                <w:sz w:val="20"/>
                <w:szCs w:val="20"/>
              </w:rPr>
              <w:fldChar w:fldCharType="separate"/>
            </w:r>
            <w:r w:rsidRPr="003A0ECE">
              <w:rPr>
                <w:rFonts w:ascii="Arial Narrow" w:eastAsia="Calibri" w:hAnsi="Arial Narrow" w:cs="Arial"/>
                <w:sz w:val="20"/>
                <w:szCs w:val="20"/>
              </w:rPr>
              <w:fldChar w:fldCharType="end"/>
            </w:r>
            <w:r w:rsidRPr="003A0ECE">
              <w:rPr>
                <w:rFonts w:ascii="Arial Narrow" w:eastAsia="Calibri" w:hAnsi="Arial Narrow" w:cs="Arial"/>
                <w:sz w:val="20"/>
                <w:szCs w:val="20"/>
              </w:rPr>
              <w:t>Authority Required – immediate/real time assessment by Services Australia (telephone/online application avenues)</w:t>
            </w:r>
          </w:p>
        </w:tc>
      </w:tr>
      <w:tr w:rsidR="003A0ECE" w:rsidRPr="003A0ECE" w14:paraId="0C9B9C06"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4794D6A" w14:textId="6A1B7E16" w:rsidR="004F18A6" w:rsidRPr="003A0ECE" w:rsidRDefault="004F18A6" w:rsidP="00F71922">
            <w:pPr>
              <w:rPr>
                <w:rFonts w:ascii="Arial Narrow" w:hAnsi="Arial Narrow" w:cs="Arial"/>
                <w:b/>
                <w:sz w:val="20"/>
                <w:szCs w:val="20"/>
              </w:rPr>
            </w:pPr>
            <w:r w:rsidRPr="003A0ECE">
              <w:rPr>
                <w:rFonts w:ascii="Arial Narrow" w:hAnsi="Arial Narrow" w:cs="Arial"/>
                <w:b/>
                <w:bCs/>
                <w:sz w:val="20"/>
                <w:szCs w:val="20"/>
              </w:rPr>
              <w:t>Administrative Advice</w:t>
            </w:r>
            <w:r w:rsidRPr="003A0ECE">
              <w:rPr>
                <w:rFonts w:ascii="Arial Narrow" w:hAnsi="Arial Narrow" w:cs="Arial"/>
                <w:sz w:val="20"/>
                <w:szCs w:val="20"/>
              </w:rPr>
              <w:t>:</w:t>
            </w:r>
            <w:r w:rsidR="00BA34A9" w:rsidRPr="003A0ECE">
              <w:rPr>
                <w:rFonts w:ascii="Arial Narrow" w:hAnsi="Arial Narrow" w:cs="Arial"/>
                <w:sz w:val="20"/>
                <w:szCs w:val="20"/>
              </w:rPr>
              <w:t xml:space="preserve"> </w:t>
            </w:r>
            <w:r w:rsidRPr="003A0ECE">
              <w:rPr>
                <w:rFonts w:ascii="Arial Narrow" w:hAnsi="Arial Narrow" w:cs="Arial"/>
                <w:sz w:val="20"/>
                <w:szCs w:val="20"/>
              </w:rPr>
              <w:t>No increase in the maximum number of repeats may be authorised.</w:t>
            </w:r>
          </w:p>
        </w:tc>
      </w:tr>
      <w:tr w:rsidR="003A0ECE" w:rsidRPr="003A0ECE" w14:paraId="047E69CF"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267D5B6" w14:textId="3BC0F593" w:rsidR="004F18A6" w:rsidRPr="003A0ECE" w:rsidRDefault="004F18A6" w:rsidP="00F71922">
            <w:pPr>
              <w:rPr>
                <w:rFonts w:ascii="Arial Narrow" w:hAnsi="Arial Narrow" w:cs="Arial"/>
                <w:b/>
                <w:sz w:val="20"/>
                <w:szCs w:val="20"/>
              </w:rPr>
            </w:pPr>
            <w:r w:rsidRPr="003A0ECE">
              <w:rPr>
                <w:rFonts w:ascii="Arial Narrow" w:hAnsi="Arial Narrow" w:cs="Arial"/>
                <w:b/>
                <w:bCs/>
                <w:sz w:val="20"/>
                <w:szCs w:val="20"/>
              </w:rPr>
              <w:t>Administrative Advice:</w:t>
            </w:r>
            <w:r w:rsidR="00BA34A9" w:rsidRPr="003A0ECE">
              <w:rPr>
                <w:rFonts w:ascii="Arial Narrow" w:hAnsi="Arial Narrow" w:cs="Arial"/>
                <w:b/>
                <w:bCs/>
                <w:sz w:val="20"/>
                <w:szCs w:val="20"/>
              </w:rPr>
              <w:t xml:space="preserve"> </w:t>
            </w:r>
            <w:r w:rsidRPr="003A0ECE">
              <w:rPr>
                <w:rFonts w:ascii="Arial Narrow" w:hAnsi="Arial Narrow" w:cs="Arial"/>
                <w:sz w:val="20"/>
                <w:szCs w:val="20"/>
              </w:rPr>
              <w:t>Special Pricing Arrangements apply.</w:t>
            </w:r>
          </w:p>
        </w:tc>
      </w:tr>
      <w:tr w:rsidR="003A0ECE" w:rsidRPr="003A0ECE" w14:paraId="0C3759BC"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729DE06" w14:textId="7499CB3C" w:rsidR="004F18A6" w:rsidRPr="003A0ECE" w:rsidRDefault="004F18A6" w:rsidP="00F71922">
            <w:pPr>
              <w:rPr>
                <w:rFonts w:ascii="Arial Narrow" w:hAnsi="Arial Narrow" w:cs="Arial"/>
                <w:b/>
                <w:bCs/>
                <w:sz w:val="20"/>
                <w:szCs w:val="20"/>
              </w:rPr>
            </w:pPr>
            <w:r w:rsidRPr="003A0ECE">
              <w:rPr>
                <w:rFonts w:ascii="Arial Narrow" w:hAnsi="Arial Narrow" w:cs="Arial"/>
                <w:b/>
                <w:bCs/>
                <w:sz w:val="20"/>
                <w:szCs w:val="20"/>
              </w:rPr>
              <w:t>Administrative Advice:</w:t>
            </w:r>
            <w:r w:rsidR="00BA34A9" w:rsidRPr="003A0ECE">
              <w:rPr>
                <w:rFonts w:ascii="Arial Narrow" w:hAnsi="Arial Narrow" w:cs="Arial"/>
                <w:b/>
                <w:bCs/>
                <w:sz w:val="20"/>
                <w:szCs w:val="20"/>
              </w:rPr>
              <w:t xml:space="preserve"> </w:t>
            </w:r>
            <w:r w:rsidRPr="003A0ECE">
              <w:rPr>
                <w:rFonts w:ascii="Arial Narrow" w:hAnsi="Arial Narrow" w:cs="Arial"/>
                <w:sz w:val="20"/>
                <w:szCs w:val="20"/>
              </w:rPr>
              <w:t>Confirmation of eligibility for treatment with diagnostic reports must be documented in the patient's medical records.</w:t>
            </w:r>
          </w:p>
        </w:tc>
      </w:tr>
      <w:tr w:rsidR="003A0ECE" w:rsidRPr="003A0ECE" w14:paraId="19F42A54" w14:textId="77777777" w:rsidTr="00F71922">
        <w:tblPrEx>
          <w:tblCellMar>
            <w:top w:w="15" w:type="dxa"/>
            <w:bottom w:w="15" w:type="dxa"/>
          </w:tblCellMar>
          <w:tblLook w:val="04A0" w:firstRow="1" w:lastRow="0" w:firstColumn="1" w:lastColumn="0" w:noHBand="0" w:noVBand="1"/>
        </w:tblPrEx>
        <w:trPr>
          <w:trHeight w:val="102"/>
        </w:trPr>
        <w:tc>
          <w:tcPr>
            <w:tcW w:w="5000" w:type="pct"/>
            <w:gridSpan w:val="6"/>
            <w:vAlign w:val="center"/>
          </w:tcPr>
          <w:p w14:paraId="2F6A3EB3" w14:textId="77777777" w:rsidR="004F18A6" w:rsidRPr="003A0ECE" w:rsidRDefault="004F18A6" w:rsidP="0066099F">
            <w:pPr>
              <w:keepLines/>
              <w:rPr>
                <w:rFonts w:ascii="Arial Narrow" w:hAnsi="Arial Narrow" w:cs="Arial"/>
                <w:bCs/>
                <w:sz w:val="20"/>
                <w:szCs w:val="20"/>
              </w:rPr>
            </w:pPr>
            <w:r w:rsidRPr="003A0ECE">
              <w:rPr>
                <w:rFonts w:ascii="Arial Narrow" w:hAnsi="Arial Narrow" w:cs="Arial"/>
                <w:b/>
                <w:bCs/>
                <w:sz w:val="20"/>
                <w:szCs w:val="20"/>
              </w:rPr>
              <w:t xml:space="preserve">Condition: </w:t>
            </w:r>
            <w:r w:rsidRPr="003A0ECE">
              <w:rPr>
                <w:rFonts w:ascii="Arial Narrow" w:hAnsi="Arial Narrow" w:cs="Arial"/>
                <w:sz w:val="20"/>
                <w:szCs w:val="20"/>
              </w:rPr>
              <w:t>Symptomatic obstructive hypertrophic cardiomyopathy</w:t>
            </w:r>
          </w:p>
        </w:tc>
      </w:tr>
      <w:tr w:rsidR="003A0ECE" w:rsidRPr="003A0ECE" w14:paraId="2E653BA5"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vAlign w:val="center"/>
            <w:hideMark/>
          </w:tcPr>
          <w:p w14:paraId="47088F10" w14:textId="77777777" w:rsidR="004F18A6" w:rsidRPr="003A0ECE" w:rsidRDefault="004F18A6" w:rsidP="0066099F">
            <w:pPr>
              <w:keepLines/>
              <w:rPr>
                <w:rFonts w:ascii="Arial Narrow" w:hAnsi="Arial Narrow" w:cs="Arial"/>
                <w:sz w:val="20"/>
                <w:szCs w:val="20"/>
              </w:rPr>
            </w:pPr>
            <w:r w:rsidRPr="003A0ECE">
              <w:rPr>
                <w:rFonts w:ascii="Arial Narrow" w:hAnsi="Arial Narrow" w:cs="Arial"/>
                <w:b/>
                <w:bCs/>
                <w:sz w:val="20"/>
                <w:szCs w:val="20"/>
              </w:rPr>
              <w:t>Indication:</w:t>
            </w:r>
            <w:r w:rsidRPr="003A0ECE">
              <w:rPr>
                <w:rFonts w:ascii="Arial Narrow" w:hAnsi="Arial Narrow" w:cs="Arial"/>
                <w:sz w:val="20"/>
                <w:szCs w:val="20"/>
              </w:rPr>
              <w:t xml:space="preserve"> Symptomatic obstructive hypertrophic cardiomyopathy</w:t>
            </w:r>
          </w:p>
        </w:tc>
      </w:tr>
      <w:tr w:rsidR="003A0ECE" w:rsidRPr="003A0ECE" w14:paraId="38493FE0" w14:textId="77777777" w:rsidTr="00F71922">
        <w:tblPrEx>
          <w:tblCellMar>
            <w:top w:w="15" w:type="dxa"/>
            <w:bottom w:w="15" w:type="dxa"/>
          </w:tblCellMar>
          <w:tblLook w:val="04A0" w:firstRow="1" w:lastRow="0" w:firstColumn="1" w:lastColumn="0" w:noHBand="0" w:noVBand="1"/>
        </w:tblPrEx>
        <w:trPr>
          <w:trHeight w:val="20"/>
        </w:trPr>
        <w:tc>
          <w:tcPr>
            <w:tcW w:w="5000" w:type="pct"/>
            <w:gridSpan w:val="6"/>
            <w:vAlign w:val="center"/>
            <w:hideMark/>
          </w:tcPr>
          <w:p w14:paraId="7CADF2D1" w14:textId="77777777" w:rsidR="004F18A6" w:rsidRPr="003A0ECE" w:rsidRDefault="004F18A6" w:rsidP="0066099F">
            <w:pPr>
              <w:rPr>
                <w:rFonts w:ascii="Arial Narrow" w:hAnsi="Arial Narrow" w:cs="Arial"/>
                <w:sz w:val="20"/>
                <w:szCs w:val="20"/>
              </w:rPr>
            </w:pPr>
            <w:r w:rsidRPr="003A0ECE">
              <w:rPr>
                <w:rFonts w:ascii="Arial Narrow" w:hAnsi="Arial Narrow" w:cs="Arial"/>
                <w:b/>
                <w:bCs/>
                <w:sz w:val="20"/>
                <w:szCs w:val="20"/>
              </w:rPr>
              <w:t>Treatment Phase:</w:t>
            </w:r>
            <w:r w:rsidRPr="003A0ECE">
              <w:rPr>
                <w:rFonts w:ascii="Arial Narrow" w:hAnsi="Arial Narrow" w:cs="Arial"/>
                <w:sz w:val="20"/>
                <w:szCs w:val="20"/>
              </w:rPr>
              <w:t xml:space="preserve"> Continuing treatment</w:t>
            </w:r>
          </w:p>
        </w:tc>
      </w:tr>
      <w:tr w:rsidR="003A0ECE" w:rsidRPr="003A0ECE" w14:paraId="241BAE31" w14:textId="77777777" w:rsidTr="00F71922">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6D244944" w14:textId="77777777" w:rsidR="004F18A6" w:rsidRPr="003A0ECE" w:rsidRDefault="004F18A6" w:rsidP="0066099F">
            <w:pPr>
              <w:ind w:left="99"/>
              <w:rPr>
                <w:rFonts w:ascii="Arial Narrow" w:hAnsi="Arial Narrow" w:cs="Arial"/>
                <w:sz w:val="20"/>
                <w:szCs w:val="20"/>
              </w:rPr>
            </w:pPr>
            <w:r w:rsidRPr="003A0ECE">
              <w:rPr>
                <w:rFonts w:ascii="Arial Narrow" w:hAnsi="Arial Narrow" w:cs="Arial"/>
                <w:b/>
                <w:bCs/>
                <w:sz w:val="20"/>
                <w:szCs w:val="20"/>
              </w:rPr>
              <w:t>Clinical criteria:</w:t>
            </w:r>
          </w:p>
        </w:tc>
      </w:tr>
      <w:tr w:rsidR="003A0ECE" w:rsidRPr="003A0ECE" w14:paraId="06A60D4C" w14:textId="77777777" w:rsidTr="00F71922">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54F64446" w14:textId="77777777" w:rsidR="004F18A6" w:rsidRPr="003A0ECE" w:rsidRDefault="004F18A6" w:rsidP="0066099F">
            <w:pPr>
              <w:ind w:left="99"/>
              <w:rPr>
                <w:rFonts w:ascii="Arial Narrow" w:hAnsi="Arial Narrow" w:cs="Arial"/>
                <w:sz w:val="20"/>
                <w:szCs w:val="20"/>
              </w:rPr>
            </w:pPr>
            <w:r w:rsidRPr="003A0ECE">
              <w:rPr>
                <w:rFonts w:ascii="Arial Narrow" w:hAnsi="Arial Narrow" w:cs="Arial"/>
                <w:sz w:val="20"/>
                <w:szCs w:val="20"/>
              </w:rPr>
              <w:t>Patient must have previously received PBS-subsidised treatment with this drug for this condition,</w:t>
            </w:r>
          </w:p>
        </w:tc>
      </w:tr>
      <w:tr w:rsidR="003A0ECE" w:rsidRPr="003A0ECE" w14:paraId="076D821A" w14:textId="77777777" w:rsidTr="00F71922">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2B58C43F" w14:textId="77777777" w:rsidR="004F18A6" w:rsidRPr="003A0ECE" w:rsidRDefault="004F18A6" w:rsidP="0066099F">
            <w:pPr>
              <w:ind w:left="99"/>
              <w:rPr>
                <w:rFonts w:ascii="Arial Narrow" w:hAnsi="Arial Narrow" w:cs="Arial"/>
                <w:sz w:val="20"/>
                <w:szCs w:val="20"/>
              </w:rPr>
            </w:pPr>
            <w:r w:rsidRPr="003A0ECE">
              <w:rPr>
                <w:rFonts w:ascii="Arial Narrow" w:hAnsi="Arial Narrow" w:cs="Arial"/>
                <w:b/>
                <w:bCs/>
                <w:sz w:val="20"/>
                <w:szCs w:val="20"/>
              </w:rPr>
              <w:t>AND</w:t>
            </w:r>
          </w:p>
        </w:tc>
      </w:tr>
      <w:tr w:rsidR="003A0ECE" w:rsidRPr="003A0ECE" w14:paraId="1282FBFF" w14:textId="77777777" w:rsidTr="00F71922">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0F24D16D" w14:textId="77777777" w:rsidR="004F18A6" w:rsidRPr="003A0ECE" w:rsidRDefault="004F18A6" w:rsidP="0066099F">
            <w:pPr>
              <w:ind w:left="99"/>
              <w:rPr>
                <w:rFonts w:ascii="Arial Narrow" w:hAnsi="Arial Narrow" w:cs="Arial"/>
                <w:sz w:val="20"/>
                <w:szCs w:val="20"/>
              </w:rPr>
            </w:pPr>
            <w:r w:rsidRPr="003A0ECE">
              <w:rPr>
                <w:rFonts w:ascii="Arial Narrow" w:hAnsi="Arial Narrow" w:cs="Arial"/>
                <w:b/>
                <w:bCs/>
                <w:sz w:val="20"/>
                <w:szCs w:val="20"/>
              </w:rPr>
              <w:t>Clinical criteria:</w:t>
            </w:r>
          </w:p>
        </w:tc>
      </w:tr>
      <w:tr w:rsidR="003A0ECE" w:rsidRPr="003A0ECE" w14:paraId="0DC34F5D" w14:textId="77777777" w:rsidTr="00F71922">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460A1E5B" w14:textId="4287C86F" w:rsidR="004F18A6" w:rsidRPr="003A0ECE" w:rsidRDefault="004F18A6" w:rsidP="0066099F">
            <w:pPr>
              <w:keepLines/>
              <w:ind w:left="113"/>
              <w:rPr>
                <w:rFonts w:ascii="Arial Narrow" w:hAnsi="Arial Narrow" w:cs="Arial"/>
                <w:sz w:val="20"/>
                <w:szCs w:val="20"/>
              </w:rPr>
            </w:pPr>
            <w:r w:rsidRPr="003A0ECE">
              <w:rPr>
                <w:rFonts w:ascii="Arial Narrow" w:hAnsi="Arial Narrow" w:cs="Arial"/>
                <w:sz w:val="20"/>
                <w:szCs w:val="20"/>
              </w:rPr>
              <w:t>Patient must be undergoing treatment with at least one of</w:t>
            </w:r>
            <w:r w:rsidRPr="003A0ECE">
              <w:rPr>
                <w:rFonts w:ascii="Arial Narrow" w:hAnsi="Arial Narrow" w:cs="Arial"/>
                <w:i/>
                <w:iCs/>
                <w:sz w:val="20"/>
                <w:szCs w:val="20"/>
              </w:rPr>
              <w:t xml:space="preserve"> </w:t>
            </w:r>
            <w:r w:rsidRPr="003A0ECE">
              <w:rPr>
                <w:rFonts w:ascii="Arial Narrow" w:hAnsi="Arial Narrow" w:cs="Arial"/>
                <w:sz w:val="20"/>
                <w:szCs w:val="20"/>
              </w:rPr>
              <w:t>(i) a beta-blocker (ii) non-dihydropyridine calcium channel blocker, unless at least one of the following is present</w:t>
            </w:r>
            <w:r w:rsidR="00F71922" w:rsidRPr="003A0ECE">
              <w:rPr>
                <w:rFonts w:ascii="Arial Narrow" w:hAnsi="Arial Narrow" w:cs="Arial"/>
                <w:sz w:val="20"/>
                <w:szCs w:val="20"/>
              </w:rPr>
              <w:t>:</w:t>
            </w:r>
            <w:r w:rsidRPr="003A0ECE">
              <w:rPr>
                <w:rFonts w:ascii="Arial Narrow" w:hAnsi="Arial Narrow" w:cs="Arial"/>
                <w:sz w:val="20"/>
                <w:szCs w:val="20"/>
              </w:rPr>
              <w:t xml:space="preserve"> </w:t>
            </w:r>
          </w:p>
          <w:p w14:paraId="0D3B7628" w14:textId="77777777" w:rsidR="004F18A6" w:rsidRPr="003A0ECE" w:rsidRDefault="004F18A6" w:rsidP="00DD59D8">
            <w:pPr>
              <w:numPr>
                <w:ilvl w:val="0"/>
                <w:numId w:val="11"/>
              </w:numPr>
              <w:ind w:left="1077"/>
              <w:contextualSpacing/>
              <w:rPr>
                <w:rFonts w:ascii="Arial Narrow" w:hAnsi="Arial Narrow" w:cs="Arial"/>
                <w:snapToGrid w:val="0"/>
                <w:sz w:val="20"/>
                <w:szCs w:val="20"/>
              </w:rPr>
            </w:pPr>
            <w:r w:rsidRPr="003A0ECE">
              <w:rPr>
                <w:rFonts w:ascii="Arial Narrow" w:hAnsi="Arial Narrow" w:cs="Arial"/>
                <w:snapToGrid w:val="0"/>
                <w:sz w:val="20"/>
                <w:szCs w:val="20"/>
              </w:rPr>
              <w:t>a contraindication to beta-blocker / non-dihydropyridine calcium channel blocker therapy as listed in the TGA approved Product Information,</w:t>
            </w:r>
          </w:p>
          <w:p w14:paraId="3D30A1FE" w14:textId="77777777" w:rsidR="004F18A6" w:rsidRPr="003A0ECE" w:rsidRDefault="004F18A6" w:rsidP="00DD59D8">
            <w:pPr>
              <w:numPr>
                <w:ilvl w:val="0"/>
                <w:numId w:val="11"/>
              </w:numPr>
              <w:ind w:left="1077"/>
              <w:contextualSpacing/>
              <w:rPr>
                <w:rFonts w:ascii="Arial Narrow" w:hAnsi="Arial Narrow" w:cs="Arial"/>
                <w:snapToGrid w:val="0"/>
                <w:sz w:val="20"/>
                <w:szCs w:val="20"/>
              </w:rPr>
            </w:pPr>
            <w:r w:rsidRPr="003A0ECE">
              <w:rPr>
                <w:rFonts w:ascii="Arial Narrow" w:hAnsi="Arial Narrow" w:cs="Arial"/>
                <w:snapToGrid w:val="0"/>
                <w:sz w:val="20"/>
                <w:szCs w:val="20"/>
              </w:rPr>
              <w:t>an intolerance to beta-blocker / non-dihydropyridine calcium channel blocker therapy.</w:t>
            </w:r>
          </w:p>
        </w:tc>
      </w:tr>
      <w:tr w:rsidR="003A0ECE" w:rsidRPr="003A0ECE" w14:paraId="59D2CC4D" w14:textId="77777777" w:rsidTr="00F71922">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18C85E35" w14:textId="77777777" w:rsidR="004F18A6" w:rsidRPr="003A0ECE" w:rsidRDefault="004F18A6" w:rsidP="0066099F">
            <w:pPr>
              <w:ind w:left="99"/>
              <w:rPr>
                <w:rFonts w:ascii="Arial Narrow" w:hAnsi="Arial Narrow" w:cs="Arial"/>
                <w:sz w:val="20"/>
                <w:szCs w:val="20"/>
              </w:rPr>
            </w:pPr>
            <w:r w:rsidRPr="003A0ECE">
              <w:rPr>
                <w:rFonts w:ascii="Arial Narrow" w:hAnsi="Arial Narrow" w:cs="Arial"/>
                <w:b/>
                <w:bCs/>
                <w:sz w:val="20"/>
                <w:szCs w:val="20"/>
              </w:rPr>
              <w:t>AND</w:t>
            </w:r>
          </w:p>
        </w:tc>
      </w:tr>
      <w:tr w:rsidR="003A0ECE" w:rsidRPr="003A0ECE" w14:paraId="704D7866" w14:textId="77777777" w:rsidTr="00F71922">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06F496E5" w14:textId="77777777" w:rsidR="004F18A6" w:rsidRPr="003A0ECE" w:rsidRDefault="004F18A6" w:rsidP="0066099F">
            <w:pPr>
              <w:ind w:left="99"/>
              <w:rPr>
                <w:rFonts w:ascii="Arial Narrow" w:hAnsi="Arial Narrow" w:cs="Arial"/>
                <w:sz w:val="20"/>
                <w:szCs w:val="20"/>
              </w:rPr>
            </w:pPr>
            <w:r w:rsidRPr="003A0ECE">
              <w:rPr>
                <w:rFonts w:ascii="Arial Narrow" w:hAnsi="Arial Narrow" w:cs="Arial"/>
                <w:b/>
                <w:bCs/>
                <w:sz w:val="20"/>
                <w:szCs w:val="20"/>
              </w:rPr>
              <w:t>Clinical criteria:</w:t>
            </w:r>
          </w:p>
        </w:tc>
      </w:tr>
      <w:tr w:rsidR="003A0ECE" w:rsidRPr="003A0ECE" w14:paraId="0D0EB931" w14:textId="77777777" w:rsidTr="00F71922">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6710DD82" w14:textId="2A71F702" w:rsidR="004F18A6" w:rsidRPr="003A0ECE" w:rsidRDefault="004F18A6" w:rsidP="0066099F">
            <w:pPr>
              <w:ind w:left="99"/>
              <w:rPr>
                <w:rFonts w:ascii="Arial Narrow" w:hAnsi="Arial Narrow" w:cs="Arial"/>
                <w:sz w:val="20"/>
                <w:szCs w:val="20"/>
              </w:rPr>
            </w:pPr>
            <w:r w:rsidRPr="003A0ECE">
              <w:rPr>
                <w:rFonts w:ascii="Arial Narrow" w:hAnsi="Arial Narrow" w:cs="Arial"/>
                <w:sz w:val="20"/>
                <w:szCs w:val="20"/>
              </w:rPr>
              <w:t xml:space="preserve">Patient must have a </w:t>
            </w:r>
            <w:r w:rsidRPr="003A0ECE">
              <w:rPr>
                <w:rFonts w:ascii="Arial Narrow" w:hAnsi="Arial Narrow" w:cs="Arial"/>
                <w:i/>
                <w:iCs/>
                <w:sz w:val="20"/>
                <w:szCs w:val="20"/>
              </w:rPr>
              <w:t>current</w:t>
            </w:r>
            <w:r w:rsidRPr="003A0ECE">
              <w:rPr>
                <w:rFonts w:ascii="Arial Narrow" w:hAnsi="Arial Narrow" w:cs="Arial"/>
                <w:sz w:val="20"/>
                <w:szCs w:val="20"/>
              </w:rPr>
              <w:t xml:space="preserve"> </w:t>
            </w:r>
            <w:r w:rsidR="00BA34A9" w:rsidRPr="003A0ECE">
              <w:rPr>
                <w:rFonts w:ascii="Arial Narrow" w:hAnsi="Arial Narrow" w:cs="Arial"/>
                <w:strike/>
                <w:sz w:val="20"/>
                <w:szCs w:val="20"/>
              </w:rPr>
              <w:t>documented</w:t>
            </w:r>
            <w:r w:rsidR="00BA34A9" w:rsidRPr="003A0ECE">
              <w:rPr>
                <w:rFonts w:ascii="Arial Narrow" w:hAnsi="Arial Narrow" w:cs="Arial"/>
                <w:sz w:val="20"/>
                <w:szCs w:val="20"/>
              </w:rPr>
              <w:t xml:space="preserve"> </w:t>
            </w:r>
            <w:r w:rsidRPr="003A0ECE">
              <w:rPr>
                <w:rFonts w:ascii="Arial Narrow" w:hAnsi="Arial Narrow" w:cs="Arial"/>
                <w:sz w:val="20"/>
                <w:szCs w:val="20"/>
              </w:rPr>
              <w:t>left ventricular ejection fraction (LVEF) of no less than 55%,</w:t>
            </w:r>
          </w:p>
        </w:tc>
      </w:tr>
      <w:tr w:rsidR="003A0ECE" w:rsidRPr="003A0ECE" w14:paraId="1441F1A5" w14:textId="77777777" w:rsidTr="00F71922">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08E35509" w14:textId="77777777" w:rsidR="004F18A6" w:rsidRPr="003A0ECE" w:rsidRDefault="004F18A6" w:rsidP="0066099F">
            <w:pPr>
              <w:ind w:left="99"/>
              <w:rPr>
                <w:rFonts w:ascii="Arial Narrow" w:hAnsi="Arial Narrow" w:cs="Arial"/>
                <w:sz w:val="20"/>
                <w:szCs w:val="20"/>
              </w:rPr>
            </w:pPr>
            <w:r w:rsidRPr="003A0ECE">
              <w:rPr>
                <w:rFonts w:ascii="Arial Narrow" w:hAnsi="Arial Narrow" w:cs="Arial"/>
                <w:b/>
                <w:bCs/>
                <w:sz w:val="20"/>
                <w:szCs w:val="20"/>
              </w:rPr>
              <w:t>AND</w:t>
            </w:r>
          </w:p>
        </w:tc>
      </w:tr>
      <w:tr w:rsidR="003A0ECE" w:rsidRPr="003A0ECE" w14:paraId="6CECBD27" w14:textId="77777777" w:rsidTr="00F71922">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40E00355" w14:textId="77777777" w:rsidR="004F18A6" w:rsidRPr="003A0ECE" w:rsidRDefault="004F18A6" w:rsidP="0066099F">
            <w:pPr>
              <w:ind w:left="99"/>
              <w:rPr>
                <w:rFonts w:ascii="Arial Narrow" w:hAnsi="Arial Narrow" w:cs="Arial"/>
                <w:sz w:val="20"/>
                <w:szCs w:val="20"/>
              </w:rPr>
            </w:pPr>
            <w:r w:rsidRPr="003A0ECE">
              <w:rPr>
                <w:rFonts w:ascii="Arial Narrow" w:hAnsi="Arial Narrow" w:cs="Arial"/>
                <w:b/>
                <w:bCs/>
                <w:sz w:val="20"/>
                <w:szCs w:val="20"/>
              </w:rPr>
              <w:t>Clinical criteria:</w:t>
            </w:r>
          </w:p>
        </w:tc>
      </w:tr>
      <w:tr w:rsidR="003A0ECE" w:rsidRPr="003A0ECE" w14:paraId="08DAFFD3" w14:textId="77777777" w:rsidTr="00F71922">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59150E76" w14:textId="77777777" w:rsidR="00BA34A9" w:rsidRPr="003A0ECE" w:rsidRDefault="00BA34A9" w:rsidP="0066099F">
            <w:pPr>
              <w:ind w:left="99"/>
              <w:rPr>
                <w:rFonts w:ascii="Arial Narrow" w:hAnsi="Arial Narrow" w:cs="Arial"/>
                <w:strike/>
                <w:sz w:val="20"/>
                <w:szCs w:val="20"/>
              </w:rPr>
            </w:pPr>
            <w:r w:rsidRPr="003A0ECE">
              <w:rPr>
                <w:rFonts w:ascii="Arial Narrow" w:hAnsi="Arial Narrow" w:cs="Arial"/>
                <w:strike/>
                <w:sz w:val="20"/>
                <w:szCs w:val="20"/>
              </w:rPr>
              <w:t>Consideration should be given to discontinue treatment in patients who have shown no response (e.g., no improvement in symptoms, quality of life, exercise capacity, or LVOT gradient) after 4-6 months on the maximum tolerated dose.</w:t>
            </w:r>
          </w:p>
          <w:p w14:paraId="512162E0" w14:textId="6E2118EC" w:rsidR="004F18A6" w:rsidRPr="003A0ECE" w:rsidRDefault="004F18A6" w:rsidP="0066099F">
            <w:pPr>
              <w:ind w:left="99"/>
              <w:rPr>
                <w:rFonts w:ascii="Arial Narrow" w:hAnsi="Arial Narrow" w:cs="Arial"/>
                <w:i/>
                <w:iCs/>
                <w:sz w:val="20"/>
                <w:szCs w:val="20"/>
              </w:rPr>
            </w:pPr>
            <w:r w:rsidRPr="003A0ECE">
              <w:rPr>
                <w:rFonts w:ascii="Arial Narrow" w:hAnsi="Arial Narrow" w:cs="Arial"/>
                <w:i/>
                <w:iCs/>
                <w:sz w:val="20"/>
                <w:szCs w:val="20"/>
              </w:rPr>
              <w:t>Patient must have demonstrated a response after 4</w:t>
            </w:r>
            <w:r w:rsidRPr="003A0ECE">
              <w:rPr>
                <w:rFonts w:ascii="Arial Narrow" w:hAnsi="Arial Narrow" w:cs="Arial"/>
                <w:i/>
                <w:iCs/>
                <w:sz w:val="20"/>
                <w:szCs w:val="20"/>
              </w:rPr>
              <w:sym w:font="Symbol" w:char="F02D"/>
            </w:r>
            <w:r w:rsidRPr="003A0ECE">
              <w:rPr>
                <w:rFonts w:ascii="Arial Narrow" w:hAnsi="Arial Narrow" w:cs="Arial"/>
                <w:i/>
                <w:iCs/>
                <w:sz w:val="20"/>
                <w:szCs w:val="20"/>
              </w:rPr>
              <w:t>6 months of mavacamten treatment defined as an improvement in at least one of the following: (i) symptoms, (ii) quality of life, (iii) exercise capacity, (iv) LVOT gradient.</w:t>
            </w:r>
          </w:p>
        </w:tc>
      </w:tr>
      <w:tr w:rsidR="003A0ECE" w:rsidRPr="003A0ECE" w14:paraId="6FE077ED" w14:textId="77777777" w:rsidTr="00F71922">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5494E9F6" w14:textId="77777777" w:rsidR="004F18A6" w:rsidRPr="003A0ECE" w:rsidRDefault="004F18A6" w:rsidP="00F71922">
            <w:pPr>
              <w:ind w:left="99"/>
              <w:rPr>
                <w:rFonts w:ascii="Arial Narrow" w:hAnsi="Arial Narrow" w:cs="Arial"/>
                <w:b/>
                <w:bCs/>
                <w:sz w:val="20"/>
                <w:szCs w:val="20"/>
              </w:rPr>
            </w:pPr>
            <w:r w:rsidRPr="003A0ECE">
              <w:rPr>
                <w:rFonts w:ascii="Arial Narrow" w:hAnsi="Arial Narrow" w:cs="Arial"/>
                <w:b/>
                <w:bCs/>
                <w:sz w:val="20"/>
                <w:szCs w:val="20"/>
              </w:rPr>
              <w:t>AND</w:t>
            </w:r>
          </w:p>
        </w:tc>
      </w:tr>
      <w:tr w:rsidR="003A0ECE" w:rsidRPr="003A0ECE" w14:paraId="69302F7E" w14:textId="77777777" w:rsidTr="00F71922">
        <w:tblPrEx>
          <w:tblCellMar>
            <w:top w:w="15" w:type="dxa"/>
            <w:left w:w="15" w:type="dxa"/>
            <w:bottom w:w="15" w:type="dxa"/>
            <w:right w:w="15" w:type="dxa"/>
          </w:tblCellMar>
        </w:tblPrEx>
        <w:trPr>
          <w:trHeight w:val="278"/>
        </w:trPr>
        <w:tc>
          <w:tcPr>
            <w:tcW w:w="5000" w:type="pct"/>
            <w:gridSpan w:val="6"/>
            <w:vAlign w:val="center"/>
            <w:hideMark/>
          </w:tcPr>
          <w:p w14:paraId="0D935BAA" w14:textId="77777777" w:rsidR="004F18A6" w:rsidRPr="003A0ECE" w:rsidRDefault="004F18A6" w:rsidP="0066099F">
            <w:pPr>
              <w:ind w:left="99"/>
              <w:rPr>
                <w:rFonts w:ascii="Arial Narrow" w:hAnsi="Arial Narrow" w:cs="Arial"/>
                <w:sz w:val="20"/>
                <w:szCs w:val="20"/>
              </w:rPr>
            </w:pPr>
            <w:r w:rsidRPr="003A0ECE">
              <w:rPr>
                <w:rFonts w:ascii="Arial Narrow" w:hAnsi="Arial Narrow" w:cs="Arial"/>
                <w:b/>
                <w:bCs/>
                <w:sz w:val="20"/>
                <w:szCs w:val="20"/>
              </w:rPr>
              <w:t>Treatment criteria:</w:t>
            </w:r>
          </w:p>
        </w:tc>
      </w:tr>
      <w:tr w:rsidR="003A0ECE" w:rsidRPr="003A0ECE" w14:paraId="6B2DD291" w14:textId="77777777" w:rsidTr="00F71922">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789AF173" w14:textId="77777777" w:rsidR="004F18A6" w:rsidRPr="003A0ECE" w:rsidRDefault="004F18A6" w:rsidP="0066099F">
            <w:pPr>
              <w:ind w:left="99"/>
              <w:rPr>
                <w:rFonts w:ascii="Arial Narrow" w:hAnsi="Arial Narrow" w:cs="Arial"/>
                <w:sz w:val="20"/>
                <w:szCs w:val="20"/>
              </w:rPr>
            </w:pPr>
            <w:r w:rsidRPr="003A0ECE">
              <w:rPr>
                <w:rFonts w:ascii="Arial Narrow" w:hAnsi="Arial Narrow" w:cs="Arial"/>
                <w:sz w:val="20"/>
                <w:szCs w:val="20"/>
              </w:rPr>
              <w:t>Must be treated by a cardiologist; or</w:t>
            </w:r>
          </w:p>
        </w:tc>
      </w:tr>
      <w:tr w:rsidR="003A0ECE" w:rsidRPr="003A0ECE" w14:paraId="47A57AE6" w14:textId="77777777" w:rsidTr="00F71922">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57F40660" w14:textId="77777777" w:rsidR="004F18A6" w:rsidRPr="003A0ECE" w:rsidRDefault="004F18A6" w:rsidP="0066099F">
            <w:pPr>
              <w:ind w:left="94"/>
              <w:rPr>
                <w:rFonts w:ascii="Arial Narrow" w:hAnsi="Arial Narrow" w:cs="Arial"/>
                <w:sz w:val="20"/>
                <w:szCs w:val="20"/>
              </w:rPr>
            </w:pPr>
            <w:r w:rsidRPr="003A0ECE">
              <w:rPr>
                <w:rFonts w:ascii="Arial Narrow" w:hAnsi="Arial Narrow" w:cs="Arial"/>
                <w:sz w:val="20"/>
                <w:szCs w:val="20"/>
              </w:rPr>
              <w:t>Must be treated by a consultant physician with experience in the management of hypertrophic cardiomyopathy</w:t>
            </w:r>
          </w:p>
        </w:tc>
      </w:tr>
      <w:tr w:rsidR="003A0ECE" w:rsidRPr="003A0ECE" w14:paraId="7370C9F0" w14:textId="77777777" w:rsidTr="00F71922">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3268A438" w14:textId="77777777" w:rsidR="004F18A6" w:rsidRPr="003A0ECE" w:rsidRDefault="004F18A6" w:rsidP="0066099F">
            <w:pPr>
              <w:ind w:left="94"/>
              <w:rPr>
                <w:rFonts w:ascii="Arial Narrow" w:hAnsi="Arial Narrow" w:cs="Arial"/>
                <w:sz w:val="20"/>
                <w:szCs w:val="20"/>
              </w:rPr>
            </w:pPr>
            <w:r w:rsidRPr="003A0ECE">
              <w:rPr>
                <w:rFonts w:ascii="Arial Narrow" w:hAnsi="Arial Narrow" w:cs="Arial"/>
                <w:b/>
                <w:bCs/>
                <w:sz w:val="20"/>
                <w:szCs w:val="20"/>
              </w:rPr>
              <w:t>AND</w:t>
            </w:r>
          </w:p>
        </w:tc>
      </w:tr>
      <w:tr w:rsidR="003A0ECE" w:rsidRPr="003A0ECE" w14:paraId="1E65C6CE" w14:textId="77777777" w:rsidTr="00F71922">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48FFF4F9" w14:textId="77777777" w:rsidR="004F18A6" w:rsidRPr="003A0ECE" w:rsidRDefault="004F18A6" w:rsidP="0066099F">
            <w:pPr>
              <w:ind w:left="99"/>
              <w:rPr>
                <w:rFonts w:ascii="Arial Narrow" w:hAnsi="Arial Narrow" w:cs="Arial"/>
                <w:sz w:val="20"/>
                <w:szCs w:val="20"/>
              </w:rPr>
            </w:pPr>
            <w:r w:rsidRPr="003A0ECE">
              <w:rPr>
                <w:rFonts w:ascii="Arial Narrow" w:hAnsi="Arial Narrow" w:cs="Arial"/>
                <w:b/>
                <w:bCs/>
                <w:sz w:val="20"/>
                <w:szCs w:val="20"/>
              </w:rPr>
              <w:t>Population criteria:</w:t>
            </w:r>
          </w:p>
        </w:tc>
      </w:tr>
      <w:tr w:rsidR="003A0ECE" w:rsidRPr="003A0ECE" w14:paraId="3044457B" w14:textId="77777777" w:rsidTr="00F71922">
        <w:tblPrEx>
          <w:tblCellMar>
            <w:top w:w="15" w:type="dxa"/>
            <w:left w:w="15" w:type="dxa"/>
            <w:bottom w:w="15" w:type="dxa"/>
            <w:right w:w="15" w:type="dxa"/>
          </w:tblCellMar>
          <w:tblLook w:val="04A0" w:firstRow="1" w:lastRow="0" w:firstColumn="1" w:lastColumn="0" w:noHBand="0" w:noVBand="1"/>
        </w:tblPrEx>
        <w:tc>
          <w:tcPr>
            <w:tcW w:w="5000" w:type="pct"/>
            <w:gridSpan w:val="6"/>
            <w:vAlign w:val="center"/>
            <w:hideMark/>
          </w:tcPr>
          <w:p w14:paraId="41889837" w14:textId="77777777" w:rsidR="004F18A6" w:rsidRPr="003A0ECE" w:rsidRDefault="004F18A6" w:rsidP="0066099F">
            <w:pPr>
              <w:ind w:left="99"/>
              <w:rPr>
                <w:rFonts w:ascii="Arial Narrow" w:hAnsi="Arial Narrow" w:cs="Arial"/>
                <w:sz w:val="20"/>
                <w:szCs w:val="20"/>
              </w:rPr>
            </w:pPr>
            <w:r w:rsidRPr="003A0ECE">
              <w:rPr>
                <w:rFonts w:ascii="Arial Narrow" w:hAnsi="Arial Narrow" w:cs="Arial"/>
                <w:sz w:val="20"/>
                <w:szCs w:val="20"/>
              </w:rPr>
              <w:t>Patient must be at least 18 years of age.</w:t>
            </w:r>
          </w:p>
        </w:tc>
      </w:tr>
      <w:tr w:rsidR="003A0ECE" w:rsidRPr="003A0ECE" w14:paraId="42D40155" w14:textId="77777777" w:rsidTr="00F71922">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00D19EB9" w14:textId="600DC7EB" w:rsidR="004F18A6" w:rsidRPr="003A0ECE" w:rsidRDefault="004F18A6" w:rsidP="0066099F">
            <w:pPr>
              <w:ind w:left="113"/>
              <w:rPr>
                <w:rFonts w:ascii="Arial Narrow" w:hAnsi="Arial Narrow" w:cs="Arial"/>
                <w:b/>
                <w:bCs/>
                <w:sz w:val="20"/>
                <w:szCs w:val="20"/>
              </w:rPr>
            </w:pPr>
            <w:r w:rsidRPr="003A0ECE">
              <w:rPr>
                <w:rFonts w:ascii="Arial Narrow" w:hAnsi="Arial Narrow" w:cs="Arial"/>
                <w:b/>
                <w:bCs/>
                <w:sz w:val="20"/>
                <w:szCs w:val="20"/>
              </w:rPr>
              <w:t>Administrative Advice:</w:t>
            </w:r>
            <w:r w:rsidR="00F71922" w:rsidRPr="003A0ECE">
              <w:rPr>
                <w:rFonts w:ascii="Arial Narrow" w:hAnsi="Arial Narrow" w:cs="Arial"/>
                <w:b/>
                <w:bCs/>
                <w:sz w:val="20"/>
                <w:szCs w:val="20"/>
              </w:rPr>
              <w:t xml:space="preserve"> </w:t>
            </w:r>
          </w:p>
          <w:p w14:paraId="04C2DE3A" w14:textId="77777777" w:rsidR="004F18A6" w:rsidRPr="003A0ECE" w:rsidRDefault="004F18A6" w:rsidP="0066099F">
            <w:pPr>
              <w:ind w:left="99"/>
              <w:rPr>
                <w:rFonts w:ascii="Arial Narrow" w:hAnsi="Arial Narrow" w:cs="Arial"/>
                <w:sz w:val="20"/>
                <w:szCs w:val="20"/>
              </w:rPr>
            </w:pPr>
            <w:r w:rsidRPr="003A0ECE">
              <w:rPr>
                <w:rFonts w:ascii="Arial Narrow" w:hAnsi="Arial Narrow" w:cs="Arial"/>
                <w:sz w:val="20"/>
                <w:szCs w:val="20"/>
              </w:rPr>
              <w:lastRenderedPageBreak/>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2F89B707" w14:textId="3B3DA16F" w:rsidR="00587CEF" w:rsidRPr="007C65D7" w:rsidRDefault="00587CEF" w:rsidP="003A0ECE">
      <w:pPr>
        <w:spacing w:before="120" w:after="200" w:line="276" w:lineRule="auto"/>
        <w:ind w:left="709"/>
      </w:pPr>
      <w:bookmarkStart w:id="10" w:name="_Hlk151562857"/>
      <w:r w:rsidRPr="006845B7">
        <w:rPr>
          <w:rFonts w:asciiTheme="minorHAnsi" w:hAnsiTheme="minorHAnsi" w:cstheme="minorHAnsi"/>
          <w:i/>
        </w:rPr>
        <w:lastRenderedPageBreak/>
        <w:t xml:space="preserve">For more detail on PBAC’s view, see section </w:t>
      </w:r>
      <w:r>
        <w:rPr>
          <w:rFonts w:asciiTheme="minorHAnsi" w:hAnsiTheme="minorHAnsi" w:cstheme="minorHAnsi"/>
          <w:i/>
        </w:rPr>
        <w:t>5</w:t>
      </w:r>
      <w:r w:rsidRPr="006845B7">
        <w:rPr>
          <w:rFonts w:asciiTheme="minorHAnsi" w:hAnsiTheme="minorHAnsi" w:cstheme="minorHAnsi"/>
          <w:i/>
        </w:rPr>
        <w:t xml:space="preserve"> PBAC outcome</w:t>
      </w:r>
      <w:bookmarkEnd w:id="10"/>
    </w:p>
    <w:p w14:paraId="41EAD33F" w14:textId="77777777" w:rsidR="007379A5" w:rsidRPr="007C65D7" w:rsidRDefault="007379A5" w:rsidP="00DD59D8">
      <w:pPr>
        <w:pStyle w:val="2-SectionHeading"/>
        <w:numPr>
          <w:ilvl w:val="0"/>
          <w:numId w:val="2"/>
        </w:numPr>
      </w:pPr>
      <w:r w:rsidRPr="007C65D7">
        <w:t>Consideration of the evidence</w:t>
      </w:r>
    </w:p>
    <w:p w14:paraId="4F11F982" w14:textId="77777777" w:rsidR="006805F5" w:rsidRPr="007C65D7" w:rsidRDefault="006805F5" w:rsidP="006805F5">
      <w:pPr>
        <w:pStyle w:val="4-SubsectionHeading"/>
      </w:pPr>
      <w:bookmarkStart w:id="11" w:name="_Hlk76375935"/>
      <w:bookmarkStart w:id="12" w:name="_Toc22897645"/>
      <w:bookmarkStart w:id="13" w:name="_Toc107927631"/>
      <w:bookmarkStart w:id="14" w:name="_Toc135223331"/>
      <w:r w:rsidRPr="007C65D7">
        <w:t>Sponsor hearing</w:t>
      </w:r>
    </w:p>
    <w:p w14:paraId="7F9DD141" w14:textId="77777777" w:rsidR="006805F5" w:rsidRPr="007C65D7" w:rsidRDefault="006805F5" w:rsidP="00230D05">
      <w:pPr>
        <w:pStyle w:val="3-BodyText"/>
        <w:rPr>
          <w:snapToGrid w:val="0"/>
        </w:rPr>
      </w:pPr>
      <w:r w:rsidRPr="007C65D7">
        <w:rPr>
          <w:snapToGrid w:val="0"/>
        </w:rPr>
        <w:t>There was no hearing for this item.</w:t>
      </w:r>
    </w:p>
    <w:p w14:paraId="6471B36E" w14:textId="77777777" w:rsidR="006805F5" w:rsidRPr="007C65D7" w:rsidRDefault="006805F5" w:rsidP="006805F5">
      <w:pPr>
        <w:pStyle w:val="4-SubsectionHeading"/>
      </w:pPr>
      <w:r w:rsidRPr="007C65D7">
        <w:t>Consumer comments</w:t>
      </w:r>
    </w:p>
    <w:p w14:paraId="78FD76DF" w14:textId="5381FC58" w:rsidR="006805F5" w:rsidRPr="007C65D7" w:rsidRDefault="006805F5" w:rsidP="003A0ECE">
      <w:pPr>
        <w:pStyle w:val="3-BodyText"/>
        <w:rPr>
          <w:rFonts w:cs="Arial"/>
          <w:bCs/>
          <w:snapToGrid w:val="0"/>
        </w:rPr>
      </w:pPr>
      <w:bookmarkStart w:id="15" w:name="_Hlk76382618"/>
      <w:r w:rsidRPr="007C65D7">
        <w:rPr>
          <w:rFonts w:cs="Arial"/>
          <w:bCs/>
          <w:iCs/>
          <w:snapToGrid w:val="0"/>
        </w:rPr>
        <w:t>In addition to comments previously received, t</w:t>
      </w:r>
      <w:r w:rsidRPr="007C65D7">
        <w:rPr>
          <w:rFonts w:cs="Arial"/>
          <w:bCs/>
          <w:snapToGrid w:val="0"/>
        </w:rPr>
        <w:t>he PBAC noted and welcomed the input from an additional individual via the Consumer Comments facility on the PBS website</w:t>
      </w:r>
      <w:r w:rsidR="007C65D7">
        <w:rPr>
          <w:rFonts w:cs="Arial"/>
          <w:bCs/>
          <w:snapToGrid w:val="0"/>
        </w:rPr>
        <w:t xml:space="preserve">. </w:t>
      </w:r>
      <w:r w:rsidRPr="007C65D7">
        <w:rPr>
          <w:rFonts w:cs="Arial"/>
          <w:bCs/>
          <w:snapToGrid w:val="0"/>
        </w:rPr>
        <w:t xml:space="preserve">The comment described the expected benefits of treatment with mavacamten in terms of symptom relief, quality of life and reduced need for major surgery. </w:t>
      </w:r>
      <w:r w:rsidR="004A755C">
        <w:rPr>
          <w:rFonts w:cs="Arial"/>
          <w:bCs/>
          <w:snapToGrid w:val="0"/>
        </w:rPr>
        <w:t>The PBAC noted that the clinical evidence supported a moderate improvement in symptom relief.</w:t>
      </w:r>
    </w:p>
    <w:bookmarkEnd w:id="11"/>
    <w:bookmarkEnd w:id="15"/>
    <w:p w14:paraId="2FB75220" w14:textId="2762E632" w:rsidR="004056DD" w:rsidRPr="007C65D7" w:rsidRDefault="004056DD" w:rsidP="00244963">
      <w:pPr>
        <w:pStyle w:val="4-SubsectionHeading"/>
      </w:pPr>
      <w:r w:rsidRPr="007C65D7">
        <w:t>Economic analysis</w:t>
      </w:r>
      <w:bookmarkEnd w:id="12"/>
      <w:bookmarkEnd w:id="13"/>
      <w:bookmarkEnd w:id="14"/>
      <w:r w:rsidRPr="007C65D7">
        <w:t xml:space="preserve"> </w:t>
      </w:r>
    </w:p>
    <w:p w14:paraId="47531EF5" w14:textId="48C764EC" w:rsidR="009F28A2" w:rsidRPr="007C65D7" w:rsidRDefault="00325C91" w:rsidP="00151932">
      <w:pPr>
        <w:pStyle w:val="3-BodyText"/>
      </w:pPr>
      <w:r w:rsidRPr="007C65D7">
        <w:t>The resubmission provide</w:t>
      </w:r>
      <w:r w:rsidR="0079560B" w:rsidRPr="007C65D7">
        <w:t>d</w:t>
      </w:r>
      <w:r w:rsidRPr="007C65D7">
        <w:t xml:space="preserve"> a revised economic model in line with the PBAC advice from July 2023, as detailed in </w:t>
      </w:r>
      <w:r w:rsidR="00230D05" w:rsidRPr="007C65D7">
        <w:rPr>
          <w:rFonts w:cstheme="minorHAnsi"/>
          <w:b/>
          <w:bCs/>
          <w:szCs w:val="24"/>
        </w:rPr>
        <w:fldChar w:fldCharType="begin" w:fldLock="1"/>
      </w:r>
      <w:r w:rsidR="00230D05" w:rsidRPr="007C65D7">
        <w:rPr>
          <w:rFonts w:cstheme="minorHAnsi"/>
          <w:b/>
          <w:bCs/>
          <w:szCs w:val="24"/>
        </w:rPr>
        <w:instrText xml:space="preserve"> REF _Ref147748939 \h  \* MERGEFORMAT </w:instrText>
      </w:r>
      <w:r w:rsidR="00230D05" w:rsidRPr="007C65D7">
        <w:rPr>
          <w:rFonts w:cstheme="minorHAnsi"/>
          <w:b/>
          <w:bCs/>
          <w:szCs w:val="24"/>
        </w:rPr>
      </w:r>
      <w:r w:rsidR="00230D05" w:rsidRPr="007C65D7">
        <w:rPr>
          <w:rFonts w:cstheme="minorHAnsi"/>
          <w:b/>
          <w:bCs/>
          <w:szCs w:val="24"/>
        </w:rPr>
        <w:fldChar w:fldCharType="separate"/>
      </w:r>
      <w:r w:rsidR="00707345" w:rsidRPr="007C65D7">
        <w:rPr>
          <w:rStyle w:val="CommentReference"/>
          <w:rFonts w:asciiTheme="minorHAnsi" w:hAnsiTheme="minorHAnsi" w:cstheme="minorHAnsi"/>
          <w:b w:val="0"/>
          <w:bCs/>
          <w:sz w:val="24"/>
          <w:szCs w:val="24"/>
        </w:rPr>
        <w:t xml:space="preserve">Table </w:t>
      </w:r>
      <w:r w:rsidR="00707345" w:rsidRPr="004A755C">
        <w:rPr>
          <w:rStyle w:val="CommentReference"/>
          <w:rFonts w:asciiTheme="minorHAnsi" w:hAnsiTheme="minorHAnsi" w:cstheme="minorHAnsi"/>
          <w:b w:val="0"/>
          <w:bCs/>
          <w:sz w:val="24"/>
          <w:szCs w:val="24"/>
        </w:rPr>
        <w:t>1</w:t>
      </w:r>
      <w:r w:rsidR="00230D05" w:rsidRPr="007C65D7">
        <w:rPr>
          <w:rFonts w:cstheme="minorHAnsi"/>
          <w:b/>
          <w:bCs/>
          <w:szCs w:val="24"/>
        </w:rPr>
        <w:fldChar w:fldCharType="end"/>
      </w:r>
      <w:r w:rsidRPr="007C65D7">
        <w:t>. The only disputed change relate</w:t>
      </w:r>
      <w:r w:rsidR="000E102A" w:rsidRPr="007C65D7">
        <w:t>d</w:t>
      </w:r>
      <w:r w:rsidRPr="007C65D7">
        <w:t xml:space="preserve"> to hospitalisations </w:t>
      </w:r>
      <w:r w:rsidR="009F28A2" w:rsidRPr="007C65D7">
        <w:t>rates for HCM</w:t>
      </w:r>
      <w:r w:rsidR="000E102A" w:rsidRPr="007C65D7">
        <w:t>,</w:t>
      </w:r>
      <w:r w:rsidR="009F28A2" w:rsidRPr="007C65D7">
        <w:t xml:space="preserve"> which </w:t>
      </w:r>
      <w:r w:rsidR="004A755C">
        <w:t xml:space="preserve">have been modelled to </w:t>
      </w:r>
      <w:r w:rsidR="009F28A2" w:rsidRPr="007C65D7">
        <w:t xml:space="preserve">increase by NYHA class. </w:t>
      </w:r>
      <w:r w:rsidR="00637C01" w:rsidRPr="007C65D7">
        <w:t>The proposed CV hospitalisation rates</w:t>
      </w:r>
      <w:r w:rsidR="0079560B" w:rsidRPr="007C65D7">
        <w:t xml:space="preserve"> were</w:t>
      </w:r>
      <w:r w:rsidR="00637C01" w:rsidRPr="007C65D7">
        <w:t xml:space="preserve"> based on an Advisory Board survey of 9 </w:t>
      </w:r>
      <w:r w:rsidR="007C65D7" w:rsidRPr="007C65D7">
        <w:t>cardiologists and</w:t>
      </w:r>
      <w:r w:rsidR="0079560B" w:rsidRPr="007C65D7">
        <w:t xml:space="preserve"> </w:t>
      </w:r>
      <w:r w:rsidR="00637C01" w:rsidRPr="007C65D7">
        <w:t>remain</w:t>
      </w:r>
      <w:r w:rsidR="000E102A" w:rsidRPr="007C65D7">
        <w:t>ed</w:t>
      </w:r>
      <w:r w:rsidR="00637C01" w:rsidRPr="007C65D7">
        <w:t xml:space="preserve"> unchanged from the November 2022 and July 2023 submissions. </w:t>
      </w:r>
      <w:r w:rsidR="009F28A2" w:rsidRPr="007C65D7">
        <w:t xml:space="preserve">The PBAC </w:t>
      </w:r>
      <w:r w:rsidR="006E4D88" w:rsidRPr="007C65D7">
        <w:t xml:space="preserve">had </w:t>
      </w:r>
      <w:r w:rsidR="009F28A2" w:rsidRPr="007C65D7">
        <w:t>previously considered</w:t>
      </w:r>
      <w:r w:rsidRPr="007C65D7">
        <w:t xml:space="preserve"> </w:t>
      </w:r>
      <w:r w:rsidR="009F28A2" w:rsidRPr="007C65D7">
        <w:t>a more conservative approach would be appropriate and suggested halving the CV hospitalisations rates: NYHA II (i.e. 0.38 →0.19) and NYHA III/IV patients (i.e. 1.00 →0.50). This resubmission argue</w:t>
      </w:r>
      <w:r w:rsidR="006E4D88" w:rsidRPr="007C65D7">
        <w:t>d</w:t>
      </w:r>
      <w:r w:rsidR="009F28A2" w:rsidRPr="007C65D7">
        <w:t xml:space="preserve"> for no change to </w:t>
      </w:r>
      <w:r w:rsidR="00637C01" w:rsidRPr="007C65D7">
        <w:t>t</w:t>
      </w:r>
      <w:r w:rsidR="009F28A2" w:rsidRPr="007C65D7">
        <w:t xml:space="preserve">he previously modelled CV hospitalisation rates based on 2 pieces of supportive evidence: </w:t>
      </w:r>
      <w:r w:rsidRPr="007C65D7">
        <w:t>Charron et al (</w:t>
      </w:r>
      <w:r w:rsidR="0079560B" w:rsidRPr="007C65D7">
        <w:t xml:space="preserve">unpublished), a </w:t>
      </w:r>
      <w:r w:rsidRPr="007C65D7">
        <w:t xml:space="preserve">draft manuscript being prepared for submission by the end of 2023 to the journal </w:t>
      </w:r>
      <w:r w:rsidRPr="007C65D7">
        <w:rPr>
          <w:i/>
          <w:iCs/>
        </w:rPr>
        <w:t>Circulation: Cardiovascular Quality and Outcomes</w:t>
      </w:r>
      <w:r w:rsidRPr="007C65D7">
        <w:t xml:space="preserve"> (published by the American Heart Association)</w:t>
      </w:r>
      <w:r w:rsidR="009F28A2" w:rsidRPr="007C65D7">
        <w:t>; and Wang et al 2023</w:t>
      </w:r>
      <w:r w:rsidR="00637C01" w:rsidRPr="007C65D7">
        <w:t>, an abstract submitted to the American Heart Association 2023 conference, previously presented in the July 2023 pre-PBAC response</w:t>
      </w:r>
      <w:r w:rsidR="009F28A2" w:rsidRPr="007C65D7">
        <w:t>.</w:t>
      </w:r>
    </w:p>
    <w:p w14:paraId="1470DAAF" w14:textId="7030C807" w:rsidR="00325C91" w:rsidRPr="007C65D7" w:rsidRDefault="009F28A2" w:rsidP="00151932">
      <w:pPr>
        <w:pStyle w:val="3-BodyText"/>
      </w:pPr>
      <w:r w:rsidRPr="007C65D7">
        <w:t xml:space="preserve">Charron et al </w:t>
      </w:r>
      <w:r w:rsidR="00637C01" w:rsidRPr="007C65D7">
        <w:t xml:space="preserve">(unpublished) </w:t>
      </w:r>
      <w:r w:rsidRPr="007C65D7">
        <w:t xml:space="preserve">reports </w:t>
      </w:r>
      <w:r w:rsidR="00637C01" w:rsidRPr="007C65D7">
        <w:t>o</w:t>
      </w:r>
      <w:r w:rsidRPr="007C65D7">
        <w:t>n a retrospective observational study of patients with obstructive HCM in current clinical practice in France using claims data from the Syst</w:t>
      </w:r>
      <w:r w:rsidR="001E3014" w:rsidRPr="007C65D7">
        <w:rPr>
          <w:rFonts w:cstheme="minorHAnsi"/>
        </w:rPr>
        <w:t>è</w:t>
      </w:r>
      <w:r w:rsidRPr="007C65D7">
        <w:t>me National Des Donn</w:t>
      </w:r>
      <w:r w:rsidR="001E3014" w:rsidRPr="007C65D7">
        <w:rPr>
          <w:rFonts w:cstheme="minorHAnsi"/>
        </w:rPr>
        <w:t>é</w:t>
      </w:r>
      <w:r w:rsidRPr="007C65D7">
        <w:t>es de Sant</w:t>
      </w:r>
      <w:r w:rsidR="001E3014" w:rsidRPr="007C65D7">
        <w:rPr>
          <w:rFonts w:cstheme="minorHAnsi"/>
        </w:rPr>
        <w:t>é</w:t>
      </w:r>
      <w:r w:rsidRPr="007C65D7">
        <w:t xml:space="preserve"> (SNDS) database.</w:t>
      </w:r>
      <w:r w:rsidR="008306A2" w:rsidRPr="007C65D7">
        <w:t xml:space="preserve"> </w:t>
      </w:r>
      <w:r w:rsidR="00325C91" w:rsidRPr="007C65D7">
        <w:t xml:space="preserve">The patients were included into the study from </w:t>
      </w:r>
      <w:r w:rsidR="00625462" w:rsidRPr="007C65D7">
        <w:t xml:space="preserve">1 </w:t>
      </w:r>
      <w:r w:rsidR="00325C91" w:rsidRPr="007C65D7">
        <w:t xml:space="preserve">January 2012 to </w:t>
      </w:r>
      <w:r w:rsidR="00625462" w:rsidRPr="007C65D7">
        <w:t xml:space="preserve">31 </w:t>
      </w:r>
      <w:r w:rsidR="00325C91" w:rsidRPr="007C65D7">
        <w:t xml:space="preserve">December 2018. Overall, there were 6,823 patients with obstructive HCM during the study period. This study reports hospitalisation events for patients with obstructive HCM. Patients in NYHA Class II were hospitalised on average 0.51 times per year for </w:t>
      </w:r>
      <w:r w:rsidR="00BA7D1D" w:rsidRPr="007C65D7">
        <w:t>HCM-</w:t>
      </w:r>
      <w:r w:rsidR="00325C91" w:rsidRPr="007C65D7">
        <w:t xml:space="preserve">related reasons. Those in NYHA Class III were hospitalised 0.71 times per year on average and those in NYHA Class IV 1.14 times per year. Values were higher for those who were hospitalised for </w:t>
      </w:r>
      <w:r w:rsidR="00325C91" w:rsidRPr="007C65D7">
        <w:lastRenderedPageBreak/>
        <w:t>any cardiovascular-related reason, 0.74 times per year for NYHA Class II patients, 1.21 for NYHA Class III and 2.28 for NYHA Class IV</w:t>
      </w:r>
      <w:r w:rsidR="007C65D7">
        <w:t xml:space="preserve">. </w:t>
      </w:r>
    </w:p>
    <w:p w14:paraId="577D3D4A" w14:textId="73C056FB" w:rsidR="008306A2" w:rsidRPr="007C65D7" w:rsidRDefault="008306A2" w:rsidP="00151932">
      <w:pPr>
        <w:pStyle w:val="3-BodyText"/>
      </w:pPr>
      <w:r w:rsidRPr="007C65D7">
        <w:t xml:space="preserve">Wang et al </w:t>
      </w:r>
      <w:r w:rsidR="00637C01" w:rsidRPr="007C65D7">
        <w:t>(</w:t>
      </w:r>
      <w:r w:rsidRPr="007C65D7">
        <w:t>2023</w:t>
      </w:r>
      <w:r w:rsidR="00637C01" w:rsidRPr="007C65D7">
        <w:t>)</w:t>
      </w:r>
      <w:r w:rsidRPr="007C65D7">
        <w:t>, which was also presented in the July 2023 pre-PBAC response, was a factor considered by PBAC in suggesting halving CV hospitalisation rates rather than removing them altogether</w:t>
      </w:r>
      <w:r w:rsidR="00637C01" w:rsidRPr="007C65D7">
        <w:t xml:space="preserve"> </w:t>
      </w:r>
      <w:r w:rsidRPr="007C65D7">
        <w:t>(paragraph 6.49, mavacamten</w:t>
      </w:r>
      <w:r w:rsidR="00F65C4A" w:rsidRPr="007C65D7">
        <w:t xml:space="preserve"> PSD</w:t>
      </w:r>
      <w:r w:rsidRPr="007C65D7">
        <w:t>, July 2023 PBAC meeting). Wang et al (</w:t>
      </w:r>
      <w:r w:rsidR="00637C01" w:rsidRPr="007C65D7">
        <w:t xml:space="preserve">2023) </w:t>
      </w:r>
      <w:r w:rsidRPr="007C65D7">
        <w:t xml:space="preserve">used Optum’s de-identified Market Clarity database (administrative claims linked with electronic health records [EHR]) from </w:t>
      </w:r>
      <w:r w:rsidR="00F65C4A" w:rsidRPr="007C65D7">
        <w:t xml:space="preserve">1 </w:t>
      </w:r>
      <w:r w:rsidRPr="007C65D7">
        <w:t>January</w:t>
      </w:r>
      <w:r w:rsidR="006F15B6" w:rsidRPr="006F15B6">
        <w:t xml:space="preserve"> </w:t>
      </w:r>
      <w:r w:rsidRPr="007C65D7">
        <w:t xml:space="preserve">2017 to </w:t>
      </w:r>
      <w:r w:rsidR="00F65C4A" w:rsidRPr="007C65D7">
        <w:t xml:space="preserve">31 </w:t>
      </w:r>
      <w:r w:rsidRPr="007C65D7">
        <w:t xml:space="preserve">March 2022. This study reported data on 754 patients and hospitalisation rates by NYHA class. The report indicated that on average, NYHA Class II patients are hospitalised once per year, NYHA III 1.6 times per year and NYHA IV 2.1 times per year. </w:t>
      </w:r>
    </w:p>
    <w:p w14:paraId="07866CBE" w14:textId="0C601C9D" w:rsidR="00C95E12" w:rsidRPr="007C65D7" w:rsidRDefault="00325C91" w:rsidP="007379A5">
      <w:pPr>
        <w:pStyle w:val="3-BodyText"/>
      </w:pPr>
      <w:r w:rsidRPr="007C65D7">
        <w:t xml:space="preserve">The </w:t>
      </w:r>
      <w:r w:rsidR="008306A2" w:rsidRPr="007C65D7">
        <w:t>resubmission argue</w:t>
      </w:r>
      <w:r w:rsidR="006611AF" w:rsidRPr="007C65D7">
        <w:t>d</w:t>
      </w:r>
      <w:r w:rsidRPr="007C65D7">
        <w:t xml:space="preserve"> that despite potential differences across countries, data collection and reporting methods, these </w:t>
      </w:r>
      <w:r w:rsidR="00B21926" w:rsidRPr="007C65D7">
        <w:t xml:space="preserve">2 </w:t>
      </w:r>
      <w:r w:rsidRPr="007C65D7">
        <w:t xml:space="preserve">studies indicate that hospitalisations rates increase by NYHA class and numerically these rates may be higher than the hospitalisation rates in the economic model considered at the July 2023 PBAC meeting. The </w:t>
      </w:r>
      <w:r w:rsidR="00B3312F" w:rsidRPr="007C65D7">
        <w:t xml:space="preserve">resubmission </w:t>
      </w:r>
      <w:r w:rsidRPr="007C65D7">
        <w:t xml:space="preserve">therefore </w:t>
      </w:r>
      <w:r w:rsidR="00B3312F" w:rsidRPr="007C65D7">
        <w:t>argue</w:t>
      </w:r>
      <w:r w:rsidR="00B21926" w:rsidRPr="007C65D7">
        <w:t>d</w:t>
      </w:r>
      <w:r w:rsidR="00B3312F" w:rsidRPr="007C65D7">
        <w:t xml:space="preserve"> that</w:t>
      </w:r>
      <w:r w:rsidRPr="007C65D7">
        <w:t xml:space="preserve"> halving the current hospitalisation rates is </w:t>
      </w:r>
      <w:r w:rsidR="00B3312F" w:rsidRPr="007C65D7">
        <w:t xml:space="preserve">not </w:t>
      </w:r>
      <w:r w:rsidRPr="007C65D7">
        <w:t>appropriate and maintain</w:t>
      </w:r>
      <w:r w:rsidR="00B21926" w:rsidRPr="007C65D7">
        <w:t>ed</w:t>
      </w:r>
      <w:r w:rsidRPr="007C65D7">
        <w:t xml:space="preserve"> that the rates used in the economic model, which are average values derived from a survey of Australian clinicians expert in the treatment of obstructive HCM, are reasonable and represent the most appropriate inputs.</w:t>
      </w:r>
    </w:p>
    <w:p w14:paraId="719FC136" w14:textId="590A5625" w:rsidR="009D18C1" w:rsidRPr="007C65D7" w:rsidRDefault="009D18C1" w:rsidP="009D18C1">
      <w:pPr>
        <w:pStyle w:val="3-BodyText"/>
      </w:pPr>
      <w:r w:rsidRPr="007C65D7">
        <w:t>The revised economic model include</w:t>
      </w:r>
      <w:r w:rsidR="004A755C">
        <w:t>d</w:t>
      </w:r>
      <w:r w:rsidR="004056DD" w:rsidRPr="007C65D7">
        <w:t>:</w:t>
      </w:r>
      <w:r w:rsidRPr="007C65D7">
        <w:t xml:space="preserve"> </w:t>
      </w:r>
    </w:p>
    <w:p w14:paraId="19BCDA66" w14:textId="1F003887" w:rsidR="009D18C1" w:rsidRPr="007C65D7" w:rsidRDefault="004A755C" w:rsidP="002D2C0B">
      <w:pPr>
        <w:pStyle w:val="3-BodyText"/>
        <w:numPr>
          <w:ilvl w:val="1"/>
          <w:numId w:val="21"/>
        </w:numPr>
        <w:tabs>
          <w:tab w:val="left" w:pos="1134"/>
        </w:tabs>
        <w:ind w:firstLine="349"/>
      </w:pPr>
      <w:r>
        <w:t xml:space="preserve">A </w:t>
      </w:r>
      <w:r w:rsidR="009D18C1" w:rsidRPr="007C65D7">
        <w:t>20-year time horizon</w:t>
      </w:r>
    </w:p>
    <w:p w14:paraId="7D1334D2" w14:textId="7ABF53A6" w:rsidR="009D18C1" w:rsidRPr="007C65D7" w:rsidRDefault="00DF2D4F" w:rsidP="002D2C0B">
      <w:pPr>
        <w:pStyle w:val="3-BodyText"/>
        <w:numPr>
          <w:ilvl w:val="1"/>
          <w:numId w:val="21"/>
        </w:numPr>
        <w:tabs>
          <w:tab w:val="left" w:pos="1134"/>
        </w:tabs>
        <w:ind w:firstLine="349"/>
      </w:pPr>
      <w:r>
        <w:t>Transition probability</w:t>
      </w:r>
      <w:r w:rsidR="009D18C1" w:rsidRPr="007C65D7">
        <w:t xml:space="preserve"> truncation at 30 weeks both arms</w:t>
      </w:r>
    </w:p>
    <w:p w14:paraId="64DE5E36" w14:textId="0C25CD17" w:rsidR="009D18C1" w:rsidRPr="007C65D7" w:rsidRDefault="009D18C1" w:rsidP="002D2C0B">
      <w:pPr>
        <w:pStyle w:val="3-BodyText"/>
        <w:numPr>
          <w:ilvl w:val="1"/>
          <w:numId w:val="21"/>
        </w:numPr>
        <w:tabs>
          <w:tab w:val="left" w:pos="1134"/>
        </w:tabs>
        <w:ind w:firstLine="349"/>
      </w:pPr>
      <w:r w:rsidRPr="007C65D7">
        <w:t>Removal of mortality benefits</w:t>
      </w:r>
      <w:r w:rsidR="006F15B6" w:rsidRPr="006F15B6">
        <w:t xml:space="preserve"> </w:t>
      </w:r>
    </w:p>
    <w:p w14:paraId="53098281" w14:textId="6F8C00E2" w:rsidR="009D18C1" w:rsidRPr="007C65D7" w:rsidRDefault="009D18C1" w:rsidP="002D2C0B">
      <w:pPr>
        <w:pStyle w:val="3-BodyText"/>
        <w:numPr>
          <w:ilvl w:val="1"/>
          <w:numId w:val="21"/>
        </w:numPr>
        <w:tabs>
          <w:tab w:val="left" w:pos="1134"/>
        </w:tabs>
        <w:ind w:firstLine="349"/>
      </w:pPr>
      <w:r w:rsidRPr="007C65D7">
        <w:t>CV hospitalisation rates:</w:t>
      </w:r>
      <w:r w:rsidR="004056DD" w:rsidRPr="007C65D7">
        <w:t xml:space="preserve"> </w:t>
      </w:r>
      <w:r w:rsidRPr="007C65D7">
        <w:t>NYHA II (0.38); NYHA III/IV patients (1.00)</w:t>
      </w:r>
    </w:p>
    <w:p w14:paraId="1547E892" w14:textId="4868F5C7" w:rsidR="009D18C1" w:rsidRPr="007C65D7" w:rsidRDefault="009D18C1" w:rsidP="002D2C0B">
      <w:pPr>
        <w:pStyle w:val="3-BodyText"/>
        <w:numPr>
          <w:ilvl w:val="1"/>
          <w:numId w:val="21"/>
        </w:numPr>
        <w:tabs>
          <w:tab w:val="left" w:pos="1134"/>
        </w:tabs>
        <w:ind w:left="1134" w:hanging="425"/>
      </w:pPr>
      <w:r w:rsidRPr="007C65D7">
        <w:t xml:space="preserve">Patients (%) escalating from </w:t>
      </w:r>
      <w:r w:rsidR="0085172B" w:rsidRPr="007C65D7">
        <w:t xml:space="preserve">mavacamten </w:t>
      </w:r>
      <w:r w:rsidRPr="007C65D7">
        <w:t>to SRT using VALOR-HCM (all NYHA classes: 3.6%).</w:t>
      </w:r>
    </w:p>
    <w:p w14:paraId="42C1674F" w14:textId="2961EA22" w:rsidR="009D18C1" w:rsidRPr="007C65D7" w:rsidRDefault="00521B0F" w:rsidP="002D2C0B">
      <w:pPr>
        <w:pStyle w:val="3-BodyText"/>
        <w:numPr>
          <w:ilvl w:val="1"/>
          <w:numId w:val="21"/>
        </w:numPr>
        <w:tabs>
          <w:tab w:val="left" w:pos="1134"/>
        </w:tabs>
        <w:ind w:left="1134" w:hanging="425"/>
      </w:pPr>
      <w:r w:rsidRPr="00521B0F">
        <w:t xml:space="preserve"> </w:t>
      </w:r>
      <w:r w:rsidRPr="00DB3A96">
        <w:rPr>
          <w:color w:val="000000"/>
          <w:w w:val="15"/>
          <w:shd w:val="solid" w:color="000000" w:fill="000000"/>
          <w:fitText w:val="-20" w:id="-1032076025"/>
          <w14:textFill>
            <w14:solidFill>
              <w14:srgbClr w14:val="000000">
                <w14:alpha w14:val="100000"/>
              </w14:srgbClr>
            </w14:solidFill>
          </w14:textFill>
        </w:rPr>
        <w:t xml:space="preserve">| </w:t>
      </w:r>
      <w:r w:rsidRPr="00DB3A96">
        <w:rPr>
          <w:color w:val="000000"/>
          <w:spacing w:val="-61"/>
          <w:w w:val="15"/>
          <w:shd w:val="solid" w:color="000000" w:fill="000000"/>
          <w:fitText w:val="-20" w:id="-1032076025"/>
          <w14:textFill>
            <w14:solidFill>
              <w14:srgbClr w14:val="000000">
                <w14:alpha w14:val="100000"/>
              </w14:srgbClr>
            </w14:solidFill>
          </w14:textFill>
        </w:rPr>
        <w:t>|</w:t>
      </w:r>
      <w:r w:rsidR="009D18C1" w:rsidRPr="007C65D7">
        <w:t xml:space="preserve">% price reduction </w:t>
      </w:r>
      <w:r w:rsidR="004056DD" w:rsidRPr="007C65D7">
        <w:t xml:space="preserve">(AEMP </w:t>
      </w:r>
      <w:r w:rsidRPr="00521B0F">
        <w:t>$</w:t>
      </w:r>
      <w:r w:rsidRPr="00DB3A96">
        <w:rPr>
          <w:color w:val="000000"/>
          <w:w w:val="15"/>
          <w:shd w:val="solid" w:color="000000" w:fill="000000"/>
          <w:fitText w:val="-20" w:id="-1032076024"/>
          <w14:textFill>
            <w14:solidFill>
              <w14:srgbClr w14:val="000000">
                <w14:alpha w14:val="100000"/>
              </w14:srgbClr>
            </w14:solidFill>
          </w14:textFill>
        </w:rPr>
        <w:t xml:space="preserve">| </w:t>
      </w:r>
      <w:r w:rsidRPr="00DB3A96">
        <w:rPr>
          <w:color w:val="000000"/>
          <w:spacing w:val="-61"/>
          <w:w w:val="15"/>
          <w:shd w:val="solid" w:color="000000" w:fill="000000"/>
          <w:fitText w:val="-20" w:id="-1032076024"/>
          <w14:textFill>
            <w14:solidFill>
              <w14:srgbClr w14:val="000000">
                <w14:alpha w14:val="100000"/>
              </w14:srgbClr>
            </w14:solidFill>
          </w14:textFill>
        </w:rPr>
        <w:t>|</w:t>
      </w:r>
      <w:r w:rsidR="004056DD" w:rsidRPr="007C65D7">
        <w:t xml:space="preserve"> reduced from AEMP </w:t>
      </w:r>
      <w:r w:rsidRPr="00521B0F">
        <w:t>$</w:t>
      </w:r>
      <w:r w:rsidRPr="00DB3A96">
        <w:rPr>
          <w:color w:val="000000"/>
          <w:w w:val="15"/>
          <w:shd w:val="solid" w:color="000000" w:fill="000000"/>
          <w:fitText w:val="-20" w:id="-1032076023"/>
          <w14:textFill>
            <w14:solidFill>
              <w14:srgbClr w14:val="000000">
                <w14:alpha w14:val="100000"/>
              </w14:srgbClr>
            </w14:solidFill>
          </w14:textFill>
        </w:rPr>
        <w:t xml:space="preserve">| </w:t>
      </w:r>
      <w:r w:rsidRPr="00DB3A96">
        <w:rPr>
          <w:color w:val="000000"/>
          <w:spacing w:val="-61"/>
          <w:w w:val="15"/>
          <w:shd w:val="solid" w:color="000000" w:fill="000000"/>
          <w:fitText w:val="-20" w:id="-1032076023"/>
          <w14:textFill>
            <w14:solidFill>
              <w14:srgbClr w14:val="000000">
                <w14:alpha w14:val="100000"/>
              </w14:srgbClr>
            </w14:solidFill>
          </w14:textFill>
        </w:rPr>
        <w:t>|</w:t>
      </w:r>
      <w:r w:rsidR="004056DD" w:rsidRPr="007C65D7">
        <w:t xml:space="preserve"> in July 2023</w:t>
      </w:r>
      <w:r w:rsidR="009D18C1" w:rsidRPr="007C65D7">
        <w:t>).</w:t>
      </w:r>
    </w:p>
    <w:p w14:paraId="368932BF" w14:textId="21EE1271" w:rsidR="007379A5" w:rsidRPr="007C65D7" w:rsidRDefault="007379A5" w:rsidP="004056DD">
      <w:pPr>
        <w:pStyle w:val="3-BodyText"/>
        <w:spacing w:before="120"/>
      </w:pPr>
      <w:r w:rsidRPr="007C65D7">
        <w:t xml:space="preserve">The revised </w:t>
      </w:r>
      <w:r w:rsidR="0085172B" w:rsidRPr="007C65D7">
        <w:t xml:space="preserve">ICER was </w:t>
      </w:r>
      <w:r w:rsidRPr="007C65D7">
        <w:t>$</w:t>
      </w:r>
      <w:r w:rsidR="000C36EE">
        <w:t>35,000 to &lt; $45,000</w:t>
      </w:r>
      <w:r w:rsidRPr="007C65D7">
        <w:t>/QALY gained.</w:t>
      </w:r>
    </w:p>
    <w:p w14:paraId="487CABFF" w14:textId="3FB8D001" w:rsidR="00362621" w:rsidRPr="007C65D7" w:rsidRDefault="00362621" w:rsidP="004056DD">
      <w:pPr>
        <w:pStyle w:val="3-BodyText"/>
        <w:spacing w:before="120"/>
      </w:pPr>
      <w:r w:rsidRPr="007C65D7">
        <w:t>The pre-PBAC response highlighted an additional Spanish observational, retrospective study CV027-051 on hospitalisations by NHYA class (unpublished), which it considered showed consistent results with Charron et al (unpublished) and Wang et al (2023).</w:t>
      </w:r>
    </w:p>
    <w:p w14:paraId="59392CB3" w14:textId="6A7FB2CC" w:rsidR="004056DD" w:rsidRPr="007C65D7" w:rsidRDefault="000B5F53" w:rsidP="00244963">
      <w:pPr>
        <w:pStyle w:val="4-SubsectionHeading"/>
        <w:keepNext/>
      </w:pPr>
      <w:bookmarkStart w:id="16" w:name="_Toc22897647"/>
      <w:bookmarkStart w:id="17" w:name="_Toc107927633"/>
      <w:bookmarkStart w:id="18" w:name="_Toc135223333"/>
      <w:r w:rsidRPr="007C65D7">
        <w:t>Estimated PBS usage &amp; financial implications</w:t>
      </w:r>
      <w:bookmarkEnd w:id="16"/>
      <w:bookmarkEnd w:id="17"/>
      <w:bookmarkEnd w:id="18"/>
    </w:p>
    <w:p w14:paraId="7A1735A7" w14:textId="6D284730" w:rsidR="00EF6366" w:rsidRPr="007C65D7" w:rsidRDefault="000B5F53" w:rsidP="00EF6366">
      <w:pPr>
        <w:pStyle w:val="3-BodyText"/>
        <w:rPr>
          <w:lang w:eastAsia="en-US"/>
        </w:rPr>
      </w:pPr>
      <w:r w:rsidRPr="007C65D7">
        <w:rPr>
          <w:lang w:eastAsia="en-US"/>
        </w:rPr>
        <w:t>This resubmission provided updated financial implications.</w:t>
      </w:r>
      <w:r w:rsidR="00EF6366" w:rsidRPr="007C65D7">
        <w:rPr>
          <w:lang w:eastAsia="en-US"/>
        </w:rPr>
        <w:t xml:space="preserve"> The estimates include</w:t>
      </w:r>
      <w:r w:rsidR="003A2788" w:rsidRPr="007C65D7">
        <w:rPr>
          <w:lang w:eastAsia="en-US"/>
        </w:rPr>
        <w:t>d</w:t>
      </w:r>
      <w:r w:rsidR="00EF6366" w:rsidRPr="007C65D7">
        <w:rPr>
          <w:lang w:eastAsia="en-US"/>
        </w:rPr>
        <w:t xml:space="preserve"> the following changes:</w:t>
      </w:r>
    </w:p>
    <w:p w14:paraId="677245D8" w14:textId="74C97444" w:rsidR="00EF6366" w:rsidRPr="007C65D7" w:rsidRDefault="00EF6366" w:rsidP="002D2C0B">
      <w:pPr>
        <w:pStyle w:val="3-BodyText"/>
        <w:numPr>
          <w:ilvl w:val="1"/>
          <w:numId w:val="23"/>
        </w:numPr>
        <w:tabs>
          <w:tab w:val="left" w:pos="1134"/>
        </w:tabs>
        <w:ind w:left="357" w:firstLine="352"/>
        <w:rPr>
          <w:lang w:eastAsia="en-US"/>
        </w:rPr>
      </w:pPr>
      <w:r w:rsidRPr="007C65D7">
        <w:rPr>
          <w:lang w:eastAsia="en-US"/>
        </w:rPr>
        <w:t>Reduced mavacamten ex-manufacturer price (</w:t>
      </w:r>
      <w:r w:rsidR="00521B0F" w:rsidRPr="00521B0F">
        <w:rPr>
          <w:lang w:eastAsia="en-US"/>
        </w:rPr>
        <w:t>$</w:t>
      </w:r>
      <w:r w:rsidR="00521B0F" w:rsidRPr="00DB3A96">
        <w:rPr>
          <w:color w:val="000000"/>
          <w:w w:val="15"/>
          <w:shd w:val="solid" w:color="000000" w:fill="000000"/>
          <w:fitText w:val="-20" w:id="-1032076022"/>
          <w:lang w:eastAsia="en-US"/>
          <w14:textFill>
            <w14:solidFill>
              <w14:srgbClr w14:val="000000">
                <w14:alpha w14:val="100000"/>
              </w14:srgbClr>
            </w14:solidFill>
          </w14:textFill>
        </w:rPr>
        <w:t xml:space="preserve">| </w:t>
      </w:r>
      <w:r w:rsidR="00521B0F" w:rsidRPr="00DB3A96">
        <w:rPr>
          <w:color w:val="000000"/>
          <w:spacing w:val="-61"/>
          <w:w w:val="15"/>
          <w:shd w:val="solid" w:color="000000" w:fill="000000"/>
          <w:fitText w:val="-20" w:id="-1032076022"/>
          <w:lang w:eastAsia="en-US"/>
          <w14:textFill>
            <w14:solidFill>
              <w14:srgbClr w14:val="000000">
                <w14:alpha w14:val="100000"/>
              </w14:srgbClr>
            </w14:solidFill>
          </w14:textFill>
        </w:rPr>
        <w:t>|</w:t>
      </w:r>
      <w:r w:rsidRPr="007C65D7">
        <w:rPr>
          <w:lang w:eastAsia="en-US"/>
        </w:rPr>
        <w:t xml:space="preserve"> per 28 capsule pack)</w:t>
      </w:r>
    </w:p>
    <w:p w14:paraId="25EE6B2D" w14:textId="77777777" w:rsidR="00EF6366" w:rsidRPr="007C65D7" w:rsidRDefault="00EF6366" w:rsidP="002D2C0B">
      <w:pPr>
        <w:pStyle w:val="3-BodyText"/>
        <w:numPr>
          <w:ilvl w:val="1"/>
          <w:numId w:val="23"/>
        </w:numPr>
        <w:tabs>
          <w:tab w:val="left" w:pos="1134"/>
        </w:tabs>
        <w:ind w:left="357" w:firstLine="352"/>
        <w:rPr>
          <w:lang w:eastAsia="en-US"/>
        </w:rPr>
      </w:pPr>
      <w:r w:rsidRPr="007C65D7">
        <w:rPr>
          <w:lang w:eastAsia="en-US"/>
        </w:rPr>
        <w:t>Updated fees and markups due to indexation from 1 July 2023</w:t>
      </w:r>
    </w:p>
    <w:p w14:paraId="469272EA" w14:textId="77777777" w:rsidR="00EF6366" w:rsidRPr="007C65D7" w:rsidRDefault="00EF6366" w:rsidP="002D2C0B">
      <w:pPr>
        <w:pStyle w:val="3-BodyText"/>
        <w:numPr>
          <w:ilvl w:val="1"/>
          <w:numId w:val="23"/>
        </w:numPr>
        <w:tabs>
          <w:tab w:val="left" w:pos="1134"/>
        </w:tabs>
        <w:ind w:left="357" w:firstLine="352"/>
        <w:rPr>
          <w:lang w:eastAsia="en-US"/>
        </w:rPr>
      </w:pPr>
      <w:r w:rsidRPr="007C65D7">
        <w:rPr>
          <w:lang w:eastAsia="en-US"/>
        </w:rPr>
        <w:t>Updated MBS cost for items 55126 and 55134 from 1 July 2023</w:t>
      </w:r>
    </w:p>
    <w:p w14:paraId="7B4F657A" w14:textId="77777777" w:rsidR="00EF6366" w:rsidRPr="007C65D7" w:rsidRDefault="00EF6366" w:rsidP="002D2C0B">
      <w:pPr>
        <w:pStyle w:val="3-BodyText"/>
        <w:numPr>
          <w:ilvl w:val="1"/>
          <w:numId w:val="23"/>
        </w:numPr>
        <w:tabs>
          <w:tab w:val="left" w:pos="1134"/>
        </w:tabs>
        <w:ind w:left="357" w:firstLine="352"/>
        <w:rPr>
          <w:lang w:eastAsia="en-US"/>
        </w:rPr>
      </w:pPr>
      <w:r w:rsidRPr="007C65D7">
        <w:rPr>
          <w:lang w:eastAsia="en-US"/>
        </w:rPr>
        <w:t>Change to first year of listing (now 2024)</w:t>
      </w:r>
    </w:p>
    <w:p w14:paraId="2FF4FDCB" w14:textId="39743F85" w:rsidR="00EF6366" w:rsidRPr="007C65D7" w:rsidRDefault="00EF6366" w:rsidP="002D2C0B">
      <w:pPr>
        <w:pStyle w:val="3-BodyText"/>
        <w:numPr>
          <w:ilvl w:val="1"/>
          <w:numId w:val="23"/>
        </w:numPr>
        <w:tabs>
          <w:tab w:val="left" w:pos="1134"/>
        </w:tabs>
        <w:ind w:left="357" w:firstLine="352"/>
        <w:rPr>
          <w:lang w:eastAsia="en-US"/>
        </w:rPr>
      </w:pPr>
      <w:r w:rsidRPr="007C65D7">
        <w:rPr>
          <w:lang w:eastAsia="en-US"/>
        </w:rPr>
        <w:t>Presentation of a</w:t>
      </w:r>
      <w:r w:rsidR="00257C2E" w:rsidRPr="007C65D7">
        <w:rPr>
          <w:lang w:eastAsia="en-US"/>
        </w:rPr>
        <w:t>n</w:t>
      </w:r>
      <w:r w:rsidRPr="007C65D7">
        <w:rPr>
          <w:lang w:eastAsia="en-US"/>
        </w:rPr>
        <w:t xml:space="preserve"> RSA inclusive of a</w:t>
      </w:r>
      <w:r w:rsidR="00521B0F" w:rsidRPr="00521B0F">
        <w:rPr>
          <w:lang w:eastAsia="en-US"/>
        </w:rPr>
        <w:t xml:space="preserve"> </w:t>
      </w:r>
      <w:r w:rsidR="00521B0F" w:rsidRPr="00DB3A96">
        <w:rPr>
          <w:color w:val="000000"/>
          <w:w w:val="15"/>
          <w:shd w:val="solid" w:color="000000" w:fill="000000"/>
          <w:fitText w:val="-20" w:id="-1032076021"/>
          <w:lang w:eastAsia="en-US"/>
          <w14:textFill>
            <w14:solidFill>
              <w14:srgbClr w14:val="000000">
                <w14:alpha w14:val="100000"/>
              </w14:srgbClr>
            </w14:solidFill>
          </w14:textFill>
        </w:rPr>
        <w:t xml:space="preserve">| </w:t>
      </w:r>
      <w:r w:rsidR="00521B0F" w:rsidRPr="00DB3A96">
        <w:rPr>
          <w:color w:val="000000"/>
          <w:spacing w:val="-61"/>
          <w:w w:val="15"/>
          <w:shd w:val="solid" w:color="000000" w:fill="000000"/>
          <w:fitText w:val="-20" w:id="-1032076021"/>
          <w:lang w:eastAsia="en-US"/>
          <w14:textFill>
            <w14:solidFill>
              <w14:srgbClr w14:val="000000">
                <w14:alpha w14:val="100000"/>
              </w14:srgbClr>
            </w14:solidFill>
          </w14:textFill>
        </w:rPr>
        <w:t>|</w:t>
      </w:r>
      <w:r w:rsidRPr="007C65D7">
        <w:rPr>
          <w:lang w:eastAsia="en-US"/>
        </w:rPr>
        <w:t>% rebate above the subsidisation cap</w:t>
      </w:r>
    </w:p>
    <w:p w14:paraId="295A092D" w14:textId="2C6995EE" w:rsidR="00C82368" w:rsidRPr="007C65D7" w:rsidRDefault="00C82368" w:rsidP="00EF6366">
      <w:pPr>
        <w:pStyle w:val="3-BodyText"/>
        <w:spacing w:before="120"/>
        <w:rPr>
          <w:lang w:eastAsia="en-US"/>
        </w:rPr>
      </w:pPr>
      <w:r w:rsidRPr="007C65D7">
        <w:rPr>
          <w:lang w:eastAsia="en-US"/>
        </w:rPr>
        <w:lastRenderedPageBreak/>
        <w:t>These revised estimates align with the updated assumptions provide</w:t>
      </w:r>
      <w:r w:rsidR="003A2788" w:rsidRPr="007C65D7">
        <w:rPr>
          <w:lang w:eastAsia="en-US"/>
        </w:rPr>
        <w:t>d</w:t>
      </w:r>
      <w:r w:rsidRPr="007C65D7">
        <w:rPr>
          <w:lang w:eastAsia="en-US"/>
        </w:rPr>
        <w:t xml:space="preserve"> in the July 2023 pre-subcommittee response, as advised by the PBAC </w:t>
      </w:r>
      <w:r w:rsidR="003A2788" w:rsidRPr="007C65D7">
        <w:rPr>
          <w:lang w:eastAsia="en-US"/>
        </w:rPr>
        <w:t>July 2023 (</w:t>
      </w:r>
      <w:r w:rsidRPr="007C65D7">
        <w:rPr>
          <w:lang w:eastAsia="en-US"/>
        </w:rPr>
        <w:t>paragraph 7.12, mavacamten</w:t>
      </w:r>
      <w:r w:rsidR="00257C2E" w:rsidRPr="007C65D7">
        <w:rPr>
          <w:lang w:eastAsia="en-US"/>
        </w:rPr>
        <w:t xml:space="preserve"> PSD</w:t>
      </w:r>
      <w:r w:rsidR="003A2788" w:rsidRPr="007C65D7">
        <w:rPr>
          <w:lang w:eastAsia="en-US"/>
        </w:rPr>
        <w:t>)</w:t>
      </w:r>
      <w:r w:rsidRPr="007C65D7">
        <w:rPr>
          <w:lang w:eastAsia="en-US"/>
        </w:rPr>
        <w:t xml:space="preserve">. A summary of key assumptions is presented in </w:t>
      </w:r>
      <w:r w:rsidRPr="007C65D7">
        <w:rPr>
          <w:lang w:eastAsia="en-US"/>
        </w:rPr>
        <w:fldChar w:fldCharType="begin" w:fldLock="1"/>
      </w:r>
      <w:r w:rsidRPr="007C65D7">
        <w:rPr>
          <w:lang w:eastAsia="en-US"/>
        </w:rPr>
        <w:instrText xml:space="preserve"> REF _Ref147749467 \h  \* MERGEFORMAT </w:instrText>
      </w:r>
      <w:r w:rsidRPr="007C65D7">
        <w:rPr>
          <w:lang w:eastAsia="en-US"/>
        </w:rPr>
      </w:r>
      <w:r w:rsidRPr="007C65D7">
        <w:rPr>
          <w:lang w:eastAsia="en-US"/>
        </w:rPr>
        <w:fldChar w:fldCharType="separate"/>
      </w:r>
      <w:r w:rsidR="00707345" w:rsidRPr="007C65D7">
        <w:rPr>
          <w:lang w:eastAsia="en-US"/>
        </w:rPr>
        <w:t>Table 5</w:t>
      </w:r>
      <w:r w:rsidRPr="007C65D7">
        <w:rPr>
          <w:lang w:eastAsia="en-US"/>
        </w:rPr>
        <w:fldChar w:fldCharType="end"/>
      </w:r>
      <w:r w:rsidRPr="007C65D7">
        <w:rPr>
          <w:lang w:eastAsia="en-US"/>
        </w:rPr>
        <w:t>.</w:t>
      </w:r>
    </w:p>
    <w:p w14:paraId="2EB9077B" w14:textId="6A96126D" w:rsidR="000B5F53" w:rsidRPr="007C65D7" w:rsidRDefault="000B5F53" w:rsidP="00244963">
      <w:pPr>
        <w:pStyle w:val="Caption"/>
        <w:keepNext/>
        <w:keepLines/>
        <w:spacing w:after="0"/>
        <w:rPr>
          <w:rStyle w:val="CommentReference"/>
          <w:bCs/>
          <w:i w:val="0"/>
        </w:rPr>
      </w:pPr>
      <w:bookmarkStart w:id="19" w:name="_Ref147749467"/>
      <w:r w:rsidRPr="007C65D7">
        <w:rPr>
          <w:rStyle w:val="CommentReference"/>
          <w:bCs/>
          <w:i w:val="0"/>
          <w:iCs w:val="0"/>
        </w:rPr>
        <w:lastRenderedPageBreak/>
        <w:t xml:space="preserve">Table </w:t>
      </w:r>
      <w:r w:rsidRPr="007C65D7">
        <w:rPr>
          <w:rStyle w:val="CommentReference"/>
          <w:bCs/>
          <w:i w:val="0"/>
          <w:iCs w:val="0"/>
        </w:rPr>
        <w:fldChar w:fldCharType="begin" w:fldLock="1"/>
      </w:r>
      <w:r w:rsidRPr="007C65D7">
        <w:rPr>
          <w:rStyle w:val="CommentReference"/>
          <w:bCs/>
          <w:i w:val="0"/>
          <w:iCs w:val="0"/>
        </w:rPr>
        <w:instrText xml:space="preserve"> SEQ Table \* ARABIC </w:instrText>
      </w:r>
      <w:r w:rsidRPr="007C65D7">
        <w:rPr>
          <w:rStyle w:val="CommentReference"/>
          <w:bCs/>
          <w:i w:val="0"/>
          <w:iCs w:val="0"/>
        </w:rPr>
        <w:fldChar w:fldCharType="separate"/>
      </w:r>
      <w:r w:rsidR="00707345" w:rsidRPr="00DF2D4F">
        <w:rPr>
          <w:rStyle w:val="CommentReference"/>
          <w:bCs/>
          <w:i w:val="0"/>
          <w:iCs w:val="0"/>
        </w:rPr>
        <w:t>5</w:t>
      </w:r>
      <w:r w:rsidRPr="007C65D7">
        <w:rPr>
          <w:rStyle w:val="CommentReference"/>
          <w:bCs/>
          <w:i w:val="0"/>
          <w:iCs w:val="0"/>
        </w:rPr>
        <w:fldChar w:fldCharType="end"/>
      </w:r>
      <w:bookmarkEnd w:id="19"/>
      <w:r w:rsidRPr="007C65D7">
        <w:rPr>
          <w:rStyle w:val="CommentReference"/>
          <w:bCs/>
          <w:i w:val="0"/>
          <w:iCs w:val="0"/>
        </w:rPr>
        <w:t>: Summary of key sources of information and assumptions used in the financial estimates</w:t>
      </w:r>
    </w:p>
    <w:tbl>
      <w:tblPr>
        <w:tblStyle w:val="newstyle2"/>
        <w:tblW w:w="0" w:type="auto"/>
        <w:tblInd w:w="-3" w:type="dxa"/>
        <w:tblLook w:val="04A0" w:firstRow="1" w:lastRow="0" w:firstColumn="1" w:lastColumn="0" w:noHBand="0" w:noVBand="1"/>
        <w:tblCaption w:val="Table 5: Summary of key sources of information and assumptions used in the financial estimates"/>
        <w:tblDescription w:val="Table 5: Summary of key sources of information and assumptions used in the financial estimates"/>
      </w:tblPr>
      <w:tblGrid>
        <w:gridCol w:w="1132"/>
        <w:gridCol w:w="1276"/>
        <w:gridCol w:w="1464"/>
        <w:gridCol w:w="1465"/>
        <w:gridCol w:w="1465"/>
        <w:gridCol w:w="2217"/>
      </w:tblGrid>
      <w:tr w:rsidR="00A32E1C" w:rsidRPr="007C65D7" w14:paraId="41BA166D" w14:textId="77777777" w:rsidTr="00A32E1C">
        <w:trPr>
          <w:trHeight w:val="236"/>
        </w:trPr>
        <w:tc>
          <w:tcPr>
            <w:tcW w:w="2408" w:type="dxa"/>
            <w:gridSpan w:val="2"/>
            <w:shd w:val="clear" w:color="auto" w:fill="FFFFFF" w:themeFill="background1"/>
          </w:tcPr>
          <w:p w14:paraId="0B60C404" w14:textId="77777777" w:rsidR="000B5F53" w:rsidRPr="007C65D7" w:rsidRDefault="000B5F53" w:rsidP="00244963">
            <w:pPr>
              <w:keepNext/>
              <w:keepLines/>
              <w:rPr>
                <w:rFonts w:ascii="Arial Narrow" w:eastAsiaTheme="majorEastAsia" w:hAnsi="Arial Narrow" w:cstheme="minorHAnsi"/>
                <w:b/>
                <w:bCs/>
                <w:sz w:val="20"/>
                <w:szCs w:val="20"/>
              </w:rPr>
            </w:pPr>
            <w:r w:rsidRPr="007C65D7">
              <w:rPr>
                <w:rFonts w:ascii="Arial Narrow" w:eastAsiaTheme="majorEastAsia" w:hAnsi="Arial Narrow" w:cstheme="minorHAnsi"/>
                <w:b/>
                <w:bCs/>
                <w:sz w:val="20"/>
                <w:szCs w:val="20"/>
              </w:rPr>
              <w:t>Base case model inputs</w:t>
            </w:r>
          </w:p>
        </w:tc>
        <w:tc>
          <w:tcPr>
            <w:tcW w:w="1464" w:type="dxa"/>
            <w:shd w:val="clear" w:color="auto" w:fill="FFFFFF" w:themeFill="background1"/>
          </w:tcPr>
          <w:p w14:paraId="1A4C8820" w14:textId="67228E6D" w:rsidR="000B5F53" w:rsidRPr="007C65D7" w:rsidRDefault="00C82368" w:rsidP="00244963">
            <w:pPr>
              <w:keepNext/>
              <w:keepLines/>
              <w:rPr>
                <w:rFonts w:ascii="Arial Narrow" w:eastAsiaTheme="majorEastAsia" w:hAnsi="Arial Narrow" w:cstheme="minorHAnsi"/>
                <w:b/>
                <w:bCs/>
                <w:sz w:val="20"/>
                <w:szCs w:val="20"/>
              </w:rPr>
            </w:pPr>
            <w:r w:rsidRPr="007C65D7">
              <w:rPr>
                <w:rFonts w:ascii="Arial Narrow" w:eastAsiaTheme="majorEastAsia" w:hAnsi="Arial Narrow" w:cstheme="minorHAnsi"/>
                <w:b/>
                <w:bCs/>
                <w:sz w:val="20"/>
                <w:szCs w:val="20"/>
              </w:rPr>
              <w:t>November 2022</w:t>
            </w:r>
          </w:p>
        </w:tc>
        <w:tc>
          <w:tcPr>
            <w:tcW w:w="1465" w:type="dxa"/>
            <w:shd w:val="clear" w:color="auto" w:fill="FFFFFF" w:themeFill="background1"/>
          </w:tcPr>
          <w:p w14:paraId="050EEFB9" w14:textId="6BFB145B" w:rsidR="000B5F53" w:rsidRPr="007C65D7" w:rsidRDefault="00C82368" w:rsidP="00244963">
            <w:pPr>
              <w:keepNext/>
              <w:keepLines/>
              <w:rPr>
                <w:rFonts w:ascii="Arial Narrow" w:eastAsiaTheme="majorEastAsia" w:hAnsi="Arial Narrow" w:cstheme="minorHAnsi"/>
                <w:b/>
                <w:bCs/>
                <w:sz w:val="20"/>
                <w:szCs w:val="20"/>
              </w:rPr>
            </w:pPr>
            <w:r w:rsidRPr="007C65D7">
              <w:rPr>
                <w:rFonts w:ascii="Arial Narrow" w:eastAsiaTheme="majorEastAsia" w:hAnsi="Arial Narrow" w:cstheme="minorHAnsi"/>
                <w:b/>
                <w:bCs/>
                <w:sz w:val="20"/>
                <w:szCs w:val="20"/>
              </w:rPr>
              <w:t>July 2023</w:t>
            </w:r>
          </w:p>
        </w:tc>
        <w:tc>
          <w:tcPr>
            <w:tcW w:w="1465" w:type="dxa"/>
            <w:shd w:val="clear" w:color="auto" w:fill="FFFFFF" w:themeFill="background1"/>
          </w:tcPr>
          <w:p w14:paraId="290F333F" w14:textId="01D6B168" w:rsidR="000B5F53" w:rsidRPr="007C65D7" w:rsidRDefault="00C82368" w:rsidP="00244963">
            <w:pPr>
              <w:keepNext/>
              <w:keepLines/>
              <w:rPr>
                <w:rFonts w:ascii="Arial Narrow" w:eastAsiaTheme="majorEastAsia" w:hAnsi="Arial Narrow" w:cstheme="minorHAnsi"/>
                <w:b/>
                <w:bCs/>
                <w:sz w:val="20"/>
                <w:szCs w:val="20"/>
              </w:rPr>
            </w:pPr>
            <w:r w:rsidRPr="007C65D7">
              <w:rPr>
                <w:rFonts w:ascii="Arial Narrow" w:eastAsiaTheme="majorEastAsia" w:hAnsi="Arial Narrow" w:cstheme="minorHAnsi"/>
                <w:b/>
                <w:bCs/>
                <w:sz w:val="20"/>
                <w:szCs w:val="20"/>
              </w:rPr>
              <w:t>November 2023</w:t>
            </w:r>
          </w:p>
        </w:tc>
        <w:tc>
          <w:tcPr>
            <w:tcW w:w="2217" w:type="dxa"/>
            <w:shd w:val="clear" w:color="auto" w:fill="FFFFFF" w:themeFill="background1"/>
          </w:tcPr>
          <w:p w14:paraId="472DC3B7" w14:textId="77777777" w:rsidR="000B5F53" w:rsidRPr="007C65D7" w:rsidRDefault="000B5F53" w:rsidP="00244963">
            <w:pPr>
              <w:keepNext/>
              <w:keepLines/>
              <w:rPr>
                <w:rFonts w:ascii="Arial Narrow" w:eastAsiaTheme="majorEastAsia" w:hAnsi="Arial Narrow" w:cstheme="minorHAnsi"/>
                <w:b/>
                <w:bCs/>
                <w:sz w:val="20"/>
                <w:szCs w:val="20"/>
              </w:rPr>
            </w:pPr>
            <w:r w:rsidRPr="007C65D7">
              <w:rPr>
                <w:rFonts w:ascii="Arial Narrow" w:eastAsiaTheme="majorEastAsia" w:hAnsi="Arial Narrow" w:cstheme="minorHAnsi"/>
                <w:b/>
                <w:bCs/>
                <w:sz w:val="20"/>
                <w:szCs w:val="20"/>
              </w:rPr>
              <w:t>Comments</w:t>
            </w:r>
          </w:p>
        </w:tc>
      </w:tr>
      <w:tr w:rsidR="00C82368" w:rsidRPr="007C65D7" w14:paraId="7E9EBE34" w14:textId="77777777" w:rsidTr="003B55F0">
        <w:trPr>
          <w:trHeight w:val="250"/>
        </w:trPr>
        <w:tc>
          <w:tcPr>
            <w:tcW w:w="1132" w:type="dxa"/>
            <w:vMerge w:val="restart"/>
            <w:vAlign w:val="center"/>
          </w:tcPr>
          <w:p w14:paraId="1AFB305D" w14:textId="77777777" w:rsidR="000B5F53" w:rsidRPr="007C65D7" w:rsidRDefault="000B5F53" w:rsidP="00244963">
            <w:pPr>
              <w:keepNext/>
              <w:keepLines/>
              <w:rPr>
                <w:rFonts w:ascii="Arial Narrow" w:hAnsi="Arial Narrow" w:cstheme="minorHAnsi"/>
                <w:bCs/>
                <w:sz w:val="20"/>
                <w:szCs w:val="20"/>
              </w:rPr>
            </w:pPr>
            <w:r w:rsidRPr="007C65D7">
              <w:rPr>
                <w:rFonts w:ascii="Arial Narrow" w:hAnsi="Arial Narrow" w:cstheme="minorHAnsi"/>
                <w:bCs/>
                <w:sz w:val="20"/>
                <w:szCs w:val="20"/>
              </w:rPr>
              <w:t xml:space="preserve">Eligible obstructive HCM population </w:t>
            </w:r>
          </w:p>
        </w:tc>
        <w:tc>
          <w:tcPr>
            <w:tcW w:w="1276" w:type="dxa"/>
            <w:vAlign w:val="center"/>
          </w:tcPr>
          <w:p w14:paraId="317B0E51"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Prevalence of HCM</w:t>
            </w:r>
          </w:p>
        </w:tc>
        <w:tc>
          <w:tcPr>
            <w:tcW w:w="1464" w:type="dxa"/>
            <w:vAlign w:val="center"/>
          </w:tcPr>
          <w:p w14:paraId="58E10B8C"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1 in 350 Australians</w:t>
            </w:r>
          </w:p>
        </w:tc>
        <w:tc>
          <w:tcPr>
            <w:tcW w:w="1465" w:type="dxa"/>
            <w:vAlign w:val="center"/>
          </w:tcPr>
          <w:p w14:paraId="4C84D6B2"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1 in 350 Australians</w:t>
            </w:r>
          </w:p>
        </w:tc>
        <w:tc>
          <w:tcPr>
            <w:tcW w:w="1465" w:type="dxa"/>
            <w:vAlign w:val="center"/>
          </w:tcPr>
          <w:p w14:paraId="1F2D4687"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1 in 350 Australians</w:t>
            </w:r>
          </w:p>
        </w:tc>
        <w:tc>
          <w:tcPr>
            <w:tcW w:w="2217" w:type="dxa"/>
            <w:vAlign w:val="center"/>
          </w:tcPr>
          <w:p w14:paraId="26F7770C"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U</w:t>
            </w:r>
            <w:r w:rsidRPr="007C65D7">
              <w:rPr>
                <w:rFonts w:ascii="Arial Narrow" w:hAnsi="Arial Narrow"/>
                <w:sz w:val="20"/>
                <w:szCs w:val="20"/>
              </w:rPr>
              <w:t>nchanged</w:t>
            </w:r>
          </w:p>
        </w:tc>
      </w:tr>
      <w:tr w:rsidR="00C82368" w:rsidRPr="007C65D7" w14:paraId="520B9D4C" w14:textId="77777777" w:rsidTr="003B55F0">
        <w:trPr>
          <w:trHeight w:val="501"/>
        </w:trPr>
        <w:tc>
          <w:tcPr>
            <w:tcW w:w="1132" w:type="dxa"/>
            <w:vMerge/>
            <w:vAlign w:val="center"/>
          </w:tcPr>
          <w:p w14:paraId="2AF3CF99" w14:textId="77777777" w:rsidR="000B5F53" w:rsidRPr="007C65D7" w:rsidRDefault="000B5F53" w:rsidP="00244963">
            <w:pPr>
              <w:keepNext/>
              <w:keepLines/>
              <w:rPr>
                <w:rFonts w:ascii="Arial Narrow" w:hAnsi="Arial Narrow" w:cstheme="minorHAnsi"/>
                <w:bCs/>
                <w:sz w:val="20"/>
                <w:szCs w:val="20"/>
              </w:rPr>
            </w:pPr>
          </w:p>
        </w:tc>
        <w:tc>
          <w:tcPr>
            <w:tcW w:w="1276" w:type="dxa"/>
            <w:vAlign w:val="center"/>
          </w:tcPr>
          <w:p w14:paraId="666FDA0D"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Diagnosis rate of HCM</w:t>
            </w:r>
          </w:p>
        </w:tc>
        <w:tc>
          <w:tcPr>
            <w:tcW w:w="1464" w:type="dxa"/>
            <w:vAlign w:val="center"/>
          </w:tcPr>
          <w:p w14:paraId="6C0D0AC6"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10.95%, increasing by 20% per year</w:t>
            </w:r>
          </w:p>
        </w:tc>
        <w:tc>
          <w:tcPr>
            <w:tcW w:w="1465" w:type="dxa"/>
            <w:vAlign w:val="center"/>
          </w:tcPr>
          <w:p w14:paraId="4B6336E7"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N/A</w:t>
            </w:r>
          </w:p>
        </w:tc>
        <w:tc>
          <w:tcPr>
            <w:tcW w:w="1465" w:type="dxa"/>
            <w:vAlign w:val="center"/>
          </w:tcPr>
          <w:p w14:paraId="383E2831"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N/A</w:t>
            </w:r>
          </w:p>
        </w:tc>
        <w:tc>
          <w:tcPr>
            <w:tcW w:w="2217" w:type="dxa"/>
            <w:vAlign w:val="center"/>
          </w:tcPr>
          <w:p w14:paraId="4398A556"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R</w:t>
            </w:r>
            <w:r w:rsidRPr="007C65D7">
              <w:rPr>
                <w:rFonts w:ascii="Arial Narrow" w:hAnsi="Arial Narrow"/>
                <w:sz w:val="20"/>
                <w:szCs w:val="20"/>
              </w:rPr>
              <w:t>emoved in line with DUSC advice</w:t>
            </w:r>
          </w:p>
        </w:tc>
      </w:tr>
      <w:tr w:rsidR="00C82368" w:rsidRPr="007C65D7" w14:paraId="6966A15A" w14:textId="77777777" w:rsidTr="003B55F0">
        <w:trPr>
          <w:trHeight w:val="738"/>
        </w:trPr>
        <w:tc>
          <w:tcPr>
            <w:tcW w:w="1132" w:type="dxa"/>
            <w:vMerge/>
            <w:vAlign w:val="center"/>
          </w:tcPr>
          <w:p w14:paraId="229E4A46" w14:textId="77777777" w:rsidR="000B5F53" w:rsidRPr="007C65D7" w:rsidRDefault="000B5F53" w:rsidP="00244963">
            <w:pPr>
              <w:keepNext/>
              <w:keepLines/>
              <w:rPr>
                <w:rFonts w:ascii="Arial Narrow" w:hAnsi="Arial Narrow" w:cstheme="minorHAnsi"/>
                <w:bCs/>
                <w:sz w:val="20"/>
                <w:szCs w:val="20"/>
              </w:rPr>
            </w:pPr>
          </w:p>
        </w:tc>
        <w:tc>
          <w:tcPr>
            <w:tcW w:w="1276" w:type="dxa"/>
            <w:vAlign w:val="center"/>
          </w:tcPr>
          <w:p w14:paraId="2D9414DB"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Proportion of patients with obstructive HCM</w:t>
            </w:r>
          </w:p>
        </w:tc>
        <w:tc>
          <w:tcPr>
            <w:tcW w:w="1464" w:type="dxa"/>
            <w:vAlign w:val="center"/>
          </w:tcPr>
          <w:p w14:paraId="24F0DC98"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37.70%</w:t>
            </w:r>
          </w:p>
        </w:tc>
        <w:tc>
          <w:tcPr>
            <w:tcW w:w="1465" w:type="dxa"/>
            <w:vAlign w:val="center"/>
          </w:tcPr>
          <w:p w14:paraId="474B6E30"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60.94%</w:t>
            </w:r>
          </w:p>
        </w:tc>
        <w:tc>
          <w:tcPr>
            <w:tcW w:w="1465" w:type="dxa"/>
            <w:vAlign w:val="center"/>
          </w:tcPr>
          <w:p w14:paraId="33CEFF68"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60.94%</w:t>
            </w:r>
          </w:p>
        </w:tc>
        <w:tc>
          <w:tcPr>
            <w:tcW w:w="2217" w:type="dxa"/>
            <w:vAlign w:val="center"/>
          </w:tcPr>
          <w:p w14:paraId="2728F5B3"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Increased in response to DUSC comment regarding uncertainty of LVOT gradient used to determine access to mavacamten</w:t>
            </w:r>
          </w:p>
        </w:tc>
      </w:tr>
      <w:tr w:rsidR="00C82368" w:rsidRPr="007C65D7" w14:paraId="34CA2476" w14:textId="77777777" w:rsidTr="003B55F0">
        <w:trPr>
          <w:trHeight w:val="989"/>
        </w:trPr>
        <w:tc>
          <w:tcPr>
            <w:tcW w:w="1132" w:type="dxa"/>
            <w:vMerge/>
            <w:vAlign w:val="center"/>
          </w:tcPr>
          <w:p w14:paraId="2148E4EB" w14:textId="77777777" w:rsidR="000B5F53" w:rsidRPr="007C65D7" w:rsidRDefault="000B5F53" w:rsidP="00244963">
            <w:pPr>
              <w:keepNext/>
              <w:keepLines/>
              <w:rPr>
                <w:rFonts w:ascii="Arial Narrow" w:hAnsi="Arial Narrow" w:cstheme="minorHAnsi"/>
                <w:bCs/>
                <w:sz w:val="20"/>
                <w:szCs w:val="20"/>
              </w:rPr>
            </w:pPr>
          </w:p>
        </w:tc>
        <w:tc>
          <w:tcPr>
            <w:tcW w:w="1276" w:type="dxa"/>
            <w:vAlign w:val="center"/>
          </w:tcPr>
          <w:p w14:paraId="0482E271"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sz w:val="20"/>
                <w:szCs w:val="20"/>
              </w:rPr>
              <w:t>Proportion of obstructive HCM patients who are NYHA Class II or III</w:t>
            </w:r>
          </w:p>
        </w:tc>
        <w:tc>
          <w:tcPr>
            <w:tcW w:w="1464" w:type="dxa"/>
            <w:vAlign w:val="center"/>
          </w:tcPr>
          <w:p w14:paraId="2C35BF13"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49.54%</w:t>
            </w:r>
          </w:p>
        </w:tc>
        <w:tc>
          <w:tcPr>
            <w:tcW w:w="1465" w:type="dxa"/>
            <w:vAlign w:val="center"/>
          </w:tcPr>
          <w:p w14:paraId="24F01452"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49.54%</w:t>
            </w:r>
          </w:p>
        </w:tc>
        <w:tc>
          <w:tcPr>
            <w:tcW w:w="1465" w:type="dxa"/>
            <w:vAlign w:val="center"/>
          </w:tcPr>
          <w:p w14:paraId="29484E27"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49.54%</w:t>
            </w:r>
          </w:p>
        </w:tc>
        <w:tc>
          <w:tcPr>
            <w:tcW w:w="2217" w:type="dxa"/>
            <w:vAlign w:val="center"/>
          </w:tcPr>
          <w:p w14:paraId="55EB0921"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Unchanged</w:t>
            </w:r>
          </w:p>
        </w:tc>
      </w:tr>
      <w:tr w:rsidR="00C82368" w:rsidRPr="007C65D7" w14:paraId="39BFF4BA" w14:textId="77777777" w:rsidTr="003B55F0">
        <w:trPr>
          <w:trHeight w:val="738"/>
        </w:trPr>
        <w:tc>
          <w:tcPr>
            <w:tcW w:w="1132" w:type="dxa"/>
            <w:vMerge/>
            <w:vAlign w:val="center"/>
          </w:tcPr>
          <w:p w14:paraId="49E584CE" w14:textId="77777777" w:rsidR="000B5F53" w:rsidRPr="007C65D7" w:rsidRDefault="000B5F53" w:rsidP="00244963">
            <w:pPr>
              <w:keepNext/>
              <w:keepLines/>
              <w:rPr>
                <w:rFonts w:ascii="Arial Narrow" w:hAnsi="Arial Narrow" w:cstheme="minorHAnsi"/>
                <w:bCs/>
                <w:sz w:val="20"/>
                <w:szCs w:val="20"/>
              </w:rPr>
            </w:pPr>
          </w:p>
        </w:tc>
        <w:tc>
          <w:tcPr>
            <w:tcW w:w="1276" w:type="dxa"/>
            <w:vAlign w:val="center"/>
          </w:tcPr>
          <w:p w14:paraId="0524A6AF" w14:textId="589C14F0"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sz w:val="20"/>
                <w:szCs w:val="20"/>
              </w:rPr>
              <w:t>Proportion of obstructive HCM patients with LVEF ≥55</w:t>
            </w:r>
          </w:p>
        </w:tc>
        <w:tc>
          <w:tcPr>
            <w:tcW w:w="1464" w:type="dxa"/>
            <w:vAlign w:val="center"/>
          </w:tcPr>
          <w:p w14:paraId="6A1B44DD"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88.92%</w:t>
            </w:r>
          </w:p>
        </w:tc>
        <w:tc>
          <w:tcPr>
            <w:tcW w:w="1465" w:type="dxa"/>
            <w:vAlign w:val="center"/>
          </w:tcPr>
          <w:p w14:paraId="332DC274"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88.92%</w:t>
            </w:r>
          </w:p>
        </w:tc>
        <w:tc>
          <w:tcPr>
            <w:tcW w:w="1465" w:type="dxa"/>
            <w:vAlign w:val="center"/>
          </w:tcPr>
          <w:p w14:paraId="7D89B2C1"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88.92%</w:t>
            </w:r>
          </w:p>
        </w:tc>
        <w:tc>
          <w:tcPr>
            <w:tcW w:w="2217" w:type="dxa"/>
            <w:vAlign w:val="center"/>
          </w:tcPr>
          <w:p w14:paraId="269B956B"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Unchanged</w:t>
            </w:r>
          </w:p>
        </w:tc>
      </w:tr>
      <w:tr w:rsidR="00C82368" w:rsidRPr="007C65D7" w14:paraId="22DCF69C" w14:textId="77777777" w:rsidTr="003B55F0">
        <w:trPr>
          <w:trHeight w:val="752"/>
        </w:trPr>
        <w:tc>
          <w:tcPr>
            <w:tcW w:w="1132" w:type="dxa"/>
            <w:vMerge/>
            <w:vAlign w:val="center"/>
          </w:tcPr>
          <w:p w14:paraId="141C48A8" w14:textId="77777777" w:rsidR="000B5F53" w:rsidRPr="007C65D7" w:rsidRDefault="000B5F53" w:rsidP="00244963">
            <w:pPr>
              <w:keepNext/>
              <w:keepLines/>
              <w:rPr>
                <w:rFonts w:ascii="Arial Narrow" w:hAnsi="Arial Narrow" w:cstheme="minorHAnsi"/>
                <w:bCs/>
                <w:sz w:val="20"/>
                <w:szCs w:val="20"/>
              </w:rPr>
            </w:pPr>
          </w:p>
        </w:tc>
        <w:tc>
          <w:tcPr>
            <w:tcW w:w="1276" w:type="dxa"/>
            <w:vAlign w:val="center"/>
          </w:tcPr>
          <w:p w14:paraId="1C1C1AA4" w14:textId="77777777" w:rsidR="000B5F53" w:rsidRPr="007C65D7" w:rsidRDefault="000B5F53" w:rsidP="00F5415B">
            <w:pPr>
              <w:keepNext/>
              <w:keepLines/>
              <w:jc w:val="left"/>
              <w:rPr>
                <w:rFonts w:ascii="Arial Narrow" w:hAnsi="Arial Narrow"/>
                <w:sz w:val="20"/>
                <w:szCs w:val="20"/>
              </w:rPr>
            </w:pPr>
            <w:r w:rsidRPr="007C65D7">
              <w:rPr>
                <w:rFonts w:ascii="Arial Narrow" w:hAnsi="Arial Narrow"/>
                <w:sz w:val="20"/>
                <w:szCs w:val="20"/>
              </w:rPr>
              <w:t>Proportion of patients not well controlled on BB/CCB</w:t>
            </w:r>
          </w:p>
        </w:tc>
        <w:tc>
          <w:tcPr>
            <w:tcW w:w="1464" w:type="dxa"/>
            <w:vAlign w:val="center"/>
          </w:tcPr>
          <w:p w14:paraId="7D36D599"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N/A</w:t>
            </w:r>
          </w:p>
        </w:tc>
        <w:tc>
          <w:tcPr>
            <w:tcW w:w="1465" w:type="dxa"/>
            <w:vAlign w:val="center"/>
          </w:tcPr>
          <w:p w14:paraId="3BAD4E7C"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44.29%</w:t>
            </w:r>
          </w:p>
        </w:tc>
        <w:tc>
          <w:tcPr>
            <w:tcW w:w="1465" w:type="dxa"/>
            <w:vAlign w:val="center"/>
          </w:tcPr>
          <w:p w14:paraId="02A8C74A"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44.29%</w:t>
            </w:r>
          </w:p>
        </w:tc>
        <w:tc>
          <w:tcPr>
            <w:tcW w:w="2217" w:type="dxa"/>
            <w:vAlign w:val="center"/>
          </w:tcPr>
          <w:p w14:paraId="1FF20600"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Informed by Advisory Board input and available data from the academic literature</w:t>
            </w:r>
          </w:p>
        </w:tc>
      </w:tr>
      <w:tr w:rsidR="00C82368" w:rsidRPr="007C65D7" w14:paraId="4E7814FE" w14:textId="77777777" w:rsidTr="003B55F0">
        <w:trPr>
          <w:trHeight w:val="236"/>
        </w:trPr>
        <w:tc>
          <w:tcPr>
            <w:tcW w:w="2408" w:type="dxa"/>
            <w:gridSpan w:val="2"/>
            <w:vAlign w:val="center"/>
          </w:tcPr>
          <w:p w14:paraId="11ED8987"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Compliance</w:t>
            </w:r>
          </w:p>
        </w:tc>
        <w:tc>
          <w:tcPr>
            <w:tcW w:w="1464" w:type="dxa"/>
            <w:vAlign w:val="center"/>
          </w:tcPr>
          <w:p w14:paraId="60C1C520"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sz w:val="20"/>
                <w:szCs w:val="20"/>
              </w:rPr>
              <w:t>97.56%</w:t>
            </w:r>
          </w:p>
        </w:tc>
        <w:tc>
          <w:tcPr>
            <w:tcW w:w="1465" w:type="dxa"/>
            <w:vAlign w:val="center"/>
          </w:tcPr>
          <w:p w14:paraId="04B4489A"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97.56%</w:t>
            </w:r>
          </w:p>
        </w:tc>
        <w:tc>
          <w:tcPr>
            <w:tcW w:w="1465" w:type="dxa"/>
            <w:vAlign w:val="center"/>
          </w:tcPr>
          <w:p w14:paraId="1351E59C"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97.56%</w:t>
            </w:r>
          </w:p>
        </w:tc>
        <w:tc>
          <w:tcPr>
            <w:tcW w:w="2217" w:type="dxa"/>
            <w:vAlign w:val="center"/>
          </w:tcPr>
          <w:p w14:paraId="47E244D9"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Unchanged</w:t>
            </w:r>
          </w:p>
        </w:tc>
      </w:tr>
      <w:tr w:rsidR="00C82368" w:rsidRPr="007C65D7" w14:paraId="5072BA21" w14:textId="77777777" w:rsidTr="003B55F0">
        <w:trPr>
          <w:trHeight w:val="487"/>
        </w:trPr>
        <w:tc>
          <w:tcPr>
            <w:tcW w:w="2408" w:type="dxa"/>
            <w:gridSpan w:val="2"/>
            <w:vAlign w:val="center"/>
          </w:tcPr>
          <w:p w14:paraId="6FCA3E25"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Persistence</w:t>
            </w:r>
          </w:p>
        </w:tc>
        <w:tc>
          <w:tcPr>
            <w:tcW w:w="1464" w:type="dxa"/>
            <w:vAlign w:val="center"/>
          </w:tcPr>
          <w:p w14:paraId="3CBF0488" w14:textId="5B9688AF" w:rsidR="000B5F53" w:rsidRPr="007C65D7" w:rsidRDefault="000B5F53" w:rsidP="00F5415B">
            <w:pPr>
              <w:keepNext/>
              <w:keepLines/>
              <w:jc w:val="left"/>
              <w:rPr>
                <w:rFonts w:ascii="Arial Narrow" w:hAnsi="Arial Narrow"/>
                <w:sz w:val="20"/>
                <w:szCs w:val="20"/>
              </w:rPr>
            </w:pPr>
            <w:r w:rsidRPr="007C65D7">
              <w:rPr>
                <w:rFonts w:ascii="Arial Narrow" w:hAnsi="Arial Narrow"/>
                <w:sz w:val="20"/>
                <w:szCs w:val="20"/>
              </w:rPr>
              <w:t>Year 1: 66.10%</w:t>
            </w:r>
          </w:p>
          <w:p w14:paraId="071DAF40" w14:textId="7C5F7B18"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sz w:val="20"/>
                <w:szCs w:val="20"/>
              </w:rPr>
              <w:t>Year 2+:</w:t>
            </w:r>
            <w:r w:rsidR="001E5A81" w:rsidRPr="007C65D7">
              <w:rPr>
                <w:rFonts w:ascii="Arial Narrow" w:hAnsi="Arial Narrow"/>
                <w:sz w:val="20"/>
                <w:szCs w:val="20"/>
              </w:rPr>
              <w:t xml:space="preserve"> </w:t>
            </w:r>
            <w:r w:rsidRPr="007C65D7">
              <w:rPr>
                <w:rFonts w:ascii="Arial Narrow" w:hAnsi="Arial Narrow"/>
                <w:sz w:val="20"/>
                <w:szCs w:val="20"/>
              </w:rPr>
              <w:t>93.94%</w:t>
            </w:r>
          </w:p>
        </w:tc>
        <w:tc>
          <w:tcPr>
            <w:tcW w:w="1465" w:type="dxa"/>
            <w:vAlign w:val="center"/>
          </w:tcPr>
          <w:p w14:paraId="18D8D590"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N/A</w:t>
            </w:r>
          </w:p>
        </w:tc>
        <w:tc>
          <w:tcPr>
            <w:tcW w:w="1465" w:type="dxa"/>
            <w:vAlign w:val="center"/>
          </w:tcPr>
          <w:p w14:paraId="5185A857"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N/A</w:t>
            </w:r>
          </w:p>
        </w:tc>
        <w:tc>
          <w:tcPr>
            <w:tcW w:w="2217" w:type="dxa"/>
            <w:vAlign w:val="center"/>
          </w:tcPr>
          <w:p w14:paraId="0F97DFD5"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Removed in line with DUSC advice (persistent population is no longer used in the modelling of financial impact)</w:t>
            </w:r>
          </w:p>
        </w:tc>
      </w:tr>
      <w:tr w:rsidR="00C82368" w:rsidRPr="007C65D7" w14:paraId="0B90F8AE" w14:textId="77777777" w:rsidTr="003B55F0">
        <w:trPr>
          <w:trHeight w:val="236"/>
        </w:trPr>
        <w:tc>
          <w:tcPr>
            <w:tcW w:w="2408" w:type="dxa"/>
            <w:gridSpan w:val="2"/>
            <w:vAlign w:val="center"/>
          </w:tcPr>
          <w:p w14:paraId="5C5B7654"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Uptake (among eligible patients)</w:t>
            </w:r>
          </w:p>
        </w:tc>
        <w:tc>
          <w:tcPr>
            <w:tcW w:w="1464" w:type="dxa"/>
            <w:vAlign w:val="center"/>
          </w:tcPr>
          <w:p w14:paraId="3BD75566"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sz w:val="20"/>
                <w:szCs w:val="20"/>
              </w:rPr>
              <w:t>71.11%</w:t>
            </w:r>
          </w:p>
        </w:tc>
        <w:tc>
          <w:tcPr>
            <w:tcW w:w="1465" w:type="dxa"/>
            <w:vAlign w:val="center"/>
          </w:tcPr>
          <w:p w14:paraId="4EF3FE93"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71.11%</w:t>
            </w:r>
          </w:p>
        </w:tc>
        <w:tc>
          <w:tcPr>
            <w:tcW w:w="1465" w:type="dxa"/>
            <w:vAlign w:val="center"/>
          </w:tcPr>
          <w:p w14:paraId="017A230D"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71.11%</w:t>
            </w:r>
          </w:p>
        </w:tc>
        <w:tc>
          <w:tcPr>
            <w:tcW w:w="2217" w:type="dxa"/>
            <w:vAlign w:val="center"/>
          </w:tcPr>
          <w:p w14:paraId="459F4E70"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Unchanged</w:t>
            </w:r>
          </w:p>
        </w:tc>
      </w:tr>
      <w:tr w:rsidR="00C82368" w:rsidRPr="007C65D7" w14:paraId="6E193EBD" w14:textId="77777777" w:rsidTr="003B55F0">
        <w:trPr>
          <w:trHeight w:val="250"/>
        </w:trPr>
        <w:tc>
          <w:tcPr>
            <w:tcW w:w="1132" w:type="dxa"/>
            <w:vMerge w:val="restart"/>
            <w:vAlign w:val="center"/>
          </w:tcPr>
          <w:p w14:paraId="53A0EFEB" w14:textId="77777777" w:rsidR="000B5F53" w:rsidRPr="007C65D7" w:rsidRDefault="000B5F53" w:rsidP="00244963">
            <w:pPr>
              <w:keepNext/>
              <w:keepLines/>
              <w:rPr>
                <w:rFonts w:ascii="Arial Narrow" w:hAnsi="Arial Narrow" w:cstheme="minorHAnsi"/>
                <w:bCs/>
                <w:sz w:val="20"/>
                <w:szCs w:val="20"/>
              </w:rPr>
            </w:pPr>
            <w:r w:rsidRPr="007C65D7">
              <w:rPr>
                <w:rFonts w:ascii="Arial Narrow" w:hAnsi="Arial Narrow" w:cstheme="minorHAnsi"/>
                <w:bCs/>
                <w:sz w:val="20"/>
                <w:szCs w:val="20"/>
              </w:rPr>
              <w:t>PBS/RPBS split</w:t>
            </w:r>
          </w:p>
        </w:tc>
        <w:tc>
          <w:tcPr>
            <w:tcW w:w="1276" w:type="dxa"/>
            <w:vAlign w:val="center"/>
          </w:tcPr>
          <w:p w14:paraId="6020F9DD"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PBS</w:t>
            </w:r>
          </w:p>
        </w:tc>
        <w:tc>
          <w:tcPr>
            <w:tcW w:w="1464" w:type="dxa"/>
            <w:vAlign w:val="center"/>
          </w:tcPr>
          <w:p w14:paraId="6C1E77E9"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sz w:val="20"/>
                <w:szCs w:val="20"/>
              </w:rPr>
              <w:t>97.37%</w:t>
            </w:r>
          </w:p>
        </w:tc>
        <w:tc>
          <w:tcPr>
            <w:tcW w:w="1465" w:type="dxa"/>
            <w:vAlign w:val="center"/>
          </w:tcPr>
          <w:p w14:paraId="67EB23AC"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97.44%</w:t>
            </w:r>
          </w:p>
        </w:tc>
        <w:tc>
          <w:tcPr>
            <w:tcW w:w="1465" w:type="dxa"/>
            <w:vAlign w:val="center"/>
          </w:tcPr>
          <w:p w14:paraId="42C46B68"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97.46%</w:t>
            </w:r>
          </w:p>
        </w:tc>
        <w:tc>
          <w:tcPr>
            <w:tcW w:w="2217" w:type="dxa"/>
            <w:vMerge w:val="restart"/>
            <w:vAlign w:val="center"/>
          </w:tcPr>
          <w:p w14:paraId="04593A2B" w14:textId="5F883B2A"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 xml:space="preserve">Updated to use latest available PBS Item Statistics data (December 2021 – December 2022) </w:t>
            </w:r>
            <w:r w:rsidRPr="007C65D7">
              <w:rPr>
                <w:rFonts w:ascii="Arial Narrow" w:hAnsi="Arial Narrow"/>
                <w:sz w:val="20"/>
                <w:szCs w:val="20"/>
              </w:rPr>
              <w:t>for sacubitril + valsartan (Entresto</w:t>
            </w:r>
            <w:r w:rsidR="00C32354" w:rsidRPr="007C65D7">
              <w:rPr>
                <w:rFonts w:ascii="Arial Narrow" w:hAnsi="Arial Narrow"/>
                <w:sz w:val="20"/>
                <w:szCs w:val="20"/>
              </w:rPr>
              <w:t>®</w:t>
            </w:r>
            <w:r w:rsidRPr="007C65D7">
              <w:rPr>
                <w:rFonts w:ascii="Arial Narrow" w:hAnsi="Arial Narrow"/>
                <w:sz w:val="20"/>
                <w:szCs w:val="20"/>
              </w:rPr>
              <w:t>)</w:t>
            </w:r>
          </w:p>
        </w:tc>
      </w:tr>
      <w:tr w:rsidR="00C82368" w:rsidRPr="007C65D7" w14:paraId="2659F018" w14:textId="77777777" w:rsidTr="003B55F0">
        <w:trPr>
          <w:trHeight w:val="310"/>
        </w:trPr>
        <w:tc>
          <w:tcPr>
            <w:tcW w:w="1132" w:type="dxa"/>
            <w:vMerge/>
            <w:vAlign w:val="center"/>
          </w:tcPr>
          <w:p w14:paraId="5988BE90" w14:textId="77777777" w:rsidR="000B5F53" w:rsidRPr="007C65D7" w:rsidRDefault="000B5F53" w:rsidP="00244963">
            <w:pPr>
              <w:keepNext/>
              <w:keepLines/>
              <w:rPr>
                <w:rFonts w:ascii="Arial Narrow" w:hAnsi="Arial Narrow" w:cstheme="minorHAnsi"/>
                <w:bCs/>
                <w:sz w:val="20"/>
                <w:szCs w:val="20"/>
              </w:rPr>
            </w:pPr>
          </w:p>
        </w:tc>
        <w:tc>
          <w:tcPr>
            <w:tcW w:w="1276" w:type="dxa"/>
            <w:vAlign w:val="center"/>
          </w:tcPr>
          <w:p w14:paraId="6E037559"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RPBS</w:t>
            </w:r>
          </w:p>
        </w:tc>
        <w:tc>
          <w:tcPr>
            <w:tcW w:w="1464" w:type="dxa"/>
            <w:vAlign w:val="center"/>
          </w:tcPr>
          <w:p w14:paraId="15B9CBC6"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sz w:val="20"/>
                <w:szCs w:val="20"/>
              </w:rPr>
              <w:t>2.63%</w:t>
            </w:r>
          </w:p>
        </w:tc>
        <w:tc>
          <w:tcPr>
            <w:tcW w:w="1465" w:type="dxa"/>
            <w:vAlign w:val="center"/>
          </w:tcPr>
          <w:p w14:paraId="13CB28E6"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2.56%</w:t>
            </w:r>
          </w:p>
        </w:tc>
        <w:tc>
          <w:tcPr>
            <w:tcW w:w="1465" w:type="dxa"/>
            <w:vAlign w:val="center"/>
          </w:tcPr>
          <w:p w14:paraId="73ECBB58"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2.54%</w:t>
            </w:r>
          </w:p>
        </w:tc>
        <w:tc>
          <w:tcPr>
            <w:tcW w:w="2217" w:type="dxa"/>
            <w:vMerge/>
            <w:vAlign w:val="center"/>
          </w:tcPr>
          <w:p w14:paraId="5BDC1D39" w14:textId="77777777" w:rsidR="000B5F53" w:rsidRPr="007C65D7" w:rsidRDefault="000B5F53" w:rsidP="00F5415B">
            <w:pPr>
              <w:keepNext/>
              <w:keepLines/>
              <w:jc w:val="left"/>
              <w:rPr>
                <w:rFonts w:ascii="Arial Narrow" w:hAnsi="Arial Narrow" w:cstheme="minorHAnsi"/>
                <w:bCs/>
                <w:sz w:val="20"/>
                <w:szCs w:val="20"/>
              </w:rPr>
            </w:pPr>
          </w:p>
        </w:tc>
      </w:tr>
      <w:tr w:rsidR="00C82368" w:rsidRPr="007C65D7" w14:paraId="704C75AE" w14:textId="77777777" w:rsidTr="003B55F0">
        <w:trPr>
          <w:trHeight w:val="487"/>
        </w:trPr>
        <w:tc>
          <w:tcPr>
            <w:tcW w:w="2408" w:type="dxa"/>
            <w:gridSpan w:val="2"/>
            <w:vAlign w:val="center"/>
          </w:tcPr>
          <w:p w14:paraId="635CA122"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Discontinuation rate</w:t>
            </w:r>
          </w:p>
        </w:tc>
        <w:tc>
          <w:tcPr>
            <w:tcW w:w="1464" w:type="dxa"/>
            <w:vAlign w:val="center"/>
          </w:tcPr>
          <w:p w14:paraId="739E7C13" w14:textId="77777777" w:rsidR="000B5F53" w:rsidRPr="007C65D7" w:rsidRDefault="000B5F53" w:rsidP="00F5415B">
            <w:pPr>
              <w:keepNext/>
              <w:keepLines/>
              <w:jc w:val="left"/>
              <w:rPr>
                <w:rFonts w:ascii="Arial Narrow" w:hAnsi="Arial Narrow"/>
                <w:sz w:val="20"/>
                <w:szCs w:val="20"/>
              </w:rPr>
            </w:pPr>
            <w:r w:rsidRPr="007C65D7">
              <w:rPr>
                <w:rFonts w:ascii="Arial Narrow" w:hAnsi="Arial Narrow"/>
                <w:sz w:val="20"/>
                <w:szCs w:val="20"/>
              </w:rPr>
              <w:t>N/A</w:t>
            </w:r>
          </w:p>
        </w:tc>
        <w:tc>
          <w:tcPr>
            <w:tcW w:w="1465" w:type="dxa"/>
            <w:vAlign w:val="center"/>
          </w:tcPr>
          <w:p w14:paraId="220AE63B"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N/A</w:t>
            </w:r>
          </w:p>
        </w:tc>
        <w:tc>
          <w:tcPr>
            <w:tcW w:w="1465" w:type="dxa"/>
            <w:vAlign w:val="center"/>
          </w:tcPr>
          <w:p w14:paraId="172F2CB1"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5.00% at 30 weeks;</w:t>
            </w:r>
          </w:p>
          <w:p w14:paraId="07D2522E" w14:textId="77777777" w:rsidR="000B5F53" w:rsidRPr="007C65D7" w:rsidRDefault="000B5F53"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8.53% annually thereafter</w:t>
            </w:r>
          </w:p>
        </w:tc>
        <w:tc>
          <w:tcPr>
            <w:tcW w:w="2217" w:type="dxa"/>
            <w:vAlign w:val="center"/>
          </w:tcPr>
          <w:p w14:paraId="2AA753F4" w14:textId="3DE68783" w:rsidR="000B5F53" w:rsidRPr="007C65D7" w:rsidRDefault="00C82368"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Presented in July 2023 PSCR</w:t>
            </w:r>
            <w:r w:rsidR="00F41FCC" w:rsidRPr="007C65D7">
              <w:rPr>
                <w:rFonts w:ascii="Arial Narrow" w:hAnsi="Arial Narrow" w:cstheme="minorHAnsi"/>
                <w:bCs/>
                <w:sz w:val="20"/>
                <w:szCs w:val="20"/>
              </w:rPr>
              <w:t xml:space="preserve"> and confirmed in pre-PBAC response</w:t>
            </w:r>
            <w:r w:rsidRPr="007C65D7">
              <w:rPr>
                <w:rFonts w:ascii="Arial Narrow" w:hAnsi="Arial Narrow" w:cstheme="minorHAnsi"/>
                <w:bCs/>
                <w:sz w:val="20"/>
                <w:szCs w:val="20"/>
              </w:rPr>
              <w:t>, a</w:t>
            </w:r>
            <w:r w:rsidR="000B5F53" w:rsidRPr="007C65D7">
              <w:rPr>
                <w:rFonts w:ascii="Arial Narrow" w:hAnsi="Arial Narrow" w:cstheme="minorHAnsi"/>
                <w:bCs/>
                <w:sz w:val="20"/>
                <w:szCs w:val="20"/>
              </w:rPr>
              <w:t>dded in line with commentary request</w:t>
            </w:r>
          </w:p>
        </w:tc>
      </w:tr>
      <w:tr w:rsidR="00A32E1C" w:rsidRPr="007C65D7" w14:paraId="0344E501" w14:textId="77777777" w:rsidTr="00A32E1C">
        <w:trPr>
          <w:trHeight w:val="487"/>
        </w:trPr>
        <w:tc>
          <w:tcPr>
            <w:tcW w:w="2408" w:type="dxa"/>
            <w:gridSpan w:val="2"/>
            <w:tcBorders>
              <w:bottom w:val="single" w:sz="4" w:space="0" w:color="auto"/>
            </w:tcBorders>
            <w:shd w:val="clear" w:color="auto" w:fill="FFFFFF" w:themeFill="background1"/>
            <w:vAlign w:val="center"/>
          </w:tcPr>
          <w:p w14:paraId="677798FE" w14:textId="0D46DD1A" w:rsidR="00724196" w:rsidRPr="007C65D7" w:rsidRDefault="00724196"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Transthoracic echocardiogram (TTE)</w:t>
            </w:r>
          </w:p>
        </w:tc>
        <w:tc>
          <w:tcPr>
            <w:tcW w:w="1464" w:type="dxa"/>
            <w:tcBorders>
              <w:bottom w:val="single" w:sz="4" w:space="0" w:color="auto"/>
            </w:tcBorders>
            <w:shd w:val="clear" w:color="auto" w:fill="FFFFFF" w:themeFill="background1"/>
            <w:vAlign w:val="center"/>
          </w:tcPr>
          <w:p w14:paraId="723545B3" w14:textId="729CDBA0" w:rsidR="00724196" w:rsidRPr="007C65D7" w:rsidRDefault="00724196"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$240.05</w:t>
            </w:r>
          </w:p>
        </w:tc>
        <w:tc>
          <w:tcPr>
            <w:tcW w:w="1465" w:type="dxa"/>
            <w:tcBorders>
              <w:bottom w:val="single" w:sz="4" w:space="0" w:color="auto"/>
            </w:tcBorders>
            <w:shd w:val="clear" w:color="auto" w:fill="FFFFFF" w:themeFill="background1"/>
            <w:vAlign w:val="center"/>
          </w:tcPr>
          <w:p w14:paraId="00BFE6C8" w14:textId="4B60A3AE" w:rsidR="00724196" w:rsidRPr="007C65D7" w:rsidRDefault="002D224A"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$240.05</w:t>
            </w:r>
          </w:p>
        </w:tc>
        <w:tc>
          <w:tcPr>
            <w:tcW w:w="1465" w:type="dxa"/>
            <w:tcBorders>
              <w:bottom w:val="single" w:sz="4" w:space="0" w:color="auto"/>
            </w:tcBorders>
            <w:shd w:val="clear" w:color="auto" w:fill="FFFFFF" w:themeFill="background1"/>
            <w:vAlign w:val="center"/>
          </w:tcPr>
          <w:p w14:paraId="5D0538C8" w14:textId="270CAB90" w:rsidR="00724196" w:rsidRPr="007C65D7" w:rsidRDefault="00EF6366"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$248.70</w:t>
            </w:r>
          </w:p>
        </w:tc>
        <w:tc>
          <w:tcPr>
            <w:tcW w:w="2217" w:type="dxa"/>
            <w:shd w:val="clear" w:color="auto" w:fill="FFFFFF" w:themeFill="background1"/>
            <w:vAlign w:val="center"/>
          </w:tcPr>
          <w:p w14:paraId="44281653" w14:textId="77777777" w:rsidR="00724196" w:rsidRPr="007C65D7" w:rsidRDefault="00724196"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 xml:space="preserve">Fee for MBS items 55126 and 55134 </w:t>
            </w:r>
          </w:p>
          <w:p w14:paraId="2C603E5B" w14:textId="50ED424C" w:rsidR="00724196" w:rsidRPr="007C65D7" w:rsidRDefault="00724196" w:rsidP="00F5415B">
            <w:pPr>
              <w:keepNext/>
              <w:keepLines/>
              <w:jc w:val="left"/>
              <w:rPr>
                <w:rFonts w:ascii="Arial Narrow" w:hAnsi="Arial Narrow" w:cstheme="minorHAnsi"/>
                <w:bCs/>
                <w:sz w:val="20"/>
                <w:szCs w:val="20"/>
              </w:rPr>
            </w:pPr>
            <w:r w:rsidRPr="007C65D7">
              <w:rPr>
                <w:rFonts w:ascii="Arial Narrow" w:hAnsi="Arial Narrow" w:cstheme="minorHAnsi"/>
                <w:bCs/>
                <w:sz w:val="20"/>
                <w:szCs w:val="20"/>
              </w:rPr>
              <w:t>A total of 6 TTE in Year 1 and 4.5 each year thereafter (12 weekly).</w:t>
            </w:r>
          </w:p>
        </w:tc>
      </w:tr>
    </w:tbl>
    <w:p w14:paraId="5E00D2D0" w14:textId="14E3AC96" w:rsidR="00671FF4" w:rsidRPr="007C65D7" w:rsidRDefault="00671FF4" w:rsidP="00244963">
      <w:pPr>
        <w:pStyle w:val="FooterTableFigure"/>
        <w:keepNext/>
        <w:keepLines/>
        <w:rPr>
          <w:rFonts w:eastAsia="Calibri"/>
        </w:rPr>
      </w:pPr>
      <w:r w:rsidRPr="007C65D7">
        <w:rPr>
          <w:rFonts w:eastAsia="Calibri"/>
        </w:rPr>
        <w:t>Source: Table 6 resubmission, p18</w:t>
      </w:r>
    </w:p>
    <w:p w14:paraId="4A440678" w14:textId="17421E1B" w:rsidR="000B5F53" w:rsidRPr="007C65D7" w:rsidRDefault="000B5F53" w:rsidP="00244963">
      <w:pPr>
        <w:pStyle w:val="FooterTableFigure"/>
        <w:keepNext/>
        <w:keepLines/>
        <w:rPr>
          <w:lang w:eastAsia="en-US"/>
        </w:rPr>
      </w:pPr>
      <w:r w:rsidRPr="007C65D7">
        <w:rPr>
          <w:rFonts w:eastAsia="Calibri"/>
        </w:rPr>
        <w:lastRenderedPageBreak/>
        <w:t xml:space="preserve">BB = beta-blocker; CCB = calcium channel blocker; DUSC = Drug Utilisation Sub Committee; HCM = hypertrophic cardiomyopathy; LVEF = left ventricular ejection fraction; LVOT = left ventricular outflow tract; NYHA = New York Heart Association; PBS = Pharmaceutical Benefits Scheme; </w:t>
      </w:r>
      <w:r w:rsidR="00C82368" w:rsidRPr="007C65D7">
        <w:rPr>
          <w:rFonts w:eastAsia="Calibri"/>
        </w:rPr>
        <w:t xml:space="preserve">PSCR = pre-subcommittee response; </w:t>
      </w:r>
      <w:r w:rsidRPr="007C65D7">
        <w:rPr>
          <w:rFonts w:eastAsia="Calibri"/>
        </w:rPr>
        <w:t>RPBS = Repatriation Pharmaceutical Benefits Schem</w:t>
      </w:r>
      <w:r w:rsidR="00F7557D" w:rsidRPr="007C65D7">
        <w:rPr>
          <w:rFonts w:eastAsia="Calibri"/>
        </w:rPr>
        <w:t>e</w:t>
      </w:r>
    </w:p>
    <w:p w14:paraId="64CD43E4" w14:textId="656AE717" w:rsidR="00F41FCC" w:rsidRPr="007C65D7" w:rsidRDefault="00F41FCC" w:rsidP="005671EC">
      <w:pPr>
        <w:pStyle w:val="3-BodyText"/>
        <w:spacing w:before="120"/>
      </w:pPr>
      <w:r w:rsidRPr="007C65D7">
        <w:rPr>
          <w:lang w:eastAsia="en-US"/>
        </w:rPr>
        <w:t>The</w:t>
      </w:r>
      <w:r w:rsidRPr="007C65D7">
        <w:t xml:space="preserve"> estimated use and financial impacts of listing mavacamten are provided in </w:t>
      </w:r>
      <w:r w:rsidR="00452F4A" w:rsidRPr="007C65D7">
        <w:rPr>
          <w:rFonts w:cstheme="minorHAnsi"/>
          <w:b/>
          <w:bCs/>
          <w:szCs w:val="24"/>
        </w:rPr>
        <w:fldChar w:fldCharType="begin" w:fldLock="1"/>
      </w:r>
      <w:r w:rsidR="00452F4A" w:rsidRPr="007C65D7">
        <w:rPr>
          <w:rFonts w:cstheme="minorHAnsi"/>
          <w:b/>
          <w:bCs/>
          <w:szCs w:val="24"/>
        </w:rPr>
        <w:instrText xml:space="preserve"> REF _Ref150436815 \h  \* MERGEFORMAT </w:instrText>
      </w:r>
      <w:r w:rsidR="00452F4A" w:rsidRPr="007C65D7">
        <w:rPr>
          <w:rFonts w:cstheme="minorHAnsi"/>
          <w:b/>
          <w:bCs/>
          <w:szCs w:val="24"/>
        </w:rPr>
      </w:r>
      <w:r w:rsidR="00452F4A" w:rsidRPr="007C65D7">
        <w:rPr>
          <w:rFonts w:cstheme="minorHAnsi"/>
          <w:b/>
          <w:bCs/>
          <w:szCs w:val="24"/>
        </w:rPr>
        <w:fldChar w:fldCharType="separate"/>
      </w:r>
      <w:r w:rsidR="00707345" w:rsidRPr="007C65D7">
        <w:rPr>
          <w:rStyle w:val="CommentReference"/>
          <w:rFonts w:asciiTheme="minorHAnsi" w:hAnsiTheme="minorHAnsi" w:cstheme="minorHAnsi"/>
          <w:b w:val="0"/>
          <w:bCs/>
          <w:sz w:val="24"/>
          <w:szCs w:val="24"/>
        </w:rPr>
        <w:t xml:space="preserve">Table </w:t>
      </w:r>
      <w:r w:rsidR="00707345" w:rsidRPr="00DF2D4F">
        <w:rPr>
          <w:rStyle w:val="CommentReference"/>
          <w:rFonts w:asciiTheme="minorHAnsi" w:hAnsiTheme="minorHAnsi" w:cstheme="minorHAnsi"/>
          <w:b w:val="0"/>
          <w:bCs/>
          <w:sz w:val="24"/>
          <w:szCs w:val="24"/>
        </w:rPr>
        <w:t>6</w:t>
      </w:r>
      <w:r w:rsidR="00452F4A" w:rsidRPr="007C65D7">
        <w:rPr>
          <w:rFonts w:cstheme="minorHAnsi"/>
          <w:b/>
          <w:bCs/>
          <w:szCs w:val="24"/>
        </w:rPr>
        <w:fldChar w:fldCharType="end"/>
      </w:r>
      <w:r w:rsidRPr="007C65D7">
        <w:t xml:space="preserve">. </w:t>
      </w:r>
    </w:p>
    <w:p w14:paraId="0832371A" w14:textId="513044E8" w:rsidR="007379A5" w:rsidRPr="007C65D7" w:rsidRDefault="007379A5" w:rsidP="00F41FCC">
      <w:pPr>
        <w:pStyle w:val="Caption"/>
        <w:spacing w:after="0"/>
        <w:rPr>
          <w:rStyle w:val="CommentReference"/>
          <w:i w:val="0"/>
          <w:iCs w:val="0"/>
        </w:rPr>
      </w:pPr>
      <w:bookmarkStart w:id="20" w:name="_Ref150436815"/>
      <w:r w:rsidRPr="007C65D7">
        <w:rPr>
          <w:rStyle w:val="CommentReference"/>
          <w:i w:val="0"/>
          <w:iCs w:val="0"/>
        </w:rPr>
        <w:t xml:space="preserve">Table </w:t>
      </w:r>
      <w:r w:rsidR="00F41FCC" w:rsidRPr="007C65D7">
        <w:rPr>
          <w:rStyle w:val="CommentReference"/>
          <w:i w:val="0"/>
          <w:iCs w:val="0"/>
        </w:rPr>
        <w:fldChar w:fldCharType="begin" w:fldLock="1"/>
      </w:r>
      <w:r w:rsidR="00F41FCC" w:rsidRPr="007C65D7">
        <w:rPr>
          <w:rStyle w:val="CommentReference"/>
          <w:i w:val="0"/>
          <w:iCs w:val="0"/>
        </w:rPr>
        <w:instrText xml:space="preserve"> SEQ Table \* ARABIC </w:instrText>
      </w:r>
      <w:r w:rsidR="00F41FCC" w:rsidRPr="007C65D7">
        <w:rPr>
          <w:rStyle w:val="CommentReference"/>
          <w:i w:val="0"/>
          <w:iCs w:val="0"/>
        </w:rPr>
        <w:fldChar w:fldCharType="separate"/>
      </w:r>
      <w:r w:rsidR="00707345" w:rsidRPr="00DF2D4F">
        <w:rPr>
          <w:rStyle w:val="CommentReference"/>
          <w:i w:val="0"/>
          <w:iCs w:val="0"/>
        </w:rPr>
        <w:t>6</w:t>
      </w:r>
      <w:r w:rsidR="00F41FCC" w:rsidRPr="007C65D7">
        <w:rPr>
          <w:rStyle w:val="CommentReference"/>
          <w:i w:val="0"/>
          <w:iCs w:val="0"/>
        </w:rPr>
        <w:fldChar w:fldCharType="end"/>
      </w:r>
      <w:bookmarkEnd w:id="20"/>
      <w:r w:rsidRPr="007C65D7">
        <w:rPr>
          <w:rStyle w:val="CommentReference"/>
          <w:i w:val="0"/>
          <w:iCs w:val="0"/>
        </w:rPr>
        <w:t>: Estimated use and financial implications</w:t>
      </w:r>
    </w:p>
    <w:tbl>
      <w:tblPr>
        <w:tblStyle w:val="TableGrid"/>
        <w:tblW w:w="0" w:type="auto"/>
        <w:tblLayout w:type="fixed"/>
        <w:tblLook w:val="04A0" w:firstRow="1" w:lastRow="0" w:firstColumn="1" w:lastColumn="0" w:noHBand="0" w:noVBand="1"/>
        <w:tblCaption w:val="Table 6: Estimated use and financial implications"/>
        <w:tblDescription w:val="Table 6: Estimated use and financial implications"/>
      </w:tblPr>
      <w:tblGrid>
        <w:gridCol w:w="1413"/>
        <w:gridCol w:w="1267"/>
        <w:gridCol w:w="1267"/>
        <w:gridCol w:w="1267"/>
        <w:gridCol w:w="1267"/>
        <w:gridCol w:w="1267"/>
        <w:gridCol w:w="1268"/>
      </w:tblGrid>
      <w:tr w:rsidR="007379A5" w:rsidRPr="007C65D7" w14:paraId="192C2815" w14:textId="77777777" w:rsidTr="00473C64">
        <w:tc>
          <w:tcPr>
            <w:tcW w:w="1413" w:type="dxa"/>
          </w:tcPr>
          <w:p w14:paraId="0978A23C" w14:textId="77777777" w:rsidR="007379A5" w:rsidRPr="007C65D7" w:rsidRDefault="007379A5" w:rsidP="00C66BFD">
            <w:pPr>
              <w:pStyle w:val="TableText"/>
            </w:pPr>
          </w:p>
        </w:tc>
        <w:tc>
          <w:tcPr>
            <w:tcW w:w="1267" w:type="dxa"/>
            <w:shd w:val="clear" w:color="auto" w:fill="auto"/>
            <w:vAlign w:val="center"/>
          </w:tcPr>
          <w:p w14:paraId="73F49DB4" w14:textId="77777777" w:rsidR="007379A5" w:rsidRPr="00DF2D4F" w:rsidRDefault="007379A5" w:rsidP="00EF6366">
            <w:pPr>
              <w:pStyle w:val="In-tableHeading"/>
              <w:jc w:val="right"/>
              <w:rPr>
                <w:lang w:val="en-AU"/>
              </w:rPr>
            </w:pPr>
            <w:r w:rsidRPr="00DF2D4F">
              <w:rPr>
                <w:lang w:val="en-AU"/>
              </w:rPr>
              <w:t>Year 1</w:t>
            </w:r>
          </w:p>
        </w:tc>
        <w:tc>
          <w:tcPr>
            <w:tcW w:w="1267" w:type="dxa"/>
            <w:shd w:val="clear" w:color="auto" w:fill="auto"/>
            <w:vAlign w:val="center"/>
          </w:tcPr>
          <w:p w14:paraId="0A52EE4A" w14:textId="77777777" w:rsidR="007379A5" w:rsidRPr="00DF2D4F" w:rsidRDefault="007379A5" w:rsidP="00EF6366">
            <w:pPr>
              <w:pStyle w:val="In-tableHeading"/>
              <w:jc w:val="right"/>
              <w:rPr>
                <w:lang w:val="en-AU"/>
              </w:rPr>
            </w:pPr>
            <w:r w:rsidRPr="00DF2D4F">
              <w:rPr>
                <w:lang w:val="en-AU"/>
              </w:rPr>
              <w:t>Year 2</w:t>
            </w:r>
          </w:p>
        </w:tc>
        <w:tc>
          <w:tcPr>
            <w:tcW w:w="1267" w:type="dxa"/>
            <w:shd w:val="clear" w:color="auto" w:fill="auto"/>
            <w:vAlign w:val="center"/>
          </w:tcPr>
          <w:p w14:paraId="2A8C55F1" w14:textId="77777777" w:rsidR="007379A5" w:rsidRPr="00DF2D4F" w:rsidRDefault="007379A5" w:rsidP="00EF6366">
            <w:pPr>
              <w:pStyle w:val="In-tableHeading"/>
              <w:jc w:val="right"/>
              <w:rPr>
                <w:lang w:val="en-AU"/>
              </w:rPr>
            </w:pPr>
            <w:r w:rsidRPr="00DF2D4F">
              <w:rPr>
                <w:lang w:val="en-AU"/>
              </w:rPr>
              <w:t>Year 3</w:t>
            </w:r>
          </w:p>
        </w:tc>
        <w:tc>
          <w:tcPr>
            <w:tcW w:w="1267" w:type="dxa"/>
            <w:shd w:val="clear" w:color="auto" w:fill="auto"/>
            <w:vAlign w:val="center"/>
          </w:tcPr>
          <w:p w14:paraId="64C9B5D9" w14:textId="77777777" w:rsidR="007379A5" w:rsidRPr="00DF2D4F" w:rsidRDefault="007379A5" w:rsidP="00EF6366">
            <w:pPr>
              <w:pStyle w:val="In-tableHeading"/>
              <w:jc w:val="right"/>
              <w:rPr>
                <w:lang w:val="en-AU"/>
              </w:rPr>
            </w:pPr>
            <w:r w:rsidRPr="00DF2D4F">
              <w:rPr>
                <w:lang w:val="en-AU"/>
              </w:rPr>
              <w:t>Year 4</w:t>
            </w:r>
          </w:p>
        </w:tc>
        <w:tc>
          <w:tcPr>
            <w:tcW w:w="1267" w:type="dxa"/>
            <w:shd w:val="clear" w:color="auto" w:fill="auto"/>
            <w:vAlign w:val="center"/>
          </w:tcPr>
          <w:p w14:paraId="2952219F" w14:textId="77777777" w:rsidR="007379A5" w:rsidRPr="00DF2D4F" w:rsidRDefault="007379A5" w:rsidP="00EF6366">
            <w:pPr>
              <w:pStyle w:val="In-tableHeading"/>
              <w:jc w:val="right"/>
              <w:rPr>
                <w:lang w:val="en-AU"/>
              </w:rPr>
            </w:pPr>
            <w:r w:rsidRPr="00DF2D4F">
              <w:rPr>
                <w:lang w:val="en-AU"/>
              </w:rPr>
              <w:t>Year 5</w:t>
            </w:r>
          </w:p>
        </w:tc>
        <w:tc>
          <w:tcPr>
            <w:tcW w:w="1268" w:type="dxa"/>
          </w:tcPr>
          <w:p w14:paraId="4EE097CB" w14:textId="77777777" w:rsidR="007379A5" w:rsidRPr="00DF2D4F" w:rsidRDefault="007379A5" w:rsidP="00EF6366">
            <w:pPr>
              <w:pStyle w:val="In-tableHeading"/>
              <w:jc w:val="right"/>
              <w:rPr>
                <w:lang w:val="en-AU"/>
              </w:rPr>
            </w:pPr>
            <w:r w:rsidRPr="00DF2D4F">
              <w:rPr>
                <w:lang w:val="en-AU"/>
              </w:rPr>
              <w:t>Year 6</w:t>
            </w:r>
          </w:p>
        </w:tc>
      </w:tr>
      <w:tr w:rsidR="007379A5" w:rsidRPr="007C65D7" w14:paraId="7EF43DB6" w14:textId="77777777" w:rsidTr="00473C64">
        <w:tc>
          <w:tcPr>
            <w:tcW w:w="9016" w:type="dxa"/>
            <w:gridSpan w:val="7"/>
          </w:tcPr>
          <w:p w14:paraId="4E0A5F3B" w14:textId="77777777" w:rsidR="007379A5" w:rsidRPr="00DF2D4F" w:rsidRDefault="007379A5" w:rsidP="00EF6366">
            <w:pPr>
              <w:pStyle w:val="In-tableHeading"/>
              <w:rPr>
                <w:lang w:val="en-AU"/>
              </w:rPr>
            </w:pPr>
            <w:r w:rsidRPr="00DF2D4F">
              <w:rPr>
                <w:lang w:val="en-AU" w:eastAsia="en-US"/>
              </w:rPr>
              <w:t>Estimated extent of use</w:t>
            </w:r>
          </w:p>
        </w:tc>
      </w:tr>
      <w:tr w:rsidR="00724196" w:rsidRPr="007C65D7" w14:paraId="1D9111E5" w14:textId="77777777" w:rsidTr="00473C64">
        <w:tc>
          <w:tcPr>
            <w:tcW w:w="1413" w:type="dxa"/>
            <w:vAlign w:val="center"/>
          </w:tcPr>
          <w:p w14:paraId="730B640E" w14:textId="6A57B8B7" w:rsidR="00724196" w:rsidRPr="007C65D7" w:rsidRDefault="00724196" w:rsidP="00724196">
            <w:pPr>
              <w:pStyle w:val="TableText"/>
            </w:pPr>
            <w:r w:rsidRPr="007C65D7">
              <w:t>Number of patients treated</w:t>
            </w:r>
          </w:p>
        </w:tc>
        <w:tc>
          <w:tcPr>
            <w:tcW w:w="1267" w:type="dxa"/>
          </w:tcPr>
          <w:p w14:paraId="170A6A98" w14:textId="5E7C1025" w:rsidR="00724196" w:rsidRPr="006F15B6" w:rsidRDefault="00521B0F" w:rsidP="00EF6366">
            <w:pPr>
              <w:pStyle w:val="TableText"/>
              <w:jc w:val="right"/>
              <w:rPr>
                <w:highlight w:val="darkGray"/>
              </w:rPr>
            </w:pPr>
            <w:r w:rsidRPr="00521B0F">
              <w:t xml:space="preserve"> </w:t>
            </w:r>
            <w:r w:rsidRPr="00521B0F">
              <w:rPr>
                <w:color w:val="000000"/>
                <w:shd w:val="solid" w:color="000000" w:fill="000000"/>
                <w14:textFill>
                  <w14:solidFill>
                    <w14:srgbClr w14:val="000000">
                      <w14:alpha w14:val="100000"/>
                    </w14:srgbClr>
                  </w14:solidFill>
                </w14:textFill>
              </w:rPr>
              <w:t>|</w:t>
            </w:r>
            <w:r w:rsidR="000C36EE">
              <w:rPr>
                <w:rFonts w:eastAsia="Calibri"/>
                <w:vertAlign w:val="superscript"/>
              </w:rPr>
              <w:t>1</w:t>
            </w:r>
          </w:p>
        </w:tc>
        <w:tc>
          <w:tcPr>
            <w:tcW w:w="1267" w:type="dxa"/>
          </w:tcPr>
          <w:p w14:paraId="05A8064A" w14:textId="6879F0AE" w:rsidR="00724196" w:rsidRPr="006F15B6" w:rsidRDefault="00521B0F" w:rsidP="00EF6366">
            <w:pPr>
              <w:pStyle w:val="TableText"/>
              <w:jc w:val="right"/>
              <w:rPr>
                <w:highlight w:val="darkGray"/>
              </w:rPr>
            </w:pPr>
            <w:r w:rsidRPr="00521B0F">
              <w:t xml:space="preserve"> </w:t>
            </w:r>
            <w:r w:rsidRPr="00521B0F">
              <w:rPr>
                <w:color w:val="000000"/>
                <w:shd w:val="solid" w:color="000000" w:fill="000000"/>
                <w14:textFill>
                  <w14:solidFill>
                    <w14:srgbClr w14:val="000000">
                      <w14:alpha w14:val="100000"/>
                    </w14:srgbClr>
                  </w14:solidFill>
                </w14:textFill>
              </w:rPr>
              <w:t>|</w:t>
            </w:r>
            <w:r w:rsidR="000C36EE">
              <w:rPr>
                <w:rFonts w:eastAsia="Calibri"/>
                <w:vertAlign w:val="superscript"/>
              </w:rPr>
              <w:t>1</w:t>
            </w:r>
          </w:p>
        </w:tc>
        <w:tc>
          <w:tcPr>
            <w:tcW w:w="1267" w:type="dxa"/>
          </w:tcPr>
          <w:p w14:paraId="1A05F9C9" w14:textId="6E5CEE77" w:rsidR="00724196" w:rsidRPr="006F15B6" w:rsidRDefault="00521B0F" w:rsidP="00EF6366">
            <w:pPr>
              <w:pStyle w:val="TableText"/>
              <w:jc w:val="right"/>
              <w:rPr>
                <w:highlight w:val="darkGray"/>
              </w:rPr>
            </w:pPr>
            <w:r w:rsidRPr="00521B0F">
              <w:t xml:space="preserve"> </w:t>
            </w:r>
            <w:r w:rsidRPr="00521B0F">
              <w:rPr>
                <w:color w:val="000000"/>
                <w:shd w:val="solid" w:color="000000" w:fill="000000"/>
                <w14:textFill>
                  <w14:solidFill>
                    <w14:srgbClr w14:val="000000">
                      <w14:alpha w14:val="100000"/>
                    </w14:srgbClr>
                  </w14:solidFill>
                </w14:textFill>
              </w:rPr>
              <w:t>|</w:t>
            </w:r>
            <w:r w:rsidR="000C36EE">
              <w:rPr>
                <w:rFonts w:eastAsia="Calibri"/>
                <w:vertAlign w:val="superscript"/>
              </w:rPr>
              <w:t>1</w:t>
            </w:r>
          </w:p>
        </w:tc>
        <w:tc>
          <w:tcPr>
            <w:tcW w:w="1267" w:type="dxa"/>
          </w:tcPr>
          <w:p w14:paraId="724C50A2" w14:textId="17FA5106" w:rsidR="00724196" w:rsidRPr="006F15B6" w:rsidRDefault="00521B0F" w:rsidP="00EF6366">
            <w:pPr>
              <w:pStyle w:val="TableText"/>
              <w:jc w:val="right"/>
              <w:rPr>
                <w:highlight w:val="darkGray"/>
              </w:rPr>
            </w:pPr>
            <w:r w:rsidRPr="00521B0F">
              <w:t xml:space="preserve"> </w:t>
            </w:r>
            <w:r w:rsidRPr="00521B0F">
              <w:rPr>
                <w:color w:val="000000"/>
                <w:shd w:val="solid" w:color="000000" w:fill="000000"/>
                <w14:textFill>
                  <w14:solidFill>
                    <w14:srgbClr w14:val="000000">
                      <w14:alpha w14:val="100000"/>
                    </w14:srgbClr>
                  </w14:solidFill>
                </w14:textFill>
              </w:rPr>
              <w:t>|</w:t>
            </w:r>
            <w:r w:rsidR="000C36EE">
              <w:rPr>
                <w:rFonts w:eastAsia="Calibri"/>
                <w:vertAlign w:val="superscript"/>
              </w:rPr>
              <w:t>1</w:t>
            </w:r>
          </w:p>
        </w:tc>
        <w:tc>
          <w:tcPr>
            <w:tcW w:w="1267" w:type="dxa"/>
          </w:tcPr>
          <w:p w14:paraId="74BE5507" w14:textId="02B40C7E" w:rsidR="00724196" w:rsidRPr="006F15B6" w:rsidRDefault="00521B0F" w:rsidP="00EF6366">
            <w:pPr>
              <w:pStyle w:val="TableText"/>
              <w:jc w:val="right"/>
              <w:rPr>
                <w:highlight w:val="darkGray"/>
              </w:rPr>
            </w:pPr>
            <w:r w:rsidRPr="00521B0F">
              <w:t xml:space="preserve"> </w:t>
            </w:r>
            <w:r w:rsidRPr="00521B0F">
              <w:rPr>
                <w:color w:val="000000"/>
                <w:shd w:val="solid" w:color="000000" w:fill="000000"/>
                <w14:textFill>
                  <w14:solidFill>
                    <w14:srgbClr w14:val="000000">
                      <w14:alpha w14:val="100000"/>
                    </w14:srgbClr>
                  </w14:solidFill>
                </w14:textFill>
              </w:rPr>
              <w:t>|</w:t>
            </w:r>
            <w:r w:rsidR="000C36EE">
              <w:rPr>
                <w:rFonts w:eastAsia="Calibri"/>
                <w:vertAlign w:val="superscript"/>
              </w:rPr>
              <w:t>1</w:t>
            </w:r>
          </w:p>
        </w:tc>
        <w:tc>
          <w:tcPr>
            <w:tcW w:w="1268" w:type="dxa"/>
          </w:tcPr>
          <w:p w14:paraId="44D0E940" w14:textId="7B80D383" w:rsidR="00724196" w:rsidRPr="006F15B6" w:rsidRDefault="00521B0F" w:rsidP="00EF6366">
            <w:pPr>
              <w:pStyle w:val="TableText"/>
              <w:jc w:val="right"/>
              <w:rPr>
                <w:highlight w:val="darkGray"/>
              </w:rPr>
            </w:pPr>
            <w:r w:rsidRPr="00521B0F">
              <w:t xml:space="preserve"> </w:t>
            </w:r>
            <w:r w:rsidRPr="00521B0F">
              <w:rPr>
                <w:color w:val="000000"/>
                <w:shd w:val="solid" w:color="000000" w:fill="000000"/>
                <w14:textFill>
                  <w14:solidFill>
                    <w14:srgbClr w14:val="000000">
                      <w14:alpha w14:val="100000"/>
                    </w14:srgbClr>
                  </w14:solidFill>
                </w14:textFill>
              </w:rPr>
              <w:t>|</w:t>
            </w:r>
            <w:r w:rsidR="000C36EE">
              <w:rPr>
                <w:rFonts w:eastAsia="Calibri"/>
                <w:vertAlign w:val="superscript"/>
              </w:rPr>
              <w:t>1</w:t>
            </w:r>
          </w:p>
        </w:tc>
      </w:tr>
      <w:tr w:rsidR="00671FF4" w:rsidRPr="007C65D7" w14:paraId="1399CC37" w14:textId="77777777" w:rsidTr="00473C64">
        <w:tc>
          <w:tcPr>
            <w:tcW w:w="1413" w:type="dxa"/>
            <w:vAlign w:val="center"/>
          </w:tcPr>
          <w:p w14:paraId="61684945" w14:textId="77777777" w:rsidR="00671FF4" w:rsidRPr="007C65D7" w:rsidRDefault="00671FF4" w:rsidP="00671FF4">
            <w:pPr>
              <w:pStyle w:val="TableText"/>
            </w:pPr>
            <w:r w:rsidRPr="007C65D7">
              <w:t>Number of scripts dispensed</w:t>
            </w:r>
            <w:r w:rsidRPr="007C65D7">
              <w:rPr>
                <w:vertAlign w:val="superscript"/>
              </w:rPr>
              <w:t>a</w:t>
            </w:r>
          </w:p>
        </w:tc>
        <w:tc>
          <w:tcPr>
            <w:tcW w:w="1267" w:type="dxa"/>
            <w:vAlign w:val="center"/>
          </w:tcPr>
          <w:p w14:paraId="78CFB60D" w14:textId="7E988816" w:rsidR="00671FF4" w:rsidRPr="006F15B6" w:rsidRDefault="00521B0F" w:rsidP="00671FF4">
            <w:pPr>
              <w:pStyle w:val="TableText"/>
              <w:jc w:val="right"/>
              <w:rPr>
                <w:highlight w:val="darkGray"/>
              </w:rPr>
            </w:pPr>
            <w:r w:rsidRPr="00521B0F">
              <w:rPr>
                <w:rFonts w:cs="Arial"/>
                <w:color w:val="000000"/>
                <w:szCs w:val="20"/>
              </w:rPr>
              <w:t xml:space="preserve"> </w:t>
            </w:r>
            <w:r w:rsidRPr="00521B0F">
              <w:rPr>
                <w:rFonts w:cs="Arial"/>
                <w:color w:val="000000"/>
                <w:szCs w:val="20"/>
                <w:shd w:val="solid" w:color="000000" w:fill="000000"/>
                <w14:textFill>
                  <w14:solidFill>
                    <w14:srgbClr w14:val="000000">
                      <w14:alpha w14:val="100000"/>
                    </w14:srgbClr>
                  </w14:solidFill>
                </w14:textFill>
              </w:rPr>
              <w:t>|</w:t>
            </w:r>
            <w:r w:rsidR="000C36EE">
              <w:rPr>
                <w:rFonts w:eastAsia="Calibri"/>
                <w:vertAlign w:val="superscript"/>
              </w:rPr>
              <w:t>2</w:t>
            </w:r>
            <w:r w:rsidRPr="00521B0F">
              <w:rPr>
                <w:rFonts w:cs="Arial"/>
                <w:color w:val="000000"/>
                <w:szCs w:val="20"/>
              </w:rPr>
              <w:t xml:space="preserve"> </w:t>
            </w:r>
          </w:p>
        </w:tc>
        <w:tc>
          <w:tcPr>
            <w:tcW w:w="1267" w:type="dxa"/>
            <w:vAlign w:val="center"/>
          </w:tcPr>
          <w:p w14:paraId="538816B2" w14:textId="4FB1C87B" w:rsidR="00671FF4" w:rsidRPr="006F15B6" w:rsidRDefault="00521B0F" w:rsidP="00671FF4">
            <w:pPr>
              <w:pStyle w:val="TableText"/>
              <w:jc w:val="right"/>
              <w:rPr>
                <w:highlight w:val="darkGray"/>
              </w:rPr>
            </w:pPr>
            <w:r w:rsidRPr="00521B0F">
              <w:rPr>
                <w:rFonts w:cs="Arial"/>
                <w:color w:val="000000"/>
                <w:szCs w:val="20"/>
              </w:rPr>
              <w:t xml:space="preserve"> </w:t>
            </w:r>
            <w:r w:rsidRPr="00521B0F">
              <w:rPr>
                <w:rFonts w:cs="Arial"/>
                <w:color w:val="000000"/>
                <w:szCs w:val="20"/>
                <w:shd w:val="solid" w:color="000000" w:fill="000000"/>
                <w14:textFill>
                  <w14:solidFill>
                    <w14:srgbClr w14:val="000000">
                      <w14:alpha w14:val="100000"/>
                    </w14:srgbClr>
                  </w14:solidFill>
                </w14:textFill>
              </w:rPr>
              <w:t>|</w:t>
            </w:r>
            <w:r w:rsidR="000C36EE">
              <w:rPr>
                <w:rFonts w:eastAsia="Calibri"/>
                <w:vertAlign w:val="superscript"/>
              </w:rPr>
              <w:t>2</w:t>
            </w:r>
          </w:p>
        </w:tc>
        <w:tc>
          <w:tcPr>
            <w:tcW w:w="1267" w:type="dxa"/>
            <w:vAlign w:val="center"/>
          </w:tcPr>
          <w:p w14:paraId="26DB7BD0" w14:textId="262B21C0" w:rsidR="00671FF4" w:rsidRPr="006F15B6" w:rsidRDefault="00521B0F" w:rsidP="00671FF4">
            <w:pPr>
              <w:pStyle w:val="TableText"/>
              <w:jc w:val="right"/>
              <w:rPr>
                <w:highlight w:val="darkGray"/>
              </w:rPr>
            </w:pPr>
            <w:r w:rsidRPr="00521B0F">
              <w:rPr>
                <w:rFonts w:cs="Arial"/>
                <w:color w:val="000000"/>
                <w:szCs w:val="20"/>
              </w:rPr>
              <w:t xml:space="preserve"> </w:t>
            </w:r>
            <w:r w:rsidRPr="00521B0F">
              <w:rPr>
                <w:rFonts w:cs="Arial"/>
                <w:color w:val="000000"/>
                <w:szCs w:val="20"/>
                <w:shd w:val="solid" w:color="000000" w:fill="000000"/>
                <w14:textFill>
                  <w14:solidFill>
                    <w14:srgbClr w14:val="000000">
                      <w14:alpha w14:val="100000"/>
                    </w14:srgbClr>
                  </w14:solidFill>
                </w14:textFill>
              </w:rPr>
              <w:t>|</w:t>
            </w:r>
            <w:r w:rsidR="000C36EE">
              <w:rPr>
                <w:vertAlign w:val="superscript"/>
                <w:lang w:eastAsia="en-US"/>
              </w:rPr>
              <w:t>3</w:t>
            </w:r>
            <w:r w:rsidRPr="00521B0F">
              <w:rPr>
                <w:rFonts w:cs="Arial"/>
                <w:color w:val="000000"/>
                <w:szCs w:val="20"/>
              </w:rPr>
              <w:t xml:space="preserve"> </w:t>
            </w:r>
          </w:p>
        </w:tc>
        <w:tc>
          <w:tcPr>
            <w:tcW w:w="1267" w:type="dxa"/>
            <w:vAlign w:val="center"/>
          </w:tcPr>
          <w:p w14:paraId="4D29A989" w14:textId="7EAD9D10" w:rsidR="00671FF4" w:rsidRPr="006F15B6" w:rsidRDefault="00521B0F" w:rsidP="00671FF4">
            <w:pPr>
              <w:pStyle w:val="TableText"/>
              <w:jc w:val="right"/>
              <w:rPr>
                <w:highlight w:val="darkGray"/>
              </w:rPr>
            </w:pPr>
            <w:r w:rsidRPr="00521B0F">
              <w:rPr>
                <w:rFonts w:cs="Arial"/>
                <w:color w:val="000000"/>
                <w:szCs w:val="20"/>
              </w:rPr>
              <w:t xml:space="preserve"> </w:t>
            </w:r>
            <w:r w:rsidRPr="00521B0F">
              <w:rPr>
                <w:rFonts w:cs="Arial"/>
                <w:color w:val="000000"/>
                <w:szCs w:val="20"/>
                <w:shd w:val="solid" w:color="000000" w:fill="000000"/>
                <w14:textFill>
                  <w14:solidFill>
                    <w14:srgbClr w14:val="000000">
                      <w14:alpha w14:val="100000"/>
                    </w14:srgbClr>
                  </w14:solidFill>
                </w14:textFill>
              </w:rPr>
              <w:t>|</w:t>
            </w:r>
            <w:r w:rsidR="000C36EE">
              <w:rPr>
                <w:vertAlign w:val="superscript"/>
                <w:lang w:eastAsia="en-US"/>
              </w:rPr>
              <w:t>3</w:t>
            </w:r>
            <w:r w:rsidRPr="00521B0F">
              <w:rPr>
                <w:rFonts w:cs="Arial"/>
                <w:color w:val="000000"/>
                <w:szCs w:val="20"/>
              </w:rPr>
              <w:t xml:space="preserve"> </w:t>
            </w:r>
          </w:p>
        </w:tc>
        <w:tc>
          <w:tcPr>
            <w:tcW w:w="1267" w:type="dxa"/>
            <w:vAlign w:val="center"/>
          </w:tcPr>
          <w:p w14:paraId="5259D7D7" w14:textId="1D77CBD1" w:rsidR="00671FF4" w:rsidRPr="006F15B6" w:rsidRDefault="00521B0F" w:rsidP="00671FF4">
            <w:pPr>
              <w:pStyle w:val="TableText"/>
              <w:jc w:val="right"/>
              <w:rPr>
                <w:highlight w:val="darkGray"/>
              </w:rPr>
            </w:pPr>
            <w:r w:rsidRPr="00521B0F">
              <w:rPr>
                <w:rFonts w:cs="Arial"/>
                <w:color w:val="000000"/>
                <w:szCs w:val="20"/>
              </w:rPr>
              <w:t xml:space="preserve"> </w:t>
            </w:r>
            <w:r w:rsidRPr="00521B0F">
              <w:rPr>
                <w:rFonts w:cs="Arial"/>
                <w:color w:val="000000"/>
                <w:szCs w:val="20"/>
                <w:shd w:val="solid" w:color="000000" w:fill="000000"/>
                <w14:textFill>
                  <w14:solidFill>
                    <w14:srgbClr w14:val="000000">
                      <w14:alpha w14:val="100000"/>
                    </w14:srgbClr>
                  </w14:solidFill>
                </w14:textFill>
              </w:rPr>
              <w:t>|</w:t>
            </w:r>
            <w:r w:rsidR="000C36EE">
              <w:rPr>
                <w:vertAlign w:val="superscript"/>
                <w:lang w:eastAsia="en-US"/>
              </w:rPr>
              <w:t>3</w:t>
            </w:r>
            <w:r w:rsidRPr="00521B0F">
              <w:rPr>
                <w:rFonts w:cs="Arial"/>
                <w:color w:val="000000"/>
                <w:szCs w:val="20"/>
              </w:rPr>
              <w:t xml:space="preserve"> </w:t>
            </w:r>
          </w:p>
        </w:tc>
        <w:tc>
          <w:tcPr>
            <w:tcW w:w="1268" w:type="dxa"/>
            <w:vAlign w:val="center"/>
          </w:tcPr>
          <w:p w14:paraId="5BBA4299" w14:textId="55B8E876" w:rsidR="00671FF4" w:rsidRPr="006F15B6" w:rsidRDefault="00521B0F" w:rsidP="00671FF4">
            <w:pPr>
              <w:pStyle w:val="TableText"/>
              <w:jc w:val="right"/>
              <w:rPr>
                <w:highlight w:val="darkGray"/>
              </w:rPr>
            </w:pPr>
            <w:r w:rsidRPr="00521B0F">
              <w:rPr>
                <w:rFonts w:cs="Arial"/>
                <w:color w:val="000000"/>
                <w:szCs w:val="20"/>
              </w:rPr>
              <w:t xml:space="preserve"> </w:t>
            </w:r>
            <w:r w:rsidRPr="00521B0F">
              <w:rPr>
                <w:rFonts w:cs="Arial"/>
                <w:color w:val="000000"/>
                <w:szCs w:val="20"/>
                <w:shd w:val="solid" w:color="000000" w:fill="000000"/>
                <w14:textFill>
                  <w14:solidFill>
                    <w14:srgbClr w14:val="000000">
                      <w14:alpha w14:val="100000"/>
                    </w14:srgbClr>
                  </w14:solidFill>
                </w14:textFill>
              </w:rPr>
              <w:t>|</w:t>
            </w:r>
            <w:r w:rsidR="000C36EE">
              <w:rPr>
                <w:vertAlign w:val="superscript"/>
                <w:lang w:eastAsia="en-US"/>
              </w:rPr>
              <w:t>4</w:t>
            </w:r>
            <w:r w:rsidRPr="00521B0F">
              <w:rPr>
                <w:rFonts w:cs="Arial"/>
                <w:color w:val="000000"/>
                <w:szCs w:val="20"/>
              </w:rPr>
              <w:t xml:space="preserve"> </w:t>
            </w:r>
          </w:p>
        </w:tc>
      </w:tr>
      <w:tr w:rsidR="00724196" w:rsidRPr="007C65D7" w14:paraId="3089B6ED" w14:textId="77777777" w:rsidTr="00473C64">
        <w:tc>
          <w:tcPr>
            <w:tcW w:w="9016" w:type="dxa"/>
            <w:gridSpan w:val="7"/>
          </w:tcPr>
          <w:p w14:paraId="0E3C0B49" w14:textId="77777777" w:rsidR="00724196" w:rsidRPr="00DF2D4F" w:rsidRDefault="00724196" w:rsidP="00EF6366">
            <w:pPr>
              <w:pStyle w:val="In-tableHeading"/>
              <w:rPr>
                <w:lang w:val="en-AU"/>
              </w:rPr>
            </w:pPr>
            <w:r w:rsidRPr="00DF2D4F">
              <w:rPr>
                <w:lang w:val="en-AU"/>
              </w:rPr>
              <w:t>Estimated financial implications</w:t>
            </w:r>
          </w:p>
        </w:tc>
      </w:tr>
      <w:tr w:rsidR="00EF6366" w:rsidRPr="007C65D7" w14:paraId="724F3504" w14:textId="77777777" w:rsidTr="00473C64">
        <w:tc>
          <w:tcPr>
            <w:tcW w:w="1413" w:type="dxa"/>
            <w:vAlign w:val="center"/>
          </w:tcPr>
          <w:p w14:paraId="2E3B7FE9" w14:textId="334ACDE0" w:rsidR="00EF6366" w:rsidRPr="007C65D7" w:rsidRDefault="005A3339" w:rsidP="00EF6366">
            <w:pPr>
              <w:pStyle w:val="TableText"/>
            </w:pPr>
            <w:r w:rsidRPr="007C65D7">
              <w:t>Net c</w:t>
            </w:r>
            <w:r w:rsidR="00EF6366" w:rsidRPr="007C65D7">
              <w:t>ost to PBS/RPBS</w:t>
            </w:r>
          </w:p>
        </w:tc>
        <w:tc>
          <w:tcPr>
            <w:tcW w:w="1267" w:type="dxa"/>
          </w:tcPr>
          <w:p w14:paraId="3BA6D101" w14:textId="1A17697D" w:rsidR="00EF6366" w:rsidRPr="006F15B6" w:rsidRDefault="00521B0F" w:rsidP="003A2788">
            <w:pPr>
              <w:pStyle w:val="TableText"/>
              <w:jc w:val="right"/>
              <w:rPr>
                <w:highlight w:val="darkGray"/>
              </w:rPr>
            </w:pPr>
            <w:r w:rsidRPr="00521B0F">
              <w:t xml:space="preserve"> </w:t>
            </w:r>
            <w:r w:rsidRPr="00521B0F">
              <w:rPr>
                <w:color w:val="000000"/>
                <w:shd w:val="solid" w:color="000000" w:fill="000000"/>
                <w14:textFill>
                  <w14:solidFill>
                    <w14:srgbClr w14:val="000000">
                      <w14:alpha w14:val="100000"/>
                    </w14:srgbClr>
                  </w14:solidFill>
                </w14:textFill>
              </w:rPr>
              <w:t>|</w:t>
            </w:r>
            <w:r w:rsidR="000C36EE">
              <w:rPr>
                <w:vertAlign w:val="superscript"/>
                <w:lang w:eastAsia="en-US"/>
              </w:rPr>
              <w:t>5</w:t>
            </w:r>
          </w:p>
        </w:tc>
        <w:tc>
          <w:tcPr>
            <w:tcW w:w="1267" w:type="dxa"/>
          </w:tcPr>
          <w:p w14:paraId="09ACF885" w14:textId="1C56E93C" w:rsidR="00EF6366" w:rsidRPr="006F15B6" w:rsidRDefault="00521B0F" w:rsidP="003A2788">
            <w:pPr>
              <w:pStyle w:val="TableText"/>
              <w:jc w:val="right"/>
              <w:rPr>
                <w:highlight w:val="darkGray"/>
              </w:rPr>
            </w:pPr>
            <w:r w:rsidRPr="00521B0F">
              <w:t xml:space="preserve"> </w:t>
            </w:r>
            <w:r w:rsidRPr="00521B0F">
              <w:rPr>
                <w:color w:val="000000"/>
                <w:shd w:val="solid" w:color="000000" w:fill="000000"/>
                <w14:textFill>
                  <w14:solidFill>
                    <w14:srgbClr w14:val="000000">
                      <w14:alpha w14:val="100000"/>
                    </w14:srgbClr>
                  </w14:solidFill>
                </w14:textFill>
              </w:rPr>
              <w:t>|</w:t>
            </w:r>
            <w:r w:rsidR="000C36EE">
              <w:rPr>
                <w:vertAlign w:val="superscript"/>
                <w:lang w:eastAsia="en-US"/>
              </w:rPr>
              <w:t>5</w:t>
            </w:r>
          </w:p>
        </w:tc>
        <w:tc>
          <w:tcPr>
            <w:tcW w:w="1267" w:type="dxa"/>
          </w:tcPr>
          <w:p w14:paraId="4BC6C209" w14:textId="62452766" w:rsidR="00EF6366" w:rsidRPr="006F15B6" w:rsidRDefault="00521B0F" w:rsidP="003A2788">
            <w:pPr>
              <w:pStyle w:val="TableText"/>
              <w:jc w:val="right"/>
              <w:rPr>
                <w:highlight w:val="darkGray"/>
              </w:rPr>
            </w:pPr>
            <w:r w:rsidRPr="00521B0F">
              <w:t xml:space="preserve"> </w:t>
            </w:r>
            <w:r w:rsidRPr="00521B0F">
              <w:rPr>
                <w:color w:val="000000"/>
                <w:shd w:val="solid" w:color="000000" w:fill="000000"/>
                <w14:textFill>
                  <w14:solidFill>
                    <w14:srgbClr w14:val="000000">
                      <w14:alpha w14:val="100000"/>
                    </w14:srgbClr>
                  </w14:solidFill>
                </w14:textFill>
              </w:rPr>
              <w:t>|</w:t>
            </w:r>
            <w:r w:rsidR="000C36EE">
              <w:rPr>
                <w:vertAlign w:val="superscript"/>
                <w:lang w:eastAsia="en-US"/>
              </w:rPr>
              <w:t>5</w:t>
            </w:r>
          </w:p>
        </w:tc>
        <w:tc>
          <w:tcPr>
            <w:tcW w:w="1267" w:type="dxa"/>
          </w:tcPr>
          <w:p w14:paraId="230EA432" w14:textId="17FEB387" w:rsidR="00EF6366" w:rsidRPr="006F15B6" w:rsidRDefault="00521B0F" w:rsidP="003A2788">
            <w:pPr>
              <w:pStyle w:val="TableText"/>
              <w:jc w:val="right"/>
              <w:rPr>
                <w:highlight w:val="darkGray"/>
              </w:rPr>
            </w:pPr>
            <w:r w:rsidRPr="00521B0F">
              <w:t xml:space="preserve"> </w:t>
            </w:r>
            <w:r w:rsidRPr="00521B0F">
              <w:rPr>
                <w:color w:val="000000"/>
                <w:shd w:val="solid" w:color="000000" w:fill="000000"/>
                <w14:textFill>
                  <w14:solidFill>
                    <w14:srgbClr w14:val="000000">
                      <w14:alpha w14:val="100000"/>
                    </w14:srgbClr>
                  </w14:solidFill>
                </w14:textFill>
              </w:rPr>
              <w:t>|</w:t>
            </w:r>
            <w:r w:rsidR="000C36EE">
              <w:rPr>
                <w:vertAlign w:val="superscript"/>
                <w:lang w:eastAsia="en-US"/>
              </w:rPr>
              <w:t>6</w:t>
            </w:r>
          </w:p>
        </w:tc>
        <w:tc>
          <w:tcPr>
            <w:tcW w:w="1267" w:type="dxa"/>
          </w:tcPr>
          <w:p w14:paraId="03BDCC3D" w14:textId="1D35EFAB" w:rsidR="00EF6366" w:rsidRPr="006F15B6" w:rsidRDefault="00521B0F" w:rsidP="003A2788">
            <w:pPr>
              <w:pStyle w:val="TableText"/>
              <w:jc w:val="right"/>
              <w:rPr>
                <w:highlight w:val="darkGray"/>
              </w:rPr>
            </w:pPr>
            <w:r w:rsidRPr="00521B0F">
              <w:t xml:space="preserve"> </w:t>
            </w:r>
            <w:r w:rsidRPr="00521B0F">
              <w:rPr>
                <w:color w:val="000000"/>
                <w:shd w:val="solid" w:color="000000" w:fill="000000"/>
                <w14:textFill>
                  <w14:solidFill>
                    <w14:srgbClr w14:val="000000">
                      <w14:alpha w14:val="100000"/>
                    </w14:srgbClr>
                  </w14:solidFill>
                </w14:textFill>
              </w:rPr>
              <w:t>|</w:t>
            </w:r>
            <w:r w:rsidR="000C36EE">
              <w:rPr>
                <w:vertAlign w:val="superscript"/>
                <w:lang w:eastAsia="en-US"/>
              </w:rPr>
              <w:t>6</w:t>
            </w:r>
          </w:p>
        </w:tc>
        <w:tc>
          <w:tcPr>
            <w:tcW w:w="1268" w:type="dxa"/>
          </w:tcPr>
          <w:p w14:paraId="2350EADF" w14:textId="559B5505" w:rsidR="00EF6366" w:rsidRPr="006F15B6" w:rsidRDefault="00521B0F" w:rsidP="003A2788">
            <w:pPr>
              <w:pStyle w:val="TableText"/>
              <w:jc w:val="right"/>
              <w:rPr>
                <w:highlight w:val="darkGray"/>
              </w:rPr>
            </w:pPr>
            <w:r w:rsidRPr="00521B0F">
              <w:t xml:space="preserve"> </w:t>
            </w:r>
            <w:r w:rsidRPr="00521B0F">
              <w:rPr>
                <w:color w:val="000000"/>
                <w:shd w:val="solid" w:color="000000" w:fill="000000"/>
                <w14:textFill>
                  <w14:solidFill>
                    <w14:srgbClr w14:val="000000">
                      <w14:alpha w14:val="100000"/>
                    </w14:srgbClr>
                  </w14:solidFill>
                </w14:textFill>
              </w:rPr>
              <w:t>|</w:t>
            </w:r>
            <w:r w:rsidR="000C36EE">
              <w:rPr>
                <w:vertAlign w:val="superscript"/>
                <w:lang w:eastAsia="en-US"/>
              </w:rPr>
              <w:t>6</w:t>
            </w:r>
          </w:p>
        </w:tc>
      </w:tr>
      <w:tr w:rsidR="00EF6366" w:rsidRPr="007C65D7" w14:paraId="171A9FA5" w14:textId="77777777" w:rsidTr="00473C64">
        <w:tc>
          <w:tcPr>
            <w:tcW w:w="1413" w:type="dxa"/>
            <w:vAlign w:val="center"/>
          </w:tcPr>
          <w:p w14:paraId="63B1C9A5" w14:textId="2E771FAF" w:rsidR="00EF6366" w:rsidRPr="007C65D7" w:rsidRDefault="005A3339" w:rsidP="00EF6366">
            <w:pPr>
              <w:pStyle w:val="TableText"/>
            </w:pPr>
            <w:r w:rsidRPr="007C65D7">
              <w:t>Net c</w:t>
            </w:r>
            <w:r w:rsidR="00EF6366" w:rsidRPr="007C65D7">
              <w:t>ost to MBS</w:t>
            </w:r>
          </w:p>
        </w:tc>
        <w:tc>
          <w:tcPr>
            <w:tcW w:w="1267" w:type="dxa"/>
          </w:tcPr>
          <w:p w14:paraId="3691AE10" w14:textId="3245D44C" w:rsidR="00EF6366" w:rsidRPr="006F15B6" w:rsidRDefault="00521B0F" w:rsidP="003A2788">
            <w:pPr>
              <w:pStyle w:val="TableText"/>
              <w:jc w:val="right"/>
              <w:rPr>
                <w:highlight w:val="darkGray"/>
              </w:rPr>
            </w:pPr>
            <w:r w:rsidRPr="00521B0F">
              <w:t xml:space="preserve"> </w:t>
            </w:r>
            <w:r w:rsidRPr="00521B0F">
              <w:rPr>
                <w:color w:val="000000"/>
                <w:shd w:val="solid" w:color="000000" w:fill="000000"/>
                <w14:textFill>
                  <w14:solidFill>
                    <w14:srgbClr w14:val="000000">
                      <w14:alpha w14:val="100000"/>
                    </w14:srgbClr>
                  </w14:solidFill>
                </w14:textFill>
              </w:rPr>
              <w:t>|</w:t>
            </w:r>
            <w:r w:rsidR="000C36EE">
              <w:rPr>
                <w:vertAlign w:val="superscript"/>
                <w:lang w:eastAsia="en-US"/>
              </w:rPr>
              <w:t>7</w:t>
            </w:r>
          </w:p>
        </w:tc>
        <w:tc>
          <w:tcPr>
            <w:tcW w:w="1267" w:type="dxa"/>
          </w:tcPr>
          <w:p w14:paraId="0DCF5D9A" w14:textId="7FE13E24" w:rsidR="00EF6366" w:rsidRPr="006F15B6" w:rsidRDefault="00521B0F" w:rsidP="003A2788">
            <w:pPr>
              <w:pStyle w:val="TableText"/>
              <w:jc w:val="right"/>
              <w:rPr>
                <w:highlight w:val="darkGray"/>
              </w:rPr>
            </w:pPr>
            <w:r w:rsidRPr="00521B0F">
              <w:t xml:space="preserve"> </w:t>
            </w:r>
            <w:r w:rsidRPr="00521B0F">
              <w:rPr>
                <w:color w:val="000000"/>
                <w:shd w:val="solid" w:color="000000" w:fill="000000"/>
                <w14:textFill>
                  <w14:solidFill>
                    <w14:srgbClr w14:val="000000">
                      <w14:alpha w14:val="100000"/>
                    </w14:srgbClr>
                  </w14:solidFill>
                </w14:textFill>
              </w:rPr>
              <w:t>|</w:t>
            </w:r>
            <w:r w:rsidR="000C36EE">
              <w:rPr>
                <w:vertAlign w:val="superscript"/>
                <w:lang w:eastAsia="en-US"/>
              </w:rPr>
              <w:t>7</w:t>
            </w:r>
          </w:p>
        </w:tc>
        <w:tc>
          <w:tcPr>
            <w:tcW w:w="1267" w:type="dxa"/>
          </w:tcPr>
          <w:p w14:paraId="6746A2DA" w14:textId="1FAA7F23" w:rsidR="00EF6366" w:rsidRPr="006F15B6" w:rsidRDefault="00521B0F" w:rsidP="003A2788">
            <w:pPr>
              <w:pStyle w:val="TableText"/>
              <w:jc w:val="right"/>
              <w:rPr>
                <w:highlight w:val="darkGray"/>
              </w:rPr>
            </w:pPr>
            <w:r w:rsidRPr="00521B0F">
              <w:t xml:space="preserve"> </w:t>
            </w:r>
            <w:r w:rsidRPr="00521B0F">
              <w:rPr>
                <w:color w:val="000000"/>
                <w:shd w:val="solid" w:color="000000" w:fill="000000"/>
                <w14:textFill>
                  <w14:solidFill>
                    <w14:srgbClr w14:val="000000">
                      <w14:alpha w14:val="100000"/>
                    </w14:srgbClr>
                  </w14:solidFill>
                </w14:textFill>
              </w:rPr>
              <w:t>|</w:t>
            </w:r>
            <w:r w:rsidR="000C36EE">
              <w:rPr>
                <w:vertAlign w:val="superscript"/>
                <w:lang w:eastAsia="en-US"/>
              </w:rPr>
              <w:t>7</w:t>
            </w:r>
          </w:p>
        </w:tc>
        <w:tc>
          <w:tcPr>
            <w:tcW w:w="1267" w:type="dxa"/>
          </w:tcPr>
          <w:p w14:paraId="1BE27118" w14:textId="003FA25D" w:rsidR="00EF6366" w:rsidRPr="006F15B6" w:rsidRDefault="00521B0F" w:rsidP="003A2788">
            <w:pPr>
              <w:pStyle w:val="TableText"/>
              <w:jc w:val="right"/>
              <w:rPr>
                <w:highlight w:val="darkGray"/>
              </w:rPr>
            </w:pPr>
            <w:r w:rsidRPr="00521B0F">
              <w:t xml:space="preserve"> </w:t>
            </w:r>
            <w:r w:rsidRPr="00521B0F">
              <w:rPr>
                <w:color w:val="000000"/>
                <w:shd w:val="solid" w:color="000000" w:fill="000000"/>
                <w14:textFill>
                  <w14:solidFill>
                    <w14:srgbClr w14:val="000000">
                      <w14:alpha w14:val="100000"/>
                    </w14:srgbClr>
                  </w14:solidFill>
                </w14:textFill>
              </w:rPr>
              <w:t>|</w:t>
            </w:r>
            <w:r w:rsidR="000C36EE">
              <w:rPr>
                <w:vertAlign w:val="superscript"/>
                <w:lang w:eastAsia="en-US"/>
              </w:rPr>
              <w:t>7</w:t>
            </w:r>
          </w:p>
        </w:tc>
        <w:tc>
          <w:tcPr>
            <w:tcW w:w="1267" w:type="dxa"/>
          </w:tcPr>
          <w:p w14:paraId="59196EC6" w14:textId="25EC5F02" w:rsidR="00EF6366" w:rsidRPr="006F15B6" w:rsidRDefault="00521B0F" w:rsidP="003A2788">
            <w:pPr>
              <w:pStyle w:val="TableText"/>
              <w:jc w:val="right"/>
              <w:rPr>
                <w:highlight w:val="darkGray"/>
              </w:rPr>
            </w:pPr>
            <w:r w:rsidRPr="00521B0F">
              <w:t xml:space="preserve"> </w:t>
            </w:r>
            <w:r w:rsidRPr="00521B0F">
              <w:rPr>
                <w:color w:val="000000"/>
                <w:shd w:val="solid" w:color="000000" w:fill="000000"/>
                <w14:textFill>
                  <w14:solidFill>
                    <w14:srgbClr w14:val="000000">
                      <w14:alpha w14:val="100000"/>
                    </w14:srgbClr>
                  </w14:solidFill>
                </w14:textFill>
              </w:rPr>
              <w:t>|</w:t>
            </w:r>
            <w:r w:rsidR="000C36EE">
              <w:rPr>
                <w:vertAlign w:val="superscript"/>
                <w:lang w:eastAsia="en-US"/>
              </w:rPr>
              <w:t>7</w:t>
            </w:r>
          </w:p>
        </w:tc>
        <w:tc>
          <w:tcPr>
            <w:tcW w:w="1268" w:type="dxa"/>
          </w:tcPr>
          <w:p w14:paraId="3FBB7F97" w14:textId="06094B46" w:rsidR="00EF6366" w:rsidRPr="006F15B6" w:rsidRDefault="00521B0F" w:rsidP="003A2788">
            <w:pPr>
              <w:pStyle w:val="TableText"/>
              <w:jc w:val="right"/>
              <w:rPr>
                <w:highlight w:val="darkGray"/>
              </w:rPr>
            </w:pPr>
            <w:r w:rsidRPr="00521B0F">
              <w:t xml:space="preserve"> </w:t>
            </w:r>
            <w:r w:rsidRPr="00521B0F">
              <w:rPr>
                <w:color w:val="000000"/>
                <w:shd w:val="solid" w:color="000000" w:fill="000000"/>
                <w14:textFill>
                  <w14:solidFill>
                    <w14:srgbClr w14:val="000000">
                      <w14:alpha w14:val="100000"/>
                    </w14:srgbClr>
                  </w14:solidFill>
                </w14:textFill>
              </w:rPr>
              <w:t>|</w:t>
            </w:r>
            <w:r w:rsidR="000C36EE">
              <w:rPr>
                <w:vertAlign w:val="superscript"/>
                <w:lang w:eastAsia="en-US"/>
              </w:rPr>
              <w:t>7</w:t>
            </w:r>
          </w:p>
        </w:tc>
      </w:tr>
      <w:tr w:rsidR="00EF6366" w:rsidRPr="007C65D7" w:rsidDel="008147AE" w14:paraId="2A98FDD1" w14:textId="77777777" w:rsidTr="00473C64">
        <w:tc>
          <w:tcPr>
            <w:tcW w:w="1413" w:type="dxa"/>
            <w:vAlign w:val="center"/>
          </w:tcPr>
          <w:p w14:paraId="03ECD4E4" w14:textId="29347F4E" w:rsidR="00EF6366" w:rsidRPr="007C65D7" w:rsidRDefault="005A3339" w:rsidP="00EF6366">
            <w:pPr>
              <w:pStyle w:val="TableText"/>
            </w:pPr>
            <w:r w:rsidRPr="007C65D7">
              <w:t>Net c</w:t>
            </w:r>
            <w:r w:rsidR="00EF6366" w:rsidRPr="007C65D7">
              <w:t>ost to SA</w:t>
            </w:r>
          </w:p>
        </w:tc>
        <w:tc>
          <w:tcPr>
            <w:tcW w:w="1267" w:type="dxa"/>
            <w:vAlign w:val="center"/>
          </w:tcPr>
          <w:p w14:paraId="2FAFD7D1" w14:textId="6132A5C6" w:rsidR="00EF6366" w:rsidRPr="006F15B6" w:rsidDel="008147AE" w:rsidRDefault="00521B0F" w:rsidP="003A2788">
            <w:pPr>
              <w:pStyle w:val="TableText"/>
              <w:jc w:val="right"/>
              <w:rPr>
                <w:highlight w:val="darkGray"/>
              </w:rPr>
            </w:pPr>
            <w:r w:rsidRPr="00521B0F">
              <w:t xml:space="preserve"> </w:t>
            </w:r>
            <w:r w:rsidRPr="00521B0F">
              <w:rPr>
                <w:color w:val="000000"/>
                <w:shd w:val="solid" w:color="000000" w:fill="000000"/>
                <w14:textFill>
                  <w14:solidFill>
                    <w14:srgbClr w14:val="000000">
                      <w14:alpha w14:val="100000"/>
                    </w14:srgbClr>
                  </w14:solidFill>
                </w14:textFill>
              </w:rPr>
              <w:t>|</w:t>
            </w:r>
            <w:r w:rsidR="000C36EE">
              <w:rPr>
                <w:vertAlign w:val="superscript"/>
                <w:lang w:eastAsia="en-US"/>
              </w:rPr>
              <w:t>7</w:t>
            </w:r>
          </w:p>
        </w:tc>
        <w:tc>
          <w:tcPr>
            <w:tcW w:w="1267" w:type="dxa"/>
            <w:vAlign w:val="center"/>
          </w:tcPr>
          <w:p w14:paraId="07F7399D" w14:textId="5E5CF2FE" w:rsidR="00EF6366" w:rsidRPr="006F15B6" w:rsidDel="008147AE" w:rsidRDefault="00521B0F" w:rsidP="003A2788">
            <w:pPr>
              <w:pStyle w:val="TableText"/>
              <w:jc w:val="right"/>
              <w:rPr>
                <w:highlight w:val="darkGray"/>
              </w:rPr>
            </w:pPr>
            <w:r w:rsidRPr="00521B0F">
              <w:t xml:space="preserve"> </w:t>
            </w:r>
            <w:r w:rsidRPr="00521B0F">
              <w:rPr>
                <w:color w:val="000000"/>
                <w:shd w:val="solid" w:color="000000" w:fill="000000"/>
                <w14:textFill>
                  <w14:solidFill>
                    <w14:srgbClr w14:val="000000">
                      <w14:alpha w14:val="100000"/>
                    </w14:srgbClr>
                  </w14:solidFill>
                </w14:textFill>
              </w:rPr>
              <w:t>|</w:t>
            </w:r>
            <w:r w:rsidR="000C36EE">
              <w:rPr>
                <w:vertAlign w:val="superscript"/>
                <w:lang w:eastAsia="en-US"/>
              </w:rPr>
              <w:t>7</w:t>
            </w:r>
            <w:r w:rsidRPr="00521B0F">
              <w:t xml:space="preserve"> </w:t>
            </w:r>
          </w:p>
        </w:tc>
        <w:tc>
          <w:tcPr>
            <w:tcW w:w="1267" w:type="dxa"/>
            <w:vAlign w:val="center"/>
          </w:tcPr>
          <w:p w14:paraId="3269F791" w14:textId="6F0E8680" w:rsidR="00EF6366" w:rsidRPr="006F15B6" w:rsidDel="008147AE" w:rsidRDefault="00521B0F" w:rsidP="003A2788">
            <w:pPr>
              <w:pStyle w:val="TableText"/>
              <w:jc w:val="right"/>
              <w:rPr>
                <w:highlight w:val="darkGray"/>
              </w:rPr>
            </w:pPr>
            <w:r w:rsidRPr="00521B0F">
              <w:t xml:space="preserve"> </w:t>
            </w:r>
            <w:r w:rsidRPr="00521B0F">
              <w:rPr>
                <w:color w:val="000000"/>
                <w:shd w:val="solid" w:color="000000" w:fill="000000"/>
                <w14:textFill>
                  <w14:solidFill>
                    <w14:srgbClr w14:val="000000">
                      <w14:alpha w14:val="100000"/>
                    </w14:srgbClr>
                  </w14:solidFill>
                </w14:textFill>
              </w:rPr>
              <w:t>|</w:t>
            </w:r>
            <w:r w:rsidR="000C36EE">
              <w:rPr>
                <w:vertAlign w:val="superscript"/>
                <w:lang w:eastAsia="en-US"/>
              </w:rPr>
              <w:t>7</w:t>
            </w:r>
          </w:p>
        </w:tc>
        <w:tc>
          <w:tcPr>
            <w:tcW w:w="1267" w:type="dxa"/>
            <w:vAlign w:val="center"/>
          </w:tcPr>
          <w:p w14:paraId="264B485C" w14:textId="62ABE2F8" w:rsidR="00EF6366" w:rsidRPr="006F15B6" w:rsidDel="008147AE" w:rsidRDefault="00521B0F" w:rsidP="003A2788">
            <w:pPr>
              <w:pStyle w:val="TableText"/>
              <w:jc w:val="right"/>
              <w:rPr>
                <w:highlight w:val="darkGray"/>
              </w:rPr>
            </w:pPr>
            <w:r w:rsidRPr="00521B0F">
              <w:t xml:space="preserve"> </w:t>
            </w:r>
            <w:r w:rsidRPr="00521B0F">
              <w:rPr>
                <w:color w:val="000000"/>
                <w:shd w:val="solid" w:color="000000" w:fill="000000"/>
                <w14:textFill>
                  <w14:solidFill>
                    <w14:srgbClr w14:val="000000">
                      <w14:alpha w14:val="100000"/>
                    </w14:srgbClr>
                  </w14:solidFill>
                </w14:textFill>
              </w:rPr>
              <w:t>|</w:t>
            </w:r>
            <w:r w:rsidR="000C36EE">
              <w:rPr>
                <w:vertAlign w:val="superscript"/>
                <w:lang w:eastAsia="en-US"/>
              </w:rPr>
              <w:t>7</w:t>
            </w:r>
            <w:r w:rsidRPr="00521B0F">
              <w:t xml:space="preserve"> </w:t>
            </w:r>
          </w:p>
        </w:tc>
        <w:tc>
          <w:tcPr>
            <w:tcW w:w="1267" w:type="dxa"/>
            <w:vAlign w:val="center"/>
          </w:tcPr>
          <w:p w14:paraId="3123C8FA" w14:textId="65AD6AB8" w:rsidR="00EF6366" w:rsidRPr="006F15B6" w:rsidDel="008147AE" w:rsidRDefault="00521B0F" w:rsidP="003A2788">
            <w:pPr>
              <w:pStyle w:val="TableText"/>
              <w:jc w:val="right"/>
              <w:rPr>
                <w:highlight w:val="darkGray"/>
              </w:rPr>
            </w:pPr>
            <w:r w:rsidRPr="00521B0F">
              <w:t xml:space="preserve"> </w:t>
            </w:r>
            <w:r w:rsidRPr="00521B0F">
              <w:rPr>
                <w:color w:val="000000"/>
                <w:shd w:val="solid" w:color="000000" w:fill="000000"/>
                <w14:textFill>
                  <w14:solidFill>
                    <w14:srgbClr w14:val="000000">
                      <w14:alpha w14:val="100000"/>
                    </w14:srgbClr>
                  </w14:solidFill>
                </w14:textFill>
              </w:rPr>
              <w:t>|</w:t>
            </w:r>
            <w:r w:rsidR="000C36EE">
              <w:rPr>
                <w:vertAlign w:val="superscript"/>
                <w:lang w:eastAsia="en-US"/>
              </w:rPr>
              <w:t>7</w:t>
            </w:r>
            <w:r w:rsidRPr="00521B0F">
              <w:t xml:space="preserve"> </w:t>
            </w:r>
          </w:p>
        </w:tc>
        <w:tc>
          <w:tcPr>
            <w:tcW w:w="1268" w:type="dxa"/>
            <w:vAlign w:val="center"/>
          </w:tcPr>
          <w:p w14:paraId="44E1EEF5" w14:textId="6D426A7B" w:rsidR="00EF6366" w:rsidRPr="006F15B6" w:rsidDel="008147AE" w:rsidRDefault="00521B0F" w:rsidP="003A2788">
            <w:pPr>
              <w:pStyle w:val="TableText"/>
              <w:jc w:val="right"/>
              <w:rPr>
                <w:highlight w:val="darkGray"/>
              </w:rPr>
            </w:pPr>
            <w:r w:rsidRPr="00521B0F">
              <w:t xml:space="preserve"> </w:t>
            </w:r>
            <w:r w:rsidRPr="00521B0F">
              <w:rPr>
                <w:color w:val="000000"/>
                <w:shd w:val="solid" w:color="000000" w:fill="000000"/>
                <w14:textFill>
                  <w14:solidFill>
                    <w14:srgbClr w14:val="000000">
                      <w14:alpha w14:val="100000"/>
                    </w14:srgbClr>
                  </w14:solidFill>
                </w14:textFill>
              </w:rPr>
              <w:t>|</w:t>
            </w:r>
            <w:r w:rsidRPr="00521B0F">
              <w:t xml:space="preserve"> </w:t>
            </w:r>
            <w:r w:rsidR="000C36EE">
              <w:rPr>
                <w:vertAlign w:val="superscript"/>
                <w:lang w:eastAsia="en-US"/>
              </w:rPr>
              <w:t>7</w:t>
            </w:r>
          </w:p>
        </w:tc>
      </w:tr>
      <w:tr w:rsidR="00731DC9" w:rsidRPr="007C65D7" w:rsidDel="008147AE" w14:paraId="14317243" w14:textId="77777777" w:rsidTr="00473C64">
        <w:tc>
          <w:tcPr>
            <w:tcW w:w="1413" w:type="dxa"/>
            <w:vAlign w:val="center"/>
          </w:tcPr>
          <w:p w14:paraId="3A8767C3" w14:textId="365AD4FA" w:rsidR="00731DC9" w:rsidRPr="007C65D7" w:rsidRDefault="00731DC9" w:rsidP="00731DC9">
            <w:pPr>
              <w:pStyle w:val="TableText"/>
            </w:pPr>
            <w:r w:rsidRPr="007C65D7">
              <w:t>Net cost to Australian Government</w:t>
            </w:r>
          </w:p>
          <w:p w14:paraId="736B43F8" w14:textId="3F679EC7" w:rsidR="00731DC9" w:rsidRPr="007C65D7" w:rsidDel="008147AE" w:rsidRDefault="00731DC9" w:rsidP="00731DC9">
            <w:pPr>
              <w:pStyle w:val="TableText"/>
            </w:pPr>
            <w:r w:rsidRPr="007C65D7">
              <w:t>(PBS/RPBS/</w:t>
            </w:r>
            <w:r w:rsidR="00AF2981" w:rsidRPr="007C65D7">
              <w:br/>
            </w:r>
            <w:r w:rsidRPr="007C65D7">
              <w:t>MBS/SA)</w:t>
            </w:r>
          </w:p>
        </w:tc>
        <w:tc>
          <w:tcPr>
            <w:tcW w:w="1267" w:type="dxa"/>
            <w:vAlign w:val="center"/>
          </w:tcPr>
          <w:p w14:paraId="751B88C9" w14:textId="5F1D1859" w:rsidR="00731DC9" w:rsidRPr="006F15B6" w:rsidDel="008147AE" w:rsidRDefault="00521B0F" w:rsidP="003A2788">
            <w:pPr>
              <w:pStyle w:val="TableText"/>
              <w:jc w:val="right"/>
              <w:rPr>
                <w:highlight w:val="darkGray"/>
              </w:rPr>
            </w:pPr>
            <w:r w:rsidRPr="00521B0F">
              <w:t xml:space="preserve"> </w:t>
            </w:r>
            <w:r w:rsidRPr="00521B0F">
              <w:rPr>
                <w:color w:val="000000"/>
                <w:shd w:val="solid" w:color="000000" w:fill="000000"/>
                <w14:textFill>
                  <w14:solidFill>
                    <w14:srgbClr w14:val="000000">
                      <w14:alpha w14:val="100000"/>
                    </w14:srgbClr>
                  </w14:solidFill>
                </w14:textFill>
              </w:rPr>
              <w:t>|</w:t>
            </w:r>
            <w:r w:rsidR="000C36EE">
              <w:rPr>
                <w:vertAlign w:val="superscript"/>
                <w:lang w:eastAsia="en-US"/>
              </w:rPr>
              <w:t>8</w:t>
            </w:r>
          </w:p>
        </w:tc>
        <w:tc>
          <w:tcPr>
            <w:tcW w:w="1267" w:type="dxa"/>
            <w:vAlign w:val="center"/>
          </w:tcPr>
          <w:p w14:paraId="3C5B856D" w14:textId="49D35A9D" w:rsidR="00731DC9" w:rsidRPr="006F15B6" w:rsidDel="008147AE" w:rsidRDefault="00521B0F" w:rsidP="003A2788">
            <w:pPr>
              <w:pStyle w:val="TableText"/>
              <w:jc w:val="right"/>
              <w:rPr>
                <w:highlight w:val="darkGray"/>
              </w:rPr>
            </w:pPr>
            <w:r w:rsidRPr="00521B0F">
              <w:t xml:space="preserve"> </w:t>
            </w:r>
            <w:r w:rsidRPr="00521B0F">
              <w:rPr>
                <w:color w:val="000000"/>
                <w:shd w:val="solid" w:color="000000" w:fill="000000"/>
                <w14:textFill>
                  <w14:solidFill>
                    <w14:srgbClr w14:val="000000">
                      <w14:alpha w14:val="100000"/>
                    </w14:srgbClr>
                  </w14:solidFill>
                </w14:textFill>
              </w:rPr>
              <w:t>|</w:t>
            </w:r>
            <w:r w:rsidR="000C36EE">
              <w:rPr>
                <w:vertAlign w:val="superscript"/>
                <w:lang w:eastAsia="en-US"/>
              </w:rPr>
              <w:t>5</w:t>
            </w:r>
          </w:p>
        </w:tc>
        <w:tc>
          <w:tcPr>
            <w:tcW w:w="1267" w:type="dxa"/>
            <w:vAlign w:val="center"/>
          </w:tcPr>
          <w:p w14:paraId="1E1A6A8F" w14:textId="3FAD69C2" w:rsidR="00731DC9" w:rsidRPr="006F15B6" w:rsidDel="008147AE" w:rsidRDefault="00521B0F" w:rsidP="003A2788">
            <w:pPr>
              <w:pStyle w:val="TableText"/>
              <w:jc w:val="right"/>
              <w:rPr>
                <w:highlight w:val="darkGray"/>
              </w:rPr>
            </w:pPr>
            <w:r w:rsidRPr="00521B0F">
              <w:t xml:space="preserve"> </w:t>
            </w:r>
            <w:r w:rsidRPr="00521B0F">
              <w:rPr>
                <w:color w:val="000000"/>
                <w:shd w:val="solid" w:color="000000" w:fill="000000"/>
                <w14:textFill>
                  <w14:solidFill>
                    <w14:srgbClr w14:val="000000">
                      <w14:alpha w14:val="100000"/>
                    </w14:srgbClr>
                  </w14:solidFill>
                </w14:textFill>
              </w:rPr>
              <w:t>|</w:t>
            </w:r>
            <w:r w:rsidR="000C36EE">
              <w:rPr>
                <w:vertAlign w:val="superscript"/>
                <w:lang w:eastAsia="en-US"/>
              </w:rPr>
              <w:t>5</w:t>
            </w:r>
          </w:p>
        </w:tc>
        <w:tc>
          <w:tcPr>
            <w:tcW w:w="1267" w:type="dxa"/>
            <w:vAlign w:val="center"/>
          </w:tcPr>
          <w:p w14:paraId="7676C01F" w14:textId="340147E7" w:rsidR="00731DC9" w:rsidRPr="006F15B6" w:rsidDel="008147AE" w:rsidRDefault="00521B0F" w:rsidP="003A2788">
            <w:pPr>
              <w:pStyle w:val="TableText"/>
              <w:jc w:val="right"/>
              <w:rPr>
                <w:highlight w:val="darkGray"/>
              </w:rPr>
            </w:pPr>
            <w:r w:rsidRPr="00521B0F">
              <w:t xml:space="preserve"> </w:t>
            </w:r>
            <w:r w:rsidRPr="00521B0F">
              <w:rPr>
                <w:color w:val="000000"/>
                <w:shd w:val="solid" w:color="000000" w:fill="000000"/>
                <w14:textFill>
                  <w14:solidFill>
                    <w14:srgbClr w14:val="000000">
                      <w14:alpha w14:val="100000"/>
                    </w14:srgbClr>
                  </w14:solidFill>
                </w14:textFill>
              </w:rPr>
              <w:t>|</w:t>
            </w:r>
            <w:r w:rsidR="000C36EE">
              <w:rPr>
                <w:vertAlign w:val="superscript"/>
                <w:lang w:eastAsia="en-US"/>
              </w:rPr>
              <w:t>5</w:t>
            </w:r>
          </w:p>
        </w:tc>
        <w:tc>
          <w:tcPr>
            <w:tcW w:w="1267" w:type="dxa"/>
            <w:vAlign w:val="center"/>
          </w:tcPr>
          <w:p w14:paraId="44B54CBD" w14:textId="602EF515" w:rsidR="00731DC9" w:rsidRPr="006F15B6" w:rsidDel="008147AE" w:rsidRDefault="00521B0F" w:rsidP="003A2788">
            <w:pPr>
              <w:pStyle w:val="TableText"/>
              <w:jc w:val="right"/>
              <w:rPr>
                <w:highlight w:val="darkGray"/>
              </w:rPr>
            </w:pPr>
            <w:r w:rsidRPr="00521B0F">
              <w:t xml:space="preserve"> </w:t>
            </w:r>
            <w:r w:rsidRPr="00521B0F">
              <w:rPr>
                <w:color w:val="000000"/>
                <w:shd w:val="solid" w:color="000000" w:fill="000000"/>
                <w14:textFill>
                  <w14:solidFill>
                    <w14:srgbClr w14:val="000000">
                      <w14:alpha w14:val="100000"/>
                    </w14:srgbClr>
                  </w14:solidFill>
                </w14:textFill>
              </w:rPr>
              <w:t>|</w:t>
            </w:r>
            <w:r w:rsidR="000C36EE">
              <w:rPr>
                <w:vertAlign w:val="superscript"/>
                <w:lang w:eastAsia="en-US"/>
              </w:rPr>
              <w:t>6</w:t>
            </w:r>
          </w:p>
        </w:tc>
        <w:tc>
          <w:tcPr>
            <w:tcW w:w="1268" w:type="dxa"/>
            <w:vAlign w:val="center"/>
          </w:tcPr>
          <w:p w14:paraId="7A4DC2A7" w14:textId="1D36EB99" w:rsidR="00731DC9" w:rsidRPr="006F15B6" w:rsidDel="008147AE" w:rsidRDefault="00521B0F" w:rsidP="003A2788">
            <w:pPr>
              <w:pStyle w:val="TableText"/>
              <w:jc w:val="right"/>
              <w:rPr>
                <w:highlight w:val="darkGray"/>
              </w:rPr>
            </w:pPr>
            <w:r w:rsidRPr="00521B0F">
              <w:t xml:space="preserve"> </w:t>
            </w:r>
            <w:r w:rsidRPr="00521B0F">
              <w:rPr>
                <w:color w:val="000000"/>
                <w:shd w:val="solid" w:color="000000" w:fill="000000"/>
                <w14:textFill>
                  <w14:solidFill>
                    <w14:srgbClr w14:val="000000">
                      <w14:alpha w14:val="100000"/>
                    </w14:srgbClr>
                  </w14:solidFill>
                </w14:textFill>
              </w:rPr>
              <w:t>|</w:t>
            </w:r>
            <w:r w:rsidR="000C36EE">
              <w:rPr>
                <w:vertAlign w:val="superscript"/>
                <w:lang w:eastAsia="en-US"/>
              </w:rPr>
              <w:t>6</w:t>
            </w:r>
          </w:p>
        </w:tc>
      </w:tr>
      <w:tr w:rsidR="00731DC9" w:rsidRPr="007C65D7" w:rsidDel="008147AE" w14:paraId="3E95B649" w14:textId="77777777" w:rsidTr="00473C64">
        <w:tc>
          <w:tcPr>
            <w:tcW w:w="9016" w:type="dxa"/>
            <w:gridSpan w:val="7"/>
            <w:shd w:val="clear" w:color="auto" w:fill="D9D9D9" w:themeFill="background1" w:themeFillShade="D9"/>
            <w:vAlign w:val="center"/>
          </w:tcPr>
          <w:p w14:paraId="47F935E7" w14:textId="3511A31A" w:rsidR="00731DC9" w:rsidRPr="00DF2D4F" w:rsidDel="008147AE" w:rsidRDefault="00731DC9" w:rsidP="00731DC9">
            <w:pPr>
              <w:pStyle w:val="In-tableHeading"/>
              <w:rPr>
                <w:sz w:val="18"/>
                <w:szCs w:val="18"/>
                <w:lang w:val="en-AU"/>
              </w:rPr>
            </w:pPr>
            <w:r w:rsidRPr="00DF2D4F">
              <w:rPr>
                <w:sz w:val="18"/>
                <w:szCs w:val="18"/>
                <w:lang w:val="en-AU"/>
              </w:rPr>
              <w:t>Previous submission July 2023 (PSCR)</w:t>
            </w:r>
          </w:p>
        </w:tc>
      </w:tr>
      <w:tr w:rsidR="00731DC9" w:rsidRPr="007C65D7" w:rsidDel="008147AE" w14:paraId="3D7D2EAD" w14:textId="77777777" w:rsidTr="00473C64">
        <w:tc>
          <w:tcPr>
            <w:tcW w:w="1413" w:type="dxa"/>
            <w:shd w:val="clear" w:color="auto" w:fill="D9D9D9" w:themeFill="background1" w:themeFillShade="D9"/>
            <w:vAlign w:val="center"/>
          </w:tcPr>
          <w:p w14:paraId="107EE06B" w14:textId="77777777" w:rsidR="00731DC9" w:rsidRPr="007C65D7" w:rsidRDefault="00731DC9" w:rsidP="00731DC9">
            <w:pPr>
              <w:pStyle w:val="TableText"/>
            </w:pPr>
            <w:r w:rsidRPr="007C65D7">
              <w:t>Net cost to PBS/RPBS</w:t>
            </w:r>
          </w:p>
        </w:tc>
        <w:tc>
          <w:tcPr>
            <w:tcW w:w="1267" w:type="dxa"/>
            <w:shd w:val="clear" w:color="auto" w:fill="D9D9D9" w:themeFill="background1" w:themeFillShade="D9"/>
          </w:tcPr>
          <w:p w14:paraId="6E7430CD" w14:textId="1AE268AA" w:rsidR="00731DC9" w:rsidRPr="006F15B6" w:rsidDel="008147AE" w:rsidRDefault="00521B0F" w:rsidP="00731DC9">
            <w:pPr>
              <w:pStyle w:val="TableText"/>
              <w:jc w:val="right"/>
              <w:rPr>
                <w:szCs w:val="20"/>
                <w:highlight w:val="darkGray"/>
              </w:rPr>
            </w:pPr>
            <w:r w:rsidRPr="00521B0F">
              <w:rPr>
                <w:iCs/>
                <w:szCs w:val="20"/>
              </w:rPr>
              <w:t xml:space="preserve"> </w:t>
            </w:r>
            <w:r w:rsidRPr="00521B0F">
              <w:rPr>
                <w:iCs/>
                <w:color w:val="000000"/>
                <w:szCs w:val="20"/>
                <w:shd w:val="solid" w:color="000000" w:fill="000000"/>
                <w14:textFill>
                  <w14:solidFill>
                    <w14:srgbClr w14:val="000000">
                      <w14:alpha w14:val="100000"/>
                    </w14:srgbClr>
                  </w14:solidFill>
                </w14:textFill>
              </w:rPr>
              <w:t>|</w:t>
            </w:r>
            <w:r w:rsidR="000C36EE">
              <w:rPr>
                <w:vertAlign w:val="superscript"/>
                <w:lang w:eastAsia="en-US"/>
              </w:rPr>
              <w:t>9</w:t>
            </w:r>
          </w:p>
        </w:tc>
        <w:tc>
          <w:tcPr>
            <w:tcW w:w="1267" w:type="dxa"/>
            <w:shd w:val="clear" w:color="auto" w:fill="D9D9D9" w:themeFill="background1" w:themeFillShade="D9"/>
          </w:tcPr>
          <w:p w14:paraId="7A8110B2" w14:textId="19EF3A3D" w:rsidR="00731DC9" w:rsidRPr="006F15B6" w:rsidDel="008147AE" w:rsidRDefault="00521B0F" w:rsidP="00731DC9">
            <w:pPr>
              <w:pStyle w:val="TableText"/>
              <w:jc w:val="right"/>
              <w:rPr>
                <w:szCs w:val="20"/>
                <w:highlight w:val="darkGray"/>
              </w:rPr>
            </w:pPr>
            <w:r w:rsidRPr="00521B0F">
              <w:rPr>
                <w:iCs/>
                <w:szCs w:val="20"/>
              </w:rPr>
              <w:t xml:space="preserve"> </w:t>
            </w:r>
            <w:r w:rsidRPr="00521B0F">
              <w:rPr>
                <w:iCs/>
                <w:color w:val="000000"/>
                <w:szCs w:val="20"/>
                <w:shd w:val="solid" w:color="000000" w:fill="000000"/>
                <w14:textFill>
                  <w14:solidFill>
                    <w14:srgbClr w14:val="000000">
                      <w14:alpha w14:val="100000"/>
                    </w14:srgbClr>
                  </w14:solidFill>
                </w14:textFill>
              </w:rPr>
              <w:t>|</w:t>
            </w:r>
            <w:r w:rsidR="000C36EE">
              <w:rPr>
                <w:vertAlign w:val="superscript"/>
                <w:lang w:eastAsia="en-US"/>
              </w:rPr>
              <w:t>10</w:t>
            </w:r>
          </w:p>
        </w:tc>
        <w:tc>
          <w:tcPr>
            <w:tcW w:w="1267" w:type="dxa"/>
            <w:shd w:val="clear" w:color="auto" w:fill="D9D9D9" w:themeFill="background1" w:themeFillShade="D9"/>
          </w:tcPr>
          <w:p w14:paraId="446A6FFB" w14:textId="1866658A" w:rsidR="00731DC9" w:rsidRPr="006F15B6" w:rsidDel="008147AE" w:rsidRDefault="00521B0F" w:rsidP="00731DC9">
            <w:pPr>
              <w:pStyle w:val="TableText"/>
              <w:jc w:val="right"/>
              <w:rPr>
                <w:szCs w:val="20"/>
                <w:highlight w:val="darkGray"/>
              </w:rPr>
            </w:pPr>
            <w:r w:rsidRPr="00521B0F">
              <w:rPr>
                <w:iCs/>
                <w:szCs w:val="20"/>
              </w:rPr>
              <w:t xml:space="preserve"> </w:t>
            </w:r>
            <w:r w:rsidRPr="00521B0F">
              <w:rPr>
                <w:iCs/>
                <w:color w:val="000000"/>
                <w:szCs w:val="20"/>
                <w:shd w:val="solid" w:color="000000" w:fill="000000"/>
                <w14:textFill>
                  <w14:solidFill>
                    <w14:srgbClr w14:val="000000">
                      <w14:alpha w14:val="100000"/>
                    </w14:srgbClr>
                  </w14:solidFill>
                </w14:textFill>
              </w:rPr>
              <w:t>|</w:t>
            </w:r>
            <w:r w:rsidR="000C36EE">
              <w:rPr>
                <w:vertAlign w:val="superscript"/>
                <w:lang w:eastAsia="en-US"/>
              </w:rPr>
              <w:t>10</w:t>
            </w:r>
          </w:p>
        </w:tc>
        <w:tc>
          <w:tcPr>
            <w:tcW w:w="1267" w:type="dxa"/>
            <w:shd w:val="clear" w:color="auto" w:fill="D9D9D9" w:themeFill="background1" w:themeFillShade="D9"/>
          </w:tcPr>
          <w:p w14:paraId="4256B8A4" w14:textId="416B55A1" w:rsidR="00731DC9" w:rsidRPr="006F15B6" w:rsidDel="008147AE" w:rsidRDefault="00521B0F" w:rsidP="00731DC9">
            <w:pPr>
              <w:pStyle w:val="TableText"/>
              <w:jc w:val="right"/>
              <w:rPr>
                <w:szCs w:val="20"/>
                <w:highlight w:val="darkGray"/>
              </w:rPr>
            </w:pPr>
            <w:r w:rsidRPr="00521B0F">
              <w:rPr>
                <w:iCs/>
                <w:szCs w:val="20"/>
              </w:rPr>
              <w:t xml:space="preserve"> </w:t>
            </w:r>
            <w:r w:rsidRPr="00521B0F">
              <w:rPr>
                <w:iCs/>
                <w:color w:val="000000"/>
                <w:szCs w:val="20"/>
                <w:shd w:val="solid" w:color="000000" w:fill="000000"/>
                <w14:textFill>
                  <w14:solidFill>
                    <w14:srgbClr w14:val="000000">
                      <w14:alpha w14:val="100000"/>
                    </w14:srgbClr>
                  </w14:solidFill>
                </w14:textFill>
              </w:rPr>
              <w:t>|</w:t>
            </w:r>
            <w:r w:rsidR="000C36EE">
              <w:rPr>
                <w:vertAlign w:val="superscript"/>
                <w:lang w:eastAsia="en-US"/>
              </w:rPr>
              <w:t>8</w:t>
            </w:r>
          </w:p>
        </w:tc>
        <w:tc>
          <w:tcPr>
            <w:tcW w:w="1267" w:type="dxa"/>
            <w:shd w:val="clear" w:color="auto" w:fill="D9D9D9" w:themeFill="background1" w:themeFillShade="D9"/>
          </w:tcPr>
          <w:p w14:paraId="13F637DC" w14:textId="4CF715F7" w:rsidR="00731DC9" w:rsidRPr="006F15B6" w:rsidDel="008147AE" w:rsidRDefault="00521B0F" w:rsidP="00731DC9">
            <w:pPr>
              <w:pStyle w:val="TableText"/>
              <w:jc w:val="right"/>
              <w:rPr>
                <w:szCs w:val="20"/>
                <w:highlight w:val="darkGray"/>
              </w:rPr>
            </w:pPr>
            <w:r w:rsidRPr="00521B0F">
              <w:rPr>
                <w:iCs/>
                <w:szCs w:val="20"/>
              </w:rPr>
              <w:t xml:space="preserve"> </w:t>
            </w:r>
            <w:r w:rsidRPr="00521B0F">
              <w:rPr>
                <w:iCs/>
                <w:color w:val="000000"/>
                <w:szCs w:val="20"/>
                <w:shd w:val="solid" w:color="000000" w:fill="000000"/>
                <w14:textFill>
                  <w14:solidFill>
                    <w14:srgbClr w14:val="000000">
                      <w14:alpha w14:val="100000"/>
                    </w14:srgbClr>
                  </w14:solidFill>
                </w14:textFill>
              </w:rPr>
              <w:t>|</w:t>
            </w:r>
            <w:r w:rsidR="000C36EE">
              <w:rPr>
                <w:vertAlign w:val="superscript"/>
                <w:lang w:eastAsia="en-US"/>
              </w:rPr>
              <w:t>8</w:t>
            </w:r>
          </w:p>
        </w:tc>
        <w:tc>
          <w:tcPr>
            <w:tcW w:w="1268" w:type="dxa"/>
            <w:shd w:val="clear" w:color="auto" w:fill="D9D9D9" w:themeFill="background1" w:themeFillShade="D9"/>
          </w:tcPr>
          <w:p w14:paraId="67C9A2F3" w14:textId="28478E9A" w:rsidR="00731DC9" w:rsidRPr="006F15B6" w:rsidDel="008147AE" w:rsidRDefault="00521B0F" w:rsidP="00731DC9">
            <w:pPr>
              <w:pStyle w:val="TableText"/>
              <w:jc w:val="right"/>
              <w:rPr>
                <w:szCs w:val="20"/>
                <w:highlight w:val="darkGray"/>
              </w:rPr>
            </w:pPr>
            <w:r w:rsidRPr="00521B0F">
              <w:rPr>
                <w:iCs/>
                <w:szCs w:val="20"/>
              </w:rPr>
              <w:t xml:space="preserve"> </w:t>
            </w:r>
            <w:r w:rsidRPr="00521B0F">
              <w:rPr>
                <w:iCs/>
                <w:color w:val="000000"/>
                <w:szCs w:val="20"/>
                <w:shd w:val="solid" w:color="000000" w:fill="000000"/>
                <w14:textFill>
                  <w14:solidFill>
                    <w14:srgbClr w14:val="000000">
                      <w14:alpha w14:val="100000"/>
                    </w14:srgbClr>
                  </w14:solidFill>
                </w14:textFill>
              </w:rPr>
              <w:t>|</w:t>
            </w:r>
            <w:r w:rsidR="000C36EE">
              <w:rPr>
                <w:vertAlign w:val="superscript"/>
                <w:lang w:eastAsia="en-US"/>
              </w:rPr>
              <w:t>8</w:t>
            </w:r>
          </w:p>
        </w:tc>
      </w:tr>
      <w:tr w:rsidR="00731DC9" w:rsidRPr="007C65D7" w:rsidDel="008147AE" w14:paraId="77795F0F" w14:textId="77777777" w:rsidTr="00473C64">
        <w:tc>
          <w:tcPr>
            <w:tcW w:w="9016" w:type="dxa"/>
            <w:gridSpan w:val="7"/>
            <w:shd w:val="clear" w:color="auto" w:fill="D9D9D9" w:themeFill="background1" w:themeFillShade="D9"/>
            <w:vAlign w:val="center"/>
          </w:tcPr>
          <w:p w14:paraId="597BA518" w14:textId="56740C6E" w:rsidR="00731DC9" w:rsidRPr="007C65D7" w:rsidRDefault="00731DC9" w:rsidP="00731DC9">
            <w:pPr>
              <w:pStyle w:val="TableText"/>
              <w:rPr>
                <w:b/>
                <w:bCs w:val="0"/>
                <w:sz w:val="18"/>
                <w:szCs w:val="18"/>
              </w:rPr>
            </w:pPr>
            <w:r w:rsidRPr="007C65D7">
              <w:rPr>
                <w:b/>
                <w:bCs w:val="0"/>
                <w:sz w:val="18"/>
                <w:szCs w:val="18"/>
              </w:rPr>
              <w:t>Previous submission November 2022 (pre-PBAC response)</w:t>
            </w:r>
          </w:p>
        </w:tc>
      </w:tr>
      <w:tr w:rsidR="00731DC9" w:rsidRPr="007C65D7" w:rsidDel="008147AE" w14:paraId="37884008" w14:textId="77777777" w:rsidTr="00473C64">
        <w:tc>
          <w:tcPr>
            <w:tcW w:w="1413" w:type="dxa"/>
            <w:shd w:val="clear" w:color="auto" w:fill="D9D9D9" w:themeFill="background1" w:themeFillShade="D9"/>
            <w:vAlign w:val="center"/>
          </w:tcPr>
          <w:p w14:paraId="2A5216A1" w14:textId="60689423" w:rsidR="00731DC9" w:rsidRPr="007C65D7" w:rsidRDefault="00731DC9" w:rsidP="00731DC9">
            <w:pPr>
              <w:pStyle w:val="TableText"/>
            </w:pPr>
            <w:r w:rsidRPr="007C65D7">
              <w:t>Net cost to PBS/RPBS</w:t>
            </w:r>
          </w:p>
        </w:tc>
        <w:tc>
          <w:tcPr>
            <w:tcW w:w="1267" w:type="dxa"/>
            <w:shd w:val="clear" w:color="auto" w:fill="D9D9D9" w:themeFill="background1" w:themeFillShade="D9"/>
          </w:tcPr>
          <w:p w14:paraId="2A3AF435" w14:textId="6EA61233" w:rsidR="00731DC9" w:rsidRPr="006F15B6" w:rsidRDefault="00521B0F" w:rsidP="00731DC9">
            <w:pPr>
              <w:pStyle w:val="TableText"/>
              <w:jc w:val="right"/>
              <w:rPr>
                <w:szCs w:val="20"/>
                <w:highlight w:val="darkGray"/>
              </w:rPr>
            </w:pPr>
            <w:r w:rsidRPr="00521B0F">
              <w:rPr>
                <w:szCs w:val="20"/>
              </w:rPr>
              <w:t xml:space="preserve"> </w:t>
            </w:r>
            <w:r w:rsidRPr="00521B0F">
              <w:rPr>
                <w:color w:val="000000"/>
                <w:szCs w:val="20"/>
                <w:shd w:val="solid" w:color="000000" w:fill="000000"/>
                <w14:textFill>
                  <w14:solidFill>
                    <w14:srgbClr w14:val="000000">
                      <w14:alpha w14:val="100000"/>
                    </w14:srgbClr>
                  </w14:solidFill>
                </w14:textFill>
              </w:rPr>
              <w:t>|</w:t>
            </w:r>
            <w:r w:rsidR="000C36EE">
              <w:rPr>
                <w:vertAlign w:val="superscript"/>
                <w:lang w:eastAsia="en-US"/>
              </w:rPr>
              <w:t>11</w:t>
            </w:r>
          </w:p>
        </w:tc>
        <w:tc>
          <w:tcPr>
            <w:tcW w:w="1267" w:type="dxa"/>
            <w:shd w:val="clear" w:color="auto" w:fill="D9D9D9" w:themeFill="background1" w:themeFillShade="D9"/>
          </w:tcPr>
          <w:p w14:paraId="32B7674D" w14:textId="30C7D1E8" w:rsidR="00731DC9" w:rsidRPr="006F15B6" w:rsidRDefault="00521B0F" w:rsidP="00731DC9">
            <w:pPr>
              <w:pStyle w:val="TableText"/>
              <w:jc w:val="right"/>
              <w:rPr>
                <w:szCs w:val="20"/>
                <w:highlight w:val="darkGray"/>
              </w:rPr>
            </w:pPr>
            <w:r w:rsidRPr="00521B0F">
              <w:rPr>
                <w:szCs w:val="20"/>
              </w:rPr>
              <w:t xml:space="preserve"> </w:t>
            </w:r>
            <w:r w:rsidRPr="00521B0F">
              <w:rPr>
                <w:color w:val="000000"/>
                <w:szCs w:val="20"/>
                <w:shd w:val="solid" w:color="000000" w:fill="000000"/>
                <w14:textFill>
                  <w14:solidFill>
                    <w14:srgbClr w14:val="000000">
                      <w14:alpha w14:val="100000"/>
                    </w14:srgbClr>
                  </w14:solidFill>
                </w14:textFill>
              </w:rPr>
              <w:t>|</w:t>
            </w:r>
            <w:r w:rsidR="000C36EE">
              <w:rPr>
                <w:vertAlign w:val="superscript"/>
                <w:lang w:eastAsia="en-US"/>
              </w:rPr>
              <w:t>12</w:t>
            </w:r>
          </w:p>
        </w:tc>
        <w:tc>
          <w:tcPr>
            <w:tcW w:w="1267" w:type="dxa"/>
            <w:shd w:val="clear" w:color="auto" w:fill="D9D9D9" w:themeFill="background1" w:themeFillShade="D9"/>
          </w:tcPr>
          <w:p w14:paraId="4102CAD7" w14:textId="74695891" w:rsidR="00731DC9" w:rsidRPr="006F15B6" w:rsidRDefault="00521B0F" w:rsidP="00731DC9">
            <w:pPr>
              <w:pStyle w:val="TableText"/>
              <w:jc w:val="right"/>
              <w:rPr>
                <w:szCs w:val="20"/>
                <w:highlight w:val="darkGray"/>
              </w:rPr>
            </w:pPr>
            <w:r w:rsidRPr="00521B0F">
              <w:rPr>
                <w:szCs w:val="20"/>
              </w:rPr>
              <w:t xml:space="preserve"> </w:t>
            </w:r>
            <w:r w:rsidRPr="00521B0F">
              <w:rPr>
                <w:color w:val="000000"/>
                <w:szCs w:val="20"/>
                <w:shd w:val="solid" w:color="000000" w:fill="000000"/>
                <w14:textFill>
                  <w14:solidFill>
                    <w14:srgbClr w14:val="000000">
                      <w14:alpha w14:val="100000"/>
                    </w14:srgbClr>
                  </w14:solidFill>
                </w14:textFill>
              </w:rPr>
              <w:t>|</w:t>
            </w:r>
            <w:r w:rsidR="000C36EE">
              <w:rPr>
                <w:vertAlign w:val="superscript"/>
                <w:lang w:eastAsia="en-US"/>
              </w:rPr>
              <w:t>12</w:t>
            </w:r>
          </w:p>
        </w:tc>
        <w:tc>
          <w:tcPr>
            <w:tcW w:w="1267" w:type="dxa"/>
            <w:shd w:val="clear" w:color="auto" w:fill="D9D9D9" w:themeFill="background1" w:themeFillShade="D9"/>
          </w:tcPr>
          <w:p w14:paraId="232C7A17" w14:textId="4C0F0820" w:rsidR="00731DC9" w:rsidRPr="006F15B6" w:rsidRDefault="00521B0F" w:rsidP="00731DC9">
            <w:pPr>
              <w:pStyle w:val="TableText"/>
              <w:jc w:val="right"/>
              <w:rPr>
                <w:szCs w:val="20"/>
                <w:highlight w:val="darkGray"/>
              </w:rPr>
            </w:pPr>
            <w:r w:rsidRPr="00521B0F">
              <w:rPr>
                <w:szCs w:val="20"/>
              </w:rPr>
              <w:t xml:space="preserve"> </w:t>
            </w:r>
            <w:r w:rsidRPr="00521B0F">
              <w:rPr>
                <w:color w:val="000000"/>
                <w:szCs w:val="20"/>
                <w:shd w:val="solid" w:color="000000" w:fill="000000"/>
                <w14:textFill>
                  <w14:solidFill>
                    <w14:srgbClr w14:val="000000">
                      <w14:alpha w14:val="100000"/>
                    </w14:srgbClr>
                  </w14:solidFill>
                </w14:textFill>
              </w:rPr>
              <w:t>|</w:t>
            </w:r>
            <w:r w:rsidR="000C36EE">
              <w:rPr>
                <w:vertAlign w:val="superscript"/>
                <w:lang w:eastAsia="en-US"/>
              </w:rPr>
              <w:t>12</w:t>
            </w:r>
          </w:p>
        </w:tc>
        <w:tc>
          <w:tcPr>
            <w:tcW w:w="1267" w:type="dxa"/>
            <w:shd w:val="clear" w:color="auto" w:fill="D9D9D9" w:themeFill="background1" w:themeFillShade="D9"/>
          </w:tcPr>
          <w:p w14:paraId="7C5491FA" w14:textId="55E55350" w:rsidR="00731DC9" w:rsidRPr="006F15B6" w:rsidRDefault="00521B0F" w:rsidP="00731DC9">
            <w:pPr>
              <w:pStyle w:val="TableText"/>
              <w:jc w:val="right"/>
              <w:rPr>
                <w:szCs w:val="20"/>
                <w:highlight w:val="darkGray"/>
              </w:rPr>
            </w:pPr>
            <w:r w:rsidRPr="00521B0F">
              <w:rPr>
                <w:szCs w:val="20"/>
              </w:rPr>
              <w:t xml:space="preserve"> </w:t>
            </w:r>
            <w:r w:rsidRPr="00521B0F">
              <w:rPr>
                <w:color w:val="000000"/>
                <w:szCs w:val="20"/>
                <w:shd w:val="solid" w:color="000000" w:fill="000000"/>
                <w14:textFill>
                  <w14:solidFill>
                    <w14:srgbClr w14:val="000000">
                      <w14:alpha w14:val="100000"/>
                    </w14:srgbClr>
                  </w14:solidFill>
                </w14:textFill>
              </w:rPr>
              <w:t>|</w:t>
            </w:r>
            <w:r w:rsidR="000C36EE">
              <w:rPr>
                <w:vertAlign w:val="superscript"/>
                <w:lang w:eastAsia="en-US"/>
              </w:rPr>
              <w:t>12</w:t>
            </w:r>
          </w:p>
        </w:tc>
        <w:tc>
          <w:tcPr>
            <w:tcW w:w="1268" w:type="dxa"/>
            <w:shd w:val="clear" w:color="auto" w:fill="D9D9D9" w:themeFill="background1" w:themeFillShade="D9"/>
          </w:tcPr>
          <w:p w14:paraId="53712AEA" w14:textId="7C8D7344" w:rsidR="00731DC9" w:rsidRPr="006F15B6" w:rsidRDefault="00521B0F" w:rsidP="00731DC9">
            <w:pPr>
              <w:pStyle w:val="TableText"/>
              <w:jc w:val="right"/>
              <w:rPr>
                <w:szCs w:val="20"/>
                <w:highlight w:val="darkGray"/>
              </w:rPr>
            </w:pPr>
            <w:r w:rsidRPr="00521B0F">
              <w:rPr>
                <w:szCs w:val="20"/>
              </w:rPr>
              <w:t xml:space="preserve"> </w:t>
            </w:r>
            <w:r w:rsidRPr="00521B0F">
              <w:rPr>
                <w:color w:val="000000"/>
                <w:szCs w:val="20"/>
                <w:shd w:val="solid" w:color="000000" w:fill="000000"/>
                <w14:textFill>
                  <w14:solidFill>
                    <w14:srgbClr w14:val="000000">
                      <w14:alpha w14:val="100000"/>
                    </w14:srgbClr>
                  </w14:solidFill>
                </w14:textFill>
              </w:rPr>
              <w:t>|</w:t>
            </w:r>
            <w:r w:rsidR="000C36EE">
              <w:rPr>
                <w:vertAlign w:val="superscript"/>
                <w:lang w:eastAsia="en-US"/>
              </w:rPr>
              <w:t>12</w:t>
            </w:r>
          </w:p>
        </w:tc>
      </w:tr>
    </w:tbl>
    <w:p w14:paraId="067479FE" w14:textId="3DA1BE0D" w:rsidR="007379A5" w:rsidRPr="007C65D7" w:rsidRDefault="007379A5" w:rsidP="007379A5">
      <w:pPr>
        <w:pStyle w:val="TableFigureFooter"/>
      </w:pPr>
      <w:r w:rsidRPr="007C65D7">
        <w:rPr>
          <w:vertAlign w:val="superscript"/>
        </w:rPr>
        <w:t>a</w:t>
      </w:r>
      <w:r w:rsidR="00671FF4" w:rsidRPr="007C65D7">
        <w:t>worksheet 3a of Mavacamten-obstructive HCM-Utilisation and Cost Model-Early-Re-entry-Resubmission.xlsx</w:t>
      </w:r>
      <w:r w:rsidRPr="007C65D7">
        <w:t>.</w:t>
      </w:r>
    </w:p>
    <w:p w14:paraId="53235767" w14:textId="77777777" w:rsidR="00F7557D" w:rsidRPr="007C65D7" w:rsidRDefault="007379A5" w:rsidP="00F7557D">
      <w:pPr>
        <w:pStyle w:val="TableFigureFooter"/>
        <w:rPr>
          <w:rFonts w:eastAsia="Calibri"/>
        </w:rPr>
      </w:pPr>
      <w:bookmarkStart w:id="21" w:name="_Hlk80288964"/>
      <w:r w:rsidRPr="007C65D7">
        <w:t>Source: Table</w:t>
      </w:r>
      <w:r w:rsidR="00671FF4" w:rsidRPr="007C65D7">
        <w:t>s</w:t>
      </w:r>
      <w:r w:rsidRPr="007C65D7">
        <w:t>,</w:t>
      </w:r>
      <w:r w:rsidR="00671FF4" w:rsidRPr="007C65D7">
        <w:t xml:space="preserve"> 8, 11, 14 and 15</w:t>
      </w:r>
      <w:r w:rsidRPr="007C65D7">
        <w:t xml:space="preserve"> of the </w:t>
      </w:r>
      <w:r w:rsidR="00671FF4" w:rsidRPr="007C65D7">
        <w:t>re</w:t>
      </w:r>
      <w:r w:rsidRPr="007C65D7">
        <w:t>submission</w:t>
      </w:r>
      <w:bookmarkEnd w:id="21"/>
      <w:r w:rsidR="00671FF4" w:rsidRPr="007C65D7">
        <w:t>; July 2023 and November 2022 mavacamten minutes</w:t>
      </w:r>
    </w:p>
    <w:p w14:paraId="32BC4E1E" w14:textId="6CC14EB0" w:rsidR="00F7557D" w:rsidRDefault="00F7557D" w:rsidP="007379A5">
      <w:pPr>
        <w:pStyle w:val="TableFigureFooter"/>
        <w:rPr>
          <w:rFonts w:eastAsia="Calibri"/>
        </w:rPr>
      </w:pPr>
      <w:r w:rsidRPr="007C65D7">
        <w:rPr>
          <w:rFonts w:eastAsia="Calibri"/>
        </w:rPr>
        <w:t>PBS = Pharmaceutical Benefits Scheme; PSCR = pre-subcommittee response; RPBS = Repatriation Pharmaceutical Benefits Scheme; SA = Services Australia</w:t>
      </w:r>
    </w:p>
    <w:p w14:paraId="4EF4BA1C" w14:textId="46EF15AB" w:rsidR="000C36EE" w:rsidRPr="006F15B6" w:rsidRDefault="000C36EE" w:rsidP="007379A5">
      <w:pPr>
        <w:pStyle w:val="TableFigureFooter"/>
        <w:rPr>
          <w:rFonts w:eastAsia="Calibri"/>
          <w:i/>
          <w:iCs/>
        </w:rPr>
      </w:pPr>
      <w:r w:rsidRPr="006F15B6">
        <w:rPr>
          <w:rFonts w:eastAsia="Calibri"/>
          <w:i/>
          <w:iCs/>
        </w:rPr>
        <w:t>The redacted values correspond to the following ranges:</w:t>
      </w:r>
    </w:p>
    <w:p w14:paraId="5D1F10D8" w14:textId="7EEDFE34" w:rsidR="000C36EE" w:rsidRPr="006F15B6" w:rsidRDefault="000C36EE" w:rsidP="007379A5">
      <w:pPr>
        <w:pStyle w:val="TableFigureFooter"/>
        <w:rPr>
          <w:rFonts w:eastAsia="Calibri"/>
          <w:i/>
          <w:iCs/>
        </w:rPr>
      </w:pPr>
      <w:r w:rsidRPr="006F15B6">
        <w:rPr>
          <w:rFonts w:eastAsia="Calibri"/>
          <w:i/>
          <w:iCs/>
          <w:vertAlign w:val="superscript"/>
        </w:rPr>
        <w:t>1</w:t>
      </w:r>
      <w:r w:rsidRPr="006F15B6">
        <w:rPr>
          <w:rFonts w:eastAsia="Calibri"/>
          <w:i/>
          <w:iCs/>
        </w:rPr>
        <w:t xml:space="preserve"> 500 to &lt; 5,000</w:t>
      </w:r>
    </w:p>
    <w:p w14:paraId="0B3E13B8" w14:textId="05A9699C" w:rsidR="000C36EE" w:rsidRPr="006F15B6" w:rsidRDefault="000C36EE" w:rsidP="007379A5">
      <w:pPr>
        <w:pStyle w:val="TableFigureFooter"/>
        <w:rPr>
          <w:rFonts w:eastAsia="Calibri"/>
          <w:i/>
          <w:iCs/>
        </w:rPr>
      </w:pPr>
      <w:r w:rsidRPr="006F15B6">
        <w:rPr>
          <w:rFonts w:eastAsia="Calibri"/>
          <w:i/>
          <w:iCs/>
          <w:vertAlign w:val="superscript"/>
        </w:rPr>
        <w:t>2</w:t>
      </w:r>
      <w:r w:rsidRPr="006F15B6">
        <w:rPr>
          <w:rFonts w:eastAsia="Calibri"/>
          <w:i/>
          <w:iCs/>
        </w:rPr>
        <w:t xml:space="preserve"> 50,000 to &lt; 60,000</w:t>
      </w:r>
    </w:p>
    <w:p w14:paraId="4F454BE1" w14:textId="0772CE75" w:rsidR="000C36EE" w:rsidRPr="006F15B6" w:rsidRDefault="000C36EE" w:rsidP="007379A5">
      <w:pPr>
        <w:pStyle w:val="TableFigureFooter"/>
        <w:rPr>
          <w:i/>
          <w:iCs/>
          <w:lang w:eastAsia="en-US"/>
        </w:rPr>
      </w:pPr>
      <w:r w:rsidRPr="006F15B6">
        <w:rPr>
          <w:i/>
          <w:iCs/>
          <w:vertAlign w:val="superscript"/>
          <w:lang w:eastAsia="en-US"/>
        </w:rPr>
        <w:t>3</w:t>
      </w:r>
      <w:r w:rsidRPr="006F15B6">
        <w:rPr>
          <w:i/>
          <w:iCs/>
          <w:lang w:eastAsia="en-US"/>
        </w:rPr>
        <w:t xml:space="preserve"> 40,000 to &lt; 50,000</w:t>
      </w:r>
    </w:p>
    <w:p w14:paraId="5A670038" w14:textId="6D1915AD" w:rsidR="000C36EE" w:rsidRPr="006F15B6" w:rsidRDefault="000C36EE" w:rsidP="007379A5">
      <w:pPr>
        <w:pStyle w:val="TableFigureFooter"/>
        <w:rPr>
          <w:i/>
          <w:iCs/>
          <w:lang w:eastAsia="en-US"/>
        </w:rPr>
      </w:pPr>
      <w:r w:rsidRPr="006F15B6">
        <w:rPr>
          <w:i/>
          <w:iCs/>
          <w:vertAlign w:val="superscript"/>
          <w:lang w:eastAsia="en-US"/>
        </w:rPr>
        <w:t>4</w:t>
      </w:r>
      <w:r w:rsidRPr="006F15B6">
        <w:rPr>
          <w:i/>
          <w:iCs/>
          <w:lang w:eastAsia="en-US"/>
        </w:rPr>
        <w:t xml:space="preserve"> 30,000 to &lt; 40,000</w:t>
      </w:r>
    </w:p>
    <w:p w14:paraId="76618522" w14:textId="0AF715D0" w:rsidR="000C36EE" w:rsidRPr="006F15B6" w:rsidRDefault="000C36EE" w:rsidP="007379A5">
      <w:pPr>
        <w:pStyle w:val="TableFigureFooter"/>
        <w:rPr>
          <w:i/>
          <w:iCs/>
          <w:lang w:eastAsia="en-US"/>
        </w:rPr>
      </w:pPr>
      <w:r w:rsidRPr="006F15B6">
        <w:rPr>
          <w:i/>
          <w:iCs/>
          <w:vertAlign w:val="superscript"/>
          <w:lang w:eastAsia="en-US"/>
        </w:rPr>
        <w:t>5</w:t>
      </w:r>
      <w:r w:rsidRPr="006F15B6">
        <w:rPr>
          <w:i/>
          <w:iCs/>
          <w:lang w:eastAsia="en-US"/>
        </w:rPr>
        <w:t xml:space="preserve"> $40 million to &lt; $50 million</w:t>
      </w:r>
    </w:p>
    <w:p w14:paraId="440C8D00" w14:textId="590BE2E4" w:rsidR="000C36EE" w:rsidRPr="006F15B6" w:rsidRDefault="000C36EE" w:rsidP="007379A5">
      <w:pPr>
        <w:pStyle w:val="TableFigureFooter"/>
        <w:rPr>
          <w:i/>
          <w:iCs/>
          <w:lang w:eastAsia="en-US"/>
        </w:rPr>
      </w:pPr>
      <w:r w:rsidRPr="006F15B6">
        <w:rPr>
          <w:i/>
          <w:iCs/>
          <w:vertAlign w:val="superscript"/>
          <w:lang w:eastAsia="en-US"/>
        </w:rPr>
        <w:t>6</w:t>
      </w:r>
      <w:r w:rsidRPr="006F15B6">
        <w:rPr>
          <w:i/>
          <w:iCs/>
          <w:lang w:eastAsia="en-US"/>
        </w:rPr>
        <w:t xml:space="preserve"> $30 million to &lt; $40 million</w:t>
      </w:r>
    </w:p>
    <w:p w14:paraId="380C288F" w14:textId="41CB4009" w:rsidR="000C36EE" w:rsidRPr="006F15B6" w:rsidRDefault="000C36EE" w:rsidP="007379A5">
      <w:pPr>
        <w:pStyle w:val="TableFigureFooter"/>
        <w:rPr>
          <w:i/>
          <w:iCs/>
          <w:lang w:eastAsia="en-US"/>
        </w:rPr>
      </w:pPr>
      <w:r w:rsidRPr="006F15B6">
        <w:rPr>
          <w:i/>
          <w:iCs/>
          <w:vertAlign w:val="superscript"/>
          <w:lang w:eastAsia="en-US"/>
        </w:rPr>
        <w:t>7</w:t>
      </w:r>
      <w:r w:rsidRPr="006F15B6">
        <w:rPr>
          <w:i/>
          <w:iCs/>
          <w:lang w:eastAsia="en-US"/>
        </w:rPr>
        <w:t xml:space="preserve"> $0 to &lt; $10 million</w:t>
      </w:r>
    </w:p>
    <w:p w14:paraId="2D64725C" w14:textId="61C58E8A" w:rsidR="000C36EE" w:rsidRPr="006F15B6" w:rsidRDefault="000C36EE" w:rsidP="007379A5">
      <w:pPr>
        <w:pStyle w:val="TableFigureFooter"/>
        <w:rPr>
          <w:i/>
          <w:iCs/>
          <w:lang w:eastAsia="en-US"/>
        </w:rPr>
      </w:pPr>
      <w:r w:rsidRPr="006F15B6">
        <w:rPr>
          <w:i/>
          <w:iCs/>
          <w:vertAlign w:val="superscript"/>
          <w:lang w:eastAsia="en-US"/>
        </w:rPr>
        <w:t>8</w:t>
      </w:r>
      <w:r w:rsidRPr="006F15B6">
        <w:rPr>
          <w:i/>
          <w:iCs/>
          <w:lang w:eastAsia="en-US"/>
        </w:rPr>
        <w:t xml:space="preserve"> $50 million to &lt; $60 million</w:t>
      </w:r>
    </w:p>
    <w:p w14:paraId="72FA235D" w14:textId="1F6CACC8" w:rsidR="000C36EE" w:rsidRPr="006F15B6" w:rsidRDefault="000C36EE" w:rsidP="007379A5">
      <w:pPr>
        <w:pStyle w:val="TableFigureFooter"/>
        <w:rPr>
          <w:i/>
          <w:iCs/>
          <w:lang w:eastAsia="en-US"/>
        </w:rPr>
      </w:pPr>
      <w:r w:rsidRPr="006F15B6">
        <w:rPr>
          <w:i/>
          <w:iCs/>
          <w:vertAlign w:val="superscript"/>
          <w:lang w:eastAsia="en-US"/>
        </w:rPr>
        <w:t>9</w:t>
      </w:r>
      <w:r w:rsidRPr="006F15B6">
        <w:rPr>
          <w:i/>
          <w:iCs/>
          <w:lang w:eastAsia="en-US"/>
        </w:rPr>
        <w:t xml:space="preserve"> $70 million to &lt; $80 million</w:t>
      </w:r>
    </w:p>
    <w:p w14:paraId="272D3060" w14:textId="09AA2129" w:rsidR="000C36EE" w:rsidRPr="006F15B6" w:rsidRDefault="000C36EE" w:rsidP="007379A5">
      <w:pPr>
        <w:pStyle w:val="TableFigureFooter"/>
        <w:rPr>
          <w:i/>
          <w:iCs/>
          <w:lang w:eastAsia="en-US"/>
        </w:rPr>
      </w:pPr>
      <w:r w:rsidRPr="006F15B6">
        <w:rPr>
          <w:i/>
          <w:iCs/>
          <w:vertAlign w:val="superscript"/>
          <w:lang w:eastAsia="en-US"/>
        </w:rPr>
        <w:t>10</w:t>
      </w:r>
      <w:r w:rsidRPr="006F15B6">
        <w:rPr>
          <w:i/>
          <w:iCs/>
          <w:lang w:eastAsia="en-US"/>
        </w:rPr>
        <w:t xml:space="preserve"> $60 million to &lt; $70 million</w:t>
      </w:r>
    </w:p>
    <w:p w14:paraId="5EC6DA9D" w14:textId="5554ABD2" w:rsidR="000C36EE" w:rsidRPr="006F15B6" w:rsidRDefault="000C36EE" w:rsidP="007379A5">
      <w:pPr>
        <w:pStyle w:val="TableFigureFooter"/>
        <w:rPr>
          <w:i/>
          <w:iCs/>
          <w:lang w:eastAsia="en-US"/>
        </w:rPr>
      </w:pPr>
      <w:r w:rsidRPr="006F15B6">
        <w:rPr>
          <w:i/>
          <w:iCs/>
          <w:vertAlign w:val="superscript"/>
          <w:lang w:eastAsia="en-US"/>
        </w:rPr>
        <w:t>11</w:t>
      </w:r>
      <w:r w:rsidRPr="006F15B6">
        <w:rPr>
          <w:i/>
          <w:iCs/>
          <w:lang w:eastAsia="en-US"/>
        </w:rPr>
        <w:t xml:space="preserve"> $90 million to &lt; $100 million</w:t>
      </w:r>
    </w:p>
    <w:p w14:paraId="2C507F24" w14:textId="2EA3370C" w:rsidR="000C36EE" w:rsidRPr="006F15B6" w:rsidRDefault="000C36EE" w:rsidP="007379A5">
      <w:pPr>
        <w:pStyle w:val="TableFigureFooter"/>
        <w:rPr>
          <w:i/>
          <w:iCs/>
          <w:lang w:eastAsia="en-US"/>
        </w:rPr>
      </w:pPr>
      <w:r w:rsidRPr="006F15B6">
        <w:rPr>
          <w:i/>
          <w:iCs/>
          <w:vertAlign w:val="superscript"/>
          <w:lang w:eastAsia="en-US"/>
        </w:rPr>
        <w:t>12</w:t>
      </w:r>
      <w:r w:rsidRPr="006F15B6">
        <w:rPr>
          <w:i/>
          <w:iCs/>
          <w:lang w:eastAsia="en-US"/>
        </w:rPr>
        <w:t xml:space="preserve"> $100 million to &lt; $200 million</w:t>
      </w:r>
    </w:p>
    <w:p w14:paraId="50E71700" w14:textId="1F4CD3EE" w:rsidR="005671EC" w:rsidRPr="007C65D7" w:rsidRDefault="005671EC" w:rsidP="005671EC">
      <w:pPr>
        <w:pStyle w:val="3-BodyText"/>
        <w:spacing w:before="120"/>
        <w:rPr>
          <w:lang w:eastAsia="en-US"/>
        </w:rPr>
      </w:pPr>
      <w:r w:rsidRPr="007C65D7">
        <w:rPr>
          <w:lang w:eastAsia="en-US"/>
        </w:rPr>
        <w:t>The estimated cost to the PBS/RPBS of listing mavacamten for obstructive HCM ranged from $</w:t>
      </w:r>
      <w:r w:rsidR="00CA6763">
        <w:rPr>
          <w:lang w:eastAsia="en-US"/>
        </w:rPr>
        <w:t>40 million to &lt; $50 million</w:t>
      </w:r>
      <w:r w:rsidRPr="007C65D7">
        <w:rPr>
          <w:lang w:eastAsia="en-US"/>
        </w:rPr>
        <w:t xml:space="preserve"> to $</w:t>
      </w:r>
      <w:r w:rsidR="00CA6763">
        <w:rPr>
          <w:lang w:eastAsia="en-US"/>
        </w:rPr>
        <w:t>30 million to &lt; $40</w:t>
      </w:r>
      <w:r w:rsidRPr="007C65D7">
        <w:rPr>
          <w:lang w:eastAsia="en-US"/>
        </w:rPr>
        <w:t xml:space="preserve"> million per year, with a cumulative total of $</w:t>
      </w:r>
      <w:r w:rsidR="00216021">
        <w:rPr>
          <w:lang w:eastAsia="en-US"/>
        </w:rPr>
        <w:t>200 million to &lt; $300</w:t>
      </w:r>
      <w:r w:rsidR="00216021" w:rsidRPr="007C65D7">
        <w:rPr>
          <w:lang w:eastAsia="en-US"/>
        </w:rPr>
        <w:t xml:space="preserve"> </w:t>
      </w:r>
      <w:r w:rsidRPr="007C65D7">
        <w:rPr>
          <w:lang w:eastAsia="en-US"/>
        </w:rPr>
        <w:t>million over the first 6 years of listing. Including MBS and Service Australia costs, the net cost to Government over 6 years is estimate</w:t>
      </w:r>
      <w:r w:rsidR="00442F1B" w:rsidRPr="007C65D7">
        <w:rPr>
          <w:lang w:eastAsia="en-US"/>
        </w:rPr>
        <w:t>d</w:t>
      </w:r>
      <w:r w:rsidRPr="007C65D7">
        <w:rPr>
          <w:lang w:eastAsia="en-US"/>
        </w:rPr>
        <w:t xml:space="preserve"> to be $</w:t>
      </w:r>
      <w:r w:rsidR="00CA6763">
        <w:rPr>
          <w:lang w:eastAsia="en-US"/>
        </w:rPr>
        <w:t>200 million to &lt; $300</w:t>
      </w:r>
      <w:r w:rsidRPr="007C65D7">
        <w:rPr>
          <w:lang w:eastAsia="en-US"/>
        </w:rPr>
        <w:t xml:space="preserve"> million.</w:t>
      </w:r>
    </w:p>
    <w:p w14:paraId="2FC5F5D2" w14:textId="77777777" w:rsidR="001A62D7" w:rsidRPr="007C65D7" w:rsidRDefault="001A62D7" w:rsidP="001A62D7">
      <w:pPr>
        <w:pStyle w:val="4-SubsectionHeading"/>
        <w:keepNext/>
        <w:jc w:val="both"/>
        <w:rPr>
          <w:lang w:eastAsia="en-AU"/>
        </w:rPr>
      </w:pPr>
      <w:bookmarkStart w:id="22" w:name="_Toc22897649"/>
      <w:bookmarkStart w:id="23" w:name="_Toc107927635"/>
      <w:bookmarkStart w:id="24" w:name="_Toc135223335"/>
      <w:r w:rsidRPr="007C65D7">
        <w:rPr>
          <w:lang w:eastAsia="en-AU"/>
        </w:rPr>
        <w:lastRenderedPageBreak/>
        <w:t>Financial Management – Risk Sharing Arrangements</w:t>
      </w:r>
      <w:bookmarkEnd w:id="22"/>
      <w:bookmarkEnd w:id="23"/>
      <w:bookmarkEnd w:id="24"/>
      <w:r w:rsidRPr="007C65D7">
        <w:rPr>
          <w:lang w:eastAsia="en-AU"/>
        </w:rPr>
        <w:t xml:space="preserve"> </w:t>
      </w:r>
    </w:p>
    <w:p w14:paraId="071BE15F" w14:textId="725FEDA7" w:rsidR="001A62D7" w:rsidRPr="007C65D7" w:rsidRDefault="001A62D7" w:rsidP="001A62D7">
      <w:pPr>
        <w:pStyle w:val="3-BodyText"/>
      </w:pPr>
      <w:r w:rsidRPr="007C65D7">
        <w:t>In July 2023, the PBAC considered that a resubmission should include a revised RSA inclusive of a 100% rebate to Government for expenditure over the subsidisation cap using the revised financial estimates with a reduced drug price (paragraph 7.13</w:t>
      </w:r>
      <w:r w:rsidR="005A3339" w:rsidRPr="007C65D7">
        <w:t>, mavacamten</w:t>
      </w:r>
      <w:r w:rsidR="00AF7704" w:rsidRPr="007C65D7">
        <w:t xml:space="preserve"> PSD</w:t>
      </w:r>
      <w:r w:rsidR="005A3339" w:rsidRPr="007C65D7">
        <w:t>, July 2023</w:t>
      </w:r>
      <w:r w:rsidR="00AF7704" w:rsidRPr="007C65D7">
        <w:t xml:space="preserve"> PBAC meeting</w:t>
      </w:r>
      <w:r w:rsidRPr="007C65D7">
        <w:t>).</w:t>
      </w:r>
    </w:p>
    <w:p w14:paraId="53A19B87" w14:textId="1A2EDA71" w:rsidR="001A62D7" w:rsidRPr="007C65D7" w:rsidRDefault="001A62D7" w:rsidP="001A62D7">
      <w:pPr>
        <w:pStyle w:val="3-BodyText"/>
        <w:rPr>
          <w:rFonts w:eastAsia="Calibri"/>
        </w:rPr>
      </w:pPr>
      <w:r w:rsidRPr="007C65D7">
        <w:t xml:space="preserve">The </w:t>
      </w:r>
      <w:r w:rsidR="00AF7704" w:rsidRPr="007C65D7">
        <w:t>resubmission</w:t>
      </w:r>
      <w:r w:rsidRPr="007C65D7">
        <w:t xml:space="preserve"> present</w:t>
      </w:r>
      <w:r w:rsidR="005A3339" w:rsidRPr="007C65D7">
        <w:t>ed</w:t>
      </w:r>
      <w:r w:rsidRPr="007C65D7">
        <w:t xml:space="preserve"> a proposed subsidisation cap</w:t>
      </w:r>
      <w:r w:rsidRPr="007C65D7">
        <w:rPr>
          <w:rFonts w:eastAsia="Calibri"/>
        </w:rPr>
        <w:t xml:space="preserve"> below,</w:t>
      </w:r>
      <w:r w:rsidR="005A3339" w:rsidRPr="007C65D7">
        <w:rPr>
          <w:rFonts w:eastAsia="Calibri"/>
        </w:rPr>
        <w:t xml:space="preserve"> based on net cost to PBS/RPBS,</w:t>
      </w:r>
      <w:r w:rsidRPr="007C65D7">
        <w:rPr>
          <w:rFonts w:eastAsia="Calibri"/>
        </w:rPr>
        <w:t xml:space="preserve"> above which the </w:t>
      </w:r>
      <w:r w:rsidR="00AF7704" w:rsidRPr="007C65D7">
        <w:rPr>
          <w:rFonts w:eastAsia="Calibri"/>
        </w:rPr>
        <w:t>s</w:t>
      </w:r>
      <w:r w:rsidRPr="007C65D7">
        <w:rPr>
          <w:rFonts w:eastAsia="Calibri"/>
        </w:rPr>
        <w:t>ponsor will pay a</w:t>
      </w:r>
      <w:r w:rsidR="00521B0F" w:rsidRPr="00521B0F">
        <w:rPr>
          <w:rFonts w:eastAsia="Calibri"/>
        </w:rPr>
        <w:t xml:space="preserve"> </w:t>
      </w:r>
      <w:r w:rsidR="00521B0F" w:rsidRPr="00DB3A96">
        <w:rPr>
          <w:rFonts w:eastAsia="Calibri"/>
          <w:color w:val="000000"/>
          <w:w w:val="15"/>
          <w:shd w:val="solid" w:color="000000" w:fill="000000"/>
          <w:fitText w:val="-20" w:id="-1032076020"/>
          <w14:textFill>
            <w14:solidFill>
              <w14:srgbClr w14:val="000000">
                <w14:alpha w14:val="100000"/>
              </w14:srgbClr>
            </w14:solidFill>
          </w14:textFill>
        </w:rPr>
        <w:t xml:space="preserve">| </w:t>
      </w:r>
      <w:r w:rsidR="00521B0F" w:rsidRPr="00DB3A96">
        <w:rPr>
          <w:rFonts w:eastAsia="Calibri"/>
          <w:color w:val="000000"/>
          <w:spacing w:val="-61"/>
          <w:w w:val="15"/>
          <w:shd w:val="solid" w:color="000000" w:fill="000000"/>
          <w:fitText w:val="-20" w:id="-1032076020"/>
          <w14:textFill>
            <w14:solidFill>
              <w14:srgbClr w14:val="000000">
                <w14:alpha w14:val="100000"/>
              </w14:srgbClr>
            </w14:solidFill>
          </w14:textFill>
        </w:rPr>
        <w:t>|</w:t>
      </w:r>
      <w:r w:rsidRPr="007C65D7">
        <w:rPr>
          <w:rFonts w:eastAsia="Calibri"/>
        </w:rPr>
        <w:t>% rebate for additional utilisation.</w:t>
      </w:r>
    </w:p>
    <w:p w14:paraId="79D875B6" w14:textId="4E433E39" w:rsidR="001A62D7" w:rsidRPr="007C65D7" w:rsidRDefault="001A62D7" w:rsidP="005A3339">
      <w:pPr>
        <w:pStyle w:val="Caption"/>
        <w:spacing w:after="0"/>
        <w:rPr>
          <w:rStyle w:val="CommentReference"/>
          <w:i w:val="0"/>
          <w:iCs w:val="0"/>
        </w:rPr>
      </w:pPr>
      <w:r w:rsidRPr="007C65D7">
        <w:rPr>
          <w:rStyle w:val="CommentReference"/>
          <w:i w:val="0"/>
          <w:iCs w:val="0"/>
        </w:rPr>
        <w:t>Table</w:t>
      </w:r>
      <w:r w:rsidR="005A3339" w:rsidRPr="007C65D7">
        <w:rPr>
          <w:rStyle w:val="CommentReference"/>
          <w:i w:val="0"/>
          <w:iCs w:val="0"/>
        </w:rPr>
        <w:t xml:space="preserve"> </w:t>
      </w:r>
      <w:r w:rsidR="005A3339" w:rsidRPr="007C65D7">
        <w:rPr>
          <w:rStyle w:val="CommentReference"/>
          <w:i w:val="0"/>
          <w:iCs w:val="0"/>
        </w:rPr>
        <w:fldChar w:fldCharType="begin" w:fldLock="1"/>
      </w:r>
      <w:r w:rsidR="005A3339" w:rsidRPr="007C65D7">
        <w:rPr>
          <w:rStyle w:val="CommentReference"/>
          <w:i w:val="0"/>
          <w:iCs w:val="0"/>
        </w:rPr>
        <w:instrText xml:space="preserve"> SEQ Table \* ARABIC </w:instrText>
      </w:r>
      <w:r w:rsidR="005A3339" w:rsidRPr="007C65D7">
        <w:rPr>
          <w:rStyle w:val="CommentReference"/>
          <w:i w:val="0"/>
          <w:iCs w:val="0"/>
        </w:rPr>
        <w:fldChar w:fldCharType="separate"/>
      </w:r>
      <w:r w:rsidR="00707345" w:rsidRPr="00DF2D4F">
        <w:rPr>
          <w:rStyle w:val="CommentReference"/>
          <w:i w:val="0"/>
          <w:iCs w:val="0"/>
        </w:rPr>
        <w:t>7</w:t>
      </w:r>
      <w:r w:rsidR="005A3339" w:rsidRPr="007C65D7">
        <w:rPr>
          <w:rStyle w:val="CommentReference"/>
          <w:i w:val="0"/>
          <w:iCs w:val="0"/>
        </w:rPr>
        <w:fldChar w:fldCharType="end"/>
      </w:r>
      <w:r w:rsidRPr="007C65D7">
        <w:rPr>
          <w:rStyle w:val="CommentReference"/>
          <w:i w:val="0"/>
          <w:iCs w:val="0"/>
        </w:rPr>
        <w:t>: Proposed risk sharing arrangement subsidisation cap</w:t>
      </w:r>
    </w:p>
    <w:tbl>
      <w:tblPr>
        <w:tblStyle w:val="ASDTable5"/>
        <w:tblW w:w="9067" w:type="dxa"/>
        <w:tblCellMar>
          <w:left w:w="28" w:type="dxa"/>
          <w:right w:w="28" w:type="dxa"/>
        </w:tblCellMar>
        <w:tblLook w:val="04A0" w:firstRow="1" w:lastRow="0" w:firstColumn="1" w:lastColumn="0" w:noHBand="0" w:noVBand="1"/>
        <w:tblCaption w:val="Table 7: Proposed risk sharing arrangement subsidisation cap"/>
        <w:tblDescription w:val="Table 7: Proposed risk sharing arrangement subsidisation cap"/>
      </w:tblPr>
      <w:tblGrid>
        <w:gridCol w:w="1838"/>
        <w:gridCol w:w="1445"/>
        <w:gridCol w:w="1446"/>
        <w:gridCol w:w="1446"/>
        <w:gridCol w:w="1446"/>
        <w:gridCol w:w="1446"/>
      </w:tblGrid>
      <w:tr w:rsidR="00131C77" w:rsidRPr="007C65D7" w14:paraId="04520794" w14:textId="77777777" w:rsidTr="002D2C0B">
        <w:trPr>
          <w:trHeight w:val="340"/>
        </w:trPr>
        <w:tc>
          <w:tcPr>
            <w:tcW w:w="1838" w:type="dxa"/>
            <w:tcBorders>
              <w:bottom w:val="single" w:sz="4" w:space="0" w:color="auto"/>
            </w:tcBorders>
            <w:shd w:val="clear" w:color="auto" w:fill="FFFFFF" w:themeFill="background1"/>
            <w:vAlign w:val="center"/>
          </w:tcPr>
          <w:p w14:paraId="0028C800" w14:textId="77777777" w:rsidR="001A62D7" w:rsidRPr="007C65D7" w:rsidRDefault="001A62D7" w:rsidP="008B2F5F">
            <w:pPr>
              <w:spacing w:after="120" w:line="276" w:lineRule="auto"/>
              <w:rPr>
                <w:rFonts w:ascii="Arial Narrow" w:hAnsi="Arial Narrow"/>
                <w:sz w:val="20"/>
                <w:szCs w:val="20"/>
              </w:rPr>
            </w:pPr>
          </w:p>
        </w:tc>
        <w:tc>
          <w:tcPr>
            <w:tcW w:w="1445" w:type="dxa"/>
            <w:tcBorders>
              <w:bottom w:val="single" w:sz="4" w:space="0" w:color="auto"/>
            </w:tcBorders>
            <w:shd w:val="clear" w:color="auto" w:fill="FFFFFF" w:themeFill="background1"/>
            <w:vAlign w:val="center"/>
          </w:tcPr>
          <w:p w14:paraId="378D454C" w14:textId="77777777" w:rsidR="001A62D7" w:rsidRPr="007C65D7" w:rsidRDefault="001A62D7" w:rsidP="002D2C0B">
            <w:pPr>
              <w:spacing w:line="276" w:lineRule="auto"/>
              <w:jc w:val="center"/>
              <w:rPr>
                <w:rFonts w:ascii="Arial Narrow" w:hAnsi="Arial Narrow"/>
                <w:b/>
                <w:bCs/>
                <w:sz w:val="20"/>
                <w:szCs w:val="20"/>
              </w:rPr>
            </w:pPr>
            <w:r w:rsidRPr="007C65D7">
              <w:rPr>
                <w:rFonts w:ascii="Arial Narrow" w:hAnsi="Arial Narrow"/>
                <w:b/>
                <w:sz w:val="20"/>
                <w:szCs w:val="20"/>
              </w:rPr>
              <w:t>2024</w:t>
            </w:r>
          </w:p>
        </w:tc>
        <w:tc>
          <w:tcPr>
            <w:tcW w:w="1446" w:type="dxa"/>
            <w:tcBorders>
              <w:bottom w:val="single" w:sz="4" w:space="0" w:color="auto"/>
            </w:tcBorders>
            <w:shd w:val="clear" w:color="auto" w:fill="FFFFFF" w:themeFill="background1"/>
            <w:vAlign w:val="center"/>
          </w:tcPr>
          <w:p w14:paraId="41A84F46" w14:textId="77777777" w:rsidR="001A62D7" w:rsidRPr="007C65D7" w:rsidRDefault="001A62D7" w:rsidP="002D2C0B">
            <w:pPr>
              <w:spacing w:line="276" w:lineRule="auto"/>
              <w:jc w:val="center"/>
              <w:rPr>
                <w:rFonts w:ascii="Arial Narrow" w:hAnsi="Arial Narrow"/>
                <w:b/>
                <w:bCs/>
                <w:sz w:val="20"/>
                <w:szCs w:val="20"/>
              </w:rPr>
            </w:pPr>
            <w:r w:rsidRPr="007C65D7">
              <w:rPr>
                <w:rFonts w:ascii="Arial Narrow" w:hAnsi="Arial Narrow"/>
                <w:b/>
                <w:sz w:val="20"/>
                <w:szCs w:val="20"/>
              </w:rPr>
              <w:t>2025</w:t>
            </w:r>
          </w:p>
        </w:tc>
        <w:tc>
          <w:tcPr>
            <w:tcW w:w="1446" w:type="dxa"/>
            <w:tcBorders>
              <w:bottom w:val="single" w:sz="4" w:space="0" w:color="auto"/>
            </w:tcBorders>
            <w:shd w:val="clear" w:color="auto" w:fill="FFFFFF" w:themeFill="background1"/>
            <w:vAlign w:val="center"/>
          </w:tcPr>
          <w:p w14:paraId="70F61069" w14:textId="77777777" w:rsidR="001A62D7" w:rsidRPr="007C65D7" w:rsidRDefault="001A62D7" w:rsidP="002D2C0B">
            <w:pPr>
              <w:spacing w:line="276" w:lineRule="auto"/>
              <w:jc w:val="center"/>
              <w:rPr>
                <w:rFonts w:ascii="Arial Narrow" w:hAnsi="Arial Narrow"/>
                <w:b/>
                <w:bCs/>
                <w:sz w:val="20"/>
                <w:szCs w:val="20"/>
              </w:rPr>
            </w:pPr>
            <w:r w:rsidRPr="007C65D7">
              <w:rPr>
                <w:rFonts w:ascii="Arial Narrow" w:hAnsi="Arial Narrow"/>
                <w:b/>
                <w:sz w:val="20"/>
                <w:szCs w:val="20"/>
              </w:rPr>
              <w:t>2026</w:t>
            </w:r>
          </w:p>
        </w:tc>
        <w:tc>
          <w:tcPr>
            <w:tcW w:w="1446" w:type="dxa"/>
            <w:tcBorders>
              <w:bottom w:val="single" w:sz="4" w:space="0" w:color="auto"/>
            </w:tcBorders>
            <w:shd w:val="clear" w:color="auto" w:fill="FFFFFF" w:themeFill="background1"/>
            <w:vAlign w:val="center"/>
          </w:tcPr>
          <w:p w14:paraId="2AE08023" w14:textId="77777777" w:rsidR="001A62D7" w:rsidRPr="007C65D7" w:rsidRDefault="001A62D7" w:rsidP="002D2C0B">
            <w:pPr>
              <w:spacing w:line="276" w:lineRule="auto"/>
              <w:jc w:val="center"/>
              <w:rPr>
                <w:rFonts w:ascii="Arial Narrow" w:hAnsi="Arial Narrow"/>
                <w:b/>
                <w:bCs/>
                <w:sz w:val="20"/>
                <w:szCs w:val="20"/>
              </w:rPr>
            </w:pPr>
            <w:r w:rsidRPr="007C65D7">
              <w:rPr>
                <w:rFonts w:ascii="Arial Narrow" w:hAnsi="Arial Narrow"/>
                <w:b/>
                <w:sz w:val="20"/>
                <w:szCs w:val="20"/>
              </w:rPr>
              <w:t>2027</w:t>
            </w:r>
          </w:p>
        </w:tc>
        <w:tc>
          <w:tcPr>
            <w:tcW w:w="1446" w:type="dxa"/>
            <w:tcBorders>
              <w:bottom w:val="single" w:sz="4" w:space="0" w:color="auto"/>
            </w:tcBorders>
            <w:shd w:val="clear" w:color="auto" w:fill="FFFFFF" w:themeFill="background1"/>
            <w:vAlign w:val="center"/>
          </w:tcPr>
          <w:p w14:paraId="01A07917" w14:textId="77777777" w:rsidR="001A62D7" w:rsidRPr="007C65D7" w:rsidRDefault="001A62D7" w:rsidP="002D2C0B">
            <w:pPr>
              <w:spacing w:line="276" w:lineRule="auto"/>
              <w:jc w:val="center"/>
              <w:rPr>
                <w:rFonts w:ascii="Arial Narrow" w:hAnsi="Arial Narrow"/>
                <w:b/>
                <w:bCs/>
                <w:sz w:val="20"/>
                <w:szCs w:val="20"/>
              </w:rPr>
            </w:pPr>
            <w:r w:rsidRPr="007C65D7">
              <w:rPr>
                <w:rFonts w:ascii="Arial Narrow" w:hAnsi="Arial Narrow"/>
                <w:b/>
                <w:sz w:val="20"/>
                <w:szCs w:val="20"/>
              </w:rPr>
              <w:t>2028</w:t>
            </w:r>
          </w:p>
        </w:tc>
      </w:tr>
      <w:tr w:rsidR="001A62D7" w:rsidRPr="007C65D7" w14:paraId="3E947FE7" w14:textId="77777777" w:rsidTr="002D2C0B">
        <w:trPr>
          <w:trHeight w:val="321"/>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9F9704A" w14:textId="3FFD3405" w:rsidR="001A62D7" w:rsidRPr="007C65D7" w:rsidRDefault="001A62D7" w:rsidP="00521B0F">
            <w:pPr>
              <w:spacing w:line="276" w:lineRule="auto"/>
              <w:rPr>
                <w:rFonts w:ascii="Arial Narrow" w:hAnsi="Arial Narrow"/>
                <w:bCs/>
                <w:sz w:val="20"/>
                <w:szCs w:val="20"/>
              </w:rPr>
            </w:pPr>
            <w:r w:rsidRPr="007C65D7">
              <w:rPr>
                <w:rFonts w:ascii="Arial Narrow" w:hAnsi="Arial Narrow"/>
                <w:bCs/>
                <w:sz w:val="20"/>
                <w:szCs w:val="20"/>
              </w:rPr>
              <w:t>Net cost to PBS/RPBS</w:t>
            </w:r>
            <w:r w:rsidR="00521B0F">
              <w:rPr>
                <w:rFonts w:ascii="Arial Narrow" w:hAnsi="Arial Narrow"/>
                <w:bCs/>
                <w:sz w:val="20"/>
                <w:szCs w:val="20"/>
              </w:rPr>
              <w:t xml:space="preserve"> ($)</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51559CB5" w14:textId="26C74360" w:rsidR="001A62D7" w:rsidRPr="006F15B6" w:rsidRDefault="00521B0F" w:rsidP="002D2C0B">
            <w:pPr>
              <w:spacing w:after="120" w:line="276" w:lineRule="auto"/>
              <w:jc w:val="center"/>
              <w:rPr>
                <w:rFonts w:ascii="Arial Narrow" w:hAnsi="Arial Narrow"/>
                <w:bCs/>
                <w:sz w:val="20"/>
                <w:szCs w:val="20"/>
                <w:highlight w:val="darkGray"/>
              </w:rPr>
            </w:pPr>
            <w:r w:rsidRPr="00521B0F">
              <w:rPr>
                <w:rFonts w:ascii="Arial Narrow" w:hAnsi="Arial Narrow"/>
                <w:color w:val="000000"/>
                <w:sz w:val="20"/>
                <w:szCs w:val="20"/>
                <w:shd w:val="solid" w:color="000000" w:fill="000000"/>
                <w14:textFill>
                  <w14:solidFill>
                    <w14:srgbClr w14:val="000000">
                      <w14:alpha w14:val="100000"/>
                    </w14:srgbClr>
                  </w14:solidFill>
                </w14:textFill>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C69B3D4" w14:textId="45709164" w:rsidR="001A62D7" w:rsidRPr="006F15B6" w:rsidRDefault="00521B0F" w:rsidP="002D2C0B">
            <w:pPr>
              <w:spacing w:after="120" w:line="276" w:lineRule="auto"/>
              <w:jc w:val="center"/>
              <w:rPr>
                <w:rFonts w:ascii="Arial Narrow" w:hAnsi="Arial Narrow"/>
                <w:bCs/>
                <w:sz w:val="20"/>
                <w:szCs w:val="20"/>
                <w:highlight w:val="darkGray"/>
              </w:rPr>
            </w:pPr>
            <w:r w:rsidRPr="00521B0F">
              <w:rPr>
                <w:rFonts w:ascii="Arial Narrow" w:hAnsi="Arial Narrow"/>
                <w:color w:val="000000"/>
                <w:sz w:val="20"/>
                <w:szCs w:val="20"/>
                <w:shd w:val="solid" w:color="000000" w:fill="000000"/>
                <w14:textFill>
                  <w14:solidFill>
                    <w14:srgbClr w14:val="000000">
                      <w14:alpha w14:val="100000"/>
                    </w14:srgbClr>
                  </w14:solidFill>
                </w14:textFill>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E24B151" w14:textId="0A86892A" w:rsidR="001A62D7" w:rsidRPr="006F15B6" w:rsidRDefault="00521B0F" w:rsidP="002D2C0B">
            <w:pPr>
              <w:spacing w:after="120" w:line="276" w:lineRule="auto"/>
              <w:jc w:val="center"/>
              <w:rPr>
                <w:rFonts w:ascii="Arial Narrow" w:hAnsi="Arial Narrow"/>
                <w:bCs/>
                <w:sz w:val="20"/>
                <w:szCs w:val="20"/>
                <w:highlight w:val="darkGray"/>
              </w:rPr>
            </w:pPr>
            <w:r w:rsidRPr="00521B0F">
              <w:rPr>
                <w:rFonts w:ascii="Arial Narrow" w:hAnsi="Arial Narrow"/>
                <w:color w:val="000000"/>
                <w:sz w:val="20"/>
                <w:szCs w:val="20"/>
                <w:shd w:val="solid" w:color="000000" w:fill="000000"/>
                <w14:textFill>
                  <w14:solidFill>
                    <w14:srgbClr w14:val="000000">
                      <w14:alpha w14:val="100000"/>
                    </w14:srgbClr>
                  </w14:solidFill>
                </w14:textFill>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0B36072" w14:textId="6648CFF2" w:rsidR="001A62D7" w:rsidRPr="006F15B6" w:rsidRDefault="00521B0F" w:rsidP="002D2C0B">
            <w:pPr>
              <w:spacing w:after="120" w:line="276" w:lineRule="auto"/>
              <w:jc w:val="center"/>
              <w:rPr>
                <w:rFonts w:ascii="Arial Narrow" w:hAnsi="Arial Narrow"/>
                <w:bCs/>
                <w:sz w:val="20"/>
                <w:szCs w:val="20"/>
                <w:highlight w:val="darkGray"/>
              </w:rPr>
            </w:pPr>
            <w:r w:rsidRPr="00521B0F">
              <w:rPr>
                <w:rFonts w:ascii="Arial Narrow" w:hAnsi="Arial Narrow"/>
                <w:color w:val="000000"/>
                <w:sz w:val="20"/>
                <w:szCs w:val="20"/>
                <w:shd w:val="solid" w:color="000000" w:fill="000000"/>
                <w14:textFill>
                  <w14:solidFill>
                    <w14:srgbClr w14:val="000000">
                      <w14:alpha w14:val="100000"/>
                    </w14:srgbClr>
                  </w14:solidFill>
                </w14:textFill>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C87BE18" w14:textId="125E5FE4" w:rsidR="001A62D7" w:rsidRPr="006F15B6" w:rsidRDefault="00521B0F" w:rsidP="002D2C0B">
            <w:pPr>
              <w:spacing w:after="120" w:line="276" w:lineRule="auto"/>
              <w:jc w:val="center"/>
              <w:rPr>
                <w:rFonts w:ascii="Arial Narrow" w:hAnsi="Arial Narrow"/>
                <w:bCs/>
                <w:sz w:val="20"/>
                <w:szCs w:val="20"/>
                <w:highlight w:val="darkGray"/>
              </w:rPr>
            </w:pPr>
            <w:r w:rsidRPr="00521B0F">
              <w:rPr>
                <w:rFonts w:ascii="Arial Narrow" w:hAnsi="Arial Narrow"/>
                <w:color w:val="000000"/>
                <w:sz w:val="20"/>
                <w:szCs w:val="20"/>
                <w:shd w:val="solid" w:color="000000" w:fill="000000"/>
                <w14:textFill>
                  <w14:solidFill>
                    <w14:srgbClr w14:val="000000">
                      <w14:alpha w14:val="100000"/>
                    </w14:srgbClr>
                  </w14:solidFill>
                </w14:textFill>
              </w:rPr>
              <w:t>|</w:t>
            </w:r>
          </w:p>
        </w:tc>
      </w:tr>
    </w:tbl>
    <w:p w14:paraId="108F8F78" w14:textId="14AD57A0" w:rsidR="008E0570" w:rsidRDefault="005A3339" w:rsidP="005A3339">
      <w:pPr>
        <w:pStyle w:val="FooterTableFigure"/>
        <w:rPr>
          <w:rFonts w:eastAsia="Calibri"/>
        </w:rPr>
      </w:pPr>
      <w:r w:rsidRPr="007C65D7">
        <w:t xml:space="preserve">Source: Table 16, p 26 of resubmission. </w:t>
      </w:r>
      <w:r w:rsidR="001A62D7" w:rsidRPr="007C65D7">
        <w:rPr>
          <w:rFonts w:eastAsia="Calibri"/>
        </w:rPr>
        <w:t>Calculations from Worksheet 3c. Impact - proposed (eff), ‘Mavacamten</w:t>
      </w:r>
      <w:r w:rsidR="006F15B6">
        <w:rPr>
          <w:rFonts w:eastAsia="Calibri"/>
        </w:rPr>
        <w:t xml:space="preserve"> </w:t>
      </w:r>
      <w:r w:rsidR="001A62D7" w:rsidRPr="007C65D7">
        <w:rPr>
          <w:rFonts w:eastAsia="Calibri"/>
        </w:rPr>
        <w:t>obstructive HCM</w:t>
      </w:r>
      <w:r w:rsidR="006F15B6">
        <w:rPr>
          <w:rFonts w:eastAsia="Calibri"/>
        </w:rPr>
        <w:t xml:space="preserve"> </w:t>
      </w:r>
      <w:r w:rsidR="001A62D7" w:rsidRPr="007C65D7">
        <w:rPr>
          <w:rFonts w:eastAsia="Calibri"/>
        </w:rPr>
        <w:t>Utilisation and Cost Model-Early-Re-entry-Resubmission’.</w:t>
      </w:r>
    </w:p>
    <w:p w14:paraId="2DCCC86E" w14:textId="3DF99271" w:rsidR="008A4863" w:rsidRPr="008A4863" w:rsidRDefault="008A4863" w:rsidP="008A4863">
      <w:pPr>
        <w:spacing w:after="200" w:line="276" w:lineRule="auto"/>
        <w:ind w:left="709"/>
        <w:rPr>
          <w:rFonts w:asciiTheme="minorHAnsi" w:hAnsiTheme="minorHAnsi" w:cstheme="minorHAnsi"/>
          <w:i/>
        </w:rPr>
      </w:pPr>
      <w:r w:rsidRPr="008A4863">
        <w:rPr>
          <w:rFonts w:asciiTheme="minorHAnsi" w:hAnsiTheme="minorHAnsi" w:cstheme="minorHAnsi"/>
          <w:i/>
        </w:rPr>
        <w:t>For more detail on PBAC’s view, see section 5 PBAC outcome</w:t>
      </w:r>
    </w:p>
    <w:p w14:paraId="63387D54" w14:textId="77777777" w:rsidR="009102CA" w:rsidRPr="007C65D7" w:rsidRDefault="009102CA" w:rsidP="00DD59D8">
      <w:pPr>
        <w:pStyle w:val="2-SectionHeading"/>
        <w:numPr>
          <w:ilvl w:val="0"/>
          <w:numId w:val="2"/>
        </w:numPr>
      </w:pPr>
      <w:bookmarkStart w:id="25" w:name="_Hlk76381249"/>
      <w:bookmarkStart w:id="26" w:name="_Hlk76377955"/>
      <w:r w:rsidRPr="007C65D7">
        <w:t>PBAC Outcome</w:t>
      </w:r>
    </w:p>
    <w:p w14:paraId="39D3D3E2" w14:textId="1607C1FF" w:rsidR="0001611A" w:rsidRPr="00DF2D4F" w:rsidRDefault="00AD5FE8" w:rsidP="001172C3">
      <w:pPr>
        <w:pStyle w:val="3-BodyText"/>
        <w:rPr>
          <w:snapToGrid w:val="0"/>
        </w:rPr>
      </w:pPr>
      <w:r w:rsidRPr="00DF2D4F">
        <w:rPr>
          <w:snapToGrid w:val="0"/>
        </w:rPr>
        <w:t>The PBAC recommended the listing of mavacamte</w:t>
      </w:r>
      <w:r w:rsidR="00706BB5" w:rsidRPr="00DF2D4F">
        <w:rPr>
          <w:snapToGrid w:val="0"/>
        </w:rPr>
        <w:t>n</w:t>
      </w:r>
      <w:r w:rsidRPr="00DF2D4F">
        <w:rPr>
          <w:snapToGrid w:val="0"/>
        </w:rPr>
        <w:t xml:space="preserve"> for the treatment of adults with symptomatic obstructive hypertrophic cardiomyopathy (HCM). </w:t>
      </w:r>
      <w:r w:rsidR="0001611A" w:rsidRPr="00DF2D4F">
        <w:rPr>
          <w:snapToGrid w:val="0"/>
        </w:rPr>
        <w:t>The PBAC is satisfied that mavacamten provides, for some patients, a significant improvement in efficacy over standard of care, in terms of symptomatic improvement</w:t>
      </w:r>
      <w:r w:rsidR="00EB6C8F" w:rsidRPr="00DF2D4F">
        <w:rPr>
          <w:snapToGrid w:val="0"/>
        </w:rPr>
        <w:t>, and it would be cost effective at the reduced price proposed in the resubmission</w:t>
      </w:r>
      <w:r w:rsidR="0001611A" w:rsidRPr="00DF2D4F">
        <w:rPr>
          <w:snapToGrid w:val="0"/>
        </w:rPr>
        <w:t>.</w:t>
      </w:r>
    </w:p>
    <w:p w14:paraId="46C86511" w14:textId="7C646C27" w:rsidR="0001611A" w:rsidRPr="00DF2D4F" w:rsidRDefault="0001611A" w:rsidP="0001611A">
      <w:pPr>
        <w:pStyle w:val="3-BodyText"/>
        <w:rPr>
          <w:rFonts w:cstheme="minorHAnsi"/>
          <w:snapToGrid w:val="0"/>
        </w:rPr>
      </w:pPr>
      <w:r w:rsidRPr="00DF2D4F">
        <w:rPr>
          <w:rFonts w:cstheme="minorHAnsi"/>
        </w:rPr>
        <w:t>The PBAC considered that the resubmission had addressed the substantive outstanding issues identified at the July 2023 meeting via a revised restriction, revised economic modelling, a price reduction, revised financial estimates, and an RSA proposal with a</w:t>
      </w:r>
      <w:r w:rsidR="00521B0F" w:rsidRPr="00521B0F">
        <w:rPr>
          <w:rFonts w:cstheme="minorHAnsi"/>
        </w:rPr>
        <w:t xml:space="preserve"> </w:t>
      </w:r>
      <w:r w:rsidR="00521B0F" w:rsidRPr="00DB3A96">
        <w:rPr>
          <w:rFonts w:cstheme="minorHAnsi"/>
          <w:color w:val="000000"/>
          <w:w w:val="15"/>
          <w:shd w:val="solid" w:color="000000" w:fill="000000"/>
          <w:fitText w:val="-20" w:id="-1032076019"/>
          <w14:textFill>
            <w14:solidFill>
              <w14:srgbClr w14:val="000000">
                <w14:alpha w14:val="100000"/>
              </w14:srgbClr>
            </w14:solidFill>
          </w14:textFill>
        </w:rPr>
        <w:t xml:space="preserve">| </w:t>
      </w:r>
      <w:r w:rsidR="00521B0F" w:rsidRPr="00DB3A96">
        <w:rPr>
          <w:rFonts w:cstheme="minorHAnsi"/>
          <w:color w:val="000000"/>
          <w:spacing w:val="-61"/>
          <w:w w:val="15"/>
          <w:shd w:val="solid" w:color="000000" w:fill="000000"/>
          <w:fitText w:val="-20" w:id="-1032076019"/>
          <w14:textFill>
            <w14:solidFill>
              <w14:srgbClr w14:val="000000">
                <w14:alpha w14:val="100000"/>
              </w14:srgbClr>
            </w14:solidFill>
          </w14:textFill>
        </w:rPr>
        <w:t>|</w:t>
      </w:r>
      <w:r w:rsidRPr="00DF2D4F">
        <w:rPr>
          <w:rFonts w:cstheme="minorHAnsi"/>
        </w:rPr>
        <w:t xml:space="preserve">% rebate above the subsidisation cap. </w:t>
      </w:r>
    </w:p>
    <w:p w14:paraId="1DEE5F9A" w14:textId="28CFC5DE" w:rsidR="0001611A" w:rsidRPr="00DF2D4F" w:rsidRDefault="00056377" w:rsidP="0001611A">
      <w:pPr>
        <w:pStyle w:val="3-BodyText"/>
        <w:rPr>
          <w:rFonts w:cstheme="minorHAnsi"/>
          <w:snapToGrid w:val="0"/>
        </w:rPr>
      </w:pPr>
      <w:r w:rsidRPr="00DF2D4F">
        <w:rPr>
          <w:rFonts w:cstheme="minorHAnsi"/>
        </w:rPr>
        <w:t>The PBAC recalled that it had considered</w:t>
      </w:r>
      <w:r w:rsidR="00374964" w:rsidRPr="00DF2D4F">
        <w:rPr>
          <w:rFonts w:cstheme="minorHAnsi"/>
        </w:rPr>
        <w:t>, based on the key EXPLORER-HCM trial,</w:t>
      </w:r>
      <w:r w:rsidRPr="00DF2D4F">
        <w:rPr>
          <w:rFonts w:cstheme="minorHAnsi"/>
        </w:rPr>
        <w:t xml:space="preserve"> that mavacamten </w:t>
      </w:r>
      <w:r w:rsidR="00374964" w:rsidRPr="00DF2D4F">
        <w:rPr>
          <w:rFonts w:cstheme="minorHAnsi"/>
        </w:rPr>
        <w:t>provided only a moderate improvement in symptomatic outcomes</w:t>
      </w:r>
      <w:r w:rsidR="000C052D" w:rsidRPr="00DF2D4F">
        <w:rPr>
          <w:rFonts w:cstheme="minorHAnsi"/>
        </w:rPr>
        <w:t xml:space="preserve">, that the trial did not demonstrate improvement in </w:t>
      </w:r>
      <w:r w:rsidR="00F52094" w:rsidRPr="00DF2D4F">
        <w:rPr>
          <w:rFonts w:cstheme="minorHAnsi"/>
        </w:rPr>
        <w:t>quality-of-life</w:t>
      </w:r>
      <w:r w:rsidR="000C052D" w:rsidRPr="00DF2D4F">
        <w:rPr>
          <w:rFonts w:cstheme="minorHAnsi"/>
        </w:rPr>
        <w:t xml:space="preserve"> measures</w:t>
      </w:r>
      <w:r w:rsidR="00374964" w:rsidRPr="00DF2D4F">
        <w:rPr>
          <w:rFonts w:cstheme="minorHAnsi"/>
        </w:rPr>
        <w:t xml:space="preserve"> (para 7.7, July</w:t>
      </w:r>
      <w:r w:rsidR="002D2C0B">
        <w:rPr>
          <w:rFonts w:cstheme="minorHAnsi"/>
        </w:rPr>
        <w:t> </w:t>
      </w:r>
      <w:r w:rsidR="00374964" w:rsidRPr="00DF2D4F">
        <w:rPr>
          <w:rFonts w:cstheme="minorHAnsi"/>
        </w:rPr>
        <w:t xml:space="preserve">2023 PSD), </w:t>
      </w:r>
      <w:r w:rsidR="000C052D" w:rsidRPr="00DF2D4F">
        <w:rPr>
          <w:rFonts w:cstheme="minorHAnsi"/>
        </w:rPr>
        <w:t xml:space="preserve">and </w:t>
      </w:r>
      <w:r w:rsidR="00374964" w:rsidRPr="00DF2D4F">
        <w:rPr>
          <w:rFonts w:cstheme="minorHAnsi"/>
        </w:rPr>
        <w:t>that the long-term comparative effectiveness and safety was unknown (para 7.6, November 2022 PSD</w:t>
      </w:r>
      <w:r w:rsidR="000C052D" w:rsidRPr="00DF2D4F">
        <w:rPr>
          <w:rFonts w:cstheme="minorHAnsi"/>
        </w:rPr>
        <w:t>)</w:t>
      </w:r>
      <w:r w:rsidR="00374964" w:rsidRPr="00DF2D4F">
        <w:rPr>
          <w:rFonts w:cstheme="minorHAnsi"/>
        </w:rPr>
        <w:t>.</w:t>
      </w:r>
      <w:r w:rsidR="000C052D" w:rsidRPr="00DF2D4F">
        <w:rPr>
          <w:rFonts w:cstheme="minorHAnsi"/>
        </w:rPr>
        <w:t xml:space="preserve"> However, i</w:t>
      </w:r>
      <w:r w:rsidR="00374964" w:rsidRPr="00DF2D4F">
        <w:rPr>
          <w:rFonts w:cstheme="minorHAnsi"/>
        </w:rPr>
        <w:t>n the context of the unmet need for additional treatments for HCM, and</w:t>
      </w:r>
      <w:r w:rsidR="000C052D" w:rsidRPr="00DF2D4F">
        <w:rPr>
          <w:rFonts w:cstheme="minorHAnsi"/>
        </w:rPr>
        <w:t xml:space="preserve"> the consumer comments that described the </w:t>
      </w:r>
      <w:r w:rsidR="004168BB" w:rsidRPr="00DF2D4F">
        <w:rPr>
          <w:rFonts w:cstheme="minorHAnsi"/>
        </w:rPr>
        <w:t xml:space="preserve">very negative </w:t>
      </w:r>
      <w:r w:rsidR="000C052D" w:rsidRPr="00DF2D4F">
        <w:rPr>
          <w:rFonts w:cstheme="minorHAnsi"/>
        </w:rPr>
        <w:t>impact of the disease on daily life,</w:t>
      </w:r>
      <w:r w:rsidR="00374964" w:rsidRPr="00DF2D4F">
        <w:rPr>
          <w:rFonts w:cstheme="minorHAnsi"/>
        </w:rPr>
        <w:t xml:space="preserve"> the PBAC considered that</w:t>
      </w:r>
      <w:r w:rsidR="00F52094" w:rsidRPr="00DF2D4F">
        <w:rPr>
          <w:rFonts w:cstheme="minorHAnsi"/>
        </w:rPr>
        <w:t xml:space="preserve"> even</w:t>
      </w:r>
      <w:r w:rsidR="00374964" w:rsidRPr="00DF2D4F">
        <w:rPr>
          <w:rFonts w:cstheme="minorHAnsi"/>
        </w:rPr>
        <w:t xml:space="preserve"> this moderate improvement would </w:t>
      </w:r>
      <w:r w:rsidR="00EB6C8F" w:rsidRPr="00DF2D4F">
        <w:rPr>
          <w:rFonts w:cstheme="minorHAnsi"/>
        </w:rPr>
        <w:t>be of</w:t>
      </w:r>
      <w:r w:rsidR="000C052D" w:rsidRPr="00DF2D4F">
        <w:rPr>
          <w:rFonts w:cstheme="minorHAnsi"/>
        </w:rPr>
        <w:t xml:space="preserve"> significant benefit</w:t>
      </w:r>
      <w:r w:rsidR="00374964" w:rsidRPr="00DF2D4F">
        <w:rPr>
          <w:rFonts w:cstheme="minorHAnsi"/>
        </w:rPr>
        <w:t xml:space="preserve"> for some patients.</w:t>
      </w:r>
      <w:r w:rsidR="00D2044F" w:rsidRPr="00DF2D4F">
        <w:rPr>
          <w:rFonts w:cstheme="minorHAnsi"/>
        </w:rPr>
        <w:t xml:space="preserve"> The PBAC noted that mavacamten was the first drug </w:t>
      </w:r>
      <w:r w:rsidR="005C6335">
        <w:rPr>
          <w:rFonts w:cstheme="minorHAnsi"/>
        </w:rPr>
        <w:t xml:space="preserve">which had undergone a randomised, double blind placebo control </w:t>
      </w:r>
      <w:r w:rsidR="00D2044F" w:rsidRPr="00DF2D4F">
        <w:rPr>
          <w:rFonts w:cstheme="minorHAnsi"/>
        </w:rPr>
        <w:t xml:space="preserve">for use in </w:t>
      </w:r>
      <w:r w:rsidR="005C6335">
        <w:rPr>
          <w:rFonts w:cstheme="minorHAnsi"/>
        </w:rPr>
        <w:t xml:space="preserve">obstructive </w:t>
      </w:r>
      <w:r w:rsidR="00D2044F" w:rsidRPr="00DF2D4F">
        <w:rPr>
          <w:rFonts w:cstheme="minorHAnsi"/>
        </w:rPr>
        <w:t xml:space="preserve">HCM. </w:t>
      </w:r>
    </w:p>
    <w:p w14:paraId="5A987377" w14:textId="03A4AD45" w:rsidR="00B65A68" w:rsidRPr="00B30E3E" w:rsidRDefault="00B65A68" w:rsidP="0001611A">
      <w:pPr>
        <w:pStyle w:val="3-BodyText"/>
        <w:rPr>
          <w:rFonts w:cstheme="minorHAnsi"/>
          <w:snapToGrid w:val="0"/>
        </w:rPr>
      </w:pPr>
      <w:r w:rsidRPr="00BE7632">
        <w:rPr>
          <w:rFonts w:cstheme="minorHAnsi"/>
        </w:rPr>
        <w:t xml:space="preserve">The PBAC noted that the TGA Product Information had been updated on 17 July 2023, </w:t>
      </w:r>
      <w:r w:rsidRPr="00BE7632">
        <w:t xml:space="preserve">with the addition </w:t>
      </w:r>
      <w:r w:rsidR="00BE7632" w:rsidRPr="00BE7632">
        <w:t xml:space="preserve">in a boxed warning </w:t>
      </w:r>
      <w:r w:rsidRPr="00BE7632">
        <w:t xml:space="preserve">of the risk of heart failure due to systolic dysfunction. The PBAC </w:t>
      </w:r>
      <w:r w:rsidR="00D731C6" w:rsidRPr="00BE7632">
        <w:t xml:space="preserve">noted </w:t>
      </w:r>
      <w:r w:rsidR="00DF2D4F" w:rsidRPr="00BE7632">
        <w:t>that</w:t>
      </w:r>
      <w:r w:rsidRPr="00BE7632">
        <w:t xml:space="preserve"> the </w:t>
      </w:r>
      <w:r w:rsidR="00D731C6" w:rsidRPr="00BE7632">
        <w:t xml:space="preserve">pre-PBAC response proposed </w:t>
      </w:r>
      <w:r w:rsidR="00DF2D4F" w:rsidRPr="00BE7632">
        <w:t xml:space="preserve">continuing and grandfather </w:t>
      </w:r>
      <w:r w:rsidRPr="00BE7632">
        <w:t xml:space="preserve">restriction </w:t>
      </w:r>
      <w:r w:rsidR="00DF2D4F" w:rsidRPr="00BE7632">
        <w:t xml:space="preserve">phases </w:t>
      </w:r>
      <w:r w:rsidRPr="00BE7632">
        <w:t xml:space="preserve">require that a patient have a current LVEF of no less than </w:t>
      </w:r>
      <w:r w:rsidR="00DF2D4F" w:rsidRPr="00BE7632">
        <w:t>50</w:t>
      </w:r>
      <w:r w:rsidRPr="00BE7632">
        <w:t>%</w:t>
      </w:r>
      <w:r w:rsidR="00D731C6" w:rsidRPr="00BE7632">
        <w:t>.</w:t>
      </w:r>
      <w:r w:rsidRPr="00BE7632">
        <w:t xml:space="preserve"> </w:t>
      </w:r>
      <w:r w:rsidR="00D731C6" w:rsidRPr="00BE7632">
        <w:t>The PBAC advised this was appropriate as it</w:t>
      </w:r>
      <w:r w:rsidRPr="00BE7632">
        <w:t xml:space="preserve"> was consistent with the PI </w:t>
      </w:r>
      <w:r w:rsidRPr="00BE7632">
        <w:lastRenderedPageBreak/>
        <w:t>advice that treatment interruption may be necessary to ensure LVEF remains ≥50%.</w:t>
      </w:r>
      <w:r w:rsidR="00D731C6" w:rsidRPr="00BE7632">
        <w:t xml:space="preserve"> LVEF at initiation needs to remain at ≥55%.</w:t>
      </w:r>
    </w:p>
    <w:p w14:paraId="7E93B771" w14:textId="77777777" w:rsidR="001A046F" w:rsidRDefault="00EB6C8F" w:rsidP="00955061">
      <w:pPr>
        <w:pStyle w:val="3-BodyText"/>
        <w:rPr>
          <w:bCs/>
          <w:snapToGrid w:val="0"/>
        </w:rPr>
      </w:pPr>
      <w:r w:rsidRPr="00BE7632">
        <w:rPr>
          <w:snapToGrid w:val="0"/>
        </w:rPr>
        <w:t>In terms of the clinical place in therapy and the PBS restriction, the PBAC noted that the resubmission had appropriately</w:t>
      </w:r>
      <w:r w:rsidR="00EE3D63" w:rsidRPr="00BE7632">
        <w:rPr>
          <w:snapToGrid w:val="0"/>
        </w:rPr>
        <w:t>:</w:t>
      </w:r>
      <w:r w:rsidRPr="00BE7632">
        <w:rPr>
          <w:snapToGrid w:val="0"/>
        </w:rPr>
        <w:t xml:space="preserve"> restricted use to only patients with a peak LVOT gradient </w:t>
      </w:r>
      <w:r w:rsidRPr="00BE7632">
        <w:rPr>
          <w:bCs/>
          <w:snapToGrid w:val="0"/>
        </w:rPr>
        <w:t>≥50 mm Hg (at rest or with provocation (Valsalva manoeuvre or post exercise)</w:t>
      </w:r>
      <w:r w:rsidR="00EE3D63" w:rsidRPr="00BE7632">
        <w:rPr>
          <w:bCs/>
          <w:snapToGrid w:val="0"/>
        </w:rPr>
        <w:t xml:space="preserve">; </w:t>
      </w:r>
      <w:r w:rsidR="003E27C9" w:rsidRPr="00BE7632">
        <w:rPr>
          <w:bCs/>
          <w:snapToGrid w:val="0"/>
        </w:rPr>
        <w:t xml:space="preserve">positioned mavacamten after </w:t>
      </w:r>
      <w:r w:rsidR="00F000E1" w:rsidRPr="00BE7632">
        <w:rPr>
          <w:bCs/>
          <w:snapToGrid w:val="0"/>
        </w:rPr>
        <w:t>separate</w:t>
      </w:r>
      <w:r w:rsidR="00EE3D63" w:rsidRPr="00BE7632">
        <w:rPr>
          <w:bCs/>
          <w:snapToGrid w:val="0"/>
        </w:rPr>
        <w:t xml:space="preserve"> trial</w:t>
      </w:r>
      <w:r w:rsidR="00F000E1" w:rsidRPr="00BE7632">
        <w:rPr>
          <w:bCs/>
          <w:snapToGrid w:val="0"/>
        </w:rPr>
        <w:t>s</w:t>
      </w:r>
      <w:r w:rsidR="00EE3D63" w:rsidRPr="00BE7632">
        <w:rPr>
          <w:bCs/>
          <w:snapToGrid w:val="0"/>
        </w:rPr>
        <w:t xml:space="preserve"> of both a BB and CCB unless intolerant or contraindicated; </w:t>
      </w:r>
      <w:r w:rsidR="00F52094" w:rsidRPr="00BE7632">
        <w:rPr>
          <w:bCs/>
          <w:snapToGrid w:val="0"/>
        </w:rPr>
        <w:t xml:space="preserve">and </w:t>
      </w:r>
      <w:r w:rsidR="00EE3D63" w:rsidRPr="00BE7632">
        <w:rPr>
          <w:bCs/>
          <w:snapToGrid w:val="0"/>
        </w:rPr>
        <w:t xml:space="preserve">included a definition of familial HCM (i.e. first degree relatives). </w:t>
      </w:r>
      <w:r w:rsidR="004168BB" w:rsidRPr="00BE7632">
        <w:rPr>
          <w:bCs/>
          <w:snapToGrid w:val="0"/>
        </w:rPr>
        <w:t xml:space="preserve">The PBAC advised that separate initial, continuing and grandfathering phase listings were appropriate given the different authority levels, the evidentiary requirements for initiation and the response requirement for continuation. </w:t>
      </w:r>
      <w:r w:rsidR="00EE3D63" w:rsidRPr="00BE7632">
        <w:rPr>
          <w:bCs/>
          <w:snapToGrid w:val="0"/>
        </w:rPr>
        <w:t xml:space="preserve">In the continuing phase restriction, the resubmission </w:t>
      </w:r>
      <w:r w:rsidR="001C440E" w:rsidRPr="00BE7632">
        <w:rPr>
          <w:bCs/>
          <w:snapToGrid w:val="0"/>
        </w:rPr>
        <w:t xml:space="preserve">appropriately </w:t>
      </w:r>
      <w:r w:rsidR="00EE3D63" w:rsidRPr="00BE7632">
        <w:rPr>
          <w:bCs/>
          <w:snapToGrid w:val="0"/>
        </w:rPr>
        <w:t>included a clinical criterion regarding demonstrating treatment response. The PBAC advised that</w:t>
      </w:r>
      <w:r w:rsidR="00C022D3" w:rsidRPr="00BE7632">
        <w:rPr>
          <w:bCs/>
          <w:snapToGrid w:val="0"/>
        </w:rPr>
        <w:t xml:space="preserve"> as PBS clinical criteria are legal requirements,</w:t>
      </w:r>
      <w:r w:rsidR="00EE3D63" w:rsidRPr="00BE7632">
        <w:rPr>
          <w:bCs/>
          <w:snapToGrid w:val="0"/>
        </w:rPr>
        <w:t xml:space="preserve"> the </w:t>
      </w:r>
      <w:r w:rsidR="00F52094" w:rsidRPr="00BE7632">
        <w:rPr>
          <w:bCs/>
          <w:snapToGrid w:val="0"/>
        </w:rPr>
        <w:t xml:space="preserve">proposed </w:t>
      </w:r>
      <w:r w:rsidR="00EE3D63" w:rsidRPr="00BE7632">
        <w:rPr>
          <w:bCs/>
          <w:snapToGrid w:val="0"/>
        </w:rPr>
        <w:t xml:space="preserve">criterion </w:t>
      </w:r>
      <w:r w:rsidR="00F52094" w:rsidRPr="00BE7632">
        <w:rPr>
          <w:bCs/>
          <w:snapToGrid w:val="0"/>
        </w:rPr>
        <w:t xml:space="preserve">wording </w:t>
      </w:r>
      <w:r w:rsidR="00EE3D63" w:rsidRPr="00BE7632">
        <w:rPr>
          <w:bCs/>
          <w:snapToGrid w:val="0"/>
        </w:rPr>
        <w:t>be amended from a suggestion</w:t>
      </w:r>
      <w:r w:rsidR="00C022D3" w:rsidRPr="00BE7632">
        <w:rPr>
          <w:bCs/>
          <w:snapToGrid w:val="0"/>
        </w:rPr>
        <w:t xml:space="preserve"> to prescribers</w:t>
      </w:r>
      <w:r w:rsidR="00EE3D63" w:rsidRPr="00BE7632">
        <w:rPr>
          <w:bCs/>
          <w:snapToGrid w:val="0"/>
        </w:rPr>
        <w:t xml:space="preserve"> (‘Consideration should be given...’</w:t>
      </w:r>
      <w:r w:rsidR="00F52094" w:rsidRPr="00BE7632">
        <w:rPr>
          <w:bCs/>
          <w:snapToGrid w:val="0"/>
        </w:rPr>
        <w:t>) into a requirement (‘Patient must have…’)</w:t>
      </w:r>
      <w:r w:rsidR="004168BB" w:rsidRPr="00BE7632">
        <w:rPr>
          <w:bCs/>
          <w:snapToGrid w:val="0"/>
        </w:rPr>
        <w:t>,</w:t>
      </w:r>
      <w:r w:rsidR="00F52094" w:rsidRPr="00BE7632">
        <w:rPr>
          <w:bCs/>
          <w:snapToGrid w:val="0"/>
        </w:rPr>
        <w:t xml:space="preserve"> as per the Secreta</w:t>
      </w:r>
      <w:r w:rsidR="00C4176C" w:rsidRPr="00BE7632">
        <w:rPr>
          <w:bCs/>
          <w:snapToGrid w:val="0"/>
        </w:rPr>
        <w:t>riat proposed wording.</w:t>
      </w:r>
      <w:r w:rsidR="004168BB" w:rsidRPr="00BE7632">
        <w:rPr>
          <w:bCs/>
          <w:snapToGrid w:val="0"/>
        </w:rPr>
        <w:t xml:space="preserve"> </w:t>
      </w:r>
    </w:p>
    <w:p w14:paraId="1199B65A" w14:textId="759346A3" w:rsidR="001A046F" w:rsidRPr="008B1485" w:rsidRDefault="001A046F" w:rsidP="001A046F">
      <w:pPr>
        <w:pStyle w:val="3-BodyText"/>
        <w:rPr>
          <w:rFonts w:cstheme="minorHAnsi"/>
          <w:snapToGrid w:val="0"/>
        </w:rPr>
      </w:pPr>
      <w:r>
        <w:rPr>
          <w:rFonts w:cstheme="minorHAnsi"/>
          <w:snapToGrid w:val="0"/>
        </w:rPr>
        <w:t xml:space="preserve">The PBAC reaffirmed its previous decision that the </w:t>
      </w:r>
      <w:r w:rsidRPr="007C65D7">
        <w:t xml:space="preserve">appropriate authority level was </w:t>
      </w:r>
      <w:r w:rsidRPr="007C65D7">
        <w:rPr>
          <w:color w:val="000000" w:themeColor="text1"/>
        </w:rPr>
        <w:t>a written authority listing for initial therapy and a telephone/online PBS authority for continuing therapy</w:t>
      </w:r>
      <w:r>
        <w:rPr>
          <w:color w:val="000000" w:themeColor="text1"/>
        </w:rPr>
        <w:t>. The written authority would require</w:t>
      </w:r>
      <w:r w:rsidRPr="000974FC">
        <w:rPr>
          <w:color w:val="000000" w:themeColor="text1"/>
        </w:rPr>
        <w:t xml:space="preserve"> provision of reports</w:t>
      </w:r>
      <w:r>
        <w:rPr>
          <w:color w:val="000000" w:themeColor="text1"/>
        </w:rPr>
        <w:t>, capturing</w:t>
      </w:r>
      <w:r w:rsidRPr="000974FC">
        <w:rPr>
          <w:color w:val="000000" w:themeColor="text1"/>
        </w:rPr>
        <w:t xml:space="preserve"> wall thickness and LVOT gradient</w:t>
      </w:r>
      <w:r>
        <w:rPr>
          <w:color w:val="000000" w:themeColor="text1"/>
        </w:rPr>
        <w:t xml:space="preserve"> as well as other diagnostic information for patients with </w:t>
      </w:r>
      <w:r w:rsidRPr="005E17B6">
        <w:rPr>
          <w:color w:val="000000" w:themeColor="text1"/>
        </w:rPr>
        <w:t xml:space="preserve">familial </w:t>
      </w:r>
      <w:r>
        <w:rPr>
          <w:color w:val="000000" w:themeColor="text1"/>
        </w:rPr>
        <w:t xml:space="preserve">HCM. </w:t>
      </w:r>
      <w:r w:rsidR="00813870">
        <w:rPr>
          <w:color w:val="000000" w:themeColor="text1"/>
        </w:rPr>
        <w:t>Current and prior h</w:t>
      </w:r>
      <w:r>
        <w:rPr>
          <w:color w:val="000000" w:themeColor="text1"/>
        </w:rPr>
        <w:t>istory of BB and CBB use, including any contraindications or intolerance should also be captured.</w:t>
      </w:r>
    </w:p>
    <w:p w14:paraId="50F55A3C" w14:textId="71615A63" w:rsidR="001A046F" w:rsidRPr="007E340A" w:rsidRDefault="001A046F" w:rsidP="001A046F">
      <w:pPr>
        <w:pStyle w:val="3-BodyText"/>
        <w:rPr>
          <w:rFonts w:cstheme="minorHAnsi"/>
          <w:snapToGrid w:val="0"/>
        </w:rPr>
      </w:pPr>
      <w:r>
        <w:rPr>
          <w:color w:val="000000" w:themeColor="text1"/>
        </w:rPr>
        <w:t xml:space="preserve">Further to this, the PBAC noted the pre-PBAC response request for additional repeats in the initial phase to ensure patients had sufficient time to titrate and demonstrate a response. </w:t>
      </w:r>
      <w:r w:rsidRPr="001E2FB5">
        <w:rPr>
          <w:color w:val="000000" w:themeColor="text1"/>
        </w:rPr>
        <w:t xml:space="preserve">Given the critical importance of dose titration </w:t>
      </w:r>
      <w:r w:rsidR="00813870">
        <w:rPr>
          <w:color w:val="000000" w:themeColor="text1"/>
        </w:rPr>
        <w:t xml:space="preserve">as per the TGA PI </w:t>
      </w:r>
      <w:r w:rsidRPr="001E2FB5">
        <w:rPr>
          <w:color w:val="000000" w:themeColor="text1"/>
        </w:rPr>
        <w:t xml:space="preserve">with frequent reassessment of LVEF by </w:t>
      </w:r>
      <w:r w:rsidR="00B30E3E">
        <w:rPr>
          <w:color w:val="000000" w:themeColor="text1"/>
        </w:rPr>
        <w:t>echocardiogram</w:t>
      </w:r>
      <w:r w:rsidRPr="001E2FB5">
        <w:rPr>
          <w:color w:val="000000" w:themeColor="text1"/>
        </w:rPr>
        <w:t xml:space="preserve">, as well as the requirement to demonstrate a response, </w:t>
      </w:r>
      <w:r>
        <w:rPr>
          <w:color w:val="000000" w:themeColor="text1"/>
        </w:rPr>
        <w:t>the PBAC considered it</w:t>
      </w:r>
      <w:r w:rsidRPr="001E2FB5">
        <w:rPr>
          <w:color w:val="000000" w:themeColor="text1"/>
        </w:rPr>
        <w:t xml:space="preserve"> most appropriate to split the restriction into several phases. </w:t>
      </w:r>
    </w:p>
    <w:p w14:paraId="6F938AD5" w14:textId="320AF668" w:rsidR="001A046F" w:rsidRPr="003A0ECE" w:rsidRDefault="001A046F" w:rsidP="003A0ECE">
      <w:pPr>
        <w:pStyle w:val="3-BodyText"/>
        <w:numPr>
          <w:ilvl w:val="2"/>
          <w:numId w:val="2"/>
        </w:numPr>
        <w:ind w:left="1134" w:hanging="357"/>
      </w:pPr>
      <w:r>
        <w:rPr>
          <w:color w:val="000000" w:themeColor="text1"/>
        </w:rPr>
        <w:t xml:space="preserve">Initial restriction: </w:t>
      </w:r>
      <w:r w:rsidRPr="00A11386">
        <w:rPr>
          <w:color w:val="000000" w:themeColor="text1"/>
        </w:rPr>
        <w:t>2.5</w:t>
      </w:r>
      <w:r>
        <w:rPr>
          <w:color w:val="000000" w:themeColor="text1"/>
        </w:rPr>
        <w:t xml:space="preserve"> mg</w:t>
      </w:r>
      <w:r w:rsidRPr="00A11386">
        <w:rPr>
          <w:color w:val="000000" w:themeColor="text1"/>
        </w:rPr>
        <w:t xml:space="preserve"> and 5</w:t>
      </w:r>
      <w:r>
        <w:rPr>
          <w:color w:val="000000" w:themeColor="text1"/>
        </w:rPr>
        <w:t xml:space="preserve"> </w:t>
      </w:r>
      <w:r w:rsidRPr="00A11386">
        <w:rPr>
          <w:color w:val="000000" w:themeColor="text1"/>
        </w:rPr>
        <w:t xml:space="preserve">mg only and </w:t>
      </w:r>
      <w:r>
        <w:rPr>
          <w:color w:val="000000" w:themeColor="text1"/>
        </w:rPr>
        <w:t>2</w:t>
      </w:r>
      <w:r w:rsidRPr="00A11386">
        <w:rPr>
          <w:color w:val="000000" w:themeColor="text1"/>
        </w:rPr>
        <w:t xml:space="preserve"> repeats</w:t>
      </w:r>
      <w:r>
        <w:rPr>
          <w:color w:val="000000" w:themeColor="text1"/>
        </w:rPr>
        <w:t xml:space="preserve"> (allowing a total of 12 weeks</w:t>
      </w:r>
      <w:r w:rsidR="003A0ECE">
        <w:rPr>
          <w:color w:val="000000" w:themeColor="text1"/>
        </w:rPr>
        <w:t xml:space="preserve"> </w:t>
      </w:r>
      <w:r w:rsidRPr="003A0ECE">
        <w:t>treatment)</w:t>
      </w:r>
    </w:p>
    <w:p w14:paraId="0A4201D2" w14:textId="154E54A4" w:rsidR="001A046F" w:rsidRPr="003A0ECE" w:rsidRDefault="001A046F" w:rsidP="003A0ECE">
      <w:pPr>
        <w:pStyle w:val="3-BodyText"/>
        <w:numPr>
          <w:ilvl w:val="2"/>
          <w:numId w:val="2"/>
        </w:numPr>
        <w:ind w:left="1134" w:hanging="357"/>
      </w:pPr>
      <w:r w:rsidRPr="003A0ECE">
        <w:t xml:space="preserve">1st continuing restriction: all strengths available and 2 repeats (allowing a total of </w:t>
      </w:r>
      <w:r w:rsidR="00813870" w:rsidRPr="003A0ECE">
        <w:t xml:space="preserve">another </w:t>
      </w:r>
      <w:r w:rsidRPr="003A0ECE">
        <w:t xml:space="preserve">12 weeks </w:t>
      </w:r>
      <w:r w:rsidR="00813870" w:rsidRPr="003A0ECE">
        <w:t xml:space="preserve">of </w:t>
      </w:r>
      <w:r w:rsidRPr="003A0ECE">
        <w:t>treatment to finish dose titration)</w:t>
      </w:r>
    </w:p>
    <w:p w14:paraId="214C9342" w14:textId="3B78FB4A" w:rsidR="001A046F" w:rsidRPr="003A0ECE" w:rsidRDefault="001A046F" w:rsidP="003A0ECE">
      <w:pPr>
        <w:pStyle w:val="3-BodyText"/>
        <w:numPr>
          <w:ilvl w:val="2"/>
          <w:numId w:val="2"/>
        </w:numPr>
        <w:ind w:left="1134" w:hanging="357"/>
      </w:pPr>
      <w:r w:rsidRPr="003A0ECE">
        <w:t>2nd continuing restriction: all strengths available and 5 repeats (allow</w:t>
      </w:r>
      <w:r w:rsidR="008A4863" w:rsidRPr="003A0ECE">
        <w:t>ing</w:t>
      </w:r>
      <w:r w:rsidRPr="003A0ECE">
        <w:t xml:space="preserve"> 6 months on a stable, optimal dose to assess response)</w:t>
      </w:r>
    </w:p>
    <w:p w14:paraId="11BA06C6" w14:textId="77777777" w:rsidR="001A046F" w:rsidRPr="000974FC" w:rsidRDefault="001A046F" w:rsidP="003A0ECE">
      <w:pPr>
        <w:pStyle w:val="3-BodyText"/>
        <w:numPr>
          <w:ilvl w:val="2"/>
          <w:numId w:val="2"/>
        </w:numPr>
        <w:ind w:left="1134" w:hanging="357"/>
        <w:rPr>
          <w:color w:val="000000" w:themeColor="text1"/>
        </w:rPr>
      </w:pPr>
      <w:r w:rsidRPr="003A0ECE">
        <w:t>Maintenance treatment: all strengths and 5 repeats, with demonstration of a response</w:t>
      </w:r>
      <w:r w:rsidRPr="00DC45E9">
        <w:rPr>
          <w:color w:val="000000" w:themeColor="text1"/>
        </w:rPr>
        <w:t xml:space="preserve"> after at least 6 months on the optimal dose</w:t>
      </w:r>
      <w:r>
        <w:rPr>
          <w:color w:val="000000" w:themeColor="text1"/>
        </w:rPr>
        <w:t xml:space="preserve">, defined as </w:t>
      </w:r>
      <w:r w:rsidRPr="003A0ECE">
        <w:rPr>
          <w:color w:val="000000" w:themeColor="text1"/>
        </w:rPr>
        <w:t>improvement in symptoms</w:t>
      </w:r>
      <w:r w:rsidRPr="007C65D7">
        <w:rPr>
          <w:szCs w:val="20"/>
        </w:rPr>
        <w:t>, quality of life, exercise capacity, or LVOT gradient</w:t>
      </w:r>
      <w:r w:rsidRPr="007E340A">
        <w:rPr>
          <w:color w:val="000000" w:themeColor="text1"/>
        </w:rPr>
        <w:t>.</w:t>
      </w:r>
    </w:p>
    <w:p w14:paraId="4A6B9B58" w14:textId="15EE00F0" w:rsidR="001A046F" w:rsidRPr="00BE7632" w:rsidRDefault="001A046F" w:rsidP="001A046F">
      <w:pPr>
        <w:pStyle w:val="3-BodyText"/>
        <w:rPr>
          <w:rFonts w:cstheme="minorHAnsi"/>
          <w:snapToGrid w:val="0"/>
        </w:rPr>
      </w:pPr>
      <w:r>
        <w:t xml:space="preserve">The PBAC advised the grandfathering restriction should be a written authority and that it provide adequate </w:t>
      </w:r>
      <w:r w:rsidR="00001883">
        <w:t>options</w:t>
      </w:r>
      <w:r>
        <w:t xml:space="preserve"> for dose titration and 6 months on stable, optimal </w:t>
      </w:r>
      <w:r>
        <w:lastRenderedPageBreak/>
        <w:t xml:space="preserve">dosing to be able to assess response before </w:t>
      </w:r>
      <w:r w:rsidR="00B30E3E">
        <w:t xml:space="preserve">patients </w:t>
      </w:r>
      <w:r>
        <w:t>becom</w:t>
      </w:r>
      <w:r w:rsidR="00B30E3E">
        <w:t>e</w:t>
      </w:r>
      <w:r>
        <w:t xml:space="preserve"> eligible for maintenance treatment. </w:t>
      </w:r>
    </w:p>
    <w:p w14:paraId="466196C0" w14:textId="2D8F572B" w:rsidR="009102CA" w:rsidRPr="001A046F" w:rsidRDefault="00434452" w:rsidP="00D23E13">
      <w:pPr>
        <w:pStyle w:val="3-BodyText"/>
        <w:rPr>
          <w:snapToGrid w:val="0"/>
        </w:rPr>
      </w:pPr>
      <w:r w:rsidRPr="001A046F">
        <w:rPr>
          <w:snapToGrid w:val="0"/>
        </w:rPr>
        <w:t>With respect to the economic model, the PBAC noted that the resubmission had included more conservative assumptions for mortality and SRT rates (per Table 16 of the July 2023 PSD),</w:t>
      </w:r>
      <w:r w:rsidR="00FC36BA" w:rsidRPr="001A046F">
        <w:rPr>
          <w:snapToGrid w:val="0"/>
        </w:rPr>
        <w:t xml:space="preserve"> </w:t>
      </w:r>
      <w:r w:rsidR="00F27132" w:rsidRPr="001A046F">
        <w:rPr>
          <w:snapToGrid w:val="0"/>
        </w:rPr>
        <w:t>truncation at 30 weeks in both arms,</w:t>
      </w:r>
      <w:r w:rsidRPr="001A046F">
        <w:rPr>
          <w:snapToGrid w:val="0"/>
        </w:rPr>
        <w:t xml:space="preserve"> and incorporated a lower price resulting in an ICER less than $45,000 per QALY gained, as per previous PBAC advice. However, with new supporting evidence (Charron et al, unpublished), the resubmission had argued against changing the hospitalisation rates </w:t>
      </w:r>
      <w:r w:rsidR="00F27132" w:rsidRPr="001A046F">
        <w:rPr>
          <w:snapToGrid w:val="0"/>
        </w:rPr>
        <w:t>from the July 2023 resubmission</w:t>
      </w:r>
      <w:r w:rsidRPr="001A046F">
        <w:rPr>
          <w:snapToGrid w:val="0"/>
        </w:rPr>
        <w:t xml:space="preserve">. The PBAC </w:t>
      </w:r>
      <w:r w:rsidR="00801B9F" w:rsidRPr="001A046F">
        <w:rPr>
          <w:snapToGrid w:val="0"/>
        </w:rPr>
        <w:t xml:space="preserve">noted there was limited reliable data to inform this parameter and </w:t>
      </w:r>
      <w:r w:rsidR="005C733A" w:rsidRPr="001A046F">
        <w:rPr>
          <w:snapToGrid w:val="0"/>
        </w:rPr>
        <w:t xml:space="preserve">remained of the view that the model’s hospitalisation rates were likely </w:t>
      </w:r>
      <w:r w:rsidR="00F27132" w:rsidRPr="001A046F">
        <w:rPr>
          <w:snapToGrid w:val="0"/>
        </w:rPr>
        <w:t>overestimated</w:t>
      </w:r>
      <w:r w:rsidR="00801B9F" w:rsidRPr="001A046F">
        <w:rPr>
          <w:snapToGrid w:val="0"/>
        </w:rPr>
        <w:t>;</w:t>
      </w:r>
      <w:r w:rsidR="005C733A" w:rsidRPr="001A046F">
        <w:rPr>
          <w:snapToGrid w:val="0"/>
        </w:rPr>
        <w:t xml:space="preserve"> </w:t>
      </w:r>
      <w:r w:rsidR="00801B9F" w:rsidRPr="001A046F">
        <w:rPr>
          <w:snapToGrid w:val="0"/>
        </w:rPr>
        <w:t>however,</w:t>
      </w:r>
      <w:r w:rsidR="00F27132" w:rsidRPr="001A046F">
        <w:rPr>
          <w:snapToGrid w:val="0"/>
        </w:rPr>
        <w:t xml:space="preserve"> </w:t>
      </w:r>
      <w:r w:rsidR="00377DDA" w:rsidRPr="001A046F">
        <w:rPr>
          <w:snapToGrid w:val="0"/>
        </w:rPr>
        <w:t xml:space="preserve">noting the new supporting evidence, </w:t>
      </w:r>
      <w:r w:rsidR="00244485" w:rsidRPr="001A046F">
        <w:rPr>
          <w:snapToGrid w:val="0"/>
        </w:rPr>
        <w:t xml:space="preserve">the </w:t>
      </w:r>
      <w:r w:rsidR="005C733A" w:rsidRPr="001A046F">
        <w:rPr>
          <w:snapToGrid w:val="0"/>
        </w:rPr>
        <w:t>PBAC</w:t>
      </w:r>
      <w:r w:rsidR="00377DDA" w:rsidRPr="001A046F">
        <w:rPr>
          <w:snapToGrid w:val="0"/>
        </w:rPr>
        <w:t xml:space="preserve"> considered, its</w:t>
      </w:r>
      <w:r w:rsidR="005C733A" w:rsidRPr="001A046F">
        <w:rPr>
          <w:snapToGrid w:val="0"/>
        </w:rPr>
        <w:t xml:space="preserve"> previous suggestion of reducing these rates by 50% was </w:t>
      </w:r>
      <w:r w:rsidR="00244485" w:rsidRPr="001A046F">
        <w:rPr>
          <w:snapToGrid w:val="0"/>
        </w:rPr>
        <w:t>potentially too</w:t>
      </w:r>
      <w:r w:rsidR="005C733A" w:rsidRPr="001A046F">
        <w:rPr>
          <w:snapToGrid w:val="0"/>
        </w:rPr>
        <w:t xml:space="preserve"> conservative. </w:t>
      </w:r>
      <w:r w:rsidR="00F27132" w:rsidRPr="001A046F">
        <w:rPr>
          <w:snapToGrid w:val="0"/>
        </w:rPr>
        <w:t>The PBAC considered that, with the tightened response criteria in the continuation restriction,</w:t>
      </w:r>
      <w:r w:rsidR="005C733A" w:rsidRPr="001A046F">
        <w:rPr>
          <w:snapToGrid w:val="0"/>
        </w:rPr>
        <w:t xml:space="preserve"> </w:t>
      </w:r>
      <w:r w:rsidR="00F27132" w:rsidRPr="001A046F">
        <w:rPr>
          <w:snapToGrid w:val="0"/>
        </w:rPr>
        <w:t>the listing would still be cost-effective using the</w:t>
      </w:r>
      <w:r w:rsidR="00FC36BA" w:rsidRPr="001A046F">
        <w:rPr>
          <w:snapToGrid w:val="0"/>
        </w:rPr>
        <w:t xml:space="preserve"> </w:t>
      </w:r>
      <w:r w:rsidR="00F27132" w:rsidRPr="001A046F">
        <w:rPr>
          <w:snapToGrid w:val="0"/>
        </w:rPr>
        <w:t xml:space="preserve">hospitalisation </w:t>
      </w:r>
      <w:r w:rsidR="00FC36BA" w:rsidRPr="001A046F">
        <w:rPr>
          <w:snapToGrid w:val="0"/>
        </w:rPr>
        <w:t xml:space="preserve">rates from July 2023 </w:t>
      </w:r>
      <w:r w:rsidR="00F27132" w:rsidRPr="001A046F">
        <w:rPr>
          <w:snapToGrid w:val="0"/>
        </w:rPr>
        <w:t>resubmission</w:t>
      </w:r>
      <w:r w:rsidR="00FC36BA" w:rsidRPr="001A046F">
        <w:rPr>
          <w:snapToGrid w:val="0"/>
        </w:rPr>
        <w:t xml:space="preserve">. </w:t>
      </w:r>
    </w:p>
    <w:p w14:paraId="5C72FB78" w14:textId="4770944E" w:rsidR="009102CA" w:rsidRPr="007C65D7" w:rsidRDefault="00FC36BA" w:rsidP="00C90D8A">
      <w:pPr>
        <w:pStyle w:val="3-BodyText"/>
      </w:pPr>
      <w:r w:rsidRPr="001C440E">
        <w:rPr>
          <w:snapToGrid w:val="0"/>
        </w:rPr>
        <w:t>The PBAC recalled that it had previously considered the approach to the financial estimates was acceptable (para 7.12, PSD, July 2023 PBAC meeting), and noted that the current resubmission had appropriately incorporated the reduced price and proposed an RSA with a</w:t>
      </w:r>
      <w:r w:rsidR="00521B0F" w:rsidRPr="00521B0F">
        <w:rPr>
          <w:snapToGrid w:val="0"/>
        </w:rPr>
        <w:t xml:space="preserve"> </w:t>
      </w:r>
      <w:r w:rsidR="00521B0F" w:rsidRPr="00DB3A96">
        <w:rPr>
          <w:snapToGrid w:val="0"/>
          <w:color w:val="000000"/>
          <w:w w:val="15"/>
          <w:shd w:val="solid" w:color="000000" w:fill="000000"/>
          <w:fitText w:val="-20" w:id="-1032076018"/>
          <w14:textFill>
            <w14:solidFill>
              <w14:srgbClr w14:val="000000">
                <w14:alpha w14:val="100000"/>
              </w14:srgbClr>
            </w14:solidFill>
          </w14:textFill>
        </w:rPr>
        <w:t xml:space="preserve">| </w:t>
      </w:r>
      <w:r w:rsidR="00521B0F" w:rsidRPr="00DB3A96">
        <w:rPr>
          <w:snapToGrid w:val="0"/>
          <w:color w:val="000000"/>
          <w:spacing w:val="-61"/>
          <w:w w:val="15"/>
          <w:shd w:val="solid" w:color="000000" w:fill="000000"/>
          <w:fitText w:val="-20" w:id="-1032076018"/>
          <w14:textFill>
            <w14:solidFill>
              <w14:srgbClr w14:val="000000">
                <w14:alpha w14:val="100000"/>
              </w14:srgbClr>
            </w14:solidFill>
          </w14:textFill>
        </w:rPr>
        <w:t>|</w:t>
      </w:r>
      <w:r w:rsidRPr="001C440E">
        <w:rPr>
          <w:snapToGrid w:val="0"/>
        </w:rPr>
        <w:t xml:space="preserve">% rebate, in line with the PBAC’s advice. </w:t>
      </w:r>
      <w:r w:rsidR="00D2044F" w:rsidRPr="001C440E">
        <w:rPr>
          <w:snapToGrid w:val="0"/>
        </w:rPr>
        <w:t xml:space="preserve">The PBAC noted that although the financial impact was very high, the financial estimates had been substantially reduced from the original mavacamten submission. </w:t>
      </w:r>
    </w:p>
    <w:p w14:paraId="17DD9ADE" w14:textId="389B0AD8" w:rsidR="009102CA" w:rsidRPr="00801B9F" w:rsidRDefault="009102CA" w:rsidP="00EB6C8F">
      <w:pPr>
        <w:pStyle w:val="3-BodyText"/>
        <w:rPr>
          <w:bCs/>
          <w:snapToGrid w:val="0"/>
        </w:rPr>
      </w:pPr>
      <w:r w:rsidRPr="00801B9F">
        <w:rPr>
          <w:bCs/>
          <w:snapToGrid w:val="0"/>
        </w:rPr>
        <w:t xml:space="preserve">The PBAC advised that </w:t>
      </w:r>
      <w:r w:rsidR="00EB6C8F" w:rsidRPr="00801B9F">
        <w:rPr>
          <w:bCs/>
          <w:snapToGrid w:val="0"/>
        </w:rPr>
        <w:t>mavacamten</w:t>
      </w:r>
      <w:r w:rsidRPr="00801B9F">
        <w:rPr>
          <w:bCs/>
          <w:snapToGrid w:val="0"/>
        </w:rPr>
        <w:t xml:space="preserve"> is not suitable for prescribing by nurse practitioners. </w:t>
      </w:r>
    </w:p>
    <w:p w14:paraId="0E5B273D" w14:textId="4419D9F2" w:rsidR="009102CA" w:rsidRPr="00801B9F" w:rsidRDefault="009102CA" w:rsidP="007302D4">
      <w:pPr>
        <w:pStyle w:val="3-BodyText"/>
        <w:rPr>
          <w:bCs/>
          <w:snapToGrid w:val="0"/>
        </w:rPr>
      </w:pPr>
      <w:r w:rsidRPr="00801B9F">
        <w:rPr>
          <w:bCs/>
          <w:snapToGrid w:val="0"/>
        </w:rPr>
        <w:t xml:space="preserve">The PBAC recommended that the Early Supply Rule should </w:t>
      </w:r>
      <w:r w:rsidR="00C534B4">
        <w:rPr>
          <w:bCs/>
          <w:snapToGrid w:val="0"/>
        </w:rPr>
        <w:t xml:space="preserve">not </w:t>
      </w:r>
      <w:r w:rsidRPr="00801B9F">
        <w:rPr>
          <w:bCs/>
          <w:snapToGrid w:val="0"/>
        </w:rPr>
        <w:t>apply</w:t>
      </w:r>
      <w:r w:rsidR="00C534B4">
        <w:rPr>
          <w:bCs/>
          <w:snapToGrid w:val="0"/>
        </w:rPr>
        <w:t xml:space="preserve"> given the variable dosing</w:t>
      </w:r>
      <w:r w:rsidRPr="00801B9F">
        <w:rPr>
          <w:bCs/>
          <w:snapToGrid w:val="0"/>
        </w:rPr>
        <w:t xml:space="preserve">. </w:t>
      </w:r>
    </w:p>
    <w:p w14:paraId="2B0363B2" w14:textId="15FA9E6E" w:rsidR="009102CA" w:rsidRPr="00BC6EFA" w:rsidRDefault="009102CA" w:rsidP="00C90D8A">
      <w:pPr>
        <w:pStyle w:val="3-BodyText"/>
        <w:rPr>
          <w:rFonts w:cstheme="minorHAnsi"/>
          <w:b/>
        </w:rPr>
      </w:pPr>
      <w:r w:rsidRPr="00BE7632">
        <w:rPr>
          <w:rFonts w:cstheme="minorHAnsi"/>
        </w:rPr>
        <w:t xml:space="preserve">The PBAC found that the criteria prescribed by the </w:t>
      </w:r>
      <w:r w:rsidRPr="00BE7632">
        <w:rPr>
          <w:rFonts w:cstheme="minorHAnsi"/>
          <w:i/>
        </w:rPr>
        <w:t>National Health (Pharmaceuticals and Vaccines – Cost Recovery) Regulations 2022</w:t>
      </w:r>
      <w:r w:rsidRPr="00BE7632">
        <w:rPr>
          <w:rFonts w:cstheme="minorHAnsi"/>
        </w:rPr>
        <w:t xml:space="preserve"> for Pricing Pathway A were not met. </w:t>
      </w:r>
      <w:r w:rsidRPr="00BC6EFA">
        <w:rPr>
          <w:rFonts w:cstheme="minorHAnsi"/>
        </w:rPr>
        <w:t xml:space="preserve">Specifically the PBAC found that in the circumstances of its recommendation for </w:t>
      </w:r>
      <w:r w:rsidR="008F186F" w:rsidRPr="00BC6EFA">
        <w:rPr>
          <w:rFonts w:cstheme="minorHAnsi"/>
        </w:rPr>
        <w:t>mavacamten</w:t>
      </w:r>
      <w:r w:rsidRPr="00BC6EFA">
        <w:rPr>
          <w:rFonts w:cstheme="minorHAnsi"/>
        </w:rPr>
        <w:t>:</w:t>
      </w:r>
    </w:p>
    <w:p w14:paraId="3C147855" w14:textId="16029A3D" w:rsidR="009102CA" w:rsidRPr="00BE7632" w:rsidRDefault="009102CA" w:rsidP="00DD59D8">
      <w:pPr>
        <w:pStyle w:val="3-BodyText"/>
        <w:numPr>
          <w:ilvl w:val="2"/>
          <w:numId w:val="24"/>
        </w:numPr>
        <w:ind w:left="993" w:hanging="284"/>
        <w:rPr>
          <w:rFonts w:cstheme="minorHAnsi"/>
        </w:rPr>
      </w:pPr>
      <w:r w:rsidRPr="00BC6EFA">
        <w:rPr>
          <w:rFonts w:cstheme="minorHAnsi"/>
        </w:rPr>
        <w:t xml:space="preserve">The treatment is not expected to </w:t>
      </w:r>
      <w:r w:rsidRPr="00BE7632">
        <w:rPr>
          <w:rFonts w:cstheme="minorHAnsi"/>
        </w:rPr>
        <w:t>provide a substantial and clinically relevant improvement in efficacy, over alternative therapies,</w:t>
      </w:r>
      <w:r w:rsidR="00E05EF5" w:rsidRPr="00BE7632">
        <w:rPr>
          <w:rFonts w:cstheme="minorHAnsi"/>
        </w:rPr>
        <w:t xml:space="preserve"> because only a </w:t>
      </w:r>
      <w:r w:rsidR="00801B9F" w:rsidRPr="00BE7632">
        <w:rPr>
          <w:rFonts w:cstheme="minorHAnsi"/>
        </w:rPr>
        <w:t>mode</w:t>
      </w:r>
      <w:r w:rsidR="00801B9F">
        <w:rPr>
          <w:rFonts w:cstheme="minorHAnsi"/>
        </w:rPr>
        <w:t>rate</w:t>
      </w:r>
      <w:r w:rsidR="00801B9F" w:rsidRPr="00BE7632">
        <w:rPr>
          <w:rFonts w:cstheme="minorHAnsi"/>
        </w:rPr>
        <w:t xml:space="preserve"> </w:t>
      </w:r>
      <w:r w:rsidR="00E05EF5" w:rsidRPr="00BE7632">
        <w:rPr>
          <w:rFonts w:cstheme="minorHAnsi"/>
        </w:rPr>
        <w:t>improvement in symptoms was seen in the key trial</w:t>
      </w:r>
      <w:r w:rsidRPr="00BE7632">
        <w:rPr>
          <w:rFonts w:cstheme="minorHAnsi"/>
        </w:rPr>
        <w:t xml:space="preserve">; </w:t>
      </w:r>
    </w:p>
    <w:p w14:paraId="78593875" w14:textId="07F9884F" w:rsidR="009102CA" w:rsidRPr="00BE7632" w:rsidRDefault="009102CA" w:rsidP="00DD59D8">
      <w:pPr>
        <w:pStyle w:val="3-BodyText"/>
        <w:numPr>
          <w:ilvl w:val="2"/>
          <w:numId w:val="24"/>
        </w:numPr>
        <w:ind w:left="993" w:hanging="284"/>
        <w:rPr>
          <w:rFonts w:cstheme="minorHAnsi"/>
        </w:rPr>
      </w:pPr>
      <w:r w:rsidRPr="00BE7632">
        <w:rPr>
          <w:rFonts w:cstheme="minorHAnsi"/>
        </w:rPr>
        <w:t>The treatment is not expected to address a high and urgent unmet clinical need</w:t>
      </w:r>
      <w:r w:rsidR="00E05EF5" w:rsidRPr="00BE7632">
        <w:rPr>
          <w:rFonts w:cstheme="minorHAnsi"/>
        </w:rPr>
        <w:t xml:space="preserve"> because although treatment options are limited, and symptoms impact on quality of life, patients with this condition are expected to have similar mortality as the general population;</w:t>
      </w:r>
    </w:p>
    <w:p w14:paraId="139CD8E4" w14:textId="1ED16373" w:rsidR="009102CA" w:rsidRPr="00BE7632" w:rsidRDefault="009102CA" w:rsidP="00DD59D8">
      <w:pPr>
        <w:pStyle w:val="3-BodyText"/>
        <w:numPr>
          <w:ilvl w:val="2"/>
          <w:numId w:val="24"/>
        </w:numPr>
        <w:ind w:left="993" w:hanging="284"/>
        <w:rPr>
          <w:rFonts w:cstheme="minorHAnsi"/>
        </w:rPr>
      </w:pPr>
      <w:r w:rsidRPr="00BE7632">
        <w:rPr>
          <w:rFonts w:cstheme="minorHAnsi"/>
        </w:rPr>
        <w:t>It was not necessary to make a finding in relation to whether it would be in the public interest for the subsequent pricing application to be progressed under Pricing Pathway A because one or more of the preceding tests had failed</w:t>
      </w:r>
      <w:r w:rsidR="008F186F" w:rsidRPr="00BE7632">
        <w:rPr>
          <w:rFonts w:cstheme="minorHAnsi"/>
        </w:rPr>
        <w:t>.</w:t>
      </w:r>
    </w:p>
    <w:p w14:paraId="225FB29F" w14:textId="415AE326" w:rsidR="009102CA" w:rsidRPr="00BE7632" w:rsidRDefault="009102CA" w:rsidP="00C90D8A">
      <w:pPr>
        <w:pStyle w:val="3-BodyText"/>
        <w:rPr>
          <w:snapToGrid w:val="0"/>
        </w:rPr>
      </w:pPr>
      <w:r w:rsidRPr="00BE7632">
        <w:rPr>
          <w:snapToGrid w:val="0"/>
        </w:rPr>
        <w:lastRenderedPageBreak/>
        <w:t>The PBAC noted that this submission is not eligible for an Independent Review</w:t>
      </w:r>
      <w:r w:rsidR="00C90D8A" w:rsidRPr="00BE7632">
        <w:rPr>
          <w:snapToGrid w:val="0"/>
        </w:rPr>
        <w:t xml:space="preserve"> as it received a positive recommendation</w:t>
      </w:r>
      <w:r w:rsidRPr="00BE7632">
        <w:rPr>
          <w:snapToGrid w:val="0"/>
        </w:rPr>
        <w:t xml:space="preserve">. </w:t>
      </w:r>
    </w:p>
    <w:p w14:paraId="33D28378" w14:textId="77777777" w:rsidR="009102CA" w:rsidRPr="00BE7632" w:rsidRDefault="009102CA" w:rsidP="009102CA">
      <w:pPr>
        <w:spacing w:before="240"/>
        <w:rPr>
          <w:rFonts w:asciiTheme="minorHAnsi" w:hAnsiTheme="minorHAnsi" w:cs="Arial"/>
          <w:b/>
          <w:bCs/>
          <w:snapToGrid w:val="0"/>
        </w:rPr>
      </w:pPr>
      <w:r w:rsidRPr="00BE7632">
        <w:rPr>
          <w:rFonts w:asciiTheme="minorHAnsi" w:hAnsiTheme="minorHAnsi" w:cs="Arial"/>
          <w:b/>
          <w:bCs/>
          <w:snapToGrid w:val="0"/>
        </w:rPr>
        <w:t>Outcome:</w:t>
      </w:r>
    </w:p>
    <w:p w14:paraId="2E0A5CC6" w14:textId="198B7753" w:rsidR="009102CA" w:rsidRPr="00BE7632" w:rsidRDefault="009102CA" w:rsidP="009102CA">
      <w:pPr>
        <w:rPr>
          <w:rFonts w:asciiTheme="minorHAnsi" w:hAnsiTheme="minorHAnsi" w:cs="Arial"/>
          <w:bCs/>
          <w:snapToGrid w:val="0"/>
        </w:rPr>
      </w:pPr>
      <w:r w:rsidRPr="00BE7632">
        <w:rPr>
          <w:rFonts w:asciiTheme="minorHAnsi" w:hAnsiTheme="minorHAnsi" w:cs="Arial"/>
          <w:bCs/>
          <w:snapToGrid w:val="0"/>
        </w:rPr>
        <w:t>Recommended</w:t>
      </w:r>
    </w:p>
    <w:bookmarkEnd w:id="25"/>
    <w:p w14:paraId="2BE46147" w14:textId="77777777" w:rsidR="009102CA" w:rsidRPr="007C65D7" w:rsidRDefault="009102CA" w:rsidP="00DD59D8">
      <w:pPr>
        <w:pStyle w:val="2-SectionHeading"/>
        <w:numPr>
          <w:ilvl w:val="0"/>
          <w:numId w:val="2"/>
        </w:numPr>
      </w:pPr>
      <w:r w:rsidRPr="007C65D7">
        <w:t>Recommended listing</w:t>
      </w:r>
    </w:p>
    <w:p w14:paraId="767B3F6C" w14:textId="79736CE9" w:rsidR="002B5703" w:rsidRDefault="009102CA" w:rsidP="003A0ECE">
      <w:pPr>
        <w:pStyle w:val="3-BodyText"/>
        <w:rPr>
          <w:snapToGrid w:val="0"/>
        </w:rPr>
      </w:pPr>
      <w:r w:rsidRPr="007C65D7">
        <w:rPr>
          <w:snapToGrid w:val="0"/>
        </w:rPr>
        <w:t>Add new item:</w:t>
      </w:r>
      <w:r w:rsidR="000974FC">
        <w:rPr>
          <w:snapToGrid w:val="0"/>
        </w:rPr>
        <w:t xml:space="preserve"> Restriction wording to be finalised.</w:t>
      </w:r>
      <w:bookmarkEnd w:id="26"/>
    </w:p>
    <w:p w14:paraId="0C93933A" w14:textId="6A34ADAE" w:rsidR="00E043DB" w:rsidRPr="00061CBE" w:rsidRDefault="00E043DB" w:rsidP="00E043DB">
      <w:pPr>
        <w:pStyle w:val="2-SectionHeading"/>
        <w:numPr>
          <w:ilvl w:val="0"/>
          <w:numId w:val="2"/>
        </w:numPr>
        <w:rPr>
          <w:lang w:val="en-GB"/>
        </w:rPr>
      </w:pPr>
      <w:r w:rsidRPr="00061CBE">
        <w:t>Context for Decision</w:t>
      </w:r>
    </w:p>
    <w:p w14:paraId="1483CB53" w14:textId="77777777" w:rsidR="00E043DB" w:rsidRPr="00E043DB" w:rsidRDefault="00E043DB" w:rsidP="00E043DB">
      <w:pPr>
        <w:pStyle w:val="ListParagraph"/>
        <w:ind w:left="720"/>
        <w:rPr>
          <w:bCs/>
          <w:lang w:val="en-GB"/>
        </w:rPr>
      </w:pPr>
      <w:r w:rsidRPr="00E043DB">
        <w:rPr>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w:t>
      </w:r>
      <w:proofErr w:type="gramStart"/>
      <w:r w:rsidRPr="00E043DB">
        <w:rPr>
          <w:bCs/>
          <w:lang w:val="en-GB"/>
        </w:rPr>
        <w:t>be made</w:t>
      </w:r>
      <w:proofErr w:type="gramEnd"/>
      <w:r w:rsidRPr="00E043DB">
        <w:rPr>
          <w:bCs/>
          <w:lang w:val="en-GB"/>
        </w:rPr>
        <w:t xml:space="preserve"> available through the PBS. The PBAC welcomes applications containing </w:t>
      </w:r>
      <w:proofErr w:type="gramStart"/>
      <w:r w:rsidRPr="00E043DB">
        <w:rPr>
          <w:bCs/>
          <w:lang w:val="en-GB"/>
        </w:rPr>
        <w:t>new information</w:t>
      </w:r>
      <w:proofErr w:type="gramEnd"/>
      <w:r w:rsidRPr="00E043DB">
        <w:rPr>
          <w:bCs/>
          <w:lang w:val="en-GB"/>
        </w:rPr>
        <w:t xml:space="preserve"> at any time.</w:t>
      </w:r>
    </w:p>
    <w:p w14:paraId="1F1BEBEC" w14:textId="4763D946" w:rsidR="00E043DB" w:rsidRPr="00061CBE" w:rsidRDefault="00E043DB" w:rsidP="00E043DB">
      <w:pPr>
        <w:pStyle w:val="2-SectionHeading"/>
        <w:numPr>
          <w:ilvl w:val="0"/>
          <w:numId w:val="2"/>
        </w:numPr>
      </w:pPr>
      <w:r w:rsidRPr="00061CBE">
        <w:t>Sponsor’s Comment</w:t>
      </w:r>
    </w:p>
    <w:p w14:paraId="64E1968B" w14:textId="77777777" w:rsidR="00212165" w:rsidRPr="00E043DB" w:rsidRDefault="00212165" w:rsidP="006F15B6">
      <w:pPr>
        <w:pStyle w:val="ListParagraph"/>
        <w:ind w:left="720"/>
        <w:jc w:val="both"/>
        <w:rPr>
          <w:bCs/>
        </w:rPr>
      </w:pPr>
      <w:r w:rsidRPr="00EE4342">
        <w:rPr>
          <w:bCs/>
          <w:lang w:val="en-GB"/>
        </w:rPr>
        <w:t>Bristol-Myers Squibb Australia welcomes</w:t>
      </w:r>
      <w:r>
        <w:rPr>
          <w:bCs/>
          <w:lang w:val="en-GB"/>
        </w:rPr>
        <w:t xml:space="preserve"> this recommendation by the</w:t>
      </w:r>
      <w:r w:rsidRPr="00EE4342">
        <w:rPr>
          <w:bCs/>
          <w:lang w:val="en-GB"/>
        </w:rPr>
        <w:t xml:space="preserve"> PBAC</w:t>
      </w:r>
      <w:r>
        <w:rPr>
          <w:bCs/>
          <w:lang w:val="en-GB"/>
        </w:rPr>
        <w:t xml:space="preserve"> and looks forward to continuing to work with the Department of Health and Aged Care to provide access</w:t>
      </w:r>
      <w:r w:rsidRPr="00EE4342">
        <w:rPr>
          <w:bCs/>
          <w:lang w:val="en-GB"/>
        </w:rPr>
        <w:t xml:space="preserve"> </w:t>
      </w:r>
      <w:r>
        <w:rPr>
          <w:bCs/>
          <w:lang w:val="en-GB"/>
        </w:rPr>
        <w:t>to</w:t>
      </w:r>
      <w:r w:rsidRPr="00EE4342">
        <w:rPr>
          <w:bCs/>
          <w:lang w:val="en-GB"/>
        </w:rPr>
        <w:t xml:space="preserve"> mavacamten for the treatment of adults with symptomatic obstructive hypertrophic cardiomyopathy (HCM). </w:t>
      </w:r>
    </w:p>
    <w:p w14:paraId="4C030D36" w14:textId="77777777" w:rsidR="00E043DB" w:rsidRPr="003A0ECE" w:rsidRDefault="00E043DB" w:rsidP="00E043DB">
      <w:pPr>
        <w:pStyle w:val="3-BodyText"/>
        <w:numPr>
          <w:ilvl w:val="0"/>
          <w:numId w:val="0"/>
        </w:numPr>
        <w:rPr>
          <w:snapToGrid w:val="0"/>
        </w:rPr>
      </w:pPr>
    </w:p>
    <w:sectPr w:rsidR="00E043DB" w:rsidRPr="003A0ECE"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E53F9" w14:textId="77777777" w:rsidR="00D16F4D" w:rsidRDefault="00D16F4D">
      <w:r>
        <w:separator/>
      </w:r>
    </w:p>
    <w:p w14:paraId="55A85052" w14:textId="77777777" w:rsidR="00D16F4D" w:rsidRDefault="00D16F4D"/>
    <w:p w14:paraId="351E43F7" w14:textId="77777777" w:rsidR="00D16F4D" w:rsidRDefault="00D16F4D"/>
  </w:endnote>
  <w:endnote w:type="continuationSeparator" w:id="0">
    <w:p w14:paraId="68BE1F72" w14:textId="77777777" w:rsidR="00D16F4D" w:rsidRDefault="00D16F4D">
      <w:r>
        <w:continuationSeparator/>
      </w:r>
    </w:p>
    <w:p w14:paraId="60C951F2" w14:textId="77777777" w:rsidR="00D16F4D" w:rsidRDefault="00D16F4D"/>
    <w:p w14:paraId="2659A295" w14:textId="77777777" w:rsidR="00D16F4D" w:rsidRDefault="00D16F4D"/>
  </w:endnote>
  <w:endnote w:type="continuationNotice" w:id="1">
    <w:p w14:paraId="540984A4" w14:textId="77777777" w:rsidR="00D16F4D" w:rsidRDefault="00D16F4D"/>
    <w:p w14:paraId="0C3259DA" w14:textId="77777777" w:rsidR="00D16F4D" w:rsidRDefault="00D16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075D3FE" w14:textId="77777777" w:rsidTr="005A3173">
      <w:trPr>
        <w:trHeight w:val="151"/>
      </w:trPr>
      <w:tc>
        <w:tcPr>
          <w:tcW w:w="2250" w:type="pct"/>
          <w:tcBorders>
            <w:top w:val="nil"/>
            <w:left w:val="nil"/>
            <w:bottom w:val="single" w:sz="4" w:space="0" w:color="4F81BD"/>
            <w:right w:val="nil"/>
          </w:tcBorders>
        </w:tcPr>
        <w:p w14:paraId="096D0DDE"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37B9A2BD"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240165" w:rsidRPr="005A3173" w:rsidRDefault="00240165" w:rsidP="005A3173">
          <w:pPr>
            <w:spacing w:line="276" w:lineRule="auto"/>
            <w:rPr>
              <w:rFonts w:eastAsia="MS Gothic"/>
              <w:b/>
              <w:bCs/>
              <w:color w:val="4F81BD"/>
            </w:rPr>
          </w:pPr>
        </w:p>
      </w:tc>
    </w:tr>
    <w:tr w:rsidR="00240165" w14:paraId="32EF4DB8" w14:textId="77777777" w:rsidTr="005A3173">
      <w:trPr>
        <w:trHeight w:val="150"/>
      </w:trPr>
      <w:tc>
        <w:tcPr>
          <w:tcW w:w="2250" w:type="pct"/>
          <w:tcBorders>
            <w:top w:val="single" w:sz="4" w:space="0" w:color="4F81BD"/>
            <w:left w:val="nil"/>
            <w:bottom w:val="nil"/>
            <w:right w:val="nil"/>
          </w:tcBorders>
        </w:tcPr>
        <w:p w14:paraId="03528A4C"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109042F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09664199" w14:textId="77777777" w:rsidR="00240165" w:rsidRPr="005A3173" w:rsidRDefault="00240165" w:rsidP="005A3173">
          <w:pPr>
            <w:spacing w:line="276" w:lineRule="auto"/>
            <w:rPr>
              <w:rFonts w:eastAsia="MS Gothic"/>
              <w:b/>
              <w:bCs/>
              <w:color w:val="4F81BD"/>
            </w:rPr>
          </w:pPr>
        </w:p>
      </w:tc>
    </w:tr>
  </w:tbl>
  <w:p w14:paraId="21855C18" w14:textId="77777777" w:rsidR="00240165" w:rsidRDefault="00240165" w:rsidP="00653D69">
    <w:pPr>
      <w:framePr w:wrap="around" w:vAnchor="text" w:hAnchor="margin" w:xAlign="center" w:y="1"/>
    </w:pPr>
    <w:r>
      <w:fldChar w:fldCharType="begin"/>
    </w:r>
    <w:r>
      <w:instrText xml:space="preserve">PAGE  </w:instrText>
    </w:r>
    <w:r>
      <w:fldChar w:fldCharType="end"/>
    </w:r>
  </w:p>
  <w:p w14:paraId="142ACCCE" w14:textId="77777777" w:rsidR="00240165" w:rsidRDefault="00240165"/>
  <w:p w14:paraId="48FFA445" w14:textId="77777777" w:rsidR="00240165" w:rsidRDefault="00240165"/>
  <w:p w14:paraId="49A45502" w14:textId="77777777" w:rsidR="00240165" w:rsidRDefault="002401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4292" w14:textId="77777777" w:rsidR="007C2C89" w:rsidRPr="002B5703" w:rsidRDefault="007C2C89">
    <w:pPr>
      <w:pStyle w:val="Footer"/>
      <w:rPr>
        <w:caps/>
      </w:rPr>
    </w:pPr>
  </w:p>
  <w:p w14:paraId="07DAAF98" w14:textId="3EF4BCF9" w:rsidR="00CF066B" w:rsidRPr="007C2C89" w:rsidRDefault="007C2C89" w:rsidP="007C2C89">
    <w:pPr>
      <w:pStyle w:val="Footer"/>
      <w:rPr>
        <w:b/>
        <w:bCs/>
        <w:caps/>
        <w:noProof/>
      </w:rPr>
    </w:pPr>
    <w:r w:rsidRPr="007C2C89">
      <w:rPr>
        <w:b/>
        <w:bCs/>
        <w:caps/>
      </w:rPr>
      <w:fldChar w:fldCharType="begin"/>
    </w:r>
    <w:r w:rsidRPr="007C2C89">
      <w:rPr>
        <w:b/>
        <w:bCs/>
        <w:caps/>
      </w:rPr>
      <w:instrText xml:space="preserve"> PAGE   \* MERGEFORMAT </w:instrText>
    </w:r>
    <w:r w:rsidRPr="007C2C89">
      <w:rPr>
        <w:b/>
        <w:bCs/>
        <w:caps/>
      </w:rPr>
      <w:fldChar w:fldCharType="separate"/>
    </w:r>
    <w:r w:rsidRPr="007C2C89">
      <w:rPr>
        <w:b/>
        <w:bCs/>
        <w:caps/>
        <w:noProof/>
      </w:rPr>
      <w:t>2</w:t>
    </w:r>
    <w:r w:rsidRPr="007C2C89">
      <w:rPr>
        <w:b/>
        <w:bCs/>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39"/>
      <w:gridCol w:w="1347"/>
      <w:gridCol w:w="3840"/>
    </w:tblGrid>
    <w:tr w:rsidR="00240165" w14:paraId="1B1A9BFB" w14:textId="77777777" w:rsidTr="005A3173">
      <w:trPr>
        <w:trHeight w:val="151"/>
      </w:trPr>
      <w:tc>
        <w:tcPr>
          <w:tcW w:w="2250" w:type="pct"/>
          <w:tcBorders>
            <w:top w:val="nil"/>
            <w:left w:val="nil"/>
            <w:bottom w:val="single" w:sz="4" w:space="0" w:color="4F81BD"/>
            <w:right w:val="nil"/>
          </w:tcBorders>
        </w:tcPr>
        <w:p w14:paraId="1AEC0F9B"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6D1F795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240165" w:rsidRPr="005A3173" w:rsidRDefault="00240165" w:rsidP="005A3173">
          <w:pPr>
            <w:spacing w:line="276" w:lineRule="auto"/>
            <w:rPr>
              <w:rFonts w:eastAsia="MS Gothic"/>
              <w:b/>
              <w:bCs/>
              <w:color w:val="4F81BD"/>
            </w:rPr>
          </w:pPr>
        </w:p>
      </w:tc>
    </w:tr>
    <w:tr w:rsidR="00240165" w14:paraId="0A17FD7B" w14:textId="77777777" w:rsidTr="005A3173">
      <w:trPr>
        <w:trHeight w:val="150"/>
      </w:trPr>
      <w:tc>
        <w:tcPr>
          <w:tcW w:w="2250" w:type="pct"/>
          <w:tcBorders>
            <w:top w:val="single" w:sz="4" w:space="0" w:color="4F81BD"/>
            <w:left w:val="nil"/>
            <w:bottom w:val="nil"/>
            <w:right w:val="nil"/>
          </w:tcBorders>
        </w:tcPr>
        <w:p w14:paraId="66DEA9D9"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0726D67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77FEEEB1" w14:textId="77777777" w:rsidR="00240165" w:rsidRPr="005A3173" w:rsidRDefault="00240165" w:rsidP="005A3173">
          <w:pP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34C4AE3" w14:textId="77777777" w:rsidTr="005A3173">
      <w:trPr>
        <w:trHeight w:val="151"/>
      </w:trPr>
      <w:tc>
        <w:tcPr>
          <w:tcW w:w="2250" w:type="pct"/>
          <w:tcBorders>
            <w:top w:val="nil"/>
            <w:left w:val="nil"/>
            <w:bottom w:val="single" w:sz="4" w:space="0" w:color="4F81BD"/>
            <w:right w:val="nil"/>
          </w:tcBorders>
        </w:tcPr>
        <w:p w14:paraId="556410DA"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7AE76BB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240165" w:rsidRPr="005A3173" w:rsidRDefault="00240165" w:rsidP="005A3173">
          <w:pPr>
            <w:spacing w:line="276" w:lineRule="auto"/>
            <w:rPr>
              <w:rFonts w:eastAsia="MS Gothic"/>
              <w:b/>
              <w:bCs/>
              <w:color w:val="4F81BD"/>
            </w:rPr>
          </w:pPr>
        </w:p>
      </w:tc>
    </w:tr>
    <w:tr w:rsidR="00240165" w14:paraId="2F5EEC4C" w14:textId="77777777" w:rsidTr="005A3173">
      <w:trPr>
        <w:trHeight w:val="150"/>
      </w:trPr>
      <w:tc>
        <w:tcPr>
          <w:tcW w:w="2250" w:type="pct"/>
          <w:tcBorders>
            <w:top w:val="single" w:sz="4" w:space="0" w:color="4F81BD"/>
            <w:left w:val="nil"/>
            <w:bottom w:val="nil"/>
            <w:right w:val="nil"/>
          </w:tcBorders>
        </w:tcPr>
        <w:p w14:paraId="60E1BA15"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4EACACBE"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516BCB31" w14:textId="77777777" w:rsidR="00240165" w:rsidRPr="005A3173" w:rsidRDefault="00240165" w:rsidP="005A3173">
          <w:pPr>
            <w:spacing w:line="276" w:lineRule="auto"/>
            <w:rPr>
              <w:rFonts w:eastAsia="MS Gothic"/>
              <w:b/>
              <w:bCs/>
              <w:color w:val="4F81BD"/>
            </w:rPr>
          </w:pPr>
        </w:p>
      </w:tc>
    </w:tr>
  </w:tbl>
  <w:p w14:paraId="679BDCC0" w14:textId="77777777" w:rsidR="00240165" w:rsidRPr="007C0F57" w:rsidRDefault="00240165" w:rsidP="007C0F57">
    <w:pP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fldChar w:fldCharType="begin"/>
    </w:r>
    <w:r>
      <w:instrText xml:space="preserve"> PAGE </w:instrText>
    </w:r>
    <w:r>
      <w:fldChar w:fldCharType="separate"/>
    </w:r>
    <w:r>
      <w:rPr>
        <w:noProof/>
      </w:rPr>
      <w:t>1</w:t>
    </w:r>
    <w:r>
      <w:fldChar w:fldCharType="end"/>
    </w:r>
    <w:r w:rsidRPr="007C0F57">
      <w:rPr>
        <w:b/>
        <w:i/>
        <w:sz w:val="20"/>
        <w:szCs w:val="20"/>
      </w:rPr>
      <w:t>BAC Meeting</w:t>
    </w:r>
  </w:p>
  <w:p w14:paraId="617093FB" w14:textId="77777777" w:rsidR="00240165" w:rsidRPr="007C0F57" w:rsidRDefault="00240165" w:rsidP="007C0F57">
    <w:pPr>
      <w:jc w:val="center"/>
      <w:rPr>
        <w:b/>
        <w:i/>
        <w:sz w:val="20"/>
        <w:szCs w:val="20"/>
      </w:rPr>
    </w:pPr>
    <w:r w:rsidRPr="007C0F57">
      <w:rPr>
        <w:b/>
        <w:i/>
        <w:sz w:val="20"/>
        <w:szCs w:val="20"/>
      </w:rPr>
      <w:t>Commercial-in-Confidence</w:t>
    </w:r>
  </w:p>
  <w:p w14:paraId="36E9E30B" w14:textId="77777777" w:rsidR="00240165" w:rsidRDefault="00240165"/>
  <w:p w14:paraId="419E5320" w14:textId="77777777" w:rsidR="00240165" w:rsidRDefault="002401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95CBE" w14:textId="77777777" w:rsidR="00D16F4D" w:rsidRDefault="00D16F4D">
      <w:r>
        <w:separator/>
      </w:r>
    </w:p>
    <w:p w14:paraId="3ED79CB2" w14:textId="77777777" w:rsidR="00D16F4D" w:rsidRDefault="00D16F4D"/>
    <w:p w14:paraId="70A330ED" w14:textId="77777777" w:rsidR="00D16F4D" w:rsidRDefault="00D16F4D"/>
  </w:footnote>
  <w:footnote w:type="continuationSeparator" w:id="0">
    <w:p w14:paraId="69B8C187" w14:textId="77777777" w:rsidR="00D16F4D" w:rsidRDefault="00D16F4D">
      <w:r>
        <w:continuationSeparator/>
      </w:r>
    </w:p>
    <w:p w14:paraId="6FE54BBB" w14:textId="77777777" w:rsidR="00D16F4D" w:rsidRDefault="00D16F4D"/>
    <w:p w14:paraId="4A973028" w14:textId="77777777" w:rsidR="00D16F4D" w:rsidRDefault="00D16F4D"/>
  </w:footnote>
  <w:footnote w:type="continuationNotice" w:id="1">
    <w:p w14:paraId="3BC0BAD7" w14:textId="77777777" w:rsidR="00D16F4D" w:rsidRDefault="00D16F4D"/>
    <w:p w14:paraId="6BCC9E66" w14:textId="77777777" w:rsidR="00D16F4D" w:rsidRDefault="00D16F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4956" w14:textId="77777777" w:rsidR="00240165" w:rsidRDefault="002401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9163" w14:textId="6C785E11" w:rsidR="007C2C89" w:rsidRPr="009A0108" w:rsidRDefault="00E043DB" w:rsidP="007C2C89">
    <w:pPr>
      <w:pStyle w:val="Header"/>
      <w:ind w:left="360"/>
      <w:jc w:val="center"/>
      <w:rPr>
        <w:rFonts w:asciiTheme="minorHAnsi" w:eastAsiaTheme="minorEastAsia" w:hAnsiTheme="minorHAnsi" w:cstheme="minorHAnsi"/>
        <w:i/>
        <w:color w:val="808080"/>
      </w:rPr>
    </w:pPr>
    <w:r>
      <w:rPr>
        <w:rFonts w:asciiTheme="minorHAnsi" w:eastAsiaTheme="minorEastAsia" w:hAnsiTheme="minorHAnsi" w:cstheme="minorHAnsi"/>
        <w:i/>
        <w:color w:val="808080"/>
      </w:rPr>
      <w:t>Public Summary Document</w:t>
    </w:r>
    <w:r w:rsidR="009A0108" w:rsidRPr="00865E80">
      <w:rPr>
        <w:rFonts w:asciiTheme="minorHAnsi" w:eastAsiaTheme="minorEastAsia" w:hAnsiTheme="minorHAnsi" w:cstheme="minorHAnsi"/>
        <w:i/>
        <w:color w:val="808080"/>
      </w:rPr>
      <w:t xml:space="preserve"> –</w:t>
    </w:r>
    <w:r w:rsidR="009A0108" w:rsidRPr="00A217E0">
      <w:rPr>
        <w:rFonts w:asciiTheme="minorHAnsi" w:hAnsiTheme="minorHAnsi" w:cs="Arial"/>
        <w:i/>
      </w:rPr>
      <w:t xml:space="preserve"> </w:t>
    </w:r>
    <w:r w:rsidR="007C2C89" w:rsidRPr="009A0108">
      <w:rPr>
        <w:rFonts w:asciiTheme="minorHAnsi" w:eastAsiaTheme="minorEastAsia" w:hAnsiTheme="minorHAnsi" w:cstheme="minorHAnsi"/>
        <w:i/>
        <w:color w:val="808080"/>
      </w:rPr>
      <w:t>November 2023 PBAC Meeting</w:t>
    </w:r>
  </w:p>
  <w:p w14:paraId="7E419CEB" w14:textId="77777777" w:rsidR="007C2C89" w:rsidRDefault="007C2C89" w:rsidP="007C2C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9F1E" w14:textId="77777777" w:rsidR="009F73BC" w:rsidRDefault="009F7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1BDB"/>
    <w:multiLevelType w:val="hybridMultilevel"/>
    <w:tmpl w:val="A1548902"/>
    <w:lvl w:ilvl="0" w:tplc="3F40E6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8F3621"/>
    <w:multiLevelType w:val="hybridMultilevel"/>
    <w:tmpl w:val="D5466232"/>
    <w:lvl w:ilvl="0" w:tplc="B50C2A1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AF5EE1"/>
    <w:multiLevelType w:val="hybridMultilevel"/>
    <w:tmpl w:val="A8FE8920"/>
    <w:lvl w:ilvl="0" w:tplc="FFFFFFFF">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64449A"/>
    <w:multiLevelType w:val="hybridMultilevel"/>
    <w:tmpl w:val="086EA260"/>
    <w:lvl w:ilvl="0" w:tplc="E04ECA32">
      <w:start w:val="1"/>
      <w:numFmt w:val="lowerRoman"/>
      <w:lvlText w:val="%1)"/>
      <w:lvlJc w:val="left"/>
      <w:pPr>
        <w:ind w:left="720" w:hanging="720"/>
      </w:pPr>
      <w:rPr>
        <w:rFonts w:hint="default"/>
      </w:rPr>
    </w:lvl>
    <w:lvl w:ilvl="1" w:tplc="BFD01ED4">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7F846A8"/>
    <w:multiLevelType w:val="hybridMultilevel"/>
    <w:tmpl w:val="A3AA48C8"/>
    <w:lvl w:ilvl="0" w:tplc="A866F2A0">
      <w:start w:val="1"/>
      <w:numFmt w:val="lowerRoman"/>
      <w:lvlText w:val="%1)"/>
      <w:lvlJc w:val="right"/>
      <w:pPr>
        <w:ind w:left="1440" w:hanging="360"/>
      </w:pPr>
    </w:lvl>
    <w:lvl w:ilvl="1" w:tplc="87184316">
      <w:start w:val="1"/>
      <w:numFmt w:val="lowerRoman"/>
      <w:lvlText w:val="%2)"/>
      <w:lvlJc w:val="right"/>
      <w:pPr>
        <w:ind w:left="1440" w:hanging="360"/>
      </w:pPr>
    </w:lvl>
    <w:lvl w:ilvl="2" w:tplc="2F72B39E">
      <w:start w:val="1"/>
      <w:numFmt w:val="lowerRoman"/>
      <w:lvlText w:val="%3)"/>
      <w:lvlJc w:val="right"/>
      <w:pPr>
        <w:ind w:left="1440" w:hanging="360"/>
      </w:pPr>
    </w:lvl>
    <w:lvl w:ilvl="3" w:tplc="55AE8532">
      <w:start w:val="1"/>
      <w:numFmt w:val="lowerRoman"/>
      <w:lvlText w:val="%4)"/>
      <w:lvlJc w:val="right"/>
      <w:pPr>
        <w:ind w:left="1440" w:hanging="360"/>
      </w:pPr>
    </w:lvl>
    <w:lvl w:ilvl="4" w:tplc="796200D8">
      <w:start w:val="1"/>
      <w:numFmt w:val="lowerRoman"/>
      <w:lvlText w:val="%5)"/>
      <w:lvlJc w:val="right"/>
      <w:pPr>
        <w:ind w:left="1440" w:hanging="360"/>
      </w:pPr>
    </w:lvl>
    <w:lvl w:ilvl="5" w:tplc="DA7C6EC2">
      <w:start w:val="1"/>
      <w:numFmt w:val="lowerRoman"/>
      <w:lvlText w:val="%6)"/>
      <w:lvlJc w:val="right"/>
      <w:pPr>
        <w:ind w:left="1440" w:hanging="360"/>
      </w:pPr>
    </w:lvl>
    <w:lvl w:ilvl="6" w:tplc="64F0C422">
      <w:start w:val="1"/>
      <w:numFmt w:val="lowerRoman"/>
      <w:lvlText w:val="%7)"/>
      <w:lvlJc w:val="right"/>
      <w:pPr>
        <w:ind w:left="1440" w:hanging="360"/>
      </w:pPr>
    </w:lvl>
    <w:lvl w:ilvl="7" w:tplc="E034C1E0">
      <w:start w:val="1"/>
      <w:numFmt w:val="lowerRoman"/>
      <w:lvlText w:val="%8)"/>
      <w:lvlJc w:val="right"/>
      <w:pPr>
        <w:ind w:left="1440" w:hanging="360"/>
      </w:pPr>
    </w:lvl>
    <w:lvl w:ilvl="8" w:tplc="3064EC48">
      <w:start w:val="1"/>
      <w:numFmt w:val="lowerRoman"/>
      <w:lvlText w:val="%9)"/>
      <w:lvlJc w:val="right"/>
      <w:pPr>
        <w:ind w:left="1440" w:hanging="360"/>
      </w:pPr>
    </w:lvl>
  </w:abstractNum>
  <w:abstractNum w:abstractNumId="5" w15:restartNumberingAfterBreak="0">
    <w:nsid w:val="1FE301BD"/>
    <w:multiLevelType w:val="hybridMultilevel"/>
    <w:tmpl w:val="163C3912"/>
    <w:lvl w:ilvl="0" w:tplc="B50C2A16">
      <w:start w:val="1"/>
      <w:numFmt w:val="lowerRoman"/>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CF5DF6"/>
    <w:multiLevelType w:val="multilevel"/>
    <w:tmpl w:val="04090023"/>
    <w:styleLink w:val="ArticleSection1"/>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2CAC78C4"/>
    <w:multiLevelType w:val="hybridMultilevel"/>
    <w:tmpl w:val="EB409F38"/>
    <w:lvl w:ilvl="0" w:tplc="FFFFFFFF">
      <w:start w:val="1"/>
      <w:numFmt w:val="lowerRoman"/>
      <w:lvlText w:val="(%1)"/>
      <w:lvlJc w:val="left"/>
      <w:pPr>
        <w:ind w:left="108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7828C4"/>
    <w:multiLevelType w:val="hybridMultilevel"/>
    <w:tmpl w:val="1F82020A"/>
    <w:lvl w:ilvl="0" w:tplc="188E73EE">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3B2EEE"/>
    <w:multiLevelType w:val="hybridMultilevel"/>
    <w:tmpl w:val="29842D6C"/>
    <w:lvl w:ilvl="0" w:tplc="CDD03002">
      <w:start w:val="1"/>
      <w:numFmt w:val="lowerRoman"/>
      <w:lvlText w:val="(%1)"/>
      <w:lvlJc w:val="right"/>
      <w:pPr>
        <w:ind w:left="767" w:hanging="360"/>
      </w:pPr>
      <w:rPr>
        <w:rFonts w:hint="default"/>
      </w:rPr>
    </w:lvl>
    <w:lvl w:ilvl="1" w:tplc="B50C2A16">
      <w:start w:val="1"/>
      <w:numFmt w:val="lowerRoman"/>
      <w:lvlText w:val="(%2)"/>
      <w:lvlJc w:val="left"/>
      <w:pPr>
        <w:ind w:left="720" w:hanging="360"/>
      </w:pPr>
      <w:rPr>
        <w:rFonts w:hint="default"/>
        <w:b w:val="0"/>
        <w:bCs w:val="0"/>
      </w:rPr>
    </w:lvl>
    <w:lvl w:ilvl="2" w:tplc="0A026ABA">
      <w:start w:val="2"/>
      <w:numFmt w:val="upperRoman"/>
      <w:lvlText w:val="(%3)"/>
      <w:lvlJc w:val="left"/>
      <w:pPr>
        <w:ind w:left="2747" w:hanging="720"/>
      </w:pPr>
      <w:rPr>
        <w:rFonts w:hint="default"/>
      </w:rPr>
    </w:lvl>
    <w:lvl w:ilvl="3" w:tplc="0C09000F" w:tentative="1">
      <w:start w:val="1"/>
      <w:numFmt w:val="decimal"/>
      <w:lvlText w:val="%4."/>
      <w:lvlJc w:val="left"/>
      <w:pPr>
        <w:ind w:left="2927" w:hanging="360"/>
      </w:pPr>
    </w:lvl>
    <w:lvl w:ilvl="4" w:tplc="0C090019" w:tentative="1">
      <w:start w:val="1"/>
      <w:numFmt w:val="lowerLetter"/>
      <w:lvlText w:val="%5."/>
      <w:lvlJc w:val="left"/>
      <w:pPr>
        <w:ind w:left="3647" w:hanging="360"/>
      </w:pPr>
    </w:lvl>
    <w:lvl w:ilvl="5" w:tplc="0C09001B" w:tentative="1">
      <w:start w:val="1"/>
      <w:numFmt w:val="lowerRoman"/>
      <w:lvlText w:val="%6."/>
      <w:lvlJc w:val="right"/>
      <w:pPr>
        <w:ind w:left="4367" w:hanging="180"/>
      </w:pPr>
    </w:lvl>
    <w:lvl w:ilvl="6" w:tplc="0C09000F" w:tentative="1">
      <w:start w:val="1"/>
      <w:numFmt w:val="decimal"/>
      <w:lvlText w:val="%7."/>
      <w:lvlJc w:val="left"/>
      <w:pPr>
        <w:ind w:left="5087" w:hanging="360"/>
      </w:pPr>
    </w:lvl>
    <w:lvl w:ilvl="7" w:tplc="0C090019" w:tentative="1">
      <w:start w:val="1"/>
      <w:numFmt w:val="lowerLetter"/>
      <w:lvlText w:val="%8."/>
      <w:lvlJc w:val="left"/>
      <w:pPr>
        <w:ind w:left="5807" w:hanging="360"/>
      </w:pPr>
    </w:lvl>
    <w:lvl w:ilvl="8" w:tplc="0C09001B" w:tentative="1">
      <w:start w:val="1"/>
      <w:numFmt w:val="lowerRoman"/>
      <w:lvlText w:val="%9."/>
      <w:lvlJc w:val="right"/>
      <w:pPr>
        <w:ind w:left="6527" w:hanging="180"/>
      </w:pPr>
    </w:lvl>
  </w:abstractNum>
  <w:abstractNum w:abstractNumId="10" w15:restartNumberingAfterBreak="0">
    <w:nsid w:val="3672667D"/>
    <w:multiLevelType w:val="hybridMultilevel"/>
    <w:tmpl w:val="C444E674"/>
    <w:lvl w:ilvl="0" w:tplc="FFFFFFFF">
      <w:start w:val="1"/>
      <w:numFmt w:val="lowerRoman"/>
      <w:lvlText w:val="(%1)"/>
      <w:lvlJc w:val="left"/>
      <w:pPr>
        <w:ind w:left="108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7332CD"/>
    <w:multiLevelType w:val="hybridMultilevel"/>
    <w:tmpl w:val="467A0BEE"/>
    <w:lvl w:ilvl="0" w:tplc="1C7E817A">
      <w:start w:val="1"/>
      <w:numFmt w:val="lowerRoman"/>
      <w:lvlText w:val="%1)"/>
      <w:lvlJc w:val="right"/>
      <w:pPr>
        <w:ind w:left="1440" w:hanging="360"/>
      </w:pPr>
    </w:lvl>
    <w:lvl w:ilvl="1" w:tplc="C0447CD0">
      <w:start w:val="1"/>
      <w:numFmt w:val="lowerRoman"/>
      <w:lvlText w:val="%2)"/>
      <w:lvlJc w:val="right"/>
      <w:pPr>
        <w:ind w:left="1440" w:hanging="360"/>
      </w:pPr>
    </w:lvl>
    <w:lvl w:ilvl="2" w:tplc="D97AD638">
      <w:start w:val="1"/>
      <w:numFmt w:val="lowerRoman"/>
      <w:lvlText w:val="%3)"/>
      <w:lvlJc w:val="right"/>
      <w:pPr>
        <w:ind w:left="1440" w:hanging="360"/>
      </w:pPr>
    </w:lvl>
    <w:lvl w:ilvl="3" w:tplc="D020E2D4">
      <w:start w:val="1"/>
      <w:numFmt w:val="lowerRoman"/>
      <w:lvlText w:val="%4)"/>
      <w:lvlJc w:val="right"/>
      <w:pPr>
        <w:ind w:left="1440" w:hanging="360"/>
      </w:pPr>
    </w:lvl>
    <w:lvl w:ilvl="4" w:tplc="89726BB2">
      <w:start w:val="1"/>
      <w:numFmt w:val="lowerRoman"/>
      <w:lvlText w:val="%5)"/>
      <w:lvlJc w:val="right"/>
      <w:pPr>
        <w:ind w:left="1440" w:hanging="360"/>
      </w:pPr>
    </w:lvl>
    <w:lvl w:ilvl="5" w:tplc="043CD044">
      <w:start w:val="1"/>
      <w:numFmt w:val="lowerRoman"/>
      <w:lvlText w:val="%6)"/>
      <w:lvlJc w:val="right"/>
      <w:pPr>
        <w:ind w:left="1440" w:hanging="360"/>
      </w:pPr>
    </w:lvl>
    <w:lvl w:ilvl="6" w:tplc="483EE6FE">
      <w:start w:val="1"/>
      <w:numFmt w:val="lowerRoman"/>
      <w:lvlText w:val="%7)"/>
      <w:lvlJc w:val="right"/>
      <w:pPr>
        <w:ind w:left="1440" w:hanging="360"/>
      </w:pPr>
    </w:lvl>
    <w:lvl w:ilvl="7" w:tplc="3FBCA19E">
      <w:start w:val="1"/>
      <w:numFmt w:val="lowerRoman"/>
      <w:lvlText w:val="%8)"/>
      <w:lvlJc w:val="right"/>
      <w:pPr>
        <w:ind w:left="1440" w:hanging="360"/>
      </w:pPr>
    </w:lvl>
    <w:lvl w:ilvl="8" w:tplc="9334BA58">
      <w:start w:val="1"/>
      <w:numFmt w:val="lowerRoman"/>
      <w:lvlText w:val="%9)"/>
      <w:lvlJc w:val="right"/>
      <w:pPr>
        <w:ind w:left="1440" w:hanging="360"/>
      </w:pPr>
    </w:lvl>
  </w:abstractNum>
  <w:abstractNum w:abstractNumId="12" w15:restartNumberingAfterBreak="0">
    <w:nsid w:val="3A79006D"/>
    <w:multiLevelType w:val="hybridMultilevel"/>
    <w:tmpl w:val="217E26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AB5679E"/>
    <w:multiLevelType w:val="hybridMultilevel"/>
    <w:tmpl w:val="694855A0"/>
    <w:lvl w:ilvl="0" w:tplc="B50C2A1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C37276"/>
    <w:multiLevelType w:val="multilevel"/>
    <w:tmpl w:val="46B03864"/>
    <w:lvl w:ilvl="0">
      <w:start w:val="1"/>
      <w:numFmt w:val="decimal"/>
      <w:lvlText w:val="%1"/>
      <w:lvlJc w:val="left"/>
      <w:pPr>
        <w:ind w:left="720" w:hanging="720"/>
      </w:pPr>
      <w:rPr>
        <w:rFonts w:hint="default"/>
      </w:rPr>
    </w:lvl>
    <w:lvl w:ilvl="1">
      <w:start w:val="1"/>
      <w:numFmt w:val="bullet"/>
      <w:lvlText w:val=""/>
      <w:lvlJc w:val="left"/>
      <w:pPr>
        <w:ind w:left="360" w:hanging="360"/>
      </w:pPr>
      <w:rPr>
        <w:rFonts w:ascii="Symbol" w:hAnsi="Symbol" w:hint="default"/>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15:restartNumberingAfterBreak="0">
    <w:nsid w:val="4B746DDB"/>
    <w:multiLevelType w:val="hybridMultilevel"/>
    <w:tmpl w:val="53402A28"/>
    <w:lvl w:ilvl="0" w:tplc="B6C8C8A6">
      <w:start w:val="1"/>
      <w:numFmt w:val="lowerRoman"/>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EC4FE9"/>
    <w:multiLevelType w:val="hybridMultilevel"/>
    <w:tmpl w:val="619C0BFA"/>
    <w:lvl w:ilvl="0" w:tplc="FFFFFFFF">
      <w:start w:val="1"/>
      <w:numFmt w:val="lowerRoman"/>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9344B8"/>
    <w:multiLevelType w:val="hybridMultilevel"/>
    <w:tmpl w:val="619C0BFA"/>
    <w:lvl w:ilvl="0" w:tplc="DB3E94F4">
      <w:start w:val="1"/>
      <w:numFmt w:val="lowerRoman"/>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08488E"/>
    <w:multiLevelType w:val="hybridMultilevel"/>
    <w:tmpl w:val="3C528540"/>
    <w:lvl w:ilvl="0" w:tplc="C94C2094">
      <w:start w:val="1"/>
      <w:numFmt w:val="bullet"/>
      <w:lvlText w:val="-"/>
      <w:lvlJc w:val="left"/>
      <w:pPr>
        <w:ind w:left="581" w:hanging="360"/>
      </w:pPr>
      <w:rPr>
        <w:rFonts w:ascii="Arial Narrow" w:eastAsiaTheme="majorEastAsia" w:hAnsi="Arial Narrow" w:cstheme="majorBidi" w:hint="default"/>
        <w:sz w:val="22"/>
      </w:rPr>
    </w:lvl>
    <w:lvl w:ilvl="1" w:tplc="0C090003" w:tentative="1">
      <w:start w:val="1"/>
      <w:numFmt w:val="bullet"/>
      <w:lvlText w:val="o"/>
      <w:lvlJc w:val="left"/>
      <w:pPr>
        <w:ind w:left="1301" w:hanging="360"/>
      </w:pPr>
      <w:rPr>
        <w:rFonts w:ascii="Courier New" w:hAnsi="Courier New" w:cs="Courier New" w:hint="default"/>
      </w:rPr>
    </w:lvl>
    <w:lvl w:ilvl="2" w:tplc="0C090005" w:tentative="1">
      <w:start w:val="1"/>
      <w:numFmt w:val="bullet"/>
      <w:lvlText w:val=""/>
      <w:lvlJc w:val="left"/>
      <w:pPr>
        <w:ind w:left="2021" w:hanging="360"/>
      </w:pPr>
      <w:rPr>
        <w:rFonts w:ascii="Wingdings" w:hAnsi="Wingdings" w:hint="default"/>
      </w:rPr>
    </w:lvl>
    <w:lvl w:ilvl="3" w:tplc="0C090001" w:tentative="1">
      <w:start w:val="1"/>
      <w:numFmt w:val="bullet"/>
      <w:lvlText w:val=""/>
      <w:lvlJc w:val="left"/>
      <w:pPr>
        <w:ind w:left="2741" w:hanging="360"/>
      </w:pPr>
      <w:rPr>
        <w:rFonts w:ascii="Symbol" w:hAnsi="Symbol" w:hint="default"/>
      </w:rPr>
    </w:lvl>
    <w:lvl w:ilvl="4" w:tplc="0C090003" w:tentative="1">
      <w:start w:val="1"/>
      <w:numFmt w:val="bullet"/>
      <w:lvlText w:val="o"/>
      <w:lvlJc w:val="left"/>
      <w:pPr>
        <w:ind w:left="3461" w:hanging="360"/>
      </w:pPr>
      <w:rPr>
        <w:rFonts w:ascii="Courier New" w:hAnsi="Courier New" w:cs="Courier New" w:hint="default"/>
      </w:rPr>
    </w:lvl>
    <w:lvl w:ilvl="5" w:tplc="0C090005" w:tentative="1">
      <w:start w:val="1"/>
      <w:numFmt w:val="bullet"/>
      <w:lvlText w:val=""/>
      <w:lvlJc w:val="left"/>
      <w:pPr>
        <w:ind w:left="4181" w:hanging="360"/>
      </w:pPr>
      <w:rPr>
        <w:rFonts w:ascii="Wingdings" w:hAnsi="Wingdings" w:hint="default"/>
      </w:rPr>
    </w:lvl>
    <w:lvl w:ilvl="6" w:tplc="0C090001" w:tentative="1">
      <w:start w:val="1"/>
      <w:numFmt w:val="bullet"/>
      <w:lvlText w:val=""/>
      <w:lvlJc w:val="left"/>
      <w:pPr>
        <w:ind w:left="4901" w:hanging="360"/>
      </w:pPr>
      <w:rPr>
        <w:rFonts w:ascii="Symbol" w:hAnsi="Symbol" w:hint="default"/>
      </w:rPr>
    </w:lvl>
    <w:lvl w:ilvl="7" w:tplc="0C090003" w:tentative="1">
      <w:start w:val="1"/>
      <w:numFmt w:val="bullet"/>
      <w:lvlText w:val="o"/>
      <w:lvlJc w:val="left"/>
      <w:pPr>
        <w:ind w:left="5621" w:hanging="360"/>
      </w:pPr>
      <w:rPr>
        <w:rFonts w:ascii="Courier New" w:hAnsi="Courier New" w:cs="Courier New" w:hint="default"/>
      </w:rPr>
    </w:lvl>
    <w:lvl w:ilvl="8" w:tplc="0C090005" w:tentative="1">
      <w:start w:val="1"/>
      <w:numFmt w:val="bullet"/>
      <w:lvlText w:val=""/>
      <w:lvlJc w:val="left"/>
      <w:pPr>
        <w:ind w:left="6341" w:hanging="360"/>
      </w:pPr>
      <w:rPr>
        <w:rFonts w:ascii="Wingdings" w:hAnsi="Wingdings" w:hint="default"/>
      </w:rPr>
    </w:lvl>
  </w:abstractNum>
  <w:abstractNum w:abstractNumId="19" w15:restartNumberingAfterBreak="0">
    <w:nsid w:val="4E3D34BA"/>
    <w:multiLevelType w:val="hybridMultilevel"/>
    <w:tmpl w:val="42B44BB8"/>
    <w:lvl w:ilvl="0" w:tplc="C94C2094">
      <w:start w:val="1"/>
      <w:numFmt w:val="bullet"/>
      <w:lvlText w:val="-"/>
      <w:lvlJc w:val="left"/>
      <w:pPr>
        <w:ind w:left="1440" w:hanging="360"/>
      </w:pPr>
      <w:rPr>
        <w:rFonts w:ascii="Arial Narrow" w:eastAsiaTheme="majorEastAsia" w:hAnsi="Arial Narrow" w:cstheme="majorBidi" w:hint="default"/>
        <w:sz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05C0F76"/>
    <w:multiLevelType w:val="hybridMultilevel"/>
    <w:tmpl w:val="9C2A6236"/>
    <w:lvl w:ilvl="0" w:tplc="188E73EE">
      <w:start w:val="1"/>
      <w:numFmt w:val="lowerRoman"/>
      <w:lvlText w:val="(%1)"/>
      <w:lvlJc w:val="left"/>
      <w:pPr>
        <w:ind w:left="108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9A3718"/>
    <w:multiLevelType w:val="hybridMultilevel"/>
    <w:tmpl w:val="83A27D7A"/>
    <w:lvl w:ilvl="0" w:tplc="B50C2A16">
      <w:start w:val="1"/>
      <w:numFmt w:val="lowerRoman"/>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0A273A"/>
    <w:multiLevelType w:val="multilevel"/>
    <w:tmpl w:val="46B03864"/>
    <w:lvl w:ilvl="0">
      <w:start w:val="1"/>
      <w:numFmt w:val="decimal"/>
      <w:lvlText w:val="%1"/>
      <w:lvlJc w:val="left"/>
      <w:pPr>
        <w:ind w:left="720" w:hanging="720"/>
      </w:pPr>
      <w:rPr>
        <w:rFonts w:hint="default"/>
      </w:rPr>
    </w:lvl>
    <w:lvl w:ilvl="1">
      <w:start w:val="1"/>
      <w:numFmt w:val="bullet"/>
      <w:lvlText w:val=""/>
      <w:lvlJc w:val="left"/>
      <w:pPr>
        <w:ind w:left="360" w:hanging="360"/>
      </w:pPr>
      <w:rPr>
        <w:rFonts w:ascii="Symbol" w:hAnsi="Symbol" w:hint="default"/>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56943E30"/>
    <w:multiLevelType w:val="hybridMultilevel"/>
    <w:tmpl w:val="619C0BFA"/>
    <w:lvl w:ilvl="0" w:tplc="FFFFFFFF">
      <w:start w:val="1"/>
      <w:numFmt w:val="lowerRoman"/>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900E1C"/>
    <w:multiLevelType w:val="hybridMultilevel"/>
    <w:tmpl w:val="619C0BFA"/>
    <w:lvl w:ilvl="0" w:tplc="FFFFFFFF">
      <w:start w:val="1"/>
      <w:numFmt w:val="lowerRoman"/>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AC5FFD"/>
    <w:multiLevelType w:val="multilevel"/>
    <w:tmpl w:val="9EC6B10A"/>
    <w:lvl w:ilvl="0">
      <w:start w:val="1"/>
      <w:numFmt w:val="decimal"/>
      <w:lvlText w:val="%1"/>
      <w:lvlJc w:val="left"/>
      <w:pPr>
        <w:ind w:left="720" w:hanging="720"/>
      </w:pPr>
      <w:rPr>
        <w:rFonts w:hint="default"/>
      </w:rPr>
    </w:lvl>
    <w:lvl w:ilvl="1">
      <w:start w:val="1"/>
      <w:numFmt w:val="decimal"/>
      <w:pStyle w:val="3-BodyText"/>
      <w:lvlText w:val="%1.%2"/>
      <w:lvlJc w:val="left"/>
      <w:pPr>
        <w:ind w:left="720" w:hanging="720"/>
      </w:pPr>
      <w:rPr>
        <w:rFonts w:hint="default"/>
        <w:b w:val="0"/>
        <w:bCs/>
        <w:color w:val="auto"/>
      </w:rPr>
    </w:lvl>
    <w:lvl w:ilvl="2">
      <w:start w:val="1"/>
      <w:numFmt w:val="bullet"/>
      <w:lvlText w:val=""/>
      <w:lvlJc w:val="left"/>
      <w:pPr>
        <w:ind w:left="2700" w:hanging="360"/>
      </w:pPr>
      <w:rPr>
        <w:rFonts w:ascii="Symbol" w:hAnsi="Symbol"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610971E3"/>
    <w:multiLevelType w:val="hybridMultilevel"/>
    <w:tmpl w:val="A8FE8920"/>
    <w:lvl w:ilvl="0" w:tplc="FFFFFFFF">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16B7164"/>
    <w:multiLevelType w:val="hybridMultilevel"/>
    <w:tmpl w:val="83A27D7A"/>
    <w:lvl w:ilvl="0" w:tplc="FFFFFFFF">
      <w:start w:val="1"/>
      <w:numFmt w:val="lowerRoman"/>
      <w:lvlText w:val="(%1)"/>
      <w:lvlJc w:val="left"/>
      <w:pPr>
        <w:ind w:left="108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26F5ACE"/>
    <w:multiLevelType w:val="hybridMultilevel"/>
    <w:tmpl w:val="89C82882"/>
    <w:lvl w:ilvl="0" w:tplc="5316C4F0">
      <w:start w:val="1"/>
      <w:numFmt w:val="lowerRoman"/>
      <w:lvlText w:val="(%1)"/>
      <w:lvlJc w:val="left"/>
      <w:pPr>
        <w:ind w:left="1080" w:hanging="720"/>
      </w:pPr>
      <w:rPr>
        <w:rFonts w:hint="default"/>
        <w:b w:val="0"/>
        <w:bCs w:val="0"/>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2E044DB"/>
    <w:multiLevelType w:val="hybridMultilevel"/>
    <w:tmpl w:val="619C0BFA"/>
    <w:lvl w:ilvl="0" w:tplc="FFFFFFFF">
      <w:start w:val="1"/>
      <w:numFmt w:val="lowerRoman"/>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3444651"/>
    <w:multiLevelType w:val="multilevel"/>
    <w:tmpl w:val="B628A7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bCs/>
        <w:color w:val="auto"/>
      </w:rPr>
    </w:lvl>
    <w:lvl w:ilvl="2">
      <w:start w:val="1"/>
      <w:numFmt w:val="lowerLetter"/>
      <w:lvlText w:val="%3)"/>
      <w:lvlJc w:val="left"/>
      <w:pPr>
        <w:ind w:left="2700" w:hanging="360"/>
      </w:p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15:restartNumberingAfterBreak="0">
    <w:nsid w:val="75785EE9"/>
    <w:multiLevelType w:val="hybridMultilevel"/>
    <w:tmpl w:val="D2AC8766"/>
    <w:lvl w:ilvl="0" w:tplc="FFFFFFFF">
      <w:start w:val="1"/>
      <w:numFmt w:val="lowerRoman"/>
      <w:lvlText w:val="(%1)"/>
      <w:lvlJc w:val="left"/>
      <w:pPr>
        <w:ind w:left="108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5AB015F"/>
    <w:multiLevelType w:val="hybridMultilevel"/>
    <w:tmpl w:val="B4B29F74"/>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3" w15:restartNumberingAfterBreak="0">
    <w:nsid w:val="75FC2105"/>
    <w:multiLevelType w:val="hybridMultilevel"/>
    <w:tmpl w:val="CB54D078"/>
    <w:lvl w:ilvl="0" w:tplc="02CA61BA">
      <w:start w:val="1"/>
      <w:numFmt w:val="lowerRoman"/>
      <w:lvlText w:val="%1)"/>
      <w:lvlJc w:val="right"/>
      <w:pPr>
        <w:ind w:left="1440" w:hanging="360"/>
      </w:pPr>
    </w:lvl>
    <w:lvl w:ilvl="1" w:tplc="BC1E650E">
      <w:start w:val="1"/>
      <w:numFmt w:val="lowerRoman"/>
      <w:lvlText w:val="%2)"/>
      <w:lvlJc w:val="right"/>
      <w:pPr>
        <w:ind w:left="1440" w:hanging="360"/>
      </w:pPr>
    </w:lvl>
    <w:lvl w:ilvl="2" w:tplc="5844BE72">
      <w:start w:val="1"/>
      <w:numFmt w:val="lowerRoman"/>
      <w:lvlText w:val="%3)"/>
      <w:lvlJc w:val="right"/>
      <w:pPr>
        <w:ind w:left="1440" w:hanging="360"/>
      </w:pPr>
    </w:lvl>
    <w:lvl w:ilvl="3" w:tplc="C1E8869C">
      <w:start w:val="1"/>
      <w:numFmt w:val="lowerRoman"/>
      <w:lvlText w:val="%4)"/>
      <w:lvlJc w:val="right"/>
      <w:pPr>
        <w:ind w:left="1440" w:hanging="360"/>
      </w:pPr>
    </w:lvl>
    <w:lvl w:ilvl="4" w:tplc="7046CE14">
      <w:start w:val="1"/>
      <w:numFmt w:val="lowerRoman"/>
      <w:lvlText w:val="%5)"/>
      <w:lvlJc w:val="right"/>
      <w:pPr>
        <w:ind w:left="1440" w:hanging="360"/>
      </w:pPr>
    </w:lvl>
    <w:lvl w:ilvl="5" w:tplc="6B308674">
      <w:start w:val="1"/>
      <w:numFmt w:val="lowerRoman"/>
      <w:lvlText w:val="%6)"/>
      <w:lvlJc w:val="right"/>
      <w:pPr>
        <w:ind w:left="1440" w:hanging="360"/>
      </w:pPr>
    </w:lvl>
    <w:lvl w:ilvl="6" w:tplc="9076744C">
      <w:start w:val="1"/>
      <w:numFmt w:val="lowerRoman"/>
      <w:lvlText w:val="%7)"/>
      <w:lvlJc w:val="right"/>
      <w:pPr>
        <w:ind w:left="1440" w:hanging="360"/>
      </w:pPr>
    </w:lvl>
    <w:lvl w:ilvl="7" w:tplc="12B05C1E">
      <w:start w:val="1"/>
      <w:numFmt w:val="lowerRoman"/>
      <w:lvlText w:val="%8)"/>
      <w:lvlJc w:val="right"/>
      <w:pPr>
        <w:ind w:left="1440" w:hanging="360"/>
      </w:pPr>
    </w:lvl>
    <w:lvl w:ilvl="8" w:tplc="7FC2D164">
      <w:start w:val="1"/>
      <w:numFmt w:val="lowerRoman"/>
      <w:lvlText w:val="%9)"/>
      <w:lvlJc w:val="right"/>
      <w:pPr>
        <w:ind w:left="1440" w:hanging="360"/>
      </w:pPr>
    </w:lvl>
  </w:abstractNum>
  <w:abstractNum w:abstractNumId="34" w15:restartNumberingAfterBreak="0">
    <w:nsid w:val="76986723"/>
    <w:multiLevelType w:val="hybridMultilevel"/>
    <w:tmpl w:val="59E86F9C"/>
    <w:lvl w:ilvl="0" w:tplc="1C927BDE">
      <w:start w:val="1"/>
      <w:numFmt w:val="lowerRoman"/>
      <w:lvlText w:val="(%1)"/>
      <w:lvlJc w:val="left"/>
      <w:pPr>
        <w:ind w:left="720" w:hanging="360"/>
      </w:pPr>
      <w:rPr>
        <w:rFonts w:hint="default"/>
        <w:b w:val="0"/>
        <w:bCs w:val="0"/>
        <w:i/>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4D033C"/>
    <w:multiLevelType w:val="multilevel"/>
    <w:tmpl w:val="4A3660E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8AB0FB7"/>
    <w:multiLevelType w:val="hybridMultilevel"/>
    <w:tmpl w:val="2A1A6E50"/>
    <w:lvl w:ilvl="0" w:tplc="724EA552">
      <w:start w:val="1"/>
      <w:numFmt w:val="lowerRoman"/>
      <w:lvlText w:val="%1)"/>
      <w:lvlJc w:val="right"/>
      <w:pPr>
        <w:ind w:left="1440" w:hanging="360"/>
      </w:pPr>
    </w:lvl>
    <w:lvl w:ilvl="1" w:tplc="CBCE4748">
      <w:start w:val="1"/>
      <w:numFmt w:val="lowerRoman"/>
      <w:lvlText w:val="%2)"/>
      <w:lvlJc w:val="right"/>
      <w:pPr>
        <w:ind w:left="1440" w:hanging="360"/>
      </w:pPr>
    </w:lvl>
    <w:lvl w:ilvl="2" w:tplc="FA181AC0">
      <w:start w:val="1"/>
      <w:numFmt w:val="lowerRoman"/>
      <w:lvlText w:val="%3)"/>
      <w:lvlJc w:val="right"/>
      <w:pPr>
        <w:ind w:left="1440" w:hanging="360"/>
      </w:pPr>
    </w:lvl>
    <w:lvl w:ilvl="3" w:tplc="832EF6C8">
      <w:start w:val="1"/>
      <w:numFmt w:val="lowerRoman"/>
      <w:lvlText w:val="%4)"/>
      <w:lvlJc w:val="right"/>
      <w:pPr>
        <w:ind w:left="1440" w:hanging="360"/>
      </w:pPr>
    </w:lvl>
    <w:lvl w:ilvl="4" w:tplc="070CD284">
      <w:start w:val="1"/>
      <w:numFmt w:val="lowerRoman"/>
      <w:lvlText w:val="%5)"/>
      <w:lvlJc w:val="right"/>
      <w:pPr>
        <w:ind w:left="1440" w:hanging="360"/>
      </w:pPr>
    </w:lvl>
    <w:lvl w:ilvl="5" w:tplc="AC2A4D00">
      <w:start w:val="1"/>
      <w:numFmt w:val="lowerRoman"/>
      <w:lvlText w:val="%6)"/>
      <w:lvlJc w:val="right"/>
      <w:pPr>
        <w:ind w:left="1440" w:hanging="360"/>
      </w:pPr>
    </w:lvl>
    <w:lvl w:ilvl="6" w:tplc="923C9140">
      <w:start w:val="1"/>
      <w:numFmt w:val="lowerRoman"/>
      <w:lvlText w:val="%7)"/>
      <w:lvlJc w:val="right"/>
      <w:pPr>
        <w:ind w:left="1440" w:hanging="360"/>
      </w:pPr>
    </w:lvl>
    <w:lvl w:ilvl="7" w:tplc="B0AE85C4">
      <w:start w:val="1"/>
      <w:numFmt w:val="lowerRoman"/>
      <w:lvlText w:val="%8)"/>
      <w:lvlJc w:val="right"/>
      <w:pPr>
        <w:ind w:left="1440" w:hanging="360"/>
      </w:pPr>
    </w:lvl>
    <w:lvl w:ilvl="8" w:tplc="4218124C">
      <w:start w:val="1"/>
      <w:numFmt w:val="lowerRoman"/>
      <w:lvlText w:val="%9)"/>
      <w:lvlJc w:val="right"/>
      <w:pPr>
        <w:ind w:left="1440" w:hanging="360"/>
      </w:pPr>
    </w:lvl>
  </w:abstractNum>
  <w:abstractNum w:abstractNumId="37" w15:restartNumberingAfterBreak="0">
    <w:nsid w:val="7A445121"/>
    <w:multiLevelType w:val="hybridMultilevel"/>
    <w:tmpl w:val="0F0C9BD6"/>
    <w:lvl w:ilvl="0" w:tplc="3F40E674">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D3C382D"/>
    <w:multiLevelType w:val="hybridMultilevel"/>
    <w:tmpl w:val="A8FE8920"/>
    <w:lvl w:ilvl="0" w:tplc="B50C2A16">
      <w:start w:val="1"/>
      <w:numFmt w:val="lowerRoman"/>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34054662">
    <w:abstractNumId w:val="35"/>
  </w:num>
  <w:num w:numId="2" w16cid:durableId="1620448477">
    <w:abstractNumId w:val="25"/>
  </w:num>
  <w:num w:numId="3" w16cid:durableId="613290798">
    <w:abstractNumId w:val="3"/>
  </w:num>
  <w:num w:numId="4" w16cid:durableId="846598282">
    <w:abstractNumId w:val="0"/>
  </w:num>
  <w:num w:numId="5" w16cid:durableId="153494533">
    <w:abstractNumId w:val="37"/>
  </w:num>
  <w:num w:numId="6" w16cid:durableId="241645774">
    <w:abstractNumId w:val="18"/>
  </w:num>
  <w:num w:numId="7" w16cid:durableId="814949326">
    <w:abstractNumId w:val="12"/>
  </w:num>
  <w:num w:numId="8" w16cid:durableId="442849695">
    <w:abstractNumId w:val="21"/>
  </w:num>
  <w:num w:numId="9" w16cid:durableId="2091271942">
    <w:abstractNumId w:val="5"/>
  </w:num>
  <w:num w:numId="10" w16cid:durableId="2013485996">
    <w:abstractNumId w:val="13"/>
  </w:num>
  <w:num w:numId="11" w16cid:durableId="705104546">
    <w:abstractNumId w:val="10"/>
  </w:num>
  <w:num w:numId="12" w16cid:durableId="662204030">
    <w:abstractNumId w:val="28"/>
  </w:num>
  <w:num w:numId="13" w16cid:durableId="523982237">
    <w:abstractNumId w:val="1"/>
  </w:num>
  <w:num w:numId="14" w16cid:durableId="1051072818">
    <w:abstractNumId w:val="15"/>
  </w:num>
  <w:num w:numId="15" w16cid:durableId="1540244687">
    <w:abstractNumId w:val="34"/>
  </w:num>
  <w:num w:numId="16" w16cid:durableId="38627708">
    <w:abstractNumId w:val="20"/>
  </w:num>
  <w:num w:numId="17" w16cid:durableId="250898880">
    <w:abstractNumId w:val="8"/>
  </w:num>
  <w:num w:numId="18" w16cid:durableId="778649642">
    <w:abstractNumId w:val="7"/>
  </w:num>
  <w:num w:numId="19" w16cid:durableId="1043214589">
    <w:abstractNumId w:val="31"/>
  </w:num>
  <w:num w:numId="20" w16cid:durableId="207767065">
    <w:abstractNumId w:val="27"/>
  </w:num>
  <w:num w:numId="21" w16cid:durableId="114103354">
    <w:abstractNumId w:val="22"/>
  </w:num>
  <w:num w:numId="22" w16cid:durableId="1868323780">
    <w:abstractNumId w:val="6"/>
  </w:num>
  <w:num w:numId="23" w16cid:durableId="1459956062">
    <w:abstractNumId w:val="14"/>
  </w:num>
  <w:num w:numId="24" w16cid:durableId="1556164282">
    <w:abstractNumId w:val="30"/>
  </w:num>
  <w:num w:numId="25" w16cid:durableId="1605265155">
    <w:abstractNumId w:val="9"/>
  </w:num>
  <w:num w:numId="26" w16cid:durableId="1583100397">
    <w:abstractNumId w:val="38"/>
  </w:num>
  <w:num w:numId="27" w16cid:durableId="380787631">
    <w:abstractNumId w:val="17"/>
  </w:num>
  <w:num w:numId="28" w16cid:durableId="670911813">
    <w:abstractNumId w:val="2"/>
  </w:num>
  <w:num w:numId="29" w16cid:durableId="1289818851">
    <w:abstractNumId w:val="29"/>
  </w:num>
  <w:num w:numId="30" w16cid:durableId="1938443685">
    <w:abstractNumId w:val="24"/>
  </w:num>
  <w:num w:numId="31" w16cid:durableId="11985407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60669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2191005">
    <w:abstractNumId w:val="16"/>
  </w:num>
  <w:num w:numId="34" w16cid:durableId="1432972982">
    <w:abstractNumId w:val="26"/>
  </w:num>
  <w:num w:numId="35" w16cid:durableId="1746610587">
    <w:abstractNumId w:val="23"/>
  </w:num>
  <w:num w:numId="36" w16cid:durableId="368072063">
    <w:abstractNumId w:val="4"/>
  </w:num>
  <w:num w:numId="37" w16cid:durableId="856847984">
    <w:abstractNumId w:val="36"/>
  </w:num>
  <w:num w:numId="38" w16cid:durableId="529219072">
    <w:abstractNumId w:val="11"/>
  </w:num>
  <w:num w:numId="39" w16cid:durableId="971714414">
    <w:abstractNumId w:val="33"/>
  </w:num>
  <w:num w:numId="40" w16cid:durableId="1754473727">
    <w:abstractNumId w:val="25"/>
  </w:num>
  <w:num w:numId="41" w16cid:durableId="2125072572">
    <w:abstractNumId w:val="19"/>
  </w:num>
  <w:num w:numId="42" w16cid:durableId="1415317278">
    <w:abstractNumId w:val="25"/>
  </w:num>
  <w:num w:numId="43" w16cid:durableId="1036321083">
    <w:abstractNumId w:val="25"/>
  </w:num>
  <w:num w:numId="44" w16cid:durableId="1034576324">
    <w:abstractNumId w:val="25"/>
  </w:num>
  <w:num w:numId="45" w16cid:durableId="389770065">
    <w:abstractNumId w:val="25"/>
  </w:num>
  <w:num w:numId="46" w16cid:durableId="1018777167">
    <w:abstractNumId w:val="25"/>
  </w:num>
  <w:num w:numId="47" w16cid:durableId="1104885672">
    <w:abstractNumId w:val="32"/>
  </w:num>
  <w:num w:numId="48" w16cid:durableId="1290286488">
    <w:abstractNumId w:val="25"/>
  </w:num>
  <w:num w:numId="49" w16cid:durableId="1579054778">
    <w:abstractNumId w:val="25"/>
  </w:num>
  <w:num w:numId="50" w16cid:durableId="125655228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1883"/>
    <w:rsid w:val="000025AD"/>
    <w:rsid w:val="0000335D"/>
    <w:rsid w:val="00010E37"/>
    <w:rsid w:val="00011A59"/>
    <w:rsid w:val="0001611A"/>
    <w:rsid w:val="00016A41"/>
    <w:rsid w:val="000214D1"/>
    <w:rsid w:val="0002464A"/>
    <w:rsid w:val="00025A04"/>
    <w:rsid w:val="0003050E"/>
    <w:rsid w:val="0003106B"/>
    <w:rsid w:val="00033C1D"/>
    <w:rsid w:val="00034905"/>
    <w:rsid w:val="000421A1"/>
    <w:rsid w:val="0004240E"/>
    <w:rsid w:val="00044EC4"/>
    <w:rsid w:val="00045E26"/>
    <w:rsid w:val="000502A7"/>
    <w:rsid w:val="00050AC7"/>
    <w:rsid w:val="000514B5"/>
    <w:rsid w:val="0005322E"/>
    <w:rsid w:val="00054E2B"/>
    <w:rsid w:val="00056377"/>
    <w:rsid w:val="00060E64"/>
    <w:rsid w:val="0006470F"/>
    <w:rsid w:val="00066193"/>
    <w:rsid w:val="00066755"/>
    <w:rsid w:val="00067B6B"/>
    <w:rsid w:val="00071A5B"/>
    <w:rsid w:val="00072A45"/>
    <w:rsid w:val="0007337F"/>
    <w:rsid w:val="000763D5"/>
    <w:rsid w:val="00076C38"/>
    <w:rsid w:val="00077143"/>
    <w:rsid w:val="00077DF7"/>
    <w:rsid w:val="0008050C"/>
    <w:rsid w:val="00082169"/>
    <w:rsid w:val="000834BE"/>
    <w:rsid w:val="00083F01"/>
    <w:rsid w:val="00084D05"/>
    <w:rsid w:val="00087C4C"/>
    <w:rsid w:val="000918CB"/>
    <w:rsid w:val="00091B06"/>
    <w:rsid w:val="000951C4"/>
    <w:rsid w:val="00095ADA"/>
    <w:rsid w:val="000969AD"/>
    <w:rsid w:val="000974FC"/>
    <w:rsid w:val="000975FB"/>
    <w:rsid w:val="000A3AA2"/>
    <w:rsid w:val="000A44B2"/>
    <w:rsid w:val="000A52F6"/>
    <w:rsid w:val="000B2B51"/>
    <w:rsid w:val="000B44C3"/>
    <w:rsid w:val="000B558D"/>
    <w:rsid w:val="000B5A89"/>
    <w:rsid w:val="000B5F53"/>
    <w:rsid w:val="000B65F6"/>
    <w:rsid w:val="000B7767"/>
    <w:rsid w:val="000C052D"/>
    <w:rsid w:val="000C36EE"/>
    <w:rsid w:val="000C5BCF"/>
    <w:rsid w:val="000C5F95"/>
    <w:rsid w:val="000C6878"/>
    <w:rsid w:val="000C6996"/>
    <w:rsid w:val="000C7C46"/>
    <w:rsid w:val="000D09E9"/>
    <w:rsid w:val="000D113F"/>
    <w:rsid w:val="000D23BA"/>
    <w:rsid w:val="000E102A"/>
    <w:rsid w:val="000E19B7"/>
    <w:rsid w:val="000E20FC"/>
    <w:rsid w:val="000E3DFB"/>
    <w:rsid w:val="000E5EA1"/>
    <w:rsid w:val="000E681E"/>
    <w:rsid w:val="000E7E52"/>
    <w:rsid w:val="000F0003"/>
    <w:rsid w:val="000F3384"/>
    <w:rsid w:val="000F4E6A"/>
    <w:rsid w:val="000F7354"/>
    <w:rsid w:val="00101ABE"/>
    <w:rsid w:val="00102202"/>
    <w:rsid w:val="00102700"/>
    <w:rsid w:val="0010289B"/>
    <w:rsid w:val="00102A78"/>
    <w:rsid w:val="00103118"/>
    <w:rsid w:val="00104227"/>
    <w:rsid w:val="00105038"/>
    <w:rsid w:val="00105681"/>
    <w:rsid w:val="001107BF"/>
    <w:rsid w:val="001111FE"/>
    <w:rsid w:val="00112ECF"/>
    <w:rsid w:val="00113649"/>
    <w:rsid w:val="00113A3F"/>
    <w:rsid w:val="00113D5C"/>
    <w:rsid w:val="001172C3"/>
    <w:rsid w:val="001205B2"/>
    <w:rsid w:val="0012417C"/>
    <w:rsid w:val="00124BF2"/>
    <w:rsid w:val="001258C6"/>
    <w:rsid w:val="0012597F"/>
    <w:rsid w:val="00126B4E"/>
    <w:rsid w:val="0012749D"/>
    <w:rsid w:val="001306A5"/>
    <w:rsid w:val="001311AE"/>
    <w:rsid w:val="0013184B"/>
    <w:rsid w:val="00131C77"/>
    <w:rsid w:val="00133A75"/>
    <w:rsid w:val="00140B74"/>
    <w:rsid w:val="00140D94"/>
    <w:rsid w:val="00142395"/>
    <w:rsid w:val="00142714"/>
    <w:rsid w:val="00144D09"/>
    <w:rsid w:val="001452ED"/>
    <w:rsid w:val="00145345"/>
    <w:rsid w:val="00147566"/>
    <w:rsid w:val="00147D84"/>
    <w:rsid w:val="00151D68"/>
    <w:rsid w:val="001549C1"/>
    <w:rsid w:val="00156C8D"/>
    <w:rsid w:val="00160F4D"/>
    <w:rsid w:val="00162BDD"/>
    <w:rsid w:val="00162D4E"/>
    <w:rsid w:val="00163329"/>
    <w:rsid w:val="00164623"/>
    <w:rsid w:val="001652DE"/>
    <w:rsid w:val="00165B64"/>
    <w:rsid w:val="00176B9D"/>
    <w:rsid w:val="00180713"/>
    <w:rsid w:val="00180720"/>
    <w:rsid w:val="001830CE"/>
    <w:rsid w:val="001836E3"/>
    <w:rsid w:val="00184C39"/>
    <w:rsid w:val="001852FE"/>
    <w:rsid w:val="00185D8D"/>
    <w:rsid w:val="0018643B"/>
    <w:rsid w:val="00192397"/>
    <w:rsid w:val="00192C09"/>
    <w:rsid w:val="00196307"/>
    <w:rsid w:val="001A046F"/>
    <w:rsid w:val="001A0AF7"/>
    <w:rsid w:val="001A0D10"/>
    <w:rsid w:val="001A33EA"/>
    <w:rsid w:val="001A4413"/>
    <w:rsid w:val="001A4C4F"/>
    <w:rsid w:val="001A588C"/>
    <w:rsid w:val="001A5A2B"/>
    <w:rsid w:val="001A62D7"/>
    <w:rsid w:val="001A76FB"/>
    <w:rsid w:val="001B017F"/>
    <w:rsid w:val="001B0B79"/>
    <w:rsid w:val="001B2BBC"/>
    <w:rsid w:val="001B3A40"/>
    <w:rsid w:val="001B3FFE"/>
    <w:rsid w:val="001B5129"/>
    <w:rsid w:val="001C0B4C"/>
    <w:rsid w:val="001C0EC4"/>
    <w:rsid w:val="001C1195"/>
    <w:rsid w:val="001C12AE"/>
    <w:rsid w:val="001C1E84"/>
    <w:rsid w:val="001C2E42"/>
    <w:rsid w:val="001C440E"/>
    <w:rsid w:val="001C6252"/>
    <w:rsid w:val="001C758C"/>
    <w:rsid w:val="001D1F5F"/>
    <w:rsid w:val="001D51B1"/>
    <w:rsid w:val="001E06D2"/>
    <w:rsid w:val="001E0AD6"/>
    <w:rsid w:val="001E17C4"/>
    <w:rsid w:val="001E2FB5"/>
    <w:rsid w:val="001E3014"/>
    <w:rsid w:val="001E5A81"/>
    <w:rsid w:val="001F005B"/>
    <w:rsid w:val="001F1850"/>
    <w:rsid w:val="001F1D9C"/>
    <w:rsid w:val="001F1FBF"/>
    <w:rsid w:val="001F2F1C"/>
    <w:rsid w:val="001F3189"/>
    <w:rsid w:val="00201FB8"/>
    <w:rsid w:val="002025D2"/>
    <w:rsid w:val="00203194"/>
    <w:rsid w:val="00203FAC"/>
    <w:rsid w:val="00212165"/>
    <w:rsid w:val="00213CFB"/>
    <w:rsid w:val="0021553C"/>
    <w:rsid w:val="0021557B"/>
    <w:rsid w:val="00216021"/>
    <w:rsid w:val="002174FD"/>
    <w:rsid w:val="0021759B"/>
    <w:rsid w:val="00217BE1"/>
    <w:rsid w:val="002214B9"/>
    <w:rsid w:val="00223573"/>
    <w:rsid w:val="00230D05"/>
    <w:rsid w:val="00230F63"/>
    <w:rsid w:val="00232D2B"/>
    <w:rsid w:val="00234252"/>
    <w:rsid w:val="0023466E"/>
    <w:rsid w:val="00237AC6"/>
    <w:rsid w:val="00237D26"/>
    <w:rsid w:val="00240165"/>
    <w:rsid w:val="00244139"/>
    <w:rsid w:val="00244485"/>
    <w:rsid w:val="00244490"/>
    <w:rsid w:val="00244963"/>
    <w:rsid w:val="00245B9C"/>
    <w:rsid w:val="00253499"/>
    <w:rsid w:val="002551A4"/>
    <w:rsid w:val="00257664"/>
    <w:rsid w:val="00257C2E"/>
    <w:rsid w:val="00265151"/>
    <w:rsid w:val="00265C2C"/>
    <w:rsid w:val="00266509"/>
    <w:rsid w:val="00271BA1"/>
    <w:rsid w:val="002730E6"/>
    <w:rsid w:val="00273AC5"/>
    <w:rsid w:val="00274455"/>
    <w:rsid w:val="002762FA"/>
    <w:rsid w:val="002765FE"/>
    <w:rsid w:val="00277505"/>
    <w:rsid w:val="0028158C"/>
    <w:rsid w:val="002823B6"/>
    <w:rsid w:val="00286B2D"/>
    <w:rsid w:val="00290C03"/>
    <w:rsid w:val="00294274"/>
    <w:rsid w:val="0029458F"/>
    <w:rsid w:val="002A018F"/>
    <w:rsid w:val="002A0E04"/>
    <w:rsid w:val="002A104C"/>
    <w:rsid w:val="002A1EF7"/>
    <w:rsid w:val="002A494D"/>
    <w:rsid w:val="002A4960"/>
    <w:rsid w:val="002A636A"/>
    <w:rsid w:val="002B0AE0"/>
    <w:rsid w:val="002B165D"/>
    <w:rsid w:val="002B1AE6"/>
    <w:rsid w:val="002B1D51"/>
    <w:rsid w:val="002B2DE8"/>
    <w:rsid w:val="002B30F8"/>
    <w:rsid w:val="002B388A"/>
    <w:rsid w:val="002B5596"/>
    <w:rsid w:val="002B5703"/>
    <w:rsid w:val="002B77D7"/>
    <w:rsid w:val="002C09D5"/>
    <w:rsid w:val="002C212F"/>
    <w:rsid w:val="002C2F35"/>
    <w:rsid w:val="002C5603"/>
    <w:rsid w:val="002C633F"/>
    <w:rsid w:val="002C6AA9"/>
    <w:rsid w:val="002C6C57"/>
    <w:rsid w:val="002C7485"/>
    <w:rsid w:val="002D0694"/>
    <w:rsid w:val="002D147F"/>
    <w:rsid w:val="002D224A"/>
    <w:rsid w:val="002D2641"/>
    <w:rsid w:val="002D283A"/>
    <w:rsid w:val="002D2C0B"/>
    <w:rsid w:val="002D4543"/>
    <w:rsid w:val="002E3153"/>
    <w:rsid w:val="002E5292"/>
    <w:rsid w:val="002E72CA"/>
    <w:rsid w:val="002F1D07"/>
    <w:rsid w:val="002F3212"/>
    <w:rsid w:val="002F600D"/>
    <w:rsid w:val="002F652F"/>
    <w:rsid w:val="002F7886"/>
    <w:rsid w:val="002F79BA"/>
    <w:rsid w:val="002F7E47"/>
    <w:rsid w:val="00300AD6"/>
    <w:rsid w:val="00300B1B"/>
    <w:rsid w:val="003019D0"/>
    <w:rsid w:val="0030254F"/>
    <w:rsid w:val="00303CE2"/>
    <w:rsid w:val="003064AF"/>
    <w:rsid w:val="003104CC"/>
    <w:rsid w:val="003107A6"/>
    <w:rsid w:val="00310A8B"/>
    <w:rsid w:val="00310B68"/>
    <w:rsid w:val="0031236D"/>
    <w:rsid w:val="003145CA"/>
    <w:rsid w:val="003160D2"/>
    <w:rsid w:val="003173FC"/>
    <w:rsid w:val="00317C6C"/>
    <w:rsid w:val="00320B80"/>
    <w:rsid w:val="00320CD3"/>
    <w:rsid w:val="00325C91"/>
    <w:rsid w:val="00325DE7"/>
    <w:rsid w:val="00326C0B"/>
    <w:rsid w:val="00326E79"/>
    <w:rsid w:val="0032748A"/>
    <w:rsid w:val="003301B1"/>
    <w:rsid w:val="00331189"/>
    <w:rsid w:val="0033263D"/>
    <w:rsid w:val="0033518A"/>
    <w:rsid w:val="00335535"/>
    <w:rsid w:val="003367EF"/>
    <w:rsid w:val="00341AE4"/>
    <w:rsid w:val="003433BA"/>
    <w:rsid w:val="003476EE"/>
    <w:rsid w:val="00350938"/>
    <w:rsid w:val="003541DD"/>
    <w:rsid w:val="00356E5B"/>
    <w:rsid w:val="00360E81"/>
    <w:rsid w:val="00362621"/>
    <w:rsid w:val="003669F4"/>
    <w:rsid w:val="003678B1"/>
    <w:rsid w:val="003736C9"/>
    <w:rsid w:val="00374964"/>
    <w:rsid w:val="00377DDA"/>
    <w:rsid w:val="00382D87"/>
    <w:rsid w:val="00383B77"/>
    <w:rsid w:val="00384988"/>
    <w:rsid w:val="003868C3"/>
    <w:rsid w:val="003872CF"/>
    <w:rsid w:val="00393217"/>
    <w:rsid w:val="0039782C"/>
    <w:rsid w:val="003A0ECE"/>
    <w:rsid w:val="003A120C"/>
    <w:rsid w:val="003A13A6"/>
    <w:rsid w:val="003A2788"/>
    <w:rsid w:val="003A2B2E"/>
    <w:rsid w:val="003A3B34"/>
    <w:rsid w:val="003A5B4A"/>
    <w:rsid w:val="003A5D95"/>
    <w:rsid w:val="003B0D3A"/>
    <w:rsid w:val="003B2302"/>
    <w:rsid w:val="003B23C5"/>
    <w:rsid w:val="003B2A75"/>
    <w:rsid w:val="003B49B2"/>
    <w:rsid w:val="003B4C69"/>
    <w:rsid w:val="003B55F0"/>
    <w:rsid w:val="003B6124"/>
    <w:rsid w:val="003B7960"/>
    <w:rsid w:val="003C093A"/>
    <w:rsid w:val="003C1ECF"/>
    <w:rsid w:val="003C2FB5"/>
    <w:rsid w:val="003D24C5"/>
    <w:rsid w:val="003D4594"/>
    <w:rsid w:val="003D4AC4"/>
    <w:rsid w:val="003D63B7"/>
    <w:rsid w:val="003D74C5"/>
    <w:rsid w:val="003E1160"/>
    <w:rsid w:val="003E1E56"/>
    <w:rsid w:val="003E27C9"/>
    <w:rsid w:val="003E3C10"/>
    <w:rsid w:val="003E4374"/>
    <w:rsid w:val="003E468B"/>
    <w:rsid w:val="003E62BD"/>
    <w:rsid w:val="003F044F"/>
    <w:rsid w:val="003F0C3A"/>
    <w:rsid w:val="003F15F0"/>
    <w:rsid w:val="003F3228"/>
    <w:rsid w:val="003F59B9"/>
    <w:rsid w:val="003F5C8C"/>
    <w:rsid w:val="003F63CE"/>
    <w:rsid w:val="003F775A"/>
    <w:rsid w:val="00400E55"/>
    <w:rsid w:val="0040128E"/>
    <w:rsid w:val="0040216B"/>
    <w:rsid w:val="00403AC8"/>
    <w:rsid w:val="004056DD"/>
    <w:rsid w:val="00406931"/>
    <w:rsid w:val="004168BB"/>
    <w:rsid w:val="00420400"/>
    <w:rsid w:val="00423578"/>
    <w:rsid w:val="004252EC"/>
    <w:rsid w:val="0042676C"/>
    <w:rsid w:val="00430B50"/>
    <w:rsid w:val="00430D39"/>
    <w:rsid w:val="00433875"/>
    <w:rsid w:val="00434452"/>
    <w:rsid w:val="00442C91"/>
    <w:rsid w:val="00442F1B"/>
    <w:rsid w:val="00444576"/>
    <w:rsid w:val="004465BD"/>
    <w:rsid w:val="00446938"/>
    <w:rsid w:val="0044745A"/>
    <w:rsid w:val="004528FA"/>
    <w:rsid w:val="00452F4A"/>
    <w:rsid w:val="00461A44"/>
    <w:rsid w:val="00461C54"/>
    <w:rsid w:val="00462B26"/>
    <w:rsid w:val="00462D26"/>
    <w:rsid w:val="0046385A"/>
    <w:rsid w:val="00466ADA"/>
    <w:rsid w:val="004702BB"/>
    <w:rsid w:val="004733F7"/>
    <w:rsid w:val="00473C64"/>
    <w:rsid w:val="0047494B"/>
    <w:rsid w:val="00476245"/>
    <w:rsid w:val="0047786F"/>
    <w:rsid w:val="00477A9B"/>
    <w:rsid w:val="00481E1D"/>
    <w:rsid w:val="00483035"/>
    <w:rsid w:val="004854EC"/>
    <w:rsid w:val="00485940"/>
    <w:rsid w:val="00486C95"/>
    <w:rsid w:val="004877C2"/>
    <w:rsid w:val="004904B9"/>
    <w:rsid w:val="00495F61"/>
    <w:rsid w:val="00496662"/>
    <w:rsid w:val="004A2484"/>
    <w:rsid w:val="004A5A85"/>
    <w:rsid w:val="004A71D1"/>
    <w:rsid w:val="004A755C"/>
    <w:rsid w:val="004A7C5B"/>
    <w:rsid w:val="004B0FE7"/>
    <w:rsid w:val="004B1845"/>
    <w:rsid w:val="004B2348"/>
    <w:rsid w:val="004B2E01"/>
    <w:rsid w:val="004B2E98"/>
    <w:rsid w:val="004B5640"/>
    <w:rsid w:val="004B6084"/>
    <w:rsid w:val="004B7227"/>
    <w:rsid w:val="004BCF29"/>
    <w:rsid w:val="004C03D0"/>
    <w:rsid w:val="004C1926"/>
    <w:rsid w:val="004C1BD7"/>
    <w:rsid w:val="004C239C"/>
    <w:rsid w:val="004C31FE"/>
    <w:rsid w:val="004C37C7"/>
    <w:rsid w:val="004C524C"/>
    <w:rsid w:val="004C5FFA"/>
    <w:rsid w:val="004C691D"/>
    <w:rsid w:val="004C6C07"/>
    <w:rsid w:val="004C7E15"/>
    <w:rsid w:val="004D2CD1"/>
    <w:rsid w:val="004D4FF6"/>
    <w:rsid w:val="004D5ADD"/>
    <w:rsid w:val="004E128F"/>
    <w:rsid w:val="004E1B22"/>
    <w:rsid w:val="004E5A36"/>
    <w:rsid w:val="004E692D"/>
    <w:rsid w:val="004E7230"/>
    <w:rsid w:val="004E7D87"/>
    <w:rsid w:val="004F0D16"/>
    <w:rsid w:val="004F18A6"/>
    <w:rsid w:val="004F2553"/>
    <w:rsid w:val="004F306A"/>
    <w:rsid w:val="004F323C"/>
    <w:rsid w:val="004F5C3B"/>
    <w:rsid w:val="004F6160"/>
    <w:rsid w:val="00501554"/>
    <w:rsid w:val="00502AFE"/>
    <w:rsid w:val="00502E64"/>
    <w:rsid w:val="00503AD7"/>
    <w:rsid w:val="00504E0C"/>
    <w:rsid w:val="00504E13"/>
    <w:rsid w:val="005109D4"/>
    <w:rsid w:val="00514CD7"/>
    <w:rsid w:val="00515A78"/>
    <w:rsid w:val="005167EC"/>
    <w:rsid w:val="005170DA"/>
    <w:rsid w:val="00520D6A"/>
    <w:rsid w:val="00521B0F"/>
    <w:rsid w:val="00522DB6"/>
    <w:rsid w:val="005264A7"/>
    <w:rsid w:val="0052792D"/>
    <w:rsid w:val="00527A50"/>
    <w:rsid w:val="005319B2"/>
    <w:rsid w:val="00532402"/>
    <w:rsid w:val="005328A1"/>
    <w:rsid w:val="00532C74"/>
    <w:rsid w:val="00534E2E"/>
    <w:rsid w:val="0054059D"/>
    <w:rsid w:val="0054064C"/>
    <w:rsid w:val="00544552"/>
    <w:rsid w:val="00545130"/>
    <w:rsid w:val="0054623E"/>
    <w:rsid w:val="00547AC6"/>
    <w:rsid w:val="0055286A"/>
    <w:rsid w:val="00555745"/>
    <w:rsid w:val="00557D4F"/>
    <w:rsid w:val="0056083B"/>
    <w:rsid w:val="0056122E"/>
    <w:rsid w:val="00563B2B"/>
    <w:rsid w:val="0056484E"/>
    <w:rsid w:val="005671EC"/>
    <w:rsid w:val="00567D8A"/>
    <w:rsid w:val="005764CD"/>
    <w:rsid w:val="00577C4D"/>
    <w:rsid w:val="00580532"/>
    <w:rsid w:val="00581932"/>
    <w:rsid w:val="00582245"/>
    <w:rsid w:val="00585EF8"/>
    <w:rsid w:val="00587CEF"/>
    <w:rsid w:val="0059624D"/>
    <w:rsid w:val="005963BB"/>
    <w:rsid w:val="005A3173"/>
    <w:rsid w:val="005A3223"/>
    <w:rsid w:val="005A3339"/>
    <w:rsid w:val="005A3796"/>
    <w:rsid w:val="005A3DA3"/>
    <w:rsid w:val="005A52C4"/>
    <w:rsid w:val="005A63A1"/>
    <w:rsid w:val="005B3D7A"/>
    <w:rsid w:val="005B450F"/>
    <w:rsid w:val="005C2BA1"/>
    <w:rsid w:val="005C2CCE"/>
    <w:rsid w:val="005C3965"/>
    <w:rsid w:val="005C44ED"/>
    <w:rsid w:val="005C4F73"/>
    <w:rsid w:val="005C6335"/>
    <w:rsid w:val="005C733A"/>
    <w:rsid w:val="005D03AB"/>
    <w:rsid w:val="005D3657"/>
    <w:rsid w:val="005D401D"/>
    <w:rsid w:val="005D5017"/>
    <w:rsid w:val="005D63FA"/>
    <w:rsid w:val="005D73C7"/>
    <w:rsid w:val="005E0C2D"/>
    <w:rsid w:val="005E0D82"/>
    <w:rsid w:val="005E1333"/>
    <w:rsid w:val="005E17B6"/>
    <w:rsid w:val="005E3136"/>
    <w:rsid w:val="005E507D"/>
    <w:rsid w:val="005E79B2"/>
    <w:rsid w:val="005E7EFC"/>
    <w:rsid w:val="005F0AD0"/>
    <w:rsid w:val="005F303B"/>
    <w:rsid w:val="00600B2E"/>
    <w:rsid w:val="00601A91"/>
    <w:rsid w:val="00602BA3"/>
    <w:rsid w:val="0060540B"/>
    <w:rsid w:val="00605B63"/>
    <w:rsid w:val="00605F9A"/>
    <w:rsid w:val="00606442"/>
    <w:rsid w:val="00606EED"/>
    <w:rsid w:val="0061098A"/>
    <w:rsid w:val="00612A95"/>
    <w:rsid w:val="00612E34"/>
    <w:rsid w:val="00614159"/>
    <w:rsid w:val="006158A3"/>
    <w:rsid w:val="00616C5F"/>
    <w:rsid w:val="00616DAC"/>
    <w:rsid w:val="00617725"/>
    <w:rsid w:val="00617C00"/>
    <w:rsid w:val="00625462"/>
    <w:rsid w:val="006263BF"/>
    <w:rsid w:val="0062748A"/>
    <w:rsid w:val="00630A2C"/>
    <w:rsid w:val="00634E12"/>
    <w:rsid w:val="0063667E"/>
    <w:rsid w:val="0063682E"/>
    <w:rsid w:val="00637C01"/>
    <w:rsid w:val="00640088"/>
    <w:rsid w:val="00642672"/>
    <w:rsid w:val="00642DA8"/>
    <w:rsid w:val="006436CD"/>
    <w:rsid w:val="00651169"/>
    <w:rsid w:val="00653D69"/>
    <w:rsid w:val="006552E6"/>
    <w:rsid w:val="00655794"/>
    <w:rsid w:val="00657C63"/>
    <w:rsid w:val="006611AF"/>
    <w:rsid w:val="00661CBC"/>
    <w:rsid w:val="0066212F"/>
    <w:rsid w:val="00662B85"/>
    <w:rsid w:val="006632B3"/>
    <w:rsid w:val="00666C49"/>
    <w:rsid w:val="006670BE"/>
    <w:rsid w:val="0066792B"/>
    <w:rsid w:val="00670A76"/>
    <w:rsid w:val="006711AA"/>
    <w:rsid w:val="00671FF4"/>
    <w:rsid w:val="00672B57"/>
    <w:rsid w:val="00673F1F"/>
    <w:rsid w:val="00675622"/>
    <w:rsid w:val="0067747D"/>
    <w:rsid w:val="006805F5"/>
    <w:rsid w:val="006818D5"/>
    <w:rsid w:val="00681CA4"/>
    <w:rsid w:val="00687B36"/>
    <w:rsid w:val="0069039D"/>
    <w:rsid w:val="006906DB"/>
    <w:rsid w:val="00691900"/>
    <w:rsid w:val="00691E6C"/>
    <w:rsid w:val="0069342D"/>
    <w:rsid w:val="00693DFB"/>
    <w:rsid w:val="0069501D"/>
    <w:rsid w:val="00696129"/>
    <w:rsid w:val="00697CF2"/>
    <w:rsid w:val="006A12A5"/>
    <w:rsid w:val="006A2515"/>
    <w:rsid w:val="006A36F6"/>
    <w:rsid w:val="006A5E20"/>
    <w:rsid w:val="006B0D94"/>
    <w:rsid w:val="006B0EBA"/>
    <w:rsid w:val="006B4532"/>
    <w:rsid w:val="006B485D"/>
    <w:rsid w:val="006C0C45"/>
    <w:rsid w:val="006C334C"/>
    <w:rsid w:val="006C5B33"/>
    <w:rsid w:val="006C6C10"/>
    <w:rsid w:val="006C708E"/>
    <w:rsid w:val="006D0625"/>
    <w:rsid w:val="006D14E7"/>
    <w:rsid w:val="006D4444"/>
    <w:rsid w:val="006D6493"/>
    <w:rsid w:val="006D6EC7"/>
    <w:rsid w:val="006E1BCD"/>
    <w:rsid w:val="006E233B"/>
    <w:rsid w:val="006E2732"/>
    <w:rsid w:val="006E2B85"/>
    <w:rsid w:val="006E4D88"/>
    <w:rsid w:val="006E59CD"/>
    <w:rsid w:val="006F0A71"/>
    <w:rsid w:val="006F15B6"/>
    <w:rsid w:val="006F40C2"/>
    <w:rsid w:val="006F5125"/>
    <w:rsid w:val="006F733D"/>
    <w:rsid w:val="00702B6F"/>
    <w:rsid w:val="00704069"/>
    <w:rsid w:val="00706A2F"/>
    <w:rsid w:val="00706BB5"/>
    <w:rsid w:val="0070718E"/>
    <w:rsid w:val="00707345"/>
    <w:rsid w:val="00707E52"/>
    <w:rsid w:val="00710259"/>
    <w:rsid w:val="0071031F"/>
    <w:rsid w:val="0071340B"/>
    <w:rsid w:val="0071436D"/>
    <w:rsid w:val="00715BBB"/>
    <w:rsid w:val="00715F21"/>
    <w:rsid w:val="007174BB"/>
    <w:rsid w:val="00717B77"/>
    <w:rsid w:val="0072025D"/>
    <w:rsid w:val="00722F8D"/>
    <w:rsid w:val="00723328"/>
    <w:rsid w:val="00724196"/>
    <w:rsid w:val="007302D4"/>
    <w:rsid w:val="0073137C"/>
    <w:rsid w:val="00731A74"/>
    <w:rsid w:val="00731DC9"/>
    <w:rsid w:val="00733C0A"/>
    <w:rsid w:val="00733CCC"/>
    <w:rsid w:val="007340B9"/>
    <w:rsid w:val="00734139"/>
    <w:rsid w:val="007344C2"/>
    <w:rsid w:val="007353D3"/>
    <w:rsid w:val="00737449"/>
    <w:rsid w:val="007379A5"/>
    <w:rsid w:val="0074156B"/>
    <w:rsid w:val="00741619"/>
    <w:rsid w:val="00747092"/>
    <w:rsid w:val="007526E6"/>
    <w:rsid w:val="00754DF9"/>
    <w:rsid w:val="007555E8"/>
    <w:rsid w:val="00755AB0"/>
    <w:rsid w:val="00755CC5"/>
    <w:rsid w:val="0076032E"/>
    <w:rsid w:val="0076420C"/>
    <w:rsid w:val="00764B07"/>
    <w:rsid w:val="007711B5"/>
    <w:rsid w:val="00771D07"/>
    <w:rsid w:val="00772C2D"/>
    <w:rsid w:val="00773BE3"/>
    <w:rsid w:val="007743DD"/>
    <w:rsid w:val="00774E2C"/>
    <w:rsid w:val="0077518D"/>
    <w:rsid w:val="007753C2"/>
    <w:rsid w:val="007838B8"/>
    <w:rsid w:val="007915BA"/>
    <w:rsid w:val="00791844"/>
    <w:rsid w:val="007945C0"/>
    <w:rsid w:val="0079560B"/>
    <w:rsid w:val="007979BD"/>
    <w:rsid w:val="007A0905"/>
    <w:rsid w:val="007A3577"/>
    <w:rsid w:val="007A374D"/>
    <w:rsid w:val="007A6253"/>
    <w:rsid w:val="007A6A2F"/>
    <w:rsid w:val="007B024E"/>
    <w:rsid w:val="007B3DDC"/>
    <w:rsid w:val="007B72A6"/>
    <w:rsid w:val="007B790E"/>
    <w:rsid w:val="007C06D2"/>
    <w:rsid w:val="007C08E0"/>
    <w:rsid w:val="007C0F57"/>
    <w:rsid w:val="007C2C89"/>
    <w:rsid w:val="007C316A"/>
    <w:rsid w:val="007C40B6"/>
    <w:rsid w:val="007C65D7"/>
    <w:rsid w:val="007C729F"/>
    <w:rsid w:val="007D0331"/>
    <w:rsid w:val="007D47B7"/>
    <w:rsid w:val="007D503D"/>
    <w:rsid w:val="007D59E7"/>
    <w:rsid w:val="007D5F2A"/>
    <w:rsid w:val="007E1647"/>
    <w:rsid w:val="007E1D28"/>
    <w:rsid w:val="007F0021"/>
    <w:rsid w:val="007F2641"/>
    <w:rsid w:val="007F7677"/>
    <w:rsid w:val="007F7C36"/>
    <w:rsid w:val="00801B9F"/>
    <w:rsid w:val="00802E34"/>
    <w:rsid w:val="00804864"/>
    <w:rsid w:val="008055AF"/>
    <w:rsid w:val="008057CD"/>
    <w:rsid w:val="00806796"/>
    <w:rsid w:val="00810167"/>
    <w:rsid w:val="00811CC0"/>
    <w:rsid w:val="00813870"/>
    <w:rsid w:val="008147AE"/>
    <w:rsid w:val="00815055"/>
    <w:rsid w:val="008151D6"/>
    <w:rsid w:val="00821527"/>
    <w:rsid w:val="00822696"/>
    <w:rsid w:val="00825A6C"/>
    <w:rsid w:val="0082617E"/>
    <w:rsid w:val="008268BB"/>
    <w:rsid w:val="00826F6D"/>
    <w:rsid w:val="008306A2"/>
    <w:rsid w:val="008306F3"/>
    <w:rsid w:val="00830E40"/>
    <w:rsid w:val="008319A1"/>
    <w:rsid w:val="00832D9A"/>
    <w:rsid w:val="00833B43"/>
    <w:rsid w:val="00835C62"/>
    <w:rsid w:val="008368A1"/>
    <w:rsid w:val="00840EF7"/>
    <w:rsid w:val="00844C0A"/>
    <w:rsid w:val="00846056"/>
    <w:rsid w:val="0084681F"/>
    <w:rsid w:val="0084772A"/>
    <w:rsid w:val="00847BF2"/>
    <w:rsid w:val="00847EC0"/>
    <w:rsid w:val="0085172B"/>
    <w:rsid w:val="008553A5"/>
    <w:rsid w:val="008556A1"/>
    <w:rsid w:val="00855FD6"/>
    <w:rsid w:val="00856DDD"/>
    <w:rsid w:val="00856F11"/>
    <w:rsid w:val="00857CA3"/>
    <w:rsid w:val="008635DB"/>
    <w:rsid w:val="00863E68"/>
    <w:rsid w:val="008647B5"/>
    <w:rsid w:val="00867D64"/>
    <w:rsid w:val="00875DCB"/>
    <w:rsid w:val="0087755A"/>
    <w:rsid w:val="00882085"/>
    <w:rsid w:val="00883188"/>
    <w:rsid w:val="00884A0C"/>
    <w:rsid w:val="00885E2D"/>
    <w:rsid w:val="00886ACA"/>
    <w:rsid w:val="008900B7"/>
    <w:rsid w:val="0089031E"/>
    <w:rsid w:val="0089460B"/>
    <w:rsid w:val="00897D58"/>
    <w:rsid w:val="00897F22"/>
    <w:rsid w:val="008A0B39"/>
    <w:rsid w:val="008A17A3"/>
    <w:rsid w:val="008A17ED"/>
    <w:rsid w:val="008A1956"/>
    <w:rsid w:val="008A1E85"/>
    <w:rsid w:val="008A2419"/>
    <w:rsid w:val="008A4863"/>
    <w:rsid w:val="008A4937"/>
    <w:rsid w:val="008A50F1"/>
    <w:rsid w:val="008A59D9"/>
    <w:rsid w:val="008A643E"/>
    <w:rsid w:val="008A6819"/>
    <w:rsid w:val="008B1485"/>
    <w:rsid w:val="008B2802"/>
    <w:rsid w:val="008B2EC0"/>
    <w:rsid w:val="008B6DCF"/>
    <w:rsid w:val="008C3B2E"/>
    <w:rsid w:val="008D0945"/>
    <w:rsid w:val="008D1409"/>
    <w:rsid w:val="008D15CC"/>
    <w:rsid w:val="008D1729"/>
    <w:rsid w:val="008D1B5C"/>
    <w:rsid w:val="008D304B"/>
    <w:rsid w:val="008D3C82"/>
    <w:rsid w:val="008D447E"/>
    <w:rsid w:val="008D6ACF"/>
    <w:rsid w:val="008D7A41"/>
    <w:rsid w:val="008E0570"/>
    <w:rsid w:val="008E2BA1"/>
    <w:rsid w:val="008E2C72"/>
    <w:rsid w:val="008E3680"/>
    <w:rsid w:val="008E45EC"/>
    <w:rsid w:val="008E5870"/>
    <w:rsid w:val="008E77E4"/>
    <w:rsid w:val="008F0213"/>
    <w:rsid w:val="008F07ED"/>
    <w:rsid w:val="008F0E17"/>
    <w:rsid w:val="008F11F8"/>
    <w:rsid w:val="008F1434"/>
    <w:rsid w:val="008F186F"/>
    <w:rsid w:val="008F2BB9"/>
    <w:rsid w:val="008F3D6A"/>
    <w:rsid w:val="008F4612"/>
    <w:rsid w:val="008F54C3"/>
    <w:rsid w:val="008F662D"/>
    <w:rsid w:val="008F7355"/>
    <w:rsid w:val="009005D4"/>
    <w:rsid w:val="009023DC"/>
    <w:rsid w:val="009027C5"/>
    <w:rsid w:val="00904413"/>
    <w:rsid w:val="00905BB7"/>
    <w:rsid w:val="009067B7"/>
    <w:rsid w:val="0090775A"/>
    <w:rsid w:val="00907DFD"/>
    <w:rsid w:val="009102CA"/>
    <w:rsid w:val="00917D69"/>
    <w:rsid w:val="00920B6D"/>
    <w:rsid w:val="00926560"/>
    <w:rsid w:val="00926B15"/>
    <w:rsid w:val="00927285"/>
    <w:rsid w:val="00930291"/>
    <w:rsid w:val="00930937"/>
    <w:rsid w:val="009324A6"/>
    <w:rsid w:val="00933E6C"/>
    <w:rsid w:val="00935A6E"/>
    <w:rsid w:val="00937958"/>
    <w:rsid w:val="009406E5"/>
    <w:rsid w:val="00941602"/>
    <w:rsid w:val="00942160"/>
    <w:rsid w:val="00946921"/>
    <w:rsid w:val="0095146F"/>
    <w:rsid w:val="00951B86"/>
    <w:rsid w:val="00955777"/>
    <w:rsid w:val="00957944"/>
    <w:rsid w:val="009602C5"/>
    <w:rsid w:val="00962223"/>
    <w:rsid w:val="0096252B"/>
    <w:rsid w:val="00966D0D"/>
    <w:rsid w:val="00967732"/>
    <w:rsid w:val="0096783C"/>
    <w:rsid w:val="009722B3"/>
    <w:rsid w:val="00973E24"/>
    <w:rsid w:val="00974C21"/>
    <w:rsid w:val="0097542E"/>
    <w:rsid w:val="00975948"/>
    <w:rsid w:val="00976A1D"/>
    <w:rsid w:val="00977BF3"/>
    <w:rsid w:val="00977E07"/>
    <w:rsid w:val="009803E4"/>
    <w:rsid w:val="00980B0E"/>
    <w:rsid w:val="009836A3"/>
    <w:rsid w:val="0098439F"/>
    <w:rsid w:val="00984F6D"/>
    <w:rsid w:val="009855A8"/>
    <w:rsid w:val="00985D1A"/>
    <w:rsid w:val="009913F4"/>
    <w:rsid w:val="00991782"/>
    <w:rsid w:val="009917DF"/>
    <w:rsid w:val="009937F7"/>
    <w:rsid w:val="0099465B"/>
    <w:rsid w:val="009951A1"/>
    <w:rsid w:val="00997A44"/>
    <w:rsid w:val="009A0108"/>
    <w:rsid w:val="009A0CDD"/>
    <w:rsid w:val="009A3168"/>
    <w:rsid w:val="009A3D3F"/>
    <w:rsid w:val="009A5CC3"/>
    <w:rsid w:val="009A5D04"/>
    <w:rsid w:val="009A61CA"/>
    <w:rsid w:val="009B0C64"/>
    <w:rsid w:val="009B0F67"/>
    <w:rsid w:val="009B3F8C"/>
    <w:rsid w:val="009B750F"/>
    <w:rsid w:val="009C5B72"/>
    <w:rsid w:val="009C703C"/>
    <w:rsid w:val="009D18C1"/>
    <w:rsid w:val="009D206E"/>
    <w:rsid w:val="009D3CAA"/>
    <w:rsid w:val="009D55E2"/>
    <w:rsid w:val="009D6532"/>
    <w:rsid w:val="009D71FD"/>
    <w:rsid w:val="009E2588"/>
    <w:rsid w:val="009E2E8E"/>
    <w:rsid w:val="009E40E1"/>
    <w:rsid w:val="009F0E6B"/>
    <w:rsid w:val="009F0EFA"/>
    <w:rsid w:val="009F28A2"/>
    <w:rsid w:val="009F4E46"/>
    <w:rsid w:val="009F5B65"/>
    <w:rsid w:val="009F5F2E"/>
    <w:rsid w:val="009F73BC"/>
    <w:rsid w:val="00A01432"/>
    <w:rsid w:val="00A06225"/>
    <w:rsid w:val="00A0658C"/>
    <w:rsid w:val="00A07C4C"/>
    <w:rsid w:val="00A110D1"/>
    <w:rsid w:val="00A11386"/>
    <w:rsid w:val="00A12587"/>
    <w:rsid w:val="00A128E6"/>
    <w:rsid w:val="00A1369B"/>
    <w:rsid w:val="00A144D3"/>
    <w:rsid w:val="00A14D53"/>
    <w:rsid w:val="00A22AC3"/>
    <w:rsid w:val="00A23F3F"/>
    <w:rsid w:val="00A24067"/>
    <w:rsid w:val="00A24A4B"/>
    <w:rsid w:val="00A2744D"/>
    <w:rsid w:val="00A30D16"/>
    <w:rsid w:val="00A32AD2"/>
    <w:rsid w:val="00A32E1C"/>
    <w:rsid w:val="00A34E6C"/>
    <w:rsid w:val="00A34FD0"/>
    <w:rsid w:val="00A36398"/>
    <w:rsid w:val="00A37C8D"/>
    <w:rsid w:val="00A4020E"/>
    <w:rsid w:val="00A40FB5"/>
    <w:rsid w:val="00A42826"/>
    <w:rsid w:val="00A429B3"/>
    <w:rsid w:val="00A44EC1"/>
    <w:rsid w:val="00A46BD1"/>
    <w:rsid w:val="00A47F43"/>
    <w:rsid w:val="00A50185"/>
    <w:rsid w:val="00A50FE6"/>
    <w:rsid w:val="00A510E4"/>
    <w:rsid w:val="00A5273B"/>
    <w:rsid w:val="00A53A9D"/>
    <w:rsid w:val="00A55615"/>
    <w:rsid w:val="00A55FEE"/>
    <w:rsid w:val="00A57422"/>
    <w:rsid w:val="00A62C1A"/>
    <w:rsid w:val="00A6426D"/>
    <w:rsid w:val="00A665C1"/>
    <w:rsid w:val="00A673A4"/>
    <w:rsid w:val="00A7001A"/>
    <w:rsid w:val="00A70622"/>
    <w:rsid w:val="00A70977"/>
    <w:rsid w:val="00A70D58"/>
    <w:rsid w:val="00A744F9"/>
    <w:rsid w:val="00A77613"/>
    <w:rsid w:val="00A77B87"/>
    <w:rsid w:val="00A81851"/>
    <w:rsid w:val="00A820C8"/>
    <w:rsid w:val="00A8390C"/>
    <w:rsid w:val="00A869A4"/>
    <w:rsid w:val="00A86AE0"/>
    <w:rsid w:val="00A91362"/>
    <w:rsid w:val="00A9151C"/>
    <w:rsid w:val="00A919C6"/>
    <w:rsid w:val="00A928BD"/>
    <w:rsid w:val="00A97DE9"/>
    <w:rsid w:val="00AA12CD"/>
    <w:rsid w:val="00AA1EEB"/>
    <w:rsid w:val="00AA4D1C"/>
    <w:rsid w:val="00AA52FD"/>
    <w:rsid w:val="00AA7006"/>
    <w:rsid w:val="00AB3F77"/>
    <w:rsid w:val="00AB5856"/>
    <w:rsid w:val="00AC193C"/>
    <w:rsid w:val="00AC30C1"/>
    <w:rsid w:val="00AC4DE5"/>
    <w:rsid w:val="00AC5206"/>
    <w:rsid w:val="00AC7312"/>
    <w:rsid w:val="00AD3106"/>
    <w:rsid w:val="00AD4322"/>
    <w:rsid w:val="00AD5FE8"/>
    <w:rsid w:val="00AE11A5"/>
    <w:rsid w:val="00AE13E2"/>
    <w:rsid w:val="00AE22D3"/>
    <w:rsid w:val="00AE3DB7"/>
    <w:rsid w:val="00AE5635"/>
    <w:rsid w:val="00AE5A49"/>
    <w:rsid w:val="00AF11D8"/>
    <w:rsid w:val="00AF2981"/>
    <w:rsid w:val="00AF5867"/>
    <w:rsid w:val="00AF62DF"/>
    <w:rsid w:val="00AF68CC"/>
    <w:rsid w:val="00AF70D7"/>
    <w:rsid w:val="00AF7704"/>
    <w:rsid w:val="00B01FF4"/>
    <w:rsid w:val="00B0326D"/>
    <w:rsid w:val="00B06478"/>
    <w:rsid w:val="00B07533"/>
    <w:rsid w:val="00B07CFB"/>
    <w:rsid w:val="00B1059E"/>
    <w:rsid w:val="00B1402F"/>
    <w:rsid w:val="00B14A36"/>
    <w:rsid w:val="00B16273"/>
    <w:rsid w:val="00B170A5"/>
    <w:rsid w:val="00B176C8"/>
    <w:rsid w:val="00B17EE5"/>
    <w:rsid w:val="00B20556"/>
    <w:rsid w:val="00B205AA"/>
    <w:rsid w:val="00B21926"/>
    <w:rsid w:val="00B22E84"/>
    <w:rsid w:val="00B233AD"/>
    <w:rsid w:val="00B23E25"/>
    <w:rsid w:val="00B25F75"/>
    <w:rsid w:val="00B26B3F"/>
    <w:rsid w:val="00B2778F"/>
    <w:rsid w:val="00B30B8C"/>
    <w:rsid w:val="00B30E3E"/>
    <w:rsid w:val="00B327E2"/>
    <w:rsid w:val="00B3312F"/>
    <w:rsid w:val="00B33635"/>
    <w:rsid w:val="00B35648"/>
    <w:rsid w:val="00B42AF4"/>
    <w:rsid w:val="00B42FB2"/>
    <w:rsid w:val="00B43E90"/>
    <w:rsid w:val="00B467DC"/>
    <w:rsid w:val="00B5056D"/>
    <w:rsid w:val="00B5392A"/>
    <w:rsid w:val="00B56118"/>
    <w:rsid w:val="00B566E1"/>
    <w:rsid w:val="00B56A47"/>
    <w:rsid w:val="00B65A68"/>
    <w:rsid w:val="00B6773F"/>
    <w:rsid w:val="00B70EB3"/>
    <w:rsid w:val="00B7216B"/>
    <w:rsid w:val="00B7286D"/>
    <w:rsid w:val="00B72906"/>
    <w:rsid w:val="00B73B96"/>
    <w:rsid w:val="00B7525E"/>
    <w:rsid w:val="00B760FB"/>
    <w:rsid w:val="00B767AB"/>
    <w:rsid w:val="00B801BA"/>
    <w:rsid w:val="00B812D6"/>
    <w:rsid w:val="00B84D5C"/>
    <w:rsid w:val="00B85AF6"/>
    <w:rsid w:val="00B87F21"/>
    <w:rsid w:val="00B90D9B"/>
    <w:rsid w:val="00B956ED"/>
    <w:rsid w:val="00B9665C"/>
    <w:rsid w:val="00B97C06"/>
    <w:rsid w:val="00BA2DA8"/>
    <w:rsid w:val="00BA347C"/>
    <w:rsid w:val="00BA34A9"/>
    <w:rsid w:val="00BA46B9"/>
    <w:rsid w:val="00BA7D1D"/>
    <w:rsid w:val="00BB3469"/>
    <w:rsid w:val="00BB5C49"/>
    <w:rsid w:val="00BB6240"/>
    <w:rsid w:val="00BB6285"/>
    <w:rsid w:val="00BB69F5"/>
    <w:rsid w:val="00BB7EC3"/>
    <w:rsid w:val="00BC470E"/>
    <w:rsid w:val="00BC4B9A"/>
    <w:rsid w:val="00BC4C52"/>
    <w:rsid w:val="00BC6EFA"/>
    <w:rsid w:val="00BD02C3"/>
    <w:rsid w:val="00BD3E47"/>
    <w:rsid w:val="00BD7483"/>
    <w:rsid w:val="00BD784C"/>
    <w:rsid w:val="00BE020A"/>
    <w:rsid w:val="00BE13DF"/>
    <w:rsid w:val="00BE23F7"/>
    <w:rsid w:val="00BE25D7"/>
    <w:rsid w:val="00BE7632"/>
    <w:rsid w:val="00BF092C"/>
    <w:rsid w:val="00BF1B4E"/>
    <w:rsid w:val="00BF27A0"/>
    <w:rsid w:val="00BF4CB6"/>
    <w:rsid w:val="00C00DA7"/>
    <w:rsid w:val="00C022D3"/>
    <w:rsid w:val="00C04CDE"/>
    <w:rsid w:val="00C068A6"/>
    <w:rsid w:val="00C11110"/>
    <w:rsid w:val="00C112A9"/>
    <w:rsid w:val="00C12768"/>
    <w:rsid w:val="00C12D70"/>
    <w:rsid w:val="00C13DDC"/>
    <w:rsid w:val="00C14BC5"/>
    <w:rsid w:val="00C16724"/>
    <w:rsid w:val="00C21B09"/>
    <w:rsid w:val="00C2673A"/>
    <w:rsid w:val="00C27B58"/>
    <w:rsid w:val="00C32354"/>
    <w:rsid w:val="00C33186"/>
    <w:rsid w:val="00C33F5E"/>
    <w:rsid w:val="00C34897"/>
    <w:rsid w:val="00C3504E"/>
    <w:rsid w:val="00C35996"/>
    <w:rsid w:val="00C4176C"/>
    <w:rsid w:val="00C4747E"/>
    <w:rsid w:val="00C5151E"/>
    <w:rsid w:val="00C5342C"/>
    <w:rsid w:val="00C534B4"/>
    <w:rsid w:val="00C53B2B"/>
    <w:rsid w:val="00C57465"/>
    <w:rsid w:val="00C6022A"/>
    <w:rsid w:val="00C60272"/>
    <w:rsid w:val="00C603D4"/>
    <w:rsid w:val="00C6256A"/>
    <w:rsid w:val="00C63626"/>
    <w:rsid w:val="00C64EBC"/>
    <w:rsid w:val="00C664D2"/>
    <w:rsid w:val="00C678BC"/>
    <w:rsid w:val="00C67A40"/>
    <w:rsid w:val="00C710E2"/>
    <w:rsid w:val="00C71C3F"/>
    <w:rsid w:val="00C724E2"/>
    <w:rsid w:val="00C7409E"/>
    <w:rsid w:val="00C74D6D"/>
    <w:rsid w:val="00C76657"/>
    <w:rsid w:val="00C76E76"/>
    <w:rsid w:val="00C77891"/>
    <w:rsid w:val="00C82368"/>
    <w:rsid w:val="00C829A9"/>
    <w:rsid w:val="00C85A37"/>
    <w:rsid w:val="00C87B80"/>
    <w:rsid w:val="00C87FC6"/>
    <w:rsid w:val="00C90D8A"/>
    <w:rsid w:val="00C91449"/>
    <w:rsid w:val="00C92D10"/>
    <w:rsid w:val="00C95E12"/>
    <w:rsid w:val="00CA2A81"/>
    <w:rsid w:val="00CA48D9"/>
    <w:rsid w:val="00CA6763"/>
    <w:rsid w:val="00CB1193"/>
    <w:rsid w:val="00CB2BF9"/>
    <w:rsid w:val="00CB4767"/>
    <w:rsid w:val="00CB493D"/>
    <w:rsid w:val="00CB7FD7"/>
    <w:rsid w:val="00CC3B97"/>
    <w:rsid w:val="00CC3CA3"/>
    <w:rsid w:val="00CC4128"/>
    <w:rsid w:val="00CD0AC7"/>
    <w:rsid w:val="00CD11E3"/>
    <w:rsid w:val="00CD5834"/>
    <w:rsid w:val="00CD7C0B"/>
    <w:rsid w:val="00CE10C4"/>
    <w:rsid w:val="00CE2626"/>
    <w:rsid w:val="00CE27B5"/>
    <w:rsid w:val="00CE6DAF"/>
    <w:rsid w:val="00CF066B"/>
    <w:rsid w:val="00CF410A"/>
    <w:rsid w:val="00CF68E6"/>
    <w:rsid w:val="00D0321E"/>
    <w:rsid w:val="00D069EB"/>
    <w:rsid w:val="00D07A8A"/>
    <w:rsid w:val="00D11199"/>
    <w:rsid w:val="00D12C09"/>
    <w:rsid w:val="00D1455A"/>
    <w:rsid w:val="00D14A70"/>
    <w:rsid w:val="00D16F4D"/>
    <w:rsid w:val="00D2044F"/>
    <w:rsid w:val="00D22093"/>
    <w:rsid w:val="00D22A40"/>
    <w:rsid w:val="00D24D31"/>
    <w:rsid w:val="00D306FA"/>
    <w:rsid w:val="00D31150"/>
    <w:rsid w:val="00D3138B"/>
    <w:rsid w:val="00D319E6"/>
    <w:rsid w:val="00D31FCE"/>
    <w:rsid w:val="00D3280C"/>
    <w:rsid w:val="00D3297F"/>
    <w:rsid w:val="00D34011"/>
    <w:rsid w:val="00D3406A"/>
    <w:rsid w:val="00D36FC2"/>
    <w:rsid w:val="00D40B11"/>
    <w:rsid w:val="00D429EC"/>
    <w:rsid w:val="00D43F05"/>
    <w:rsid w:val="00D441F1"/>
    <w:rsid w:val="00D4572C"/>
    <w:rsid w:val="00D469B2"/>
    <w:rsid w:val="00D50972"/>
    <w:rsid w:val="00D54B09"/>
    <w:rsid w:val="00D6243E"/>
    <w:rsid w:val="00D65658"/>
    <w:rsid w:val="00D67EB2"/>
    <w:rsid w:val="00D7124E"/>
    <w:rsid w:val="00D72B6F"/>
    <w:rsid w:val="00D731C6"/>
    <w:rsid w:val="00D741EB"/>
    <w:rsid w:val="00D74289"/>
    <w:rsid w:val="00D74B84"/>
    <w:rsid w:val="00D7679C"/>
    <w:rsid w:val="00D76EBB"/>
    <w:rsid w:val="00D820F3"/>
    <w:rsid w:val="00D83605"/>
    <w:rsid w:val="00D84934"/>
    <w:rsid w:val="00D866EB"/>
    <w:rsid w:val="00D87D1A"/>
    <w:rsid w:val="00D91271"/>
    <w:rsid w:val="00D919F5"/>
    <w:rsid w:val="00D93B5F"/>
    <w:rsid w:val="00D93C7A"/>
    <w:rsid w:val="00D945F6"/>
    <w:rsid w:val="00D94752"/>
    <w:rsid w:val="00D94F03"/>
    <w:rsid w:val="00D95161"/>
    <w:rsid w:val="00DA0A82"/>
    <w:rsid w:val="00DA0D14"/>
    <w:rsid w:val="00DA1FC9"/>
    <w:rsid w:val="00DA2CB5"/>
    <w:rsid w:val="00DA341B"/>
    <w:rsid w:val="00DA382F"/>
    <w:rsid w:val="00DA4BAC"/>
    <w:rsid w:val="00DB0151"/>
    <w:rsid w:val="00DB3A96"/>
    <w:rsid w:val="00DB50E1"/>
    <w:rsid w:val="00DC0566"/>
    <w:rsid w:val="00DC1499"/>
    <w:rsid w:val="00DC2C3E"/>
    <w:rsid w:val="00DC3137"/>
    <w:rsid w:val="00DC45E9"/>
    <w:rsid w:val="00DC4880"/>
    <w:rsid w:val="00DD42AB"/>
    <w:rsid w:val="00DD59D8"/>
    <w:rsid w:val="00DD61A7"/>
    <w:rsid w:val="00DE06AF"/>
    <w:rsid w:val="00DE5C2B"/>
    <w:rsid w:val="00DE6D27"/>
    <w:rsid w:val="00DF01F8"/>
    <w:rsid w:val="00DF021D"/>
    <w:rsid w:val="00DF217D"/>
    <w:rsid w:val="00DF26A7"/>
    <w:rsid w:val="00DF2D4F"/>
    <w:rsid w:val="00DF3277"/>
    <w:rsid w:val="00DF4821"/>
    <w:rsid w:val="00DF684A"/>
    <w:rsid w:val="00DF77A1"/>
    <w:rsid w:val="00DF7919"/>
    <w:rsid w:val="00E0207E"/>
    <w:rsid w:val="00E02530"/>
    <w:rsid w:val="00E02AE6"/>
    <w:rsid w:val="00E03912"/>
    <w:rsid w:val="00E043DB"/>
    <w:rsid w:val="00E04748"/>
    <w:rsid w:val="00E05EF5"/>
    <w:rsid w:val="00E06463"/>
    <w:rsid w:val="00E078D9"/>
    <w:rsid w:val="00E10293"/>
    <w:rsid w:val="00E103A0"/>
    <w:rsid w:val="00E13E60"/>
    <w:rsid w:val="00E15627"/>
    <w:rsid w:val="00E15BE9"/>
    <w:rsid w:val="00E164B3"/>
    <w:rsid w:val="00E16910"/>
    <w:rsid w:val="00E16C00"/>
    <w:rsid w:val="00E216C8"/>
    <w:rsid w:val="00E239E2"/>
    <w:rsid w:val="00E23D17"/>
    <w:rsid w:val="00E24E09"/>
    <w:rsid w:val="00E27234"/>
    <w:rsid w:val="00E318FC"/>
    <w:rsid w:val="00E3495C"/>
    <w:rsid w:val="00E35EAD"/>
    <w:rsid w:val="00E42BDB"/>
    <w:rsid w:val="00E46633"/>
    <w:rsid w:val="00E5726D"/>
    <w:rsid w:val="00E57EEB"/>
    <w:rsid w:val="00E62D94"/>
    <w:rsid w:val="00E64F37"/>
    <w:rsid w:val="00E65091"/>
    <w:rsid w:val="00E65E54"/>
    <w:rsid w:val="00E661C7"/>
    <w:rsid w:val="00E74E41"/>
    <w:rsid w:val="00E7708B"/>
    <w:rsid w:val="00E80155"/>
    <w:rsid w:val="00E8134B"/>
    <w:rsid w:val="00E81E0D"/>
    <w:rsid w:val="00E81F28"/>
    <w:rsid w:val="00E848C0"/>
    <w:rsid w:val="00E91B96"/>
    <w:rsid w:val="00E935DA"/>
    <w:rsid w:val="00E93D1E"/>
    <w:rsid w:val="00E941A1"/>
    <w:rsid w:val="00E95CE3"/>
    <w:rsid w:val="00EA0856"/>
    <w:rsid w:val="00EA252F"/>
    <w:rsid w:val="00EA2825"/>
    <w:rsid w:val="00EA6518"/>
    <w:rsid w:val="00EA71A2"/>
    <w:rsid w:val="00EA7466"/>
    <w:rsid w:val="00EA7EDE"/>
    <w:rsid w:val="00EB0B63"/>
    <w:rsid w:val="00EB1936"/>
    <w:rsid w:val="00EB3545"/>
    <w:rsid w:val="00EB37BE"/>
    <w:rsid w:val="00EB5088"/>
    <w:rsid w:val="00EB6C8F"/>
    <w:rsid w:val="00EC2726"/>
    <w:rsid w:val="00EC309F"/>
    <w:rsid w:val="00EC49AD"/>
    <w:rsid w:val="00EC7D5A"/>
    <w:rsid w:val="00ED1644"/>
    <w:rsid w:val="00ED2593"/>
    <w:rsid w:val="00ED5CEB"/>
    <w:rsid w:val="00ED6379"/>
    <w:rsid w:val="00ED7BDA"/>
    <w:rsid w:val="00ED7D55"/>
    <w:rsid w:val="00ED7D9C"/>
    <w:rsid w:val="00EE18BB"/>
    <w:rsid w:val="00EE31A2"/>
    <w:rsid w:val="00EE3D63"/>
    <w:rsid w:val="00EE4044"/>
    <w:rsid w:val="00EF0069"/>
    <w:rsid w:val="00EF09AA"/>
    <w:rsid w:val="00EF44A0"/>
    <w:rsid w:val="00EF4580"/>
    <w:rsid w:val="00EF4FED"/>
    <w:rsid w:val="00EF5F45"/>
    <w:rsid w:val="00EF6366"/>
    <w:rsid w:val="00EF6843"/>
    <w:rsid w:val="00EF6FB3"/>
    <w:rsid w:val="00F000E1"/>
    <w:rsid w:val="00F007C6"/>
    <w:rsid w:val="00F0172E"/>
    <w:rsid w:val="00F050BD"/>
    <w:rsid w:val="00F05657"/>
    <w:rsid w:val="00F05AB0"/>
    <w:rsid w:val="00F1559A"/>
    <w:rsid w:val="00F17ED6"/>
    <w:rsid w:val="00F20676"/>
    <w:rsid w:val="00F209E2"/>
    <w:rsid w:val="00F22C48"/>
    <w:rsid w:val="00F25578"/>
    <w:rsid w:val="00F258E5"/>
    <w:rsid w:val="00F25B9C"/>
    <w:rsid w:val="00F2675A"/>
    <w:rsid w:val="00F26CC6"/>
    <w:rsid w:val="00F27132"/>
    <w:rsid w:val="00F300BC"/>
    <w:rsid w:val="00F3263C"/>
    <w:rsid w:val="00F3334E"/>
    <w:rsid w:val="00F36CCB"/>
    <w:rsid w:val="00F374E5"/>
    <w:rsid w:val="00F37B93"/>
    <w:rsid w:val="00F37BAD"/>
    <w:rsid w:val="00F37ECA"/>
    <w:rsid w:val="00F40A1C"/>
    <w:rsid w:val="00F41FCC"/>
    <w:rsid w:val="00F43AF2"/>
    <w:rsid w:val="00F45216"/>
    <w:rsid w:val="00F5007E"/>
    <w:rsid w:val="00F50EC4"/>
    <w:rsid w:val="00F52094"/>
    <w:rsid w:val="00F52232"/>
    <w:rsid w:val="00F52CF6"/>
    <w:rsid w:val="00F52DC2"/>
    <w:rsid w:val="00F5415B"/>
    <w:rsid w:val="00F550CF"/>
    <w:rsid w:val="00F553D2"/>
    <w:rsid w:val="00F57A6D"/>
    <w:rsid w:val="00F62F19"/>
    <w:rsid w:val="00F638CC"/>
    <w:rsid w:val="00F64C9E"/>
    <w:rsid w:val="00F64CC1"/>
    <w:rsid w:val="00F65C4A"/>
    <w:rsid w:val="00F65EDB"/>
    <w:rsid w:val="00F71922"/>
    <w:rsid w:val="00F72317"/>
    <w:rsid w:val="00F73DC1"/>
    <w:rsid w:val="00F7499A"/>
    <w:rsid w:val="00F74B68"/>
    <w:rsid w:val="00F7557D"/>
    <w:rsid w:val="00F75BB8"/>
    <w:rsid w:val="00F80475"/>
    <w:rsid w:val="00F81390"/>
    <w:rsid w:val="00F81F7A"/>
    <w:rsid w:val="00F8247A"/>
    <w:rsid w:val="00F82E5C"/>
    <w:rsid w:val="00F83F58"/>
    <w:rsid w:val="00F87CEA"/>
    <w:rsid w:val="00F92F97"/>
    <w:rsid w:val="00F9629A"/>
    <w:rsid w:val="00F97EFC"/>
    <w:rsid w:val="00FA0C7C"/>
    <w:rsid w:val="00FA1BDD"/>
    <w:rsid w:val="00FA305C"/>
    <w:rsid w:val="00FA3C24"/>
    <w:rsid w:val="00FA462E"/>
    <w:rsid w:val="00FA4DD5"/>
    <w:rsid w:val="00FA5883"/>
    <w:rsid w:val="00FA6055"/>
    <w:rsid w:val="00FB0B39"/>
    <w:rsid w:val="00FB2BBF"/>
    <w:rsid w:val="00FB322F"/>
    <w:rsid w:val="00FB396E"/>
    <w:rsid w:val="00FB442F"/>
    <w:rsid w:val="00FB51D1"/>
    <w:rsid w:val="00FC118C"/>
    <w:rsid w:val="00FC1929"/>
    <w:rsid w:val="00FC36BA"/>
    <w:rsid w:val="00FC5B46"/>
    <w:rsid w:val="00FC7E43"/>
    <w:rsid w:val="00FD1D4F"/>
    <w:rsid w:val="00FD24BF"/>
    <w:rsid w:val="00FD3B6E"/>
    <w:rsid w:val="00FD57EB"/>
    <w:rsid w:val="00FD6D8E"/>
    <w:rsid w:val="00FE0663"/>
    <w:rsid w:val="00FE0E94"/>
    <w:rsid w:val="00FE369C"/>
    <w:rsid w:val="00FE3CD9"/>
    <w:rsid w:val="00FE4CB1"/>
    <w:rsid w:val="00FF00BD"/>
    <w:rsid w:val="00FF0B13"/>
    <w:rsid w:val="00FF1ED4"/>
    <w:rsid w:val="00FF2801"/>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3" w:semiHidden="1" w:uiPriority="9" w:unhideWhenUsed="1"/>
    <w:lsdException w:name="heading 4" w:semiHidden="1" w:uiPriority="9" w:unhideWhenUsed="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863"/>
    <w:pPr>
      <w:jc w:val="both"/>
    </w:pPr>
    <w:rPr>
      <w:rFonts w:ascii="Calibri" w:hAnsi="Calibri"/>
      <w:sz w:val="24"/>
      <w:szCs w:val="24"/>
    </w:rPr>
  </w:style>
  <w:style w:type="paragraph" w:styleId="Heading1">
    <w:name w:val="heading 1"/>
    <w:next w:val="Normal"/>
    <w:link w:val="Heading1Char"/>
    <w:uiPriority w:val="9"/>
    <w:unhideWhenUsed/>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5">
    <w:name w:val="heading 5"/>
    <w:basedOn w:val="Normal"/>
    <w:next w:val="Normal"/>
    <w:link w:val="Heading5Char"/>
    <w:uiPriority w:val="9"/>
    <w:unhideWhenUsed/>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ES Paragraph,PBAC ES Paragraph,PBAC normal points,Bullet List,Figure_name,Numbered Indented Text"/>
    <w:next w:val="Normal"/>
    <w:link w:val="ListParagraphChar"/>
    <w:uiPriority w:val="34"/>
    <w:qFormat/>
    <w:rsid w:val="006C5B33"/>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ES Paragraph Char,PBAC ES Paragraph Char"/>
    <w:basedOn w:val="DefaultParagraphFont"/>
    <w:link w:val="ListParagraph"/>
    <w:uiPriority w:val="34"/>
    <w:qFormat/>
    <w:rsid w:val="00C87FC6"/>
    <w:rPr>
      <w:rFonts w:asciiTheme="minorHAnsi" w:hAnsiTheme="minorHAnsi" w:cs="Arial"/>
      <w:snapToGrid w:val="0"/>
      <w:sz w:val="24"/>
      <w:szCs w:val="24"/>
    </w:rPr>
  </w:style>
  <w:style w:type="character" w:customStyle="1" w:styleId="Heading1Char">
    <w:name w:val="Heading 1 Char"/>
    <w:basedOn w:val="DefaultParagraphFont"/>
    <w:link w:val="Heading1"/>
    <w:uiPriority w:val="9"/>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ASD Table,Lash Style Table,CMA Table Template,MSD Table Grid,Dossier table,Section 3- footnotes,Summary Table,PBAC table,HTAtableplain,new style,RTI AMCP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329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D3297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qFormat/>
    <w:rsid w:val="00C724E2"/>
    <w:pPr>
      <w:keepNext/>
      <w:widowControl w:val="0"/>
    </w:pPr>
    <w:rPr>
      <w:rFonts w:ascii="Arial Narrow" w:eastAsiaTheme="majorEastAsia" w:hAnsi="Arial Narrow"/>
      <w:b/>
      <w:szCs w:val="24"/>
      <w:lang w:val="en-US"/>
    </w:rPr>
  </w:style>
  <w:style w:type="paragraph" w:customStyle="1" w:styleId="2-SectionHeading">
    <w:name w:val="2-Section Heading"/>
    <w:qFormat/>
    <w:rsid w:val="006C5B33"/>
    <w:pPr>
      <w:keepNext/>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C5B3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C5B3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C5B3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C5B33"/>
    <w:rPr>
      <w:rFonts w:ascii="Arial Narrow" w:eastAsiaTheme="majorEastAsia" w:hAnsi="Arial Narrow" w:cstheme="majorBidi"/>
      <w:b/>
      <w:bCs/>
      <w:szCs w:val="24"/>
    </w:rPr>
  </w:style>
  <w:style w:type="paragraph" w:customStyle="1" w:styleId="3-BodyText">
    <w:name w:val="3-Body Text"/>
    <w:link w:val="3-BodyTextChar"/>
    <w:qFormat/>
    <w:rsid w:val="006C5B33"/>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C5B33"/>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067B6B"/>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67B6B"/>
    <w:rPr>
      <w:rFonts w:ascii="Arial Narrow" w:hAnsi="Arial Narrow" w:cs="Arial"/>
      <w:snapToGrid w:val="0"/>
      <w:sz w:val="18"/>
      <w:szCs w:val="22"/>
    </w:rPr>
  </w:style>
  <w:style w:type="paragraph" w:customStyle="1" w:styleId="5-SubsectionSubheading">
    <w:name w:val="5-Subsection Subheading"/>
    <w:next w:val="3-BodyText"/>
    <w:link w:val="5-SubsectionSubheadingChar"/>
    <w:qFormat/>
    <w:rsid w:val="00F7499A"/>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sid w:val="00F7499A"/>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71"/>
    <w:semiHidden/>
    <w:rsid w:val="00DF021D"/>
    <w:rPr>
      <w:rFonts w:ascii="Calibri" w:hAnsi="Calibri"/>
      <w:sz w:val="24"/>
      <w:szCs w:val="24"/>
    </w:rPr>
  </w:style>
  <w:style w:type="paragraph" w:customStyle="1" w:styleId="4-SubsectionHeading">
    <w:name w:val="4-Subsection Heading"/>
    <w:next w:val="3-BodyText"/>
    <w:link w:val="4-SubsectionHeadingChar"/>
    <w:qFormat/>
    <w:rsid w:val="00F7499A"/>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sid w:val="00F7499A"/>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aliases w:val="Page Header,Header title,he=header,cntr/bld"/>
    <w:basedOn w:val="Normal"/>
    <w:link w:val="HeaderChar"/>
    <w:unhideWhenUsed/>
    <w:qFormat/>
    <w:rsid w:val="00CF066B"/>
    <w:pPr>
      <w:jc w:val="right"/>
    </w:pPr>
  </w:style>
  <w:style w:type="character" w:customStyle="1" w:styleId="HeaderChar">
    <w:name w:val="Header Char"/>
    <w:aliases w:val="Page Header Char,Header title Char,he=header Char,cntr/bld Char"/>
    <w:basedOn w:val="DefaultParagraphFont"/>
    <w:link w:val="Header"/>
    <w:rsid w:val="00CF066B"/>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aliases w:val="Table Title,Table HEADER PBAC,-H18"/>
    <w:basedOn w:val="DefaultParagraphFont"/>
    <w:uiPriority w:val="99"/>
    <w:unhideWhenUsed/>
    <w:qFormat/>
    <w:rsid w:val="00C95E12"/>
    <w:rPr>
      <w:rFonts w:ascii="Arial Narrow" w:hAnsi="Arial Narrow"/>
      <w:b/>
      <w:color w:val="auto"/>
      <w:sz w:val="20"/>
      <w:szCs w:val="16"/>
    </w:rPr>
  </w:style>
  <w:style w:type="paragraph" w:styleId="CommentText">
    <w:name w:val="annotation text"/>
    <w:basedOn w:val="Normal"/>
    <w:link w:val="CommentTextChar"/>
    <w:unhideWhenUsed/>
    <w:rsid w:val="008147AE"/>
    <w:rPr>
      <w:sz w:val="20"/>
      <w:szCs w:val="20"/>
    </w:rPr>
  </w:style>
  <w:style w:type="character" w:customStyle="1" w:styleId="CommentTextChar">
    <w:name w:val="Comment Text Char"/>
    <w:basedOn w:val="DefaultParagraphFont"/>
    <w:link w:val="CommentText"/>
    <w:rsid w:val="008147AE"/>
    <w:rPr>
      <w:rFonts w:ascii="Calibri" w:hAnsi="Calibri"/>
    </w:rPr>
  </w:style>
  <w:style w:type="paragraph" w:styleId="CommentSubject">
    <w:name w:val="annotation subject"/>
    <w:basedOn w:val="CommentText"/>
    <w:next w:val="CommentText"/>
    <w:link w:val="CommentSubjectChar"/>
    <w:semiHidden/>
    <w:unhideWhenUsed/>
    <w:rsid w:val="008147AE"/>
    <w:rPr>
      <w:b/>
      <w:bCs/>
    </w:rPr>
  </w:style>
  <w:style w:type="character" w:customStyle="1" w:styleId="CommentSubjectChar">
    <w:name w:val="Comment Subject Char"/>
    <w:basedOn w:val="CommentTextChar"/>
    <w:link w:val="CommentSubject"/>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paragraph" w:customStyle="1" w:styleId="Tabletext0">
    <w:name w:val="Table text"/>
    <w:basedOn w:val="Normal"/>
    <w:link w:val="TabletextChar0"/>
    <w:qFormat/>
    <w:rsid w:val="00D12C09"/>
    <w:pPr>
      <w:jc w:val="left"/>
    </w:pPr>
    <w:rPr>
      <w:rFonts w:ascii="Arial Narrow" w:hAnsi="Arial Narrow"/>
      <w:snapToGrid w:val="0"/>
      <w:sz w:val="20"/>
    </w:rPr>
  </w:style>
  <w:style w:type="character" w:customStyle="1" w:styleId="TabletextChar0">
    <w:name w:val="Table text Char"/>
    <w:link w:val="Tabletext0"/>
    <w:rsid w:val="00D12C09"/>
    <w:rPr>
      <w:rFonts w:ascii="Arial Narrow" w:hAnsi="Arial Narrow"/>
      <w:snapToGrid w:val="0"/>
      <w:szCs w:val="24"/>
    </w:rPr>
  </w:style>
  <w:style w:type="paragraph" w:customStyle="1" w:styleId="FooterTableFigure">
    <w:name w:val="Footer Table/Figure"/>
    <w:basedOn w:val="Normal"/>
    <w:link w:val="FooterTableFigureChar"/>
    <w:qFormat/>
    <w:rsid w:val="00D12C09"/>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D12C09"/>
    <w:rPr>
      <w:rFonts w:ascii="Arial Narrow" w:hAnsi="Arial Narrow" w:cs="Arial"/>
      <w:snapToGrid w:val="0"/>
      <w:sz w:val="18"/>
      <w:szCs w:val="22"/>
    </w:rPr>
  </w:style>
  <w:style w:type="paragraph" w:styleId="Caption">
    <w:name w:val="caption"/>
    <w:aliases w:val="MA caption,Caption Char Char,Caption2,Caption Char Char Char Char Char,Caption Char Char1 Char,Caption Char1 Char1,Bayer Caption,IB Caption,Medical Caption,Caption Char1 Char,- H17,B Caption,Caption - H17,! Q,Caption Char2 Char,PHE Caption,table"/>
    <w:basedOn w:val="Normal"/>
    <w:next w:val="Normal"/>
    <w:link w:val="CaptionChar"/>
    <w:uiPriority w:val="1"/>
    <w:unhideWhenUsed/>
    <w:qFormat/>
    <w:rsid w:val="001852FE"/>
    <w:pPr>
      <w:spacing w:after="200"/>
    </w:pPr>
    <w:rPr>
      <w:i/>
      <w:iCs/>
      <w:color w:val="1F497D" w:themeColor="text2"/>
      <w:sz w:val="18"/>
      <w:szCs w:val="18"/>
    </w:rPr>
  </w:style>
  <w:style w:type="character" w:customStyle="1" w:styleId="CaptionChar">
    <w:name w:val="Caption Char"/>
    <w:aliases w:val="MA caption Char,Caption Char Char Char,Caption2 Char,Caption Char Char Char Char Char Char,Caption Char Char1 Char Char,Caption Char1 Char1 Char,Bayer Caption Char,IB Caption Char,Medical Caption Char,Caption Char1 Char Char,- H17 Char"/>
    <w:link w:val="Caption"/>
    <w:uiPriority w:val="1"/>
    <w:rsid w:val="00B3312F"/>
    <w:rPr>
      <w:rFonts w:ascii="Calibri" w:hAnsi="Calibri"/>
      <w:i/>
      <w:iCs/>
      <w:color w:val="1F497D" w:themeColor="text2"/>
      <w:sz w:val="18"/>
      <w:szCs w:val="18"/>
    </w:rPr>
  </w:style>
  <w:style w:type="paragraph" w:customStyle="1" w:styleId="Tablenotes">
    <w:name w:val="Table notes"/>
    <w:basedOn w:val="Normal"/>
    <w:link w:val="TablenotesChar"/>
    <w:qFormat/>
    <w:rsid w:val="000B5F53"/>
    <w:pPr>
      <w:jc w:val="left"/>
    </w:pPr>
    <w:rPr>
      <w:rFonts w:ascii="Trebuchet MS" w:eastAsiaTheme="minorHAnsi" w:hAnsi="Trebuchet MS" w:cstheme="minorBidi"/>
      <w:sz w:val="16"/>
      <w:szCs w:val="22"/>
      <w:lang w:eastAsia="en-US"/>
    </w:rPr>
  </w:style>
  <w:style w:type="character" w:customStyle="1" w:styleId="TablenotesChar">
    <w:name w:val="Table notes Char"/>
    <w:basedOn w:val="DefaultParagraphFont"/>
    <w:link w:val="Tablenotes"/>
    <w:rsid w:val="000B5F53"/>
    <w:rPr>
      <w:rFonts w:ascii="Trebuchet MS" w:eastAsiaTheme="minorHAnsi" w:hAnsi="Trebuchet MS" w:cstheme="minorBidi"/>
      <w:sz w:val="16"/>
      <w:szCs w:val="22"/>
      <w:lang w:eastAsia="en-US"/>
    </w:rPr>
  </w:style>
  <w:style w:type="numbering" w:customStyle="1" w:styleId="ArticleSection1">
    <w:name w:val="Article / Section1"/>
    <w:basedOn w:val="NoList"/>
    <w:semiHidden/>
    <w:rsid w:val="000B5F53"/>
    <w:pPr>
      <w:numPr>
        <w:numId w:val="22"/>
      </w:numPr>
    </w:pPr>
  </w:style>
  <w:style w:type="table" w:customStyle="1" w:styleId="newstyle2">
    <w:name w:val="new style2"/>
    <w:basedOn w:val="TableNormal"/>
    <w:next w:val="TableGrid"/>
    <w:uiPriority w:val="39"/>
    <w:rsid w:val="000B5F53"/>
    <w:pPr>
      <w:jc w:val="both"/>
    </w:pPr>
    <w:rPr>
      <w:rFonts w:ascii="Trebuchet MS" w:eastAsiaTheme="minorHAnsi" w:hAnsi="Trebuchet M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5">
    <w:name w:val="ASD Table5"/>
    <w:basedOn w:val="TableNormal"/>
    <w:next w:val="TableGrid"/>
    <w:uiPriority w:val="39"/>
    <w:rsid w:val="001A62D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execsumnumberedpara">
    <w:name w:val="COM exec sum numbered para"/>
    <w:basedOn w:val="ListParagraph"/>
    <w:link w:val="COMexecsumnumberedparaChar"/>
    <w:qFormat/>
    <w:rsid w:val="005671EC"/>
    <w:pPr>
      <w:ind w:left="720" w:hanging="720"/>
      <w:jc w:val="both"/>
    </w:pPr>
  </w:style>
  <w:style w:type="character" w:customStyle="1" w:styleId="COMexecsumnumberedparaChar">
    <w:name w:val="COM exec sum numbered para Char"/>
    <w:basedOn w:val="ListParagraphChar"/>
    <w:link w:val="COMexecsumnumberedpara"/>
    <w:rsid w:val="005671EC"/>
    <w:rPr>
      <w:rFonts w:asciiTheme="minorHAnsi" w:hAnsiTheme="minorHAnsi" w:cs="Arial"/>
      <w:snapToGrid w:val="0"/>
      <w:sz w:val="24"/>
      <w:szCs w:val="24"/>
    </w:rPr>
  </w:style>
  <w:style w:type="paragraph" w:customStyle="1" w:styleId="3-SubsectionHeading">
    <w:name w:val="3-Subsection Heading"/>
    <w:basedOn w:val="Heading2"/>
    <w:next w:val="Normal"/>
    <w:link w:val="3-SubsectionHeadingChar"/>
    <w:qFormat/>
    <w:rsid w:val="007E1647"/>
    <w:pPr>
      <w:keepLines w:val="0"/>
      <w:spacing w:before="120" w:after="120"/>
      <w:jc w:val="both"/>
      <w:outlineLvl w:val="9"/>
    </w:pPr>
    <w:rPr>
      <w:rFonts w:asciiTheme="minorHAnsi" w:hAnsiTheme="minorHAnsi"/>
      <w:b/>
      <w:i/>
      <w:spacing w:val="5"/>
      <w:kern w:val="28"/>
      <w:sz w:val="28"/>
      <w:szCs w:val="36"/>
    </w:rPr>
  </w:style>
  <w:style w:type="character" w:customStyle="1" w:styleId="3-SubsectionHeadingChar">
    <w:name w:val="3-Subsection Heading Char"/>
    <w:basedOn w:val="Heading2Char"/>
    <w:link w:val="3-SubsectionHeading"/>
    <w:rsid w:val="007E1647"/>
    <w:rPr>
      <w:rFonts w:asciiTheme="minorHAnsi" w:eastAsiaTheme="majorEastAsia" w:hAnsiTheme="minorHAnsi" w:cstheme="majorBidi"/>
      <w:b/>
      <w:i/>
      <w:color w:val="365F91" w:themeColor="accent1" w:themeShade="BF"/>
      <w:spacing w:val="5"/>
      <w:kern w:val="28"/>
      <w:sz w:val="28"/>
      <w:szCs w:val="36"/>
      <w:lang w:eastAsia="en-US"/>
    </w:rPr>
  </w:style>
  <w:style w:type="paragraph" w:styleId="NoSpacing">
    <w:name w:val="No Spacing"/>
    <w:uiPriority w:val="1"/>
    <w:qFormat/>
    <w:rsid w:val="009102CA"/>
    <w:rPr>
      <w:sz w:val="24"/>
      <w:szCs w:val="24"/>
      <w:lang w:eastAsia="en-US"/>
    </w:rPr>
  </w:style>
  <w:style w:type="character" w:styleId="UnresolvedMention">
    <w:name w:val="Unresolved Mention"/>
    <w:basedOn w:val="DefaultParagraphFont"/>
    <w:uiPriority w:val="99"/>
    <w:semiHidden/>
    <w:unhideWhenUsed/>
    <w:rsid w:val="00772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730810420">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10251798">
      <w:bodyDiv w:val="1"/>
      <w:marLeft w:val="0"/>
      <w:marRight w:val="0"/>
      <w:marTop w:val="0"/>
      <w:marBottom w:val="0"/>
      <w:divBdr>
        <w:top w:val="none" w:sz="0" w:space="0" w:color="auto"/>
        <w:left w:val="none" w:sz="0" w:space="0" w:color="auto"/>
        <w:bottom w:val="none" w:sz="0" w:space="0" w:color="auto"/>
        <w:right w:val="none" w:sz="0" w:space="0" w:color="auto"/>
      </w:divBdr>
    </w:div>
    <w:div w:id="892621128">
      <w:bodyDiv w:val="1"/>
      <w:marLeft w:val="0"/>
      <w:marRight w:val="0"/>
      <w:marTop w:val="0"/>
      <w:marBottom w:val="0"/>
      <w:divBdr>
        <w:top w:val="none" w:sz="0" w:space="0" w:color="auto"/>
        <w:left w:val="none" w:sz="0" w:space="0" w:color="auto"/>
        <w:bottom w:val="none" w:sz="0" w:space="0" w:color="auto"/>
        <w:right w:val="none" w:sz="0" w:space="0" w:color="auto"/>
      </w:divBdr>
    </w:div>
    <w:div w:id="926426155">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94024666">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08346683">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1366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F30C7-CD36-4BA5-9BB3-2B9B0931F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5627</Words>
  <Characters>31333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2024-02-28T05:42:00Z</dcterms:created>
  <dcterms:modified xsi:type="dcterms:W3CDTF">2024-02-28T05:44:00Z</dcterms:modified>
</cp:coreProperties>
</file>