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51543D5" w:rsidR="00872E8F" w:rsidRPr="00A542BA" w:rsidRDefault="00B06987" w:rsidP="00583F7A">
      <w:pPr>
        <w:pStyle w:val="1MainTitle"/>
        <w:ind w:left="851" w:hanging="862"/>
        <w:jc w:val="left"/>
      </w:pPr>
      <w:r w:rsidRPr="00A542BA">
        <w:t>5.11</w:t>
      </w:r>
      <w:r w:rsidR="00872E8F" w:rsidRPr="00A542BA">
        <w:tab/>
      </w:r>
      <w:r w:rsidR="00482CF8" w:rsidRPr="00A542BA">
        <w:t>MEDROXYPROGESTERONE ACETATE</w:t>
      </w:r>
      <w:r w:rsidR="70971A32" w:rsidRPr="00A542BA">
        <w:t>,</w:t>
      </w:r>
      <w:r w:rsidR="00872E8F" w:rsidRPr="00A542BA">
        <w:br/>
      </w:r>
      <w:r w:rsidR="00E67907" w:rsidRPr="00A542BA">
        <w:t>Suspension for injection 150 mg in 1 mL pre-filled syringe</w:t>
      </w:r>
      <w:r w:rsidR="70971A32" w:rsidRPr="00A542BA">
        <w:t>,</w:t>
      </w:r>
      <w:r w:rsidR="00872E8F" w:rsidRPr="00A542BA">
        <w:br/>
      </w:r>
      <w:r w:rsidR="00875DE9" w:rsidRPr="00A542BA">
        <w:t>Depo-Provera</w:t>
      </w:r>
      <w:r w:rsidR="000906B8" w:rsidRPr="00A542BA">
        <w:t>®</w:t>
      </w:r>
      <w:r w:rsidR="70971A32" w:rsidRPr="00A542BA">
        <w:t>,</w:t>
      </w:r>
      <w:r w:rsidR="00872E8F" w:rsidRPr="00A542BA">
        <w:br/>
      </w:r>
      <w:r w:rsidR="000568C1" w:rsidRPr="00A542BA">
        <w:t xml:space="preserve">Pfizer Australia </w:t>
      </w:r>
      <w:r w:rsidR="000906B8" w:rsidRPr="00A542BA">
        <w:t xml:space="preserve">Pty Ltd </w:t>
      </w:r>
    </w:p>
    <w:p w14:paraId="5F4D54C1" w14:textId="4677F9AA" w:rsidR="00E11F44" w:rsidRPr="00A542BA" w:rsidRDefault="007E490F" w:rsidP="00CD6257">
      <w:pPr>
        <w:pStyle w:val="2-SectionHeading"/>
        <w:rPr>
          <w:rFonts w:cstheme="minorHAnsi"/>
          <w:color w:val="FF0000"/>
        </w:rPr>
      </w:pPr>
      <w:r w:rsidRPr="00A542BA">
        <w:t xml:space="preserve">Purpose of </w:t>
      </w:r>
      <w:r w:rsidR="00FA0B04" w:rsidRPr="00A542BA">
        <w:t>Submission</w:t>
      </w:r>
      <w:r w:rsidRPr="00A542BA">
        <w:t xml:space="preserve"> </w:t>
      </w:r>
    </w:p>
    <w:p w14:paraId="47FBCFFA" w14:textId="685F5A11" w:rsidR="00BA057F" w:rsidRPr="00583F7A" w:rsidRDefault="000D3187" w:rsidP="00583F7A">
      <w:pPr>
        <w:pStyle w:val="3Bodytext"/>
      </w:pPr>
      <w:r w:rsidRPr="00583F7A">
        <w:t xml:space="preserve">The Category 4 submission requested a General Schedule </w:t>
      </w:r>
      <w:r w:rsidR="00AA10E5" w:rsidRPr="00583F7A">
        <w:t>(U</w:t>
      </w:r>
      <w:r w:rsidRPr="00583F7A">
        <w:t>nrestricted</w:t>
      </w:r>
      <w:r w:rsidR="00AA10E5" w:rsidRPr="00583F7A">
        <w:t xml:space="preserve"> Benefit)</w:t>
      </w:r>
      <w:r w:rsidRPr="00583F7A">
        <w:t xml:space="preserve"> listing of </w:t>
      </w:r>
      <w:r w:rsidR="0047657F" w:rsidRPr="00583F7A">
        <w:t xml:space="preserve">medroxyprogesterone acetate 150 mg/mL </w:t>
      </w:r>
      <w:r w:rsidRPr="00583F7A">
        <w:t>pre-filled syringe</w:t>
      </w:r>
      <w:r w:rsidR="007A7C99" w:rsidRPr="00583F7A">
        <w:t xml:space="preserve"> </w:t>
      </w:r>
      <w:r w:rsidR="00AA10E5" w:rsidRPr="00583F7A">
        <w:t xml:space="preserve">(Depo-Provera®) </w:t>
      </w:r>
      <w:r w:rsidRPr="00583F7A">
        <w:t>(</w:t>
      </w:r>
      <w:r w:rsidR="00276B51" w:rsidRPr="00583F7A">
        <w:t xml:space="preserve">herein referred to as medroxyprogesterone </w:t>
      </w:r>
      <w:r w:rsidRPr="00583F7A">
        <w:t xml:space="preserve">PFS) </w:t>
      </w:r>
      <w:r w:rsidR="00AA10E5" w:rsidRPr="00583F7A">
        <w:t>under the same circumstances</w:t>
      </w:r>
      <w:r w:rsidR="007A7C99" w:rsidRPr="00583F7A">
        <w:t xml:space="preserve"> </w:t>
      </w:r>
      <w:r w:rsidR="00AA10E5" w:rsidRPr="00583F7A">
        <w:t xml:space="preserve">as </w:t>
      </w:r>
      <w:r w:rsidRPr="00583F7A">
        <w:t>the currently listed</w:t>
      </w:r>
      <w:r w:rsidR="00364CD0" w:rsidRPr="00583F7A">
        <w:t xml:space="preserve"> </w:t>
      </w:r>
      <w:bookmarkStart w:id="0" w:name="_Hlk150333309"/>
      <w:r w:rsidR="00364CD0" w:rsidRPr="00583F7A">
        <w:t xml:space="preserve">medroxyprogesterone acetate 150 mg/mL </w:t>
      </w:r>
      <w:r w:rsidRPr="00583F7A">
        <w:t>injection</w:t>
      </w:r>
      <w:bookmarkEnd w:id="0"/>
      <w:r w:rsidR="00364CD0" w:rsidRPr="00583F7A">
        <w:t>,</w:t>
      </w:r>
      <w:r w:rsidRPr="00583F7A">
        <w:t xml:space="preserve"> vial forms </w:t>
      </w:r>
      <w:r w:rsidR="00AA10E5" w:rsidRPr="00583F7A">
        <w:t xml:space="preserve">(Depo-Provera®, Depo-Ralovera®) </w:t>
      </w:r>
      <w:r w:rsidRPr="00583F7A">
        <w:t>(</w:t>
      </w:r>
      <w:r w:rsidR="00232BE3" w:rsidRPr="00583F7A">
        <w:t xml:space="preserve">herein referred to as medroxyprogesterone </w:t>
      </w:r>
      <w:r w:rsidR="00D03D93" w:rsidRPr="00583F7A">
        <w:t>vial</w:t>
      </w:r>
      <w:r w:rsidRPr="00583F7A">
        <w:t>).</w:t>
      </w:r>
    </w:p>
    <w:p w14:paraId="669844F7" w14:textId="2C5295FD" w:rsidR="00BA057F" w:rsidRPr="00583F7A" w:rsidRDefault="00BA057F" w:rsidP="00583F7A">
      <w:pPr>
        <w:pStyle w:val="3Bodytext"/>
      </w:pPr>
      <w:r w:rsidRPr="00583F7A">
        <w:t xml:space="preserve">The submission stated that medroxyprogesterone </w:t>
      </w:r>
      <w:r w:rsidR="00D03D93" w:rsidRPr="00583F7A">
        <w:t>vial</w:t>
      </w:r>
      <w:r w:rsidRPr="00583F7A">
        <w:t xml:space="preserve"> will be phased out in 2024 once medroxyprogesterone PFS is </w:t>
      </w:r>
      <w:r w:rsidR="00AA10E5" w:rsidRPr="00583F7A">
        <w:t xml:space="preserve">PBS-listed. </w:t>
      </w:r>
      <w:r w:rsidR="00264095" w:rsidRPr="00583F7A">
        <w:t xml:space="preserve">The </w:t>
      </w:r>
      <w:r w:rsidR="00A976A3" w:rsidRPr="00583F7A">
        <w:t>sponsor intends to</w:t>
      </w:r>
      <w:r w:rsidR="00264095" w:rsidRPr="00583F7A">
        <w:t xml:space="preserve"> submit a</w:t>
      </w:r>
      <w:r w:rsidR="00A976A3" w:rsidRPr="00583F7A">
        <w:t xml:space="preserve"> delisting request for</w:t>
      </w:r>
      <w:r w:rsidR="00264095" w:rsidRPr="00583F7A">
        <w:t xml:space="preserve"> medroxyprogesterone </w:t>
      </w:r>
      <w:r w:rsidR="00D03D93" w:rsidRPr="00583F7A">
        <w:t>vial</w:t>
      </w:r>
      <w:r w:rsidR="00264095" w:rsidRPr="00583F7A">
        <w:t xml:space="preserve"> for</w:t>
      </w:r>
      <w:r w:rsidR="00A976A3" w:rsidRPr="00583F7A">
        <w:t xml:space="preserve"> consideration at the</w:t>
      </w:r>
      <w:r w:rsidR="00264095" w:rsidRPr="00583F7A">
        <w:t xml:space="preserve"> March 2024 PBAC meeting</w:t>
      </w:r>
      <w:r w:rsidR="00A542BA" w:rsidRPr="00583F7A">
        <w:t xml:space="preserve">. </w:t>
      </w:r>
      <w:r w:rsidR="007A10DB" w:rsidRPr="00583F7A">
        <w:t xml:space="preserve">The pre-PBAC response noted </w:t>
      </w:r>
      <w:r w:rsidR="00FD0127" w:rsidRPr="00583F7A">
        <w:t xml:space="preserve">that the timing of delisting </w:t>
      </w:r>
      <w:r w:rsidR="00060B02" w:rsidRPr="00583F7A">
        <w:t>remains uncertain</w:t>
      </w:r>
      <w:r w:rsidR="00557A9C" w:rsidRPr="00583F7A">
        <w:t>.</w:t>
      </w:r>
      <w:r w:rsidR="007A10DB" w:rsidRPr="00583F7A">
        <w:t xml:space="preserve"> </w:t>
      </w:r>
    </w:p>
    <w:p w14:paraId="3D1D4320" w14:textId="77777777" w:rsidR="007E490F" w:rsidRPr="00A542BA" w:rsidRDefault="007E490F" w:rsidP="001F2311">
      <w:pPr>
        <w:pStyle w:val="2-SectionHeading"/>
        <w:numPr>
          <w:ilvl w:val="0"/>
          <w:numId w:val="2"/>
        </w:numPr>
      </w:pPr>
      <w:r w:rsidRPr="00A542BA">
        <w:t xml:space="preserve">Background </w:t>
      </w:r>
    </w:p>
    <w:p w14:paraId="5639A317" w14:textId="66CE146A" w:rsidR="00FF3695" w:rsidRPr="00A542BA" w:rsidRDefault="00FF3695" w:rsidP="00FF3695">
      <w:pPr>
        <w:pStyle w:val="4-SubsectionHeading"/>
      </w:pPr>
      <w:r w:rsidRPr="00A542BA">
        <w:t>Registration status</w:t>
      </w:r>
    </w:p>
    <w:p w14:paraId="0E604153" w14:textId="7310A2AC" w:rsidR="00AA10E5" w:rsidRPr="00A542BA" w:rsidRDefault="00AA10E5" w:rsidP="00643620">
      <w:pPr>
        <w:pStyle w:val="3Bodytext"/>
      </w:pPr>
      <w:r w:rsidRPr="00A542BA">
        <w:rPr>
          <w:rFonts w:cstheme="minorHAnsi"/>
          <w:szCs w:val="24"/>
        </w:rPr>
        <w:t xml:space="preserve">Medroxyprogesterone </w:t>
      </w:r>
      <w:r w:rsidRPr="00A542BA">
        <w:t>PFS was Therapeutic Goods Administration (TGA) registered on 3 May 2023 for the same indication</w:t>
      </w:r>
      <w:r w:rsidR="005006A0" w:rsidRPr="00A542BA">
        <w:t>s</w:t>
      </w:r>
      <w:r w:rsidRPr="00A542BA">
        <w:t xml:space="preserve"> as medroxyprogesterone </w:t>
      </w:r>
      <w:r w:rsidR="00D03D93" w:rsidRPr="00A542BA">
        <w:t>vial</w:t>
      </w:r>
      <w:r w:rsidRPr="00A542BA">
        <w:t xml:space="preserve">. The </w:t>
      </w:r>
      <w:r w:rsidR="007A7C99" w:rsidRPr="00A542BA">
        <w:t>P</w:t>
      </w:r>
      <w:r w:rsidRPr="00A542BA">
        <w:t xml:space="preserve">roduct </w:t>
      </w:r>
      <w:r w:rsidR="007A7C99" w:rsidRPr="00A542BA">
        <w:t>I</w:t>
      </w:r>
      <w:r w:rsidRPr="00A542BA">
        <w:t>nformation</w:t>
      </w:r>
      <w:r w:rsidR="00A72459" w:rsidRPr="00A542BA">
        <w:t xml:space="preserve"> </w:t>
      </w:r>
      <w:r w:rsidRPr="00A542BA">
        <w:t xml:space="preserve">and </w:t>
      </w:r>
      <w:r w:rsidR="007A7C99" w:rsidRPr="00A542BA">
        <w:t>C</w:t>
      </w:r>
      <w:r w:rsidRPr="00A542BA">
        <w:t xml:space="preserve">onsumer </w:t>
      </w:r>
      <w:r w:rsidR="007A7C99" w:rsidRPr="00A542BA">
        <w:t>M</w:t>
      </w:r>
      <w:r w:rsidRPr="00A542BA">
        <w:t xml:space="preserve">edicines </w:t>
      </w:r>
      <w:r w:rsidR="007A7C99" w:rsidRPr="00A542BA">
        <w:t>I</w:t>
      </w:r>
      <w:r w:rsidRPr="00A542BA">
        <w:t>nformation</w:t>
      </w:r>
      <w:r w:rsidR="00A72459" w:rsidRPr="00A542BA">
        <w:t xml:space="preserve"> </w:t>
      </w:r>
      <w:r w:rsidRPr="00A542BA">
        <w:t>of medroxyprogesterone</w:t>
      </w:r>
      <w:r w:rsidR="00D03D93" w:rsidRPr="00A542BA">
        <w:t xml:space="preserve"> vial</w:t>
      </w:r>
      <w:r w:rsidRPr="00A542BA">
        <w:t xml:space="preserve"> </w:t>
      </w:r>
      <w:r w:rsidR="002C047C" w:rsidRPr="00A542BA">
        <w:t>were</w:t>
      </w:r>
      <w:r w:rsidR="007A7C99" w:rsidRPr="00A542BA">
        <w:t xml:space="preserve"> </w:t>
      </w:r>
      <w:r w:rsidRPr="00A542BA">
        <w:t xml:space="preserve">updated to include </w:t>
      </w:r>
      <w:r w:rsidRPr="00A542BA">
        <w:rPr>
          <w:rFonts w:cstheme="minorHAnsi"/>
          <w:szCs w:val="24"/>
        </w:rPr>
        <w:t xml:space="preserve">medroxyprogesterone </w:t>
      </w:r>
      <w:r w:rsidRPr="00A542BA">
        <w:t xml:space="preserve">PFS. </w:t>
      </w:r>
    </w:p>
    <w:p w14:paraId="33C2C319" w14:textId="4AA6D97C" w:rsidR="007E490F" w:rsidRPr="00A542BA" w:rsidRDefault="00057AA5" w:rsidP="007E490F">
      <w:pPr>
        <w:pStyle w:val="4-SubsectionHeading"/>
      </w:pPr>
      <w:r w:rsidRPr="00A542BA">
        <w:t xml:space="preserve">Previous PBAC consideration </w:t>
      </w:r>
    </w:p>
    <w:p w14:paraId="474442E1" w14:textId="3FAAE0C8" w:rsidR="002E0562" w:rsidRDefault="00BA0BA6" w:rsidP="00583F7A">
      <w:pPr>
        <w:pStyle w:val="3Bodytext"/>
      </w:pPr>
      <w:r w:rsidRPr="00A542BA">
        <w:rPr>
          <w:rFonts w:cstheme="minorHAnsi"/>
          <w:szCs w:val="24"/>
        </w:rPr>
        <w:t xml:space="preserve">Medroxyprogesterone </w:t>
      </w:r>
      <w:r w:rsidRPr="00A542BA">
        <w:t xml:space="preserve">PFS </w:t>
      </w:r>
      <w:r w:rsidR="00C908F8" w:rsidRPr="00A542BA">
        <w:t>has not been previously considered by the PBAC.</w:t>
      </w:r>
    </w:p>
    <w:p w14:paraId="197E2A41" w14:textId="77777777" w:rsidR="002E0562" w:rsidRDefault="002E0562">
      <w:pPr>
        <w:jc w:val="left"/>
        <w:rPr>
          <w:rFonts w:asciiTheme="minorHAnsi" w:eastAsiaTheme="minorHAnsi" w:hAnsiTheme="minorHAnsi" w:cstheme="minorBidi"/>
          <w:szCs w:val="22"/>
        </w:rPr>
      </w:pPr>
      <w:r>
        <w:br w:type="page"/>
      </w:r>
    </w:p>
    <w:p w14:paraId="1B8790B6" w14:textId="3A1BE299" w:rsidR="00964A9F" w:rsidRPr="00A542BA" w:rsidRDefault="00964A9F" w:rsidP="00964A9F">
      <w:pPr>
        <w:pStyle w:val="2-SectionHeading"/>
      </w:pPr>
      <w:r w:rsidRPr="00A542BA">
        <w:lastRenderedPageBreak/>
        <w:t xml:space="preserve">Requested </w:t>
      </w:r>
      <w:proofErr w:type="gramStart"/>
      <w:r w:rsidRPr="00A542BA">
        <w:t>listing</w:t>
      </w:r>
      <w:proofErr w:type="gramEnd"/>
      <w:r w:rsidRPr="00A542BA">
        <w:t xml:space="preserve"> </w:t>
      </w:r>
    </w:p>
    <w:p w14:paraId="78978FC7" w14:textId="75C54A93" w:rsidR="001F3834" w:rsidRPr="002E0562" w:rsidRDefault="00AD4C3B" w:rsidP="00F954EF">
      <w:pPr>
        <w:pStyle w:val="3Bodytext"/>
        <w:jc w:val="left"/>
      </w:pPr>
      <w:r w:rsidRPr="00A542BA">
        <w:t>The submission requested the following new listing, under the same circumstances as the currently listed medroxyprogesterone</w:t>
      </w:r>
      <w:r w:rsidR="007A7C99" w:rsidRPr="00A542BA">
        <w:t xml:space="preserve"> </w:t>
      </w:r>
      <w:r w:rsidR="00D03D93" w:rsidRPr="00A542BA">
        <w:t>vial</w:t>
      </w:r>
      <w:r w:rsidR="00476409" w:rsidRPr="00A542BA">
        <w:t>.</w:t>
      </w:r>
      <w:r w:rsidRPr="00A542BA">
        <w:t xml:space="preserve"> </w:t>
      </w:r>
    </w:p>
    <w:p w14:paraId="262CDD78" w14:textId="2D4BA4BC" w:rsidR="00165329" w:rsidRPr="00A542BA" w:rsidRDefault="00AD4C3B" w:rsidP="00583F7A">
      <w:pPr>
        <w:pStyle w:val="3Bodytext"/>
        <w:rPr>
          <w:rFonts w:cstheme="minorHAnsi"/>
          <w:i/>
        </w:rPr>
      </w:pPr>
      <w:r w:rsidRPr="00A542BA">
        <w:rPr>
          <w:i/>
        </w:rPr>
        <w:t>Add n</w:t>
      </w:r>
      <w:r w:rsidR="00341737" w:rsidRPr="00A542BA">
        <w:rPr>
          <w:i/>
        </w:rPr>
        <w:t xml:space="preserve">ew medicinal product </w:t>
      </w:r>
      <w:r w:rsidR="003A2ECC" w:rsidRPr="00A542BA">
        <w:rPr>
          <w:i/>
        </w:rPr>
        <w:t xml:space="preserve">in italics </w:t>
      </w:r>
      <w:r w:rsidR="00341737" w:rsidRPr="00A542BA">
        <w:rPr>
          <w:i/>
        </w:rPr>
        <w:t xml:space="preserve">as follows: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60"/>
      </w:tblGrid>
      <w:tr w:rsidR="00964A9F" w:rsidRPr="00A542BA" w14:paraId="1FA30110" w14:textId="77777777" w:rsidTr="00583F7A">
        <w:trPr>
          <w:cantSplit/>
          <w:trHeight w:val="471"/>
        </w:trPr>
        <w:tc>
          <w:tcPr>
            <w:tcW w:w="3964" w:type="dxa"/>
          </w:tcPr>
          <w:p w14:paraId="2218BC2F" w14:textId="77777777" w:rsidR="00964A9F" w:rsidRPr="00A542BA" w:rsidRDefault="00964A9F" w:rsidP="00CF7528">
            <w:pPr>
              <w:keepNext/>
              <w:ind w:left="-108"/>
              <w:rPr>
                <w:rFonts w:ascii="Arial Narrow" w:hAnsi="Arial Narrow" w:cs="Arial"/>
                <w:b/>
                <w:bCs/>
                <w:sz w:val="18"/>
                <w:szCs w:val="18"/>
              </w:rPr>
            </w:pPr>
            <w:bookmarkStart w:id="1" w:name="_Hlk151019398"/>
            <w:r w:rsidRPr="00A542BA">
              <w:rPr>
                <w:rFonts w:ascii="Arial Narrow" w:hAnsi="Arial Narrow" w:cs="Arial"/>
                <w:b/>
                <w:bCs/>
                <w:sz w:val="18"/>
                <w:szCs w:val="18"/>
              </w:rPr>
              <w:t>MEDICINAL PRODUCT</w:t>
            </w:r>
          </w:p>
          <w:p w14:paraId="29F82D8B" w14:textId="77777777" w:rsidR="00964A9F" w:rsidRPr="00A542BA" w:rsidRDefault="00964A9F" w:rsidP="00CF7528">
            <w:pPr>
              <w:keepNext/>
              <w:ind w:left="-108"/>
              <w:rPr>
                <w:rFonts w:ascii="Arial Narrow" w:hAnsi="Arial Narrow" w:cs="Arial"/>
                <w:b/>
                <w:sz w:val="18"/>
                <w:szCs w:val="18"/>
              </w:rPr>
            </w:pPr>
            <w:r w:rsidRPr="00A542BA">
              <w:rPr>
                <w:rFonts w:ascii="Arial Narrow" w:hAnsi="Arial Narrow" w:cs="Arial"/>
                <w:b/>
                <w:bCs/>
                <w:sz w:val="18"/>
                <w:szCs w:val="18"/>
              </w:rPr>
              <w:t xml:space="preserve"> Medicinal Product Pack</w:t>
            </w:r>
          </w:p>
        </w:tc>
        <w:tc>
          <w:tcPr>
            <w:tcW w:w="993" w:type="dxa"/>
          </w:tcPr>
          <w:p w14:paraId="30F7F880" w14:textId="77777777" w:rsidR="00964A9F" w:rsidRPr="00A542BA" w:rsidRDefault="00964A9F" w:rsidP="00CF7528">
            <w:pPr>
              <w:keepNext/>
              <w:ind w:left="-108"/>
              <w:jc w:val="center"/>
              <w:rPr>
                <w:rFonts w:ascii="Arial Narrow" w:hAnsi="Arial Narrow" w:cs="Arial"/>
                <w:b/>
                <w:sz w:val="18"/>
                <w:szCs w:val="18"/>
              </w:rPr>
            </w:pPr>
            <w:r w:rsidRPr="00A542BA">
              <w:rPr>
                <w:rFonts w:ascii="Arial Narrow" w:hAnsi="Arial Narrow" w:cs="Arial"/>
                <w:b/>
                <w:sz w:val="18"/>
                <w:szCs w:val="18"/>
              </w:rPr>
              <w:t>PBS item code</w:t>
            </w:r>
          </w:p>
        </w:tc>
        <w:tc>
          <w:tcPr>
            <w:tcW w:w="850" w:type="dxa"/>
          </w:tcPr>
          <w:p w14:paraId="34051986" w14:textId="77777777" w:rsidR="00964A9F" w:rsidRPr="00A542BA" w:rsidRDefault="00964A9F" w:rsidP="00CF7528">
            <w:pPr>
              <w:keepNext/>
              <w:ind w:left="-108"/>
              <w:jc w:val="center"/>
              <w:rPr>
                <w:rFonts w:ascii="Arial Narrow" w:hAnsi="Arial Narrow" w:cs="Arial"/>
                <w:b/>
                <w:sz w:val="18"/>
                <w:szCs w:val="18"/>
              </w:rPr>
            </w:pPr>
            <w:r w:rsidRPr="00A542BA">
              <w:rPr>
                <w:rFonts w:ascii="Arial Narrow" w:hAnsi="Arial Narrow" w:cs="Arial"/>
                <w:b/>
                <w:sz w:val="18"/>
                <w:szCs w:val="18"/>
              </w:rPr>
              <w:t>Max. qty packs</w:t>
            </w:r>
          </w:p>
        </w:tc>
        <w:tc>
          <w:tcPr>
            <w:tcW w:w="851" w:type="dxa"/>
          </w:tcPr>
          <w:p w14:paraId="42B0E70C" w14:textId="77777777" w:rsidR="00964A9F" w:rsidRPr="00A542BA" w:rsidRDefault="00964A9F" w:rsidP="00CF7528">
            <w:pPr>
              <w:keepNext/>
              <w:ind w:left="-108"/>
              <w:jc w:val="center"/>
              <w:rPr>
                <w:rFonts w:ascii="Arial Narrow" w:hAnsi="Arial Narrow" w:cs="Arial"/>
                <w:b/>
                <w:sz w:val="18"/>
                <w:szCs w:val="18"/>
              </w:rPr>
            </w:pPr>
            <w:r w:rsidRPr="00A542BA">
              <w:rPr>
                <w:rFonts w:ascii="Arial Narrow" w:hAnsi="Arial Narrow" w:cs="Arial"/>
                <w:b/>
                <w:sz w:val="18"/>
                <w:szCs w:val="18"/>
              </w:rPr>
              <w:t>Max. qty units</w:t>
            </w:r>
          </w:p>
        </w:tc>
        <w:tc>
          <w:tcPr>
            <w:tcW w:w="708" w:type="dxa"/>
          </w:tcPr>
          <w:p w14:paraId="179C8823" w14:textId="77777777" w:rsidR="00964A9F" w:rsidRPr="00A542BA" w:rsidRDefault="00964A9F" w:rsidP="00CF7528">
            <w:pPr>
              <w:keepNext/>
              <w:ind w:left="-108"/>
              <w:jc w:val="center"/>
              <w:rPr>
                <w:rFonts w:ascii="Arial Narrow" w:hAnsi="Arial Narrow" w:cs="Arial"/>
                <w:b/>
                <w:sz w:val="18"/>
                <w:szCs w:val="18"/>
              </w:rPr>
            </w:pPr>
            <w:r w:rsidRPr="00A542BA">
              <w:rPr>
                <w:rFonts w:ascii="Arial Narrow" w:hAnsi="Arial Narrow" w:cs="Arial"/>
                <w:b/>
                <w:sz w:val="18"/>
                <w:szCs w:val="18"/>
              </w:rPr>
              <w:t>№.of</w:t>
            </w:r>
          </w:p>
          <w:p w14:paraId="6B1F52D8" w14:textId="77777777" w:rsidR="00964A9F" w:rsidRPr="00A542BA" w:rsidRDefault="00964A9F" w:rsidP="00CF7528">
            <w:pPr>
              <w:keepNext/>
              <w:ind w:left="-108"/>
              <w:jc w:val="center"/>
              <w:rPr>
                <w:rFonts w:ascii="Arial Narrow" w:hAnsi="Arial Narrow" w:cs="Arial"/>
                <w:b/>
                <w:sz w:val="18"/>
                <w:szCs w:val="18"/>
              </w:rPr>
            </w:pPr>
            <w:r w:rsidRPr="00A542BA">
              <w:rPr>
                <w:rFonts w:ascii="Arial Narrow" w:hAnsi="Arial Narrow" w:cs="Arial"/>
                <w:b/>
                <w:sz w:val="18"/>
                <w:szCs w:val="18"/>
              </w:rPr>
              <w:t>Rpts</w:t>
            </w:r>
          </w:p>
        </w:tc>
        <w:tc>
          <w:tcPr>
            <w:tcW w:w="1560" w:type="dxa"/>
          </w:tcPr>
          <w:p w14:paraId="2BBA2826" w14:textId="77777777" w:rsidR="00964A9F" w:rsidRPr="00A37C22" w:rsidRDefault="00964A9F" w:rsidP="00CF7528">
            <w:pPr>
              <w:keepNext/>
              <w:rPr>
                <w:rFonts w:ascii="Arial Narrow" w:hAnsi="Arial Narrow" w:cs="Arial"/>
                <w:b/>
                <w:sz w:val="18"/>
                <w:szCs w:val="18"/>
              </w:rPr>
            </w:pPr>
            <w:r w:rsidRPr="00A542BA">
              <w:rPr>
                <w:rFonts w:ascii="Arial Narrow" w:hAnsi="Arial Narrow" w:cs="Arial"/>
                <w:b/>
                <w:sz w:val="18"/>
                <w:szCs w:val="18"/>
              </w:rPr>
              <w:t>Available brands</w:t>
            </w:r>
          </w:p>
        </w:tc>
      </w:tr>
      <w:tr w:rsidR="00B32239" w:rsidRPr="00A542BA" w14:paraId="1C02920D" w14:textId="77777777" w:rsidTr="00583F7A">
        <w:trPr>
          <w:cantSplit/>
          <w:trHeight w:val="246"/>
        </w:trPr>
        <w:tc>
          <w:tcPr>
            <w:tcW w:w="8926" w:type="dxa"/>
            <w:gridSpan w:val="6"/>
          </w:tcPr>
          <w:p w14:paraId="4502EB1D" w14:textId="25C2D11C" w:rsidR="00B32239" w:rsidRPr="00A542BA" w:rsidRDefault="00603B68" w:rsidP="00B32239">
            <w:pPr>
              <w:keepNext/>
              <w:ind w:left="-108"/>
              <w:jc w:val="left"/>
              <w:rPr>
                <w:rFonts w:ascii="Arial Narrow" w:hAnsi="Arial Narrow" w:cs="Arial"/>
                <w:b/>
                <w:sz w:val="18"/>
                <w:szCs w:val="18"/>
              </w:rPr>
            </w:pPr>
            <w:r w:rsidRPr="00A542BA">
              <w:rPr>
                <w:rFonts w:ascii="Arial Narrow" w:hAnsi="Arial Narrow" w:cs="Arial"/>
                <w:sz w:val="18"/>
                <w:szCs w:val="18"/>
              </w:rPr>
              <w:t>MEDROXYPROGESTERONE</w:t>
            </w:r>
          </w:p>
        </w:tc>
      </w:tr>
      <w:tr w:rsidR="00165329" w:rsidRPr="00A542BA" w14:paraId="562CD973" w14:textId="77777777" w:rsidTr="00583F7A">
        <w:trPr>
          <w:cantSplit/>
          <w:trHeight w:val="264"/>
        </w:trPr>
        <w:tc>
          <w:tcPr>
            <w:tcW w:w="3964" w:type="dxa"/>
          </w:tcPr>
          <w:p w14:paraId="6BD064F0" w14:textId="6541710C" w:rsidR="00165329" w:rsidRPr="00A542BA" w:rsidRDefault="00BE4784" w:rsidP="00B32239">
            <w:pPr>
              <w:keepNext/>
              <w:ind w:left="-108"/>
              <w:jc w:val="left"/>
              <w:rPr>
                <w:rFonts w:ascii="Arial Narrow" w:hAnsi="Arial Narrow" w:cs="Arial"/>
                <w:b/>
                <w:bCs/>
                <w:sz w:val="18"/>
                <w:szCs w:val="18"/>
              </w:rPr>
            </w:pPr>
            <w:r w:rsidRPr="00A542BA">
              <w:rPr>
                <w:rFonts w:ascii="Arial Narrow" w:hAnsi="Arial Narrow" w:cs="Arial"/>
                <w:sz w:val="18"/>
                <w:szCs w:val="18"/>
              </w:rPr>
              <w:t>medroxyprogesterone acetate 150 mg/mL injection, 1 mL vial</w:t>
            </w:r>
          </w:p>
        </w:tc>
        <w:tc>
          <w:tcPr>
            <w:tcW w:w="993" w:type="dxa"/>
            <w:vAlign w:val="center"/>
          </w:tcPr>
          <w:p w14:paraId="34BD4A31" w14:textId="71C84EC0" w:rsidR="00165329" w:rsidRPr="00A542BA" w:rsidRDefault="00BE4784" w:rsidP="00165329">
            <w:pPr>
              <w:keepNext/>
              <w:ind w:left="-108"/>
              <w:jc w:val="center"/>
              <w:rPr>
                <w:rFonts w:ascii="Arial Narrow" w:hAnsi="Arial Narrow" w:cs="Arial"/>
                <w:sz w:val="18"/>
                <w:szCs w:val="18"/>
              </w:rPr>
            </w:pPr>
            <w:r w:rsidRPr="00A542BA">
              <w:rPr>
                <w:rFonts w:ascii="Arial Narrow" w:hAnsi="Arial Narrow" w:cs="Arial"/>
                <w:sz w:val="18"/>
                <w:szCs w:val="18"/>
              </w:rPr>
              <w:t>3118D</w:t>
            </w:r>
          </w:p>
        </w:tc>
        <w:tc>
          <w:tcPr>
            <w:tcW w:w="850" w:type="dxa"/>
            <w:vAlign w:val="center"/>
          </w:tcPr>
          <w:p w14:paraId="5CD40F25" w14:textId="7F2E6257" w:rsidR="00165329" w:rsidRPr="00A542BA" w:rsidRDefault="00165329" w:rsidP="00165329">
            <w:pPr>
              <w:keepNext/>
              <w:ind w:left="-108"/>
              <w:jc w:val="center"/>
              <w:rPr>
                <w:rFonts w:ascii="Arial Narrow" w:hAnsi="Arial Narrow" w:cs="Arial"/>
                <w:sz w:val="18"/>
                <w:szCs w:val="18"/>
              </w:rPr>
            </w:pPr>
            <w:r w:rsidRPr="00A542BA">
              <w:rPr>
                <w:rFonts w:ascii="Arial Narrow" w:hAnsi="Arial Narrow" w:cs="Arial"/>
                <w:sz w:val="18"/>
                <w:szCs w:val="18"/>
              </w:rPr>
              <w:t>1</w:t>
            </w:r>
          </w:p>
        </w:tc>
        <w:tc>
          <w:tcPr>
            <w:tcW w:w="851" w:type="dxa"/>
            <w:vAlign w:val="center"/>
          </w:tcPr>
          <w:p w14:paraId="4E55D402" w14:textId="2C82057A" w:rsidR="00165329" w:rsidRPr="00A542BA" w:rsidRDefault="00165329" w:rsidP="00165329">
            <w:pPr>
              <w:keepNext/>
              <w:ind w:left="-108"/>
              <w:jc w:val="center"/>
              <w:rPr>
                <w:rFonts w:ascii="Arial Narrow" w:hAnsi="Arial Narrow" w:cs="Arial"/>
                <w:sz w:val="18"/>
                <w:szCs w:val="18"/>
              </w:rPr>
            </w:pPr>
            <w:r w:rsidRPr="00A542BA">
              <w:rPr>
                <w:rFonts w:ascii="Arial Narrow" w:hAnsi="Arial Narrow" w:cs="Arial"/>
                <w:sz w:val="18"/>
                <w:szCs w:val="18"/>
              </w:rPr>
              <w:t>1</w:t>
            </w:r>
          </w:p>
        </w:tc>
        <w:tc>
          <w:tcPr>
            <w:tcW w:w="708" w:type="dxa"/>
            <w:vAlign w:val="center"/>
          </w:tcPr>
          <w:p w14:paraId="4DB33B33" w14:textId="22B25092" w:rsidR="00165329" w:rsidRPr="00A542BA" w:rsidRDefault="008E0687" w:rsidP="00165329">
            <w:pPr>
              <w:keepNext/>
              <w:ind w:left="-108"/>
              <w:jc w:val="center"/>
              <w:rPr>
                <w:rFonts w:ascii="Arial Narrow" w:hAnsi="Arial Narrow" w:cs="Arial"/>
                <w:sz w:val="18"/>
                <w:szCs w:val="18"/>
              </w:rPr>
            </w:pPr>
            <w:r w:rsidRPr="00A542BA">
              <w:rPr>
                <w:rFonts w:ascii="Arial Narrow" w:hAnsi="Arial Narrow" w:cs="Arial"/>
                <w:sz w:val="18"/>
                <w:szCs w:val="18"/>
              </w:rPr>
              <w:t>1</w:t>
            </w:r>
          </w:p>
        </w:tc>
        <w:tc>
          <w:tcPr>
            <w:tcW w:w="1560" w:type="dxa"/>
            <w:vAlign w:val="center"/>
          </w:tcPr>
          <w:p w14:paraId="3185F83C" w14:textId="77777777" w:rsidR="00165329" w:rsidRPr="00A542BA" w:rsidRDefault="008E0687" w:rsidP="00165329">
            <w:pPr>
              <w:keepNext/>
              <w:jc w:val="center"/>
              <w:rPr>
                <w:rFonts w:ascii="Arial Narrow" w:hAnsi="Arial Narrow" w:cs="Arial"/>
                <w:sz w:val="18"/>
                <w:szCs w:val="18"/>
              </w:rPr>
            </w:pPr>
            <w:r w:rsidRPr="00A542BA">
              <w:rPr>
                <w:rFonts w:ascii="Arial Narrow" w:hAnsi="Arial Narrow" w:cs="Arial"/>
                <w:sz w:val="18"/>
                <w:szCs w:val="18"/>
              </w:rPr>
              <w:t>Depo-Ralovera</w:t>
            </w:r>
          </w:p>
          <w:p w14:paraId="6FF2F1A2" w14:textId="445D3964" w:rsidR="008E0687" w:rsidRPr="00A542BA" w:rsidRDefault="00421CB3" w:rsidP="00165329">
            <w:pPr>
              <w:keepNext/>
              <w:jc w:val="center"/>
              <w:rPr>
                <w:rFonts w:ascii="Arial Narrow" w:hAnsi="Arial Narrow" w:cs="Arial"/>
                <w:sz w:val="18"/>
                <w:szCs w:val="18"/>
              </w:rPr>
            </w:pPr>
            <w:r w:rsidRPr="00A542BA">
              <w:rPr>
                <w:rFonts w:ascii="Arial Narrow" w:hAnsi="Arial Narrow" w:cs="Arial"/>
                <w:sz w:val="18"/>
                <w:szCs w:val="18"/>
              </w:rPr>
              <w:t>Depo-Provera</w:t>
            </w:r>
          </w:p>
        </w:tc>
      </w:tr>
      <w:tr w:rsidR="0080289F" w:rsidRPr="00A542BA" w14:paraId="3B566CC4" w14:textId="77777777" w:rsidTr="00583F7A">
        <w:trPr>
          <w:cantSplit/>
          <w:trHeight w:val="347"/>
        </w:trPr>
        <w:tc>
          <w:tcPr>
            <w:tcW w:w="3964" w:type="dxa"/>
          </w:tcPr>
          <w:p w14:paraId="017C7232" w14:textId="7BF2C3CF" w:rsidR="0080289F" w:rsidRPr="00A542BA" w:rsidRDefault="0080289F" w:rsidP="0080289F">
            <w:pPr>
              <w:keepNext/>
              <w:ind w:left="-108"/>
              <w:jc w:val="left"/>
              <w:rPr>
                <w:rFonts w:ascii="Arial Narrow" w:hAnsi="Arial Narrow" w:cs="Arial"/>
                <w:i/>
                <w:sz w:val="18"/>
                <w:szCs w:val="18"/>
              </w:rPr>
            </w:pPr>
            <w:r w:rsidRPr="00A542BA">
              <w:rPr>
                <w:rFonts w:ascii="Arial Narrow" w:hAnsi="Arial Narrow" w:cs="Arial"/>
                <w:i/>
                <w:sz w:val="18"/>
                <w:szCs w:val="18"/>
              </w:rPr>
              <w:t>medroxyprogesterone acetate 150 mg in 1 mL pre-filled syringe</w:t>
            </w:r>
          </w:p>
        </w:tc>
        <w:tc>
          <w:tcPr>
            <w:tcW w:w="993" w:type="dxa"/>
            <w:vAlign w:val="center"/>
          </w:tcPr>
          <w:p w14:paraId="1E35A635" w14:textId="6937A8DF" w:rsidR="0080289F" w:rsidRPr="00A542BA" w:rsidRDefault="0080289F" w:rsidP="0080289F">
            <w:pPr>
              <w:keepNext/>
              <w:ind w:left="-108"/>
              <w:jc w:val="center"/>
              <w:rPr>
                <w:rFonts w:ascii="Arial Narrow" w:hAnsi="Arial Narrow" w:cs="Arial"/>
                <w:i/>
                <w:sz w:val="18"/>
                <w:szCs w:val="18"/>
              </w:rPr>
            </w:pPr>
            <w:r w:rsidRPr="00A542BA">
              <w:rPr>
                <w:rFonts w:ascii="Arial Narrow" w:hAnsi="Arial Narrow" w:cs="Arial"/>
                <w:i/>
                <w:sz w:val="18"/>
                <w:szCs w:val="18"/>
              </w:rPr>
              <w:t>NEW</w:t>
            </w:r>
          </w:p>
        </w:tc>
        <w:tc>
          <w:tcPr>
            <w:tcW w:w="850" w:type="dxa"/>
            <w:vAlign w:val="center"/>
          </w:tcPr>
          <w:p w14:paraId="0B360205" w14:textId="0E94D485" w:rsidR="0080289F" w:rsidRPr="00A542BA" w:rsidRDefault="0080289F" w:rsidP="0080289F">
            <w:pPr>
              <w:keepNext/>
              <w:jc w:val="center"/>
              <w:rPr>
                <w:rFonts w:ascii="Arial Narrow" w:hAnsi="Arial Narrow" w:cs="Arial"/>
                <w:i/>
                <w:iCs/>
                <w:sz w:val="18"/>
                <w:szCs w:val="18"/>
              </w:rPr>
            </w:pPr>
            <w:r w:rsidRPr="00A542BA">
              <w:rPr>
                <w:rFonts w:ascii="Arial Narrow" w:hAnsi="Arial Narrow" w:cs="Arial"/>
                <w:i/>
                <w:iCs/>
                <w:sz w:val="18"/>
                <w:szCs w:val="18"/>
              </w:rPr>
              <w:t>1</w:t>
            </w:r>
          </w:p>
        </w:tc>
        <w:tc>
          <w:tcPr>
            <w:tcW w:w="851" w:type="dxa"/>
            <w:vAlign w:val="center"/>
          </w:tcPr>
          <w:p w14:paraId="31F832BA" w14:textId="4C58B948" w:rsidR="0080289F" w:rsidRPr="00A542BA" w:rsidRDefault="0080289F" w:rsidP="0080289F">
            <w:pPr>
              <w:keepNext/>
              <w:ind w:left="-108"/>
              <w:jc w:val="center"/>
              <w:rPr>
                <w:rFonts w:ascii="Arial Narrow" w:hAnsi="Arial Narrow" w:cs="Arial"/>
                <w:i/>
                <w:iCs/>
                <w:sz w:val="18"/>
                <w:szCs w:val="18"/>
              </w:rPr>
            </w:pPr>
            <w:r w:rsidRPr="00A542BA">
              <w:rPr>
                <w:rFonts w:ascii="Arial Narrow" w:hAnsi="Arial Narrow" w:cs="Arial"/>
                <w:i/>
                <w:iCs/>
                <w:sz w:val="18"/>
                <w:szCs w:val="18"/>
              </w:rPr>
              <w:t>1</w:t>
            </w:r>
          </w:p>
        </w:tc>
        <w:tc>
          <w:tcPr>
            <w:tcW w:w="708" w:type="dxa"/>
            <w:vAlign w:val="center"/>
          </w:tcPr>
          <w:p w14:paraId="19BECE8B" w14:textId="6E507F45" w:rsidR="0080289F" w:rsidRPr="00A542BA" w:rsidRDefault="0080289F" w:rsidP="0080289F">
            <w:pPr>
              <w:keepNext/>
              <w:ind w:left="-108"/>
              <w:jc w:val="center"/>
              <w:rPr>
                <w:rFonts w:ascii="Arial Narrow" w:hAnsi="Arial Narrow" w:cs="Arial"/>
                <w:i/>
                <w:iCs/>
                <w:sz w:val="18"/>
                <w:szCs w:val="18"/>
              </w:rPr>
            </w:pPr>
            <w:r w:rsidRPr="00A542BA">
              <w:rPr>
                <w:rFonts w:ascii="Arial Narrow" w:hAnsi="Arial Narrow" w:cs="Arial"/>
                <w:i/>
                <w:iCs/>
                <w:sz w:val="18"/>
                <w:szCs w:val="18"/>
              </w:rPr>
              <w:t>1</w:t>
            </w:r>
          </w:p>
        </w:tc>
        <w:tc>
          <w:tcPr>
            <w:tcW w:w="1560" w:type="dxa"/>
            <w:vAlign w:val="center"/>
          </w:tcPr>
          <w:p w14:paraId="480678D5" w14:textId="51322442" w:rsidR="0080289F" w:rsidRPr="00A542BA" w:rsidRDefault="0080289F" w:rsidP="0080289F">
            <w:pPr>
              <w:keepNext/>
              <w:jc w:val="center"/>
              <w:rPr>
                <w:rFonts w:ascii="Arial Narrow" w:hAnsi="Arial Narrow" w:cs="Arial"/>
                <w:i/>
                <w:sz w:val="18"/>
                <w:szCs w:val="18"/>
              </w:rPr>
            </w:pPr>
            <w:r w:rsidRPr="00A542BA">
              <w:rPr>
                <w:rFonts w:ascii="Arial Narrow" w:hAnsi="Arial Narrow" w:cs="Arial"/>
                <w:i/>
                <w:sz w:val="18"/>
                <w:szCs w:val="18"/>
              </w:rPr>
              <w:t>Depo-Provera</w:t>
            </w:r>
          </w:p>
        </w:tc>
      </w:tr>
    </w:tbl>
    <w:bookmarkEnd w:id="1"/>
    <w:p w14:paraId="664B037D" w14:textId="4CFFAF9B" w:rsidR="00AD4C3B" w:rsidRDefault="00AD4C3B" w:rsidP="00583F7A">
      <w:pPr>
        <w:pStyle w:val="3Bodytext"/>
        <w:spacing w:before="120"/>
        <w:rPr>
          <w:rFonts w:cstheme="minorHAnsi"/>
          <w:szCs w:val="24"/>
        </w:rPr>
      </w:pPr>
      <w:r w:rsidRPr="00A542BA">
        <w:rPr>
          <w:rFonts w:cstheme="minorHAnsi"/>
          <w:szCs w:val="24"/>
        </w:rPr>
        <w:t xml:space="preserve">The submission noted that medroxyprogesterone PFS </w:t>
      </w:r>
      <w:r w:rsidR="005006A0" w:rsidRPr="00A542BA">
        <w:rPr>
          <w:rFonts w:cstheme="minorHAnsi"/>
          <w:szCs w:val="24"/>
        </w:rPr>
        <w:t xml:space="preserve">is simpler to administer than </w:t>
      </w:r>
      <w:r w:rsidRPr="00A542BA">
        <w:rPr>
          <w:rFonts w:cstheme="minorHAnsi"/>
          <w:szCs w:val="24"/>
        </w:rPr>
        <w:t>medroxyprogesterone</w:t>
      </w:r>
      <w:r w:rsidR="00D03D93" w:rsidRPr="00A542BA">
        <w:rPr>
          <w:rFonts w:cstheme="minorHAnsi"/>
          <w:szCs w:val="24"/>
        </w:rPr>
        <w:t xml:space="preserve"> vial</w:t>
      </w:r>
      <w:r w:rsidR="005006A0" w:rsidRPr="00A542BA">
        <w:rPr>
          <w:rFonts w:cstheme="minorHAnsi"/>
          <w:szCs w:val="24"/>
        </w:rPr>
        <w:t xml:space="preserve">, because there is no need to </w:t>
      </w:r>
      <w:r w:rsidRPr="00A542BA">
        <w:rPr>
          <w:rFonts w:cstheme="minorHAnsi"/>
          <w:szCs w:val="24"/>
        </w:rPr>
        <w:t>withdraw the suspension from a vial into a syringe</w:t>
      </w:r>
      <w:r w:rsidR="005923DB" w:rsidRPr="00A542BA">
        <w:rPr>
          <w:rFonts w:cstheme="minorHAnsi"/>
          <w:szCs w:val="24"/>
        </w:rPr>
        <w:t xml:space="preserve">. The submission claimed that this </w:t>
      </w:r>
      <w:r w:rsidRPr="00A542BA">
        <w:rPr>
          <w:rFonts w:cstheme="minorHAnsi"/>
          <w:szCs w:val="24"/>
        </w:rPr>
        <w:t xml:space="preserve">is more efficient in clinical settings, </w:t>
      </w:r>
      <w:r w:rsidR="005923DB" w:rsidRPr="00A542BA">
        <w:rPr>
          <w:rFonts w:cstheme="minorHAnsi"/>
          <w:szCs w:val="24"/>
        </w:rPr>
        <w:t xml:space="preserve">which is </w:t>
      </w:r>
      <w:r w:rsidRPr="00A542BA">
        <w:rPr>
          <w:rFonts w:cstheme="minorHAnsi"/>
          <w:szCs w:val="24"/>
        </w:rPr>
        <w:t>particularly</w:t>
      </w:r>
      <w:r w:rsidR="005923DB" w:rsidRPr="00A542BA">
        <w:rPr>
          <w:rFonts w:cstheme="minorHAnsi"/>
          <w:szCs w:val="24"/>
        </w:rPr>
        <w:t xml:space="preserve"> relevant</w:t>
      </w:r>
      <w:r w:rsidRPr="00A542BA">
        <w:rPr>
          <w:rFonts w:cstheme="minorHAnsi"/>
          <w:szCs w:val="24"/>
        </w:rPr>
        <w:t xml:space="preserve"> in remote communities</w:t>
      </w:r>
      <w:r w:rsidR="005923DB" w:rsidRPr="00A542BA">
        <w:rPr>
          <w:rFonts w:cstheme="minorHAnsi"/>
          <w:szCs w:val="24"/>
        </w:rPr>
        <w:t xml:space="preserve"> where medroxyprogesterone acetate is a preferred form of contraception among Aboriginal and Torres Strait Islander women</w:t>
      </w:r>
      <w:r w:rsidRPr="00A542BA">
        <w:rPr>
          <w:rFonts w:cstheme="minorHAnsi"/>
          <w:szCs w:val="24"/>
        </w:rPr>
        <w:t xml:space="preserve">. </w:t>
      </w:r>
    </w:p>
    <w:p w14:paraId="06C7D427" w14:textId="4FAC8D9A" w:rsidR="00C70D77" w:rsidRPr="00A542BA" w:rsidRDefault="00C70D77" w:rsidP="00C70D77">
      <w:pPr>
        <w:pStyle w:val="2-SectionHeading"/>
        <w:numPr>
          <w:ilvl w:val="0"/>
          <w:numId w:val="2"/>
        </w:numPr>
        <w:rPr>
          <w:color w:val="FF0000"/>
        </w:rPr>
      </w:pPr>
      <w:r w:rsidRPr="00A542BA">
        <w:t xml:space="preserve">Comparator </w:t>
      </w:r>
    </w:p>
    <w:p w14:paraId="614748FC" w14:textId="6E61E4B5" w:rsidR="00C70D77" w:rsidRPr="00A542BA" w:rsidRDefault="00A72459" w:rsidP="00643620">
      <w:pPr>
        <w:pStyle w:val="3Bodytext"/>
        <w:rPr>
          <w:rFonts w:cstheme="minorHAnsi"/>
        </w:rPr>
      </w:pPr>
      <w:r w:rsidRPr="00A542BA">
        <w:rPr>
          <w:rFonts w:cstheme="minorHAnsi"/>
        </w:rPr>
        <w:t>T</w:t>
      </w:r>
      <w:r w:rsidR="00491E86" w:rsidRPr="00A542BA">
        <w:rPr>
          <w:rFonts w:cstheme="minorHAnsi"/>
        </w:rPr>
        <w:t xml:space="preserve">he submission </w:t>
      </w:r>
      <w:r w:rsidR="005923DB" w:rsidRPr="00A542BA">
        <w:rPr>
          <w:rFonts w:cstheme="minorHAnsi"/>
        </w:rPr>
        <w:t xml:space="preserve">did not specifically nominate a comparator. </w:t>
      </w:r>
      <w:r w:rsidR="00DE0EB2">
        <w:rPr>
          <w:rFonts w:cstheme="minorHAnsi"/>
        </w:rPr>
        <w:t xml:space="preserve">The pre-PBAC response </w:t>
      </w:r>
      <w:r w:rsidR="005E4B39" w:rsidRPr="005E4B39">
        <w:rPr>
          <w:rFonts w:cstheme="minorHAnsi"/>
        </w:rPr>
        <w:t>nominated the medroxyprogesterone vial as the appropriate nominated comparator (i.e the therapy that prescribers would most replace in practice with medroxyprogesterone PFS).</w:t>
      </w:r>
    </w:p>
    <w:p w14:paraId="25E1796D" w14:textId="162343E4" w:rsidR="001D2F55" w:rsidRPr="00A542BA" w:rsidRDefault="001D2F55" w:rsidP="00643620">
      <w:pPr>
        <w:pStyle w:val="3Bodytext"/>
      </w:pPr>
      <w:r w:rsidRPr="00A542BA">
        <w:t xml:space="preserve">The submission stated that </w:t>
      </w:r>
      <w:r w:rsidR="004D0711" w:rsidRPr="00A542BA">
        <w:t xml:space="preserve">medroxyprogesterone PFS and medroxyprogesterone vial have the same formulation (including excipients), dosage form, strength/concentration, indications and patient groups, route and site of administration, and dosage. Therefore, </w:t>
      </w:r>
      <w:r w:rsidRPr="00A542BA">
        <w:t xml:space="preserve">a bioequivalence study was not required </w:t>
      </w:r>
      <w:r w:rsidR="004D0711" w:rsidRPr="00A542BA">
        <w:t>by the TGA</w:t>
      </w:r>
      <w:r w:rsidRPr="00A542BA">
        <w:t xml:space="preserve">. </w:t>
      </w:r>
      <w:r w:rsidR="004D0711" w:rsidRPr="00A542BA">
        <w:t>The</w:t>
      </w:r>
      <w:r w:rsidRPr="00A542BA">
        <w:t xml:space="preserve"> TGA approval letter </w:t>
      </w:r>
      <w:r w:rsidR="004D0711" w:rsidRPr="00A542BA">
        <w:t xml:space="preserve">confirms that the only differences between the two forms are the container type (with consequential changes to manufacturing processes), shelf-life and storage conditions. </w:t>
      </w:r>
    </w:p>
    <w:p w14:paraId="1CF94DA6" w14:textId="09BB9270" w:rsidR="003A6AED" w:rsidRDefault="00C27C1C" w:rsidP="003A6AED">
      <w:pPr>
        <w:pStyle w:val="Heading1"/>
        <w:keepLines/>
        <w:numPr>
          <w:ilvl w:val="0"/>
          <w:numId w:val="2"/>
        </w:numPr>
        <w:spacing w:before="240"/>
        <w:ind w:left="709" w:hanging="709"/>
        <w:rPr>
          <w:sz w:val="32"/>
          <w:szCs w:val="32"/>
        </w:rPr>
      </w:pPr>
      <w:r w:rsidRPr="00A542BA">
        <w:rPr>
          <w:sz w:val="32"/>
          <w:szCs w:val="32"/>
        </w:rPr>
        <w:t>Consideration of the evidence</w:t>
      </w:r>
    </w:p>
    <w:p w14:paraId="179C0CF9" w14:textId="77777777" w:rsidR="003A6AED" w:rsidRPr="006E1229" w:rsidRDefault="003A6AED" w:rsidP="004A5C61">
      <w:pPr>
        <w:pStyle w:val="4-SubsectionHeading"/>
        <w:rPr>
          <w:lang w:eastAsia="en-US"/>
        </w:rPr>
      </w:pPr>
      <w:r w:rsidRPr="006E1229">
        <w:rPr>
          <w:lang w:eastAsia="en-US"/>
        </w:rPr>
        <w:t>Sponsor hearing</w:t>
      </w:r>
    </w:p>
    <w:p w14:paraId="58AA761C" w14:textId="113DC75E" w:rsidR="003A6AED" w:rsidRPr="003A6AED" w:rsidRDefault="003A6AED" w:rsidP="004A5C61">
      <w:pPr>
        <w:pStyle w:val="3Bodytext"/>
        <w:rPr>
          <w:rFonts w:cstheme="minorHAnsi"/>
          <w:szCs w:val="24"/>
        </w:rPr>
      </w:pPr>
      <w:r w:rsidRPr="003A6AED">
        <w:rPr>
          <w:rFonts w:cstheme="minorHAnsi"/>
          <w:szCs w:val="24"/>
        </w:rPr>
        <w:t>There was no hearing for this item.</w:t>
      </w:r>
    </w:p>
    <w:p w14:paraId="1E81FF38" w14:textId="77777777" w:rsidR="003A6AED" w:rsidRPr="006E1229" w:rsidRDefault="003A6AED" w:rsidP="004A5C61">
      <w:pPr>
        <w:pStyle w:val="4-SubsectionHeading"/>
        <w:rPr>
          <w:lang w:eastAsia="en-US"/>
        </w:rPr>
      </w:pPr>
      <w:r w:rsidRPr="006E1229">
        <w:rPr>
          <w:lang w:eastAsia="en-US"/>
        </w:rPr>
        <w:t>Consumer comments</w:t>
      </w:r>
    </w:p>
    <w:p w14:paraId="7C28C229" w14:textId="7FF73880" w:rsidR="002E0562" w:rsidRDefault="003A6AED" w:rsidP="004A5C61">
      <w:pPr>
        <w:pStyle w:val="3Bodytext"/>
        <w:rPr>
          <w:rFonts w:cstheme="minorHAnsi"/>
          <w:szCs w:val="24"/>
        </w:rPr>
      </w:pPr>
      <w:r w:rsidRPr="003A6AED">
        <w:rPr>
          <w:rFonts w:cstheme="minorHAnsi"/>
          <w:szCs w:val="24"/>
        </w:rPr>
        <w:t>The PBAC noted that no consumer comments were received for this item.</w:t>
      </w:r>
    </w:p>
    <w:p w14:paraId="4A3F7B03" w14:textId="77777777" w:rsidR="002E0562" w:rsidRDefault="002E0562">
      <w:pPr>
        <w:jc w:val="left"/>
        <w:rPr>
          <w:rFonts w:asciiTheme="minorHAnsi" w:eastAsiaTheme="minorHAnsi" w:hAnsiTheme="minorHAnsi" w:cstheme="minorHAnsi"/>
        </w:rPr>
      </w:pPr>
      <w:r>
        <w:rPr>
          <w:rFonts w:cstheme="minorHAnsi"/>
        </w:rPr>
        <w:br w:type="page"/>
      </w:r>
    </w:p>
    <w:p w14:paraId="6BD0CB44" w14:textId="633D87CC" w:rsidR="00074320" w:rsidRPr="00A542BA" w:rsidRDefault="00281AC8" w:rsidP="00BA7160">
      <w:pPr>
        <w:pStyle w:val="4-SubsectionHeading"/>
        <w:rPr>
          <w:lang w:eastAsia="en-US"/>
        </w:rPr>
      </w:pPr>
      <w:r w:rsidRPr="00A542BA">
        <w:rPr>
          <w:lang w:eastAsia="en-US"/>
        </w:rPr>
        <w:lastRenderedPageBreak/>
        <w:t>Pricing consideration</w:t>
      </w:r>
    </w:p>
    <w:p w14:paraId="690103F3" w14:textId="7750D8E8" w:rsidR="001F4F6B" w:rsidRPr="001663E0" w:rsidRDefault="001F4F6B" w:rsidP="00643620">
      <w:pPr>
        <w:pStyle w:val="3Bodytext"/>
        <w:rPr>
          <w:rFonts w:cstheme="minorHAnsi"/>
        </w:rPr>
      </w:pPr>
      <w:r w:rsidRPr="00A542BA">
        <w:rPr>
          <w:rFonts w:cstheme="minorHAnsi"/>
          <w:szCs w:val="24"/>
        </w:rPr>
        <w:t xml:space="preserve">The submission requested an approved ex-manufacturer price (AEMP) for </w:t>
      </w:r>
      <w:r w:rsidR="00A97A36" w:rsidRPr="00A542BA">
        <w:rPr>
          <w:rFonts w:cstheme="minorHAnsi"/>
          <w:szCs w:val="24"/>
        </w:rPr>
        <w:t>medroxyprogesterone PFS</w:t>
      </w:r>
      <w:r w:rsidRPr="00A542BA">
        <w:rPr>
          <w:rFonts w:cstheme="minorHAnsi"/>
          <w:szCs w:val="24"/>
        </w:rPr>
        <w:t xml:space="preserve"> which is equivalent to </w:t>
      </w:r>
      <w:r w:rsidR="00E666AA" w:rsidRPr="00A542BA">
        <w:rPr>
          <w:rFonts w:cstheme="minorHAnsi"/>
          <w:szCs w:val="24"/>
        </w:rPr>
        <w:t>medroxyprogesterone vial</w:t>
      </w:r>
      <w:r w:rsidR="006B14CF">
        <w:rPr>
          <w:rFonts w:cstheme="minorHAnsi"/>
          <w:szCs w:val="24"/>
        </w:rPr>
        <w:t>, noting</w:t>
      </w:r>
      <w:r w:rsidR="00AD349D" w:rsidRPr="00A542BA">
        <w:rPr>
          <w:rFonts w:cstheme="minorHAnsi"/>
          <w:szCs w:val="24"/>
        </w:rPr>
        <w:t xml:space="preserve"> that </w:t>
      </w:r>
      <w:r w:rsidRPr="00A542BA">
        <w:rPr>
          <w:rFonts w:cstheme="minorHAnsi"/>
          <w:szCs w:val="24"/>
        </w:rPr>
        <w:t>the existing Depo-Provera injection vial has a brand premium.</w:t>
      </w:r>
      <w:r w:rsidR="00DE5AA5">
        <w:rPr>
          <w:rFonts w:cstheme="minorHAnsi"/>
          <w:szCs w:val="24"/>
        </w:rPr>
        <w:t xml:space="preserve"> </w:t>
      </w:r>
      <w:r w:rsidR="00983595">
        <w:rPr>
          <w:rFonts w:cstheme="minorHAnsi"/>
          <w:szCs w:val="24"/>
        </w:rPr>
        <w:t xml:space="preserve">The pre-PBAC response confirmed </w:t>
      </w:r>
      <w:r w:rsidR="005E4B39">
        <w:rPr>
          <w:rFonts w:cstheme="minorHAnsi"/>
          <w:szCs w:val="24"/>
        </w:rPr>
        <w:t xml:space="preserve">that the </w:t>
      </w:r>
      <w:r w:rsidR="0008642A">
        <w:rPr>
          <w:rFonts w:cstheme="minorHAnsi"/>
          <w:szCs w:val="24"/>
        </w:rPr>
        <w:t>sponsor</w:t>
      </w:r>
      <w:r w:rsidR="005E4B39">
        <w:rPr>
          <w:rFonts w:cstheme="minorHAnsi"/>
          <w:szCs w:val="24"/>
        </w:rPr>
        <w:t xml:space="preserve"> is not requesting a </w:t>
      </w:r>
      <w:r w:rsidR="00983595">
        <w:rPr>
          <w:rFonts w:cstheme="minorHAnsi"/>
          <w:szCs w:val="24"/>
        </w:rPr>
        <w:t>brand premium</w:t>
      </w:r>
      <w:r w:rsidR="0008642A">
        <w:rPr>
          <w:rFonts w:cstheme="minorHAnsi"/>
          <w:szCs w:val="24"/>
        </w:rPr>
        <w:t xml:space="preserve"> for </w:t>
      </w:r>
      <w:r w:rsidR="0008642A" w:rsidRPr="00A542BA">
        <w:rPr>
          <w:rFonts w:cstheme="minorHAnsi"/>
          <w:szCs w:val="24"/>
        </w:rPr>
        <w:t>medroxyprogesterone PFS</w:t>
      </w:r>
      <w:r w:rsidR="005E4B39">
        <w:rPr>
          <w:rFonts w:cstheme="minorHAnsi"/>
          <w:szCs w:val="24"/>
        </w:rPr>
        <w:t>.</w:t>
      </w:r>
    </w:p>
    <w:p w14:paraId="268B497B" w14:textId="77777777" w:rsidR="00A97A36" w:rsidRPr="00A542BA" w:rsidRDefault="00A97A36" w:rsidP="00A97A36">
      <w:pPr>
        <w:pStyle w:val="4-SubsectionHeading"/>
        <w:rPr>
          <w:szCs w:val="28"/>
          <w:lang w:eastAsia="en-US"/>
        </w:rPr>
      </w:pPr>
      <w:r w:rsidRPr="00A542BA">
        <w:rPr>
          <w:szCs w:val="28"/>
          <w:lang w:eastAsia="en-US"/>
        </w:rPr>
        <w:t xml:space="preserve">Economic analysis </w:t>
      </w:r>
    </w:p>
    <w:p w14:paraId="488EBE16" w14:textId="425ED4BA" w:rsidR="00A97A36" w:rsidRPr="00276111" w:rsidRDefault="00A97A36" w:rsidP="138EE599">
      <w:pPr>
        <w:pStyle w:val="3Bodytext"/>
      </w:pPr>
      <w:r>
        <w:t xml:space="preserve">The submission did not include an economic analysis. </w:t>
      </w:r>
    </w:p>
    <w:p w14:paraId="4ED1860E" w14:textId="06E35A0C" w:rsidR="00AA2BF4" w:rsidRPr="00583F7A" w:rsidRDefault="00A97A36" w:rsidP="00583F7A">
      <w:pPr>
        <w:pStyle w:val="4-SubsectionHeading"/>
        <w:rPr>
          <w:szCs w:val="28"/>
          <w:lang w:eastAsia="en-US"/>
        </w:rPr>
      </w:pPr>
      <w:r w:rsidRPr="00583F7A">
        <w:rPr>
          <w:szCs w:val="28"/>
          <w:lang w:eastAsia="en-US"/>
        </w:rPr>
        <w:t>Estimated PBS usage and financial implications</w:t>
      </w:r>
    </w:p>
    <w:p w14:paraId="42DD6F44" w14:textId="739E3FDA" w:rsidR="005E4B39" w:rsidRPr="005E4B39" w:rsidRDefault="00AA2BF4" w:rsidP="005E4B39">
      <w:pPr>
        <w:pStyle w:val="3Bodytext"/>
      </w:pPr>
      <w:r w:rsidRPr="00A542BA">
        <w:t xml:space="preserve">The submission did not provide a financial estimate workbook. </w:t>
      </w:r>
      <w:r w:rsidR="002C047C" w:rsidRPr="00A542BA">
        <w:t xml:space="preserve">It </w:t>
      </w:r>
      <w:r w:rsidR="0008642A">
        <w:t>was</w:t>
      </w:r>
      <w:r w:rsidR="00A976A3" w:rsidRPr="00A542BA">
        <w:t xml:space="preserve"> not clear from the submission whether the replacement of the vial form with the PFS is likely to have an impact on overall use of medroxyprogesterone on the PBS</w:t>
      </w:r>
      <w:r w:rsidR="00A542BA" w:rsidRPr="00A542BA">
        <w:t xml:space="preserve">. </w:t>
      </w:r>
      <w:r w:rsidR="00983595">
        <w:t xml:space="preserve">The pre-PBAC response </w:t>
      </w:r>
      <w:r w:rsidR="005E4B39" w:rsidRPr="005E4B39">
        <w:t>confirmed no financial impact is expected to the PBS/RPBS for the new listing</w:t>
      </w:r>
      <w:r w:rsidR="007A10DB">
        <w:t xml:space="preserve">, noting that the AEMP requested for the new listing is equivalent to the medroxyprogesterone vial. The pre-PBAC response further clarified that the formulation, dosage, pack size and dispensing details of the medroxyprogesterone vial and PFS are the same, therefore any vial replaced by the PFS in practice will result in a nil financial impact to the PBS/RPBS. </w:t>
      </w:r>
    </w:p>
    <w:p w14:paraId="4585E82C" w14:textId="67D8021F" w:rsidR="00D12702" w:rsidRPr="002A62FD" w:rsidRDefault="00D12702" w:rsidP="00583F7A">
      <w:pPr>
        <w:pStyle w:val="2-SectionHeading"/>
      </w:pPr>
      <w:r w:rsidRPr="002A62FD">
        <w:t>PBAC Outcome</w:t>
      </w:r>
    </w:p>
    <w:p w14:paraId="4A774330" w14:textId="62291F74" w:rsidR="000E06FA" w:rsidRPr="00A542BA" w:rsidRDefault="000E06FA" w:rsidP="004A5C61">
      <w:pPr>
        <w:pStyle w:val="3Bodytext"/>
      </w:pPr>
      <w:r>
        <w:t xml:space="preserve">The PBAC recommended </w:t>
      </w:r>
      <w:r w:rsidR="00664E52">
        <w:t xml:space="preserve">the listing of </w:t>
      </w:r>
      <w:r w:rsidR="00744CBA" w:rsidRPr="00A542BA">
        <w:t>medroxyprogesterone</w:t>
      </w:r>
      <w:r w:rsidR="00744CBA">
        <w:t xml:space="preserve"> PFS (Depo-Provera®) on the </w:t>
      </w:r>
      <w:r w:rsidRPr="00A542BA">
        <w:t xml:space="preserve">General Schedule (Unrestricted Benefit) under the same circumstances as the </w:t>
      </w:r>
      <w:r w:rsidR="00744CBA">
        <w:t>PBS-listed</w:t>
      </w:r>
      <w:r w:rsidRPr="00A542BA">
        <w:t xml:space="preserve"> medroxyprogesterone vial</w:t>
      </w:r>
      <w:r w:rsidR="00744CBA">
        <w:t xml:space="preserve"> (Depo-Provera®, Depo-Ralovera®)</w:t>
      </w:r>
      <w:r w:rsidRPr="00A542BA">
        <w:t>.</w:t>
      </w:r>
    </w:p>
    <w:p w14:paraId="34D27CBB" w14:textId="3CA405B8" w:rsidR="00060B02" w:rsidRDefault="00744CBA" w:rsidP="00C46291">
      <w:pPr>
        <w:pStyle w:val="3Bodytext"/>
      </w:pPr>
      <w:r>
        <w:t xml:space="preserve">The PBAC considered that the </w:t>
      </w:r>
      <w:r w:rsidR="00664E52" w:rsidRPr="00C46291">
        <w:rPr>
          <w:rFonts w:cstheme="minorHAnsi"/>
        </w:rPr>
        <w:t>nominat</w:t>
      </w:r>
      <w:r w:rsidRPr="00C46291">
        <w:rPr>
          <w:rFonts w:cstheme="minorHAnsi"/>
        </w:rPr>
        <w:t>ion of</w:t>
      </w:r>
      <w:r w:rsidR="00664E52" w:rsidRPr="00C46291">
        <w:rPr>
          <w:rFonts w:cstheme="minorHAnsi"/>
        </w:rPr>
        <w:t xml:space="preserve"> medroxyprogesterone vial as</w:t>
      </w:r>
      <w:r w:rsidRPr="00C46291">
        <w:rPr>
          <w:rFonts w:cstheme="minorHAnsi"/>
        </w:rPr>
        <w:t xml:space="preserve"> the</w:t>
      </w:r>
      <w:r w:rsidR="00664E52" w:rsidRPr="00C46291">
        <w:rPr>
          <w:rFonts w:cstheme="minorHAnsi"/>
        </w:rPr>
        <w:t xml:space="preserve"> comparator</w:t>
      </w:r>
      <w:r w:rsidRPr="00C46291">
        <w:rPr>
          <w:rFonts w:cstheme="minorHAnsi"/>
        </w:rPr>
        <w:t xml:space="preserve"> was appropriate</w:t>
      </w:r>
      <w:r w:rsidR="004F5488" w:rsidRPr="00C46291">
        <w:rPr>
          <w:rFonts w:cstheme="minorHAnsi"/>
        </w:rPr>
        <w:t xml:space="preserve">. </w:t>
      </w:r>
      <w:r w:rsidR="00060B02">
        <w:t xml:space="preserve">The PBAC noted </w:t>
      </w:r>
      <w:r>
        <w:t>that a</w:t>
      </w:r>
      <w:r w:rsidR="00C46291">
        <w:t xml:space="preserve"> </w:t>
      </w:r>
      <w:r w:rsidR="00060B02" w:rsidRPr="00A542BA">
        <w:t>bioequivalence study was not required by the TGA</w:t>
      </w:r>
      <w:r w:rsidR="0008642A">
        <w:t xml:space="preserve">, and that </w:t>
      </w:r>
      <w:r w:rsidR="00060B02">
        <w:t xml:space="preserve">the </w:t>
      </w:r>
      <w:r w:rsidR="00060B02" w:rsidRPr="00A542BA">
        <w:t xml:space="preserve">TGA approval letter </w:t>
      </w:r>
      <w:r w:rsidR="0008642A">
        <w:t>confirmed</w:t>
      </w:r>
      <w:r w:rsidR="00B1776E">
        <w:t xml:space="preserve"> </w:t>
      </w:r>
      <w:r w:rsidR="00060B02" w:rsidRPr="00EA1A1D">
        <w:t xml:space="preserve">that </w:t>
      </w:r>
      <w:r w:rsidR="00B1776E" w:rsidRPr="00EA1A1D">
        <w:t xml:space="preserve">medroxyprogesterone PFS and </w:t>
      </w:r>
      <w:r w:rsidR="006956A9" w:rsidRPr="00EA1A1D">
        <w:t>medroxyprogesterone</w:t>
      </w:r>
      <w:r w:rsidR="006956A9">
        <w:t xml:space="preserve"> vial are the same except </w:t>
      </w:r>
      <w:r w:rsidR="009A5115">
        <w:t>for</w:t>
      </w:r>
      <w:r w:rsidR="006956A9" w:rsidRPr="00A542BA">
        <w:t xml:space="preserve"> the container type (with consequential changes to manufacturing processes), shelf-life and storage conditions. </w:t>
      </w:r>
    </w:p>
    <w:p w14:paraId="7BFEBF79" w14:textId="4BA421E6" w:rsidR="0024598E" w:rsidRDefault="0024598E" w:rsidP="004A5C61">
      <w:pPr>
        <w:pStyle w:val="3Bodytext"/>
      </w:pPr>
      <w:r>
        <w:t>The PBAC advised that the equi-effective doses</w:t>
      </w:r>
      <w:r w:rsidR="00343AEB">
        <w:t xml:space="preserve"> were:</w:t>
      </w:r>
    </w:p>
    <w:p w14:paraId="29F9F8B4" w14:textId="06F9878D" w:rsidR="0024598E" w:rsidRDefault="0024598E" w:rsidP="0024598E">
      <w:pPr>
        <w:pStyle w:val="3Bodytext"/>
        <w:numPr>
          <w:ilvl w:val="0"/>
          <w:numId w:val="37"/>
        </w:numPr>
      </w:pPr>
      <w:r>
        <w:t>Medroxyprogesterone acetate 150 mg/mL PFS = medroxyprogesterone acetate 150 mg/mL vial</w:t>
      </w:r>
    </w:p>
    <w:p w14:paraId="5C595FA7" w14:textId="640702AE" w:rsidR="000E06FA" w:rsidRDefault="004F5488" w:rsidP="004A5C61">
      <w:pPr>
        <w:pStyle w:val="3Bodytext"/>
      </w:pPr>
      <w:r>
        <w:t xml:space="preserve">The PBAC noted </w:t>
      </w:r>
      <w:r w:rsidR="000E06FA" w:rsidRPr="00A542BA">
        <w:t xml:space="preserve">that </w:t>
      </w:r>
      <w:r w:rsidR="00337788">
        <w:t xml:space="preserve">the sponsor intends to delist the </w:t>
      </w:r>
      <w:r w:rsidR="000E06FA" w:rsidRPr="00A542BA">
        <w:t>medroxyprogesterone vial once medroxyprogesterone PFS is PBS-listed</w:t>
      </w:r>
      <w:r w:rsidR="00337788">
        <w:t xml:space="preserve"> and the </w:t>
      </w:r>
      <w:r w:rsidR="00337788" w:rsidRPr="00060B02">
        <w:rPr>
          <w:rFonts w:cstheme="minorHAnsi"/>
          <w:szCs w:val="24"/>
        </w:rPr>
        <w:t xml:space="preserve">timing of </w:t>
      </w:r>
      <w:r w:rsidR="00337788">
        <w:rPr>
          <w:rFonts w:cstheme="minorHAnsi"/>
          <w:szCs w:val="24"/>
        </w:rPr>
        <w:t xml:space="preserve">the </w:t>
      </w:r>
      <w:r w:rsidR="00337788" w:rsidRPr="00060B02">
        <w:rPr>
          <w:rFonts w:cstheme="minorHAnsi"/>
          <w:szCs w:val="24"/>
        </w:rPr>
        <w:t>delisting</w:t>
      </w:r>
      <w:r w:rsidR="00337788">
        <w:rPr>
          <w:rFonts w:cstheme="minorHAnsi"/>
          <w:szCs w:val="24"/>
        </w:rPr>
        <w:t xml:space="preserve"> request </w:t>
      </w:r>
      <w:r w:rsidR="004A5C61">
        <w:rPr>
          <w:rFonts w:cstheme="minorHAnsi"/>
          <w:szCs w:val="24"/>
        </w:rPr>
        <w:t>remains</w:t>
      </w:r>
      <w:r w:rsidR="002A62FD">
        <w:rPr>
          <w:rFonts w:cstheme="minorHAnsi"/>
          <w:szCs w:val="24"/>
        </w:rPr>
        <w:t xml:space="preserve"> uncertain. </w:t>
      </w:r>
    </w:p>
    <w:p w14:paraId="0E0845CF" w14:textId="28E64269" w:rsidR="00C46291" w:rsidRDefault="00494415" w:rsidP="00B1776E">
      <w:pPr>
        <w:pStyle w:val="3Bodytext"/>
      </w:pPr>
      <w:r>
        <w:t xml:space="preserve">The PBAC </w:t>
      </w:r>
      <w:r w:rsidR="00C46291">
        <w:t>noted the submission’s</w:t>
      </w:r>
      <w:r>
        <w:t xml:space="preserve"> </w:t>
      </w:r>
      <w:r w:rsidR="000E06FA" w:rsidRPr="00A542BA">
        <w:t>request</w:t>
      </w:r>
      <w:r w:rsidR="00C46291">
        <w:t xml:space="preserve"> for an</w:t>
      </w:r>
      <w:r w:rsidR="000E06FA" w:rsidRPr="00A542BA">
        <w:t xml:space="preserve"> AEMP for medroxyprogesterone PFS which is equivalent to the medroxyprogesterone vial</w:t>
      </w:r>
      <w:r w:rsidR="001123B2">
        <w:t xml:space="preserve">, </w:t>
      </w:r>
      <w:r w:rsidR="00D87FA0">
        <w:t xml:space="preserve">and </w:t>
      </w:r>
      <w:r w:rsidR="00C46291">
        <w:t xml:space="preserve">that </w:t>
      </w:r>
      <w:r>
        <w:t xml:space="preserve">a brand premium </w:t>
      </w:r>
      <w:r w:rsidR="00C46291">
        <w:t>was</w:t>
      </w:r>
      <w:r>
        <w:t xml:space="preserve"> not </w:t>
      </w:r>
      <w:r w:rsidRPr="00494415">
        <w:t>request</w:t>
      </w:r>
      <w:r>
        <w:t xml:space="preserve">ed for the new listing. </w:t>
      </w:r>
    </w:p>
    <w:p w14:paraId="175A5378" w14:textId="6BD1C1B0" w:rsidR="00C46291" w:rsidRDefault="00C46291" w:rsidP="00473E4E">
      <w:pPr>
        <w:pStyle w:val="3Bodytext"/>
      </w:pPr>
      <w:r>
        <w:lastRenderedPageBreak/>
        <w:t xml:space="preserve">The PBAC </w:t>
      </w:r>
      <w:r w:rsidR="009A5115">
        <w:t xml:space="preserve">considered </w:t>
      </w:r>
      <w:r>
        <w:t xml:space="preserve">that </w:t>
      </w:r>
      <w:r w:rsidR="00343AEB">
        <w:t xml:space="preserve">the </w:t>
      </w:r>
      <w:r w:rsidR="00B1776E">
        <w:t xml:space="preserve">listing of </w:t>
      </w:r>
      <w:r>
        <w:t xml:space="preserve">medroxyprogesterone PFS would </w:t>
      </w:r>
      <w:r w:rsidR="00B1776E">
        <w:t>likely</w:t>
      </w:r>
      <w:r>
        <w:t xml:space="preserve"> not </w:t>
      </w:r>
      <w:r w:rsidR="009A5115">
        <w:t>result in increased utilisation of medroxyprogesterone, and that the listing was therefore likely to have no financial impact</w:t>
      </w:r>
      <w:r>
        <w:t xml:space="preserve">. </w:t>
      </w:r>
    </w:p>
    <w:p w14:paraId="6575FAD1" w14:textId="365D108C" w:rsidR="004F5488" w:rsidRDefault="004F5488" w:rsidP="004F5488">
      <w:pPr>
        <w:pStyle w:val="3Bodytext"/>
      </w:pPr>
      <w:r w:rsidRPr="00A542BA">
        <w:t xml:space="preserve">The PBAC </w:t>
      </w:r>
      <w:r w:rsidR="00744CBA">
        <w:t>advised</w:t>
      </w:r>
      <w:r w:rsidR="00494415">
        <w:t xml:space="preserve"> that,</w:t>
      </w:r>
      <w:r w:rsidRPr="00A542BA">
        <w:t xml:space="preserve"> under Section 101(4AACD) of</w:t>
      </w:r>
      <w:r w:rsidRPr="00A542BA">
        <w:rPr>
          <w:i/>
          <w:iCs/>
        </w:rPr>
        <w:t xml:space="preserve"> the National Health Act 1953</w:t>
      </w:r>
      <w:r w:rsidRPr="00A542BA">
        <w:t>,</w:t>
      </w:r>
      <w:r w:rsidRPr="00A542BA">
        <w:rPr>
          <w:i/>
          <w:iCs/>
        </w:rPr>
        <w:t xml:space="preserve"> </w:t>
      </w:r>
      <w:r w:rsidRPr="00A542BA">
        <w:t xml:space="preserve">the </w:t>
      </w:r>
      <w:r w:rsidRPr="00A542BA">
        <w:rPr>
          <w:rFonts w:cstheme="minorHAnsi"/>
          <w:szCs w:val="24"/>
        </w:rPr>
        <w:t>medroxyprogesterone vial</w:t>
      </w:r>
      <w:r w:rsidRPr="00A542BA">
        <w:t xml:space="preserve"> and m</w:t>
      </w:r>
      <w:r>
        <w:t>e</w:t>
      </w:r>
      <w:r w:rsidRPr="00A542BA">
        <w:t xml:space="preserve">droxyprogesterone PFS should be considered equivalent for the purposes of substitution (i.e., ‘a’-flagged </w:t>
      </w:r>
      <w:r>
        <w:t>in the Schedule with a NOTE stating PBS of one form and PBS of another form are equivalent for the purposes of substitution</w:t>
      </w:r>
      <w:r w:rsidRPr="00A542BA">
        <w:t xml:space="preserve">). </w:t>
      </w:r>
    </w:p>
    <w:p w14:paraId="101F16F6" w14:textId="301F0D45" w:rsidR="00C46291" w:rsidRPr="004A5C61" w:rsidRDefault="00C46291" w:rsidP="00C46291">
      <w:pPr>
        <w:pStyle w:val="3Bodytext"/>
        <w:rPr>
          <w:b/>
          <w:bCs/>
          <w:lang w:val="en-GB"/>
        </w:rPr>
      </w:pPr>
      <w:r w:rsidRPr="00D121C5">
        <w:rPr>
          <w:lang w:val="en-GB"/>
        </w:rPr>
        <w:t>The PBAC noted that its recommendation was on a cost-minimisation basis and advised that, because</w:t>
      </w:r>
      <w:r>
        <w:rPr>
          <w:lang w:val="en-GB"/>
        </w:rPr>
        <w:t xml:space="preserve"> medroxyprogesterone PFS</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 the comparator, </w:t>
      </w:r>
      <w:r>
        <w:rPr>
          <w:bCs/>
          <w:lang w:val="en-GB"/>
        </w:rPr>
        <w:t>and is</w:t>
      </w:r>
      <w:r w:rsidRPr="00531A05">
        <w:rPr>
          <w:bCs/>
          <w:lang w:val="en-GB"/>
        </w:rPr>
        <w:t xml:space="preserve">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12C6BA36" w14:textId="46DFBB3E" w:rsidR="00494415" w:rsidRPr="004A5C61" w:rsidRDefault="00494415" w:rsidP="00494415">
      <w:pPr>
        <w:pStyle w:val="3Bodytext"/>
        <w:rPr>
          <w:b/>
          <w:bCs/>
          <w:lang w:val="en-GB"/>
        </w:rPr>
      </w:pPr>
      <w:r w:rsidRPr="0039599E">
        <w:rPr>
          <w:bCs/>
          <w:lang w:val="en-GB"/>
        </w:rPr>
        <w:t xml:space="preserve">The PBAC noted that this submission is not eligible for an Independent Review because it received a positive recommendation. </w:t>
      </w:r>
    </w:p>
    <w:p w14:paraId="5DDB45A3" w14:textId="77777777" w:rsidR="00562F51" w:rsidRPr="00525B39" w:rsidRDefault="00562F51" w:rsidP="00562F51">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89BB023" w14:textId="1B4BE9AD" w:rsidR="009B5A03" w:rsidRDefault="00562F51" w:rsidP="00583F7A">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6854D656" w14:textId="77777777" w:rsidR="00CA0A61" w:rsidRPr="004A5C61" w:rsidRDefault="00CA0A61" w:rsidP="00583F7A">
      <w:pPr>
        <w:pStyle w:val="2-SectionHeading"/>
      </w:pPr>
      <w:r w:rsidRPr="004A5C61">
        <w:t>Recommended listing</w:t>
      </w:r>
    </w:p>
    <w:p w14:paraId="3F5FA54E" w14:textId="692208F9" w:rsidR="00562F51" w:rsidRPr="00583F7A" w:rsidRDefault="00CA0A61" w:rsidP="00583F7A">
      <w:pPr>
        <w:pStyle w:val="3Bodytext"/>
      </w:pPr>
      <w:r w:rsidRPr="00583F7A">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CA0A61" w:rsidRPr="00A37C22" w14:paraId="40FA44F7" w14:textId="77777777" w:rsidTr="00BE57BE">
        <w:trPr>
          <w:cantSplit/>
          <w:trHeight w:val="471"/>
        </w:trPr>
        <w:tc>
          <w:tcPr>
            <w:tcW w:w="3964" w:type="dxa"/>
          </w:tcPr>
          <w:p w14:paraId="2C98A973" w14:textId="77777777" w:rsidR="00CA0A61" w:rsidRPr="00A542BA" w:rsidRDefault="00CA0A61" w:rsidP="00BE57BE">
            <w:pPr>
              <w:keepNext/>
              <w:ind w:left="-108"/>
              <w:rPr>
                <w:rFonts w:ascii="Arial Narrow" w:hAnsi="Arial Narrow" w:cs="Arial"/>
                <w:b/>
                <w:bCs/>
                <w:sz w:val="18"/>
                <w:szCs w:val="18"/>
              </w:rPr>
            </w:pPr>
            <w:r w:rsidRPr="00A542BA">
              <w:rPr>
                <w:rFonts w:ascii="Arial Narrow" w:hAnsi="Arial Narrow" w:cs="Arial"/>
                <w:b/>
                <w:bCs/>
                <w:sz w:val="18"/>
                <w:szCs w:val="18"/>
              </w:rPr>
              <w:t>MEDICINAL PRODUCT</w:t>
            </w:r>
          </w:p>
          <w:p w14:paraId="77A968C8" w14:textId="77777777" w:rsidR="00CA0A61" w:rsidRPr="00A542BA" w:rsidRDefault="00CA0A61" w:rsidP="00BE57BE">
            <w:pPr>
              <w:keepNext/>
              <w:ind w:left="-108"/>
              <w:rPr>
                <w:rFonts w:ascii="Arial Narrow" w:hAnsi="Arial Narrow" w:cs="Arial"/>
                <w:b/>
                <w:sz w:val="18"/>
                <w:szCs w:val="18"/>
              </w:rPr>
            </w:pPr>
            <w:r w:rsidRPr="00A542BA">
              <w:rPr>
                <w:rFonts w:ascii="Arial Narrow" w:hAnsi="Arial Narrow" w:cs="Arial"/>
                <w:b/>
                <w:bCs/>
                <w:sz w:val="18"/>
                <w:szCs w:val="18"/>
              </w:rPr>
              <w:t xml:space="preserve"> Medicinal Product Pack</w:t>
            </w:r>
          </w:p>
        </w:tc>
        <w:tc>
          <w:tcPr>
            <w:tcW w:w="993" w:type="dxa"/>
          </w:tcPr>
          <w:p w14:paraId="3925AFDA" w14:textId="77777777" w:rsidR="00CA0A61" w:rsidRPr="00A542BA" w:rsidRDefault="00CA0A61" w:rsidP="00BE57BE">
            <w:pPr>
              <w:keepNext/>
              <w:ind w:left="-108"/>
              <w:jc w:val="center"/>
              <w:rPr>
                <w:rFonts w:ascii="Arial Narrow" w:hAnsi="Arial Narrow" w:cs="Arial"/>
                <w:b/>
                <w:sz w:val="18"/>
                <w:szCs w:val="18"/>
              </w:rPr>
            </w:pPr>
            <w:r w:rsidRPr="00A542BA">
              <w:rPr>
                <w:rFonts w:ascii="Arial Narrow" w:hAnsi="Arial Narrow" w:cs="Arial"/>
                <w:b/>
                <w:sz w:val="18"/>
                <w:szCs w:val="18"/>
              </w:rPr>
              <w:t>PBS item code</w:t>
            </w:r>
          </w:p>
        </w:tc>
        <w:tc>
          <w:tcPr>
            <w:tcW w:w="850" w:type="dxa"/>
          </w:tcPr>
          <w:p w14:paraId="75D806F3" w14:textId="77777777" w:rsidR="00CA0A61" w:rsidRPr="00A542BA" w:rsidRDefault="00CA0A61" w:rsidP="00BE57BE">
            <w:pPr>
              <w:keepNext/>
              <w:ind w:left="-108"/>
              <w:jc w:val="center"/>
              <w:rPr>
                <w:rFonts w:ascii="Arial Narrow" w:hAnsi="Arial Narrow" w:cs="Arial"/>
                <w:b/>
                <w:sz w:val="18"/>
                <w:szCs w:val="18"/>
              </w:rPr>
            </w:pPr>
            <w:r w:rsidRPr="00A542BA">
              <w:rPr>
                <w:rFonts w:ascii="Arial Narrow" w:hAnsi="Arial Narrow" w:cs="Arial"/>
                <w:b/>
                <w:sz w:val="18"/>
                <w:szCs w:val="18"/>
              </w:rPr>
              <w:t>Max. qty packs</w:t>
            </w:r>
          </w:p>
        </w:tc>
        <w:tc>
          <w:tcPr>
            <w:tcW w:w="851" w:type="dxa"/>
          </w:tcPr>
          <w:p w14:paraId="7B8F806D" w14:textId="77777777" w:rsidR="00CA0A61" w:rsidRPr="00A542BA" w:rsidRDefault="00CA0A61" w:rsidP="00BE57BE">
            <w:pPr>
              <w:keepNext/>
              <w:ind w:left="-108"/>
              <w:jc w:val="center"/>
              <w:rPr>
                <w:rFonts w:ascii="Arial Narrow" w:hAnsi="Arial Narrow" w:cs="Arial"/>
                <w:b/>
                <w:sz w:val="18"/>
                <w:szCs w:val="18"/>
              </w:rPr>
            </w:pPr>
            <w:r w:rsidRPr="00A542BA">
              <w:rPr>
                <w:rFonts w:ascii="Arial Narrow" w:hAnsi="Arial Narrow" w:cs="Arial"/>
                <w:b/>
                <w:sz w:val="18"/>
                <w:szCs w:val="18"/>
              </w:rPr>
              <w:t>Max. qty units</w:t>
            </w:r>
          </w:p>
        </w:tc>
        <w:tc>
          <w:tcPr>
            <w:tcW w:w="708" w:type="dxa"/>
          </w:tcPr>
          <w:p w14:paraId="4B3EC205" w14:textId="77777777" w:rsidR="00CA0A61" w:rsidRPr="00A542BA" w:rsidRDefault="00CA0A61" w:rsidP="00BE57BE">
            <w:pPr>
              <w:keepNext/>
              <w:ind w:left="-108"/>
              <w:jc w:val="center"/>
              <w:rPr>
                <w:rFonts w:ascii="Arial Narrow" w:hAnsi="Arial Narrow" w:cs="Arial"/>
                <w:b/>
                <w:sz w:val="18"/>
                <w:szCs w:val="18"/>
              </w:rPr>
            </w:pPr>
            <w:r w:rsidRPr="00A542BA">
              <w:rPr>
                <w:rFonts w:ascii="Arial Narrow" w:hAnsi="Arial Narrow" w:cs="Arial"/>
                <w:b/>
                <w:sz w:val="18"/>
                <w:szCs w:val="18"/>
              </w:rPr>
              <w:t>№.of</w:t>
            </w:r>
          </w:p>
          <w:p w14:paraId="41A60D5D" w14:textId="77777777" w:rsidR="00CA0A61" w:rsidRPr="00A542BA" w:rsidRDefault="00CA0A61" w:rsidP="00BE57BE">
            <w:pPr>
              <w:keepNext/>
              <w:ind w:left="-108"/>
              <w:jc w:val="center"/>
              <w:rPr>
                <w:rFonts w:ascii="Arial Narrow" w:hAnsi="Arial Narrow" w:cs="Arial"/>
                <w:b/>
                <w:sz w:val="18"/>
                <w:szCs w:val="18"/>
              </w:rPr>
            </w:pPr>
            <w:r w:rsidRPr="00A542BA">
              <w:rPr>
                <w:rFonts w:ascii="Arial Narrow" w:hAnsi="Arial Narrow" w:cs="Arial"/>
                <w:b/>
                <w:sz w:val="18"/>
                <w:szCs w:val="18"/>
              </w:rPr>
              <w:t>Rpts</w:t>
            </w:r>
          </w:p>
        </w:tc>
        <w:tc>
          <w:tcPr>
            <w:tcW w:w="1559" w:type="dxa"/>
          </w:tcPr>
          <w:p w14:paraId="1A5B7092" w14:textId="77777777" w:rsidR="00CA0A61" w:rsidRPr="00A37C22" w:rsidRDefault="00CA0A61" w:rsidP="00BE57BE">
            <w:pPr>
              <w:keepNext/>
              <w:rPr>
                <w:rFonts w:ascii="Arial Narrow" w:hAnsi="Arial Narrow" w:cs="Arial"/>
                <w:b/>
                <w:sz w:val="18"/>
                <w:szCs w:val="18"/>
              </w:rPr>
            </w:pPr>
            <w:r w:rsidRPr="00A542BA">
              <w:rPr>
                <w:rFonts w:ascii="Arial Narrow" w:hAnsi="Arial Narrow" w:cs="Arial"/>
                <w:b/>
                <w:sz w:val="18"/>
                <w:szCs w:val="18"/>
              </w:rPr>
              <w:t>Available brands</w:t>
            </w:r>
          </w:p>
        </w:tc>
      </w:tr>
      <w:tr w:rsidR="00CA0A61" w:rsidRPr="00A542BA" w14:paraId="670C47DB" w14:textId="77777777" w:rsidTr="00BE57BE">
        <w:trPr>
          <w:cantSplit/>
          <w:trHeight w:val="246"/>
        </w:trPr>
        <w:tc>
          <w:tcPr>
            <w:tcW w:w="8925" w:type="dxa"/>
            <w:gridSpan w:val="6"/>
          </w:tcPr>
          <w:p w14:paraId="5C348CD9" w14:textId="77777777" w:rsidR="00CA0A61" w:rsidRPr="00A542BA" w:rsidRDefault="00CA0A61" w:rsidP="00BE57BE">
            <w:pPr>
              <w:keepNext/>
              <w:ind w:left="-108"/>
              <w:jc w:val="left"/>
              <w:rPr>
                <w:rFonts w:ascii="Arial Narrow" w:hAnsi="Arial Narrow" w:cs="Arial"/>
                <w:b/>
                <w:sz w:val="18"/>
                <w:szCs w:val="18"/>
              </w:rPr>
            </w:pPr>
            <w:r w:rsidRPr="00A542BA">
              <w:rPr>
                <w:rFonts w:ascii="Arial Narrow" w:hAnsi="Arial Narrow" w:cs="Arial"/>
                <w:sz w:val="18"/>
                <w:szCs w:val="18"/>
              </w:rPr>
              <w:t>MEDROXYPROGESTERONE</w:t>
            </w:r>
          </w:p>
        </w:tc>
      </w:tr>
      <w:tr w:rsidR="00CA0A61" w:rsidRPr="00A542BA" w14:paraId="5CDAACAB" w14:textId="77777777" w:rsidTr="00BE57BE">
        <w:trPr>
          <w:cantSplit/>
          <w:trHeight w:val="347"/>
        </w:trPr>
        <w:tc>
          <w:tcPr>
            <w:tcW w:w="3964" w:type="dxa"/>
          </w:tcPr>
          <w:p w14:paraId="3B6DAE55" w14:textId="77777777" w:rsidR="00CA0A61" w:rsidRPr="004A5C61" w:rsidRDefault="00CA0A61" w:rsidP="00BE57BE">
            <w:pPr>
              <w:keepNext/>
              <w:ind w:left="-108"/>
              <w:jc w:val="left"/>
              <w:rPr>
                <w:rFonts w:ascii="Arial Narrow" w:hAnsi="Arial Narrow" w:cs="Arial"/>
                <w:iCs/>
                <w:sz w:val="18"/>
                <w:szCs w:val="18"/>
              </w:rPr>
            </w:pPr>
            <w:r w:rsidRPr="004A5C61">
              <w:rPr>
                <w:rFonts w:ascii="Arial Narrow" w:hAnsi="Arial Narrow" w:cs="Arial"/>
                <w:iCs/>
                <w:sz w:val="18"/>
                <w:szCs w:val="18"/>
              </w:rPr>
              <w:t>medroxyprogesterone acetate 150 mg in 1 mL pre-filled syringe</w:t>
            </w:r>
          </w:p>
        </w:tc>
        <w:tc>
          <w:tcPr>
            <w:tcW w:w="993" w:type="dxa"/>
            <w:vAlign w:val="center"/>
          </w:tcPr>
          <w:p w14:paraId="79C5D076" w14:textId="77777777" w:rsidR="00CA0A61" w:rsidRPr="004A5C61" w:rsidRDefault="00CA0A61" w:rsidP="00BE57BE">
            <w:pPr>
              <w:keepNext/>
              <w:ind w:left="-108"/>
              <w:jc w:val="center"/>
              <w:rPr>
                <w:rFonts w:ascii="Arial Narrow" w:hAnsi="Arial Narrow" w:cs="Arial"/>
                <w:iCs/>
                <w:sz w:val="18"/>
                <w:szCs w:val="18"/>
              </w:rPr>
            </w:pPr>
            <w:r w:rsidRPr="004A5C61">
              <w:rPr>
                <w:rFonts w:ascii="Arial Narrow" w:hAnsi="Arial Narrow" w:cs="Arial"/>
                <w:iCs/>
                <w:sz w:val="18"/>
                <w:szCs w:val="18"/>
              </w:rPr>
              <w:t>NEW</w:t>
            </w:r>
          </w:p>
        </w:tc>
        <w:tc>
          <w:tcPr>
            <w:tcW w:w="850" w:type="dxa"/>
            <w:vAlign w:val="center"/>
          </w:tcPr>
          <w:p w14:paraId="34DB3A0D" w14:textId="77777777" w:rsidR="00CA0A61" w:rsidRPr="004A5C61" w:rsidRDefault="00CA0A61" w:rsidP="00BE57BE">
            <w:pPr>
              <w:keepNext/>
              <w:jc w:val="center"/>
              <w:rPr>
                <w:rFonts w:ascii="Arial Narrow" w:hAnsi="Arial Narrow" w:cs="Arial"/>
                <w:iCs/>
                <w:sz w:val="18"/>
                <w:szCs w:val="18"/>
              </w:rPr>
            </w:pPr>
            <w:r w:rsidRPr="004A5C61">
              <w:rPr>
                <w:rFonts w:ascii="Arial Narrow" w:hAnsi="Arial Narrow" w:cs="Arial"/>
                <w:iCs/>
                <w:sz w:val="18"/>
                <w:szCs w:val="18"/>
              </w:rPr>
              <w:t>1</w:t>
            </w:r>
          </w:p>
        </w:tc>
        <w:tc>
          <w:tcPr>
            <w:tcW w:w="851" w:type="dxa"/>
            <w:vAlign w:val="center"/>
          </w:tcPr>
          <w:p w14:paraId="594ECFE0" w14:textId="77777777" w:rsidR="00CA0A61" w:rsidRPr="004A5C61" w:rsidRDefault="00CA0A61" w:rsidP="00BE57BE">
            <w:pPr>
              <w:keepNext/>
              <w:ind w:left="-108"/>
              <w:jc w:val="center"/>
              <w:rPr>
                <w:rFonts w:ascii="Arial Narrow" w:hAnsi="Arial Narrow" w:cs="Arial"/>
                <w:iCs/>
                <w:sz w:val="18"/>
                <w:szCs w:val="18"/>
              </w:rPr>
            </w:pPr>
            <w:r w:rsidRPr="004A5C61">
              <w:rPr>
                <w:rFonts w:ascii="Arial Narrow" w:hAnsi="Arial Narrow" w:cs="Arial"/>
                <w:iCs/>
                <w:sz w:val="18"/>
                <w:szCs w:val="18"/>
              </w:rPr>
              <w:t>1</w:t>
            </w:r>
          </w:p>
        </w:tc>
        <w:tc>
          <w:tcPr>
            <w:tcW w:w="708" w:type="dxa"/>
            <w:vAlign w:val="center"/>
          </w:tcPr>
          <w:p w14:paraId="3F89A555" w14:textId="77777777" w:rsidR="00CA0A61" w:rsidRPr="004A5C61" w:rsidRDefault="00CA0A61" w:rsidP="00BE57BE">
            <w:pPr>
              <w:keepNext/>
              <w:ind w:left="-108"/>
              <w:jc w:val="center"/>
              <w:rPr>
                <w:rFonts w:ascii="Arial Narrow" w:hAnsi="Arial Narrow" w:cs="Arial"/>
                <w:iCs/>
                <w:sz w:val="18"/>
                <w:szCs w:val="18"/>
              </w:rPr>
            </w:pPr>
            <w:r w:rsidRPr="004A5C61">
              <w:rPr>
                <w:rFonts w:ascii="Arial Narrow" w:hAnsi="Arial Narrow" w:cs="Arial"/>
                <w:iCs/>
                <w:sz w:val="18"/>
                <w:szCs w:val="18"/>
              </w:rPr>
              <w:t>1</w:t>
            </w:r>
          </w:p>
        </w:tc>
        <w:tc>
          <w:tcPr>
            <w:tcW w:w="1559" w:type="dxa"/>
            <w:vAlign w:val="center"/>
          </w:tcPr>
          <w:p w14:paraId="1E98895E" w14:textId="77777777" w:rsidR="00CA0A61" w:rsidRPr="004A5C61" w:rsidRDefault="00CA0A61" w:rsidP="00BE57BE">
            <w:pPr>
              <w:keepNext/>
              <w:jc w:val="center"/>
              <w:rPr>
                <w:rFonts w:ascii="Arial Narrow" w:hAnsi="Arial Narrow" w:cs="Arial"/>
                <w:iCs/>
                <w:sz w:val="18"/>
                <w:szCs w:val="18"/>
              </w:rPr>
            </w:pPr>
            <w:r w:rsidRPr="004A5C61">
              <w:rPr>
                <w:rFonts w:ascii="Arial Narrow" w:hAnsi="Arial Narrow" w:cs="Arial"/>
                <w:iCs/>
                <w:sz w:val="18"/>
                <w:szCs w:val="18"/>
              </w:rPr>
              <w:t>Depo-Provera</w:t>
            </w:r>
          </w:p>
        </w:tc>
      </w:tr>
    </w:tbl>
    <w:p w14:paraId="272394A1" w14:textId="359E9494" w:rsidR="00CA0A61" w:rsidRDefault="00CA0A61" w:rsidP="00583F7A">
      <w:pPr>
        <w:pStyle w:val="3Bodytext"/>
        <w:numPr>
          <w:ilvl w:val="0"/>
          <w:numId w:val="0"/>
        </w:numPr>
        <w:tabs>
          <w:tab w:val="left" w:pos="1080"/>
        </w:tabs>
        <w:autoSpaceDE w:val="0"/>
        <w:autoSpaceDN w:val="0"/>
        <w:adjustRightInd w:val="0"/>
        <w:spacing w:after="0"/>
        <w:rPr>
          <w:rFonts w:cstheme="minorHAns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655"/>
      </w:tblGrid>
      <w:tr w:rsidR="000D577F" w:rsidRPr="00787BA5" w14:paraId="3DB01541" w14:textId="77777777" w:rsidTr="138EE599">
        <w:trPr>
          <w:trHeight w:val="20"/>
        </w:trPr>
        <w:tc>
          <w:tcPr>
            <w:tcW w:w="1271" w:type="dxa"/>
            <w:tcBorders>
              <w:left w:val="single" w:sz="4" w:space="0" w:color="auto"/>
              <w:bottom w:val="single" w:sz="4" w:space="0" w:color="auto"/>
              <w:right w:val="single" w:sz="4" w:space="0" w:color="auto"/>
            </w:tcBorders>
            <w:vAlign w:val="center"/>
          </w:tcPr>
          <w:p w14:paraId="14894869" w14:textId="4F40C464" w:rsidR="000D577F" w:rsidRPr="001428E9" w:rsidRDefault="000D577F" w:rsidP="009A6817">
            <w:pPr>
              <w:keepNext/>
              <w:jc w:val="center"/>
              <w:rPr>
                <w:rFonts w:ascii="Arial Narrow" w:hAnsi="Arial Narrow" w:cs="Arial"/>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tcPr>
          <w:p w14:paraId="71ABA9C0" w14:textId="77777777" w:rsidR="000D577F" w:rsidRDefault="000D577F" w:rsidP="009A6817">
            <w:pPr>
              <w:keepNext/>
              <w:keepLines/>
              <w:jc w:val="left"/>
              <w:rPr>
                <w:rFonts w:ascii="Arial Narrow" w:hAnsi="Arial Narrow" w:cs="Arial"/>
                <w:b/>
                <w:sz w:val="20"/>
                <w:szCs w:val="20"/>
              </w:rPr>
            </w:pPr>
            <w:r w:rsidRPr="00787BA5">
              <w:rPr>
                <w:rFonts w:ascii="Arial Narrow" w:hAnsi="Arial Narrow" w:cs="Arial"/>
                <w:b/>
                <w:sz w:val="20"/>
                <w:szCs w:val="20"/>
              </w:rPr>
              <w:t>Administrative Advice</w:t>
            </w:r>
            <w:r>
              <w:rPr>
                <w:rFonts w:ascii="Arial Narrow" w:hAnsi="Arial Narrow" w:cs="Arial"/>
                <w:b/>
                <w:sz w:val="20"/>
                <w:szCs w:val="20"/>
              </w:rPr>
              <w:t>:</w:t>
            </w:r>
          </w:p>
          <w:p w14:paraId="619C2123" w14:textId="012DF6FF" w:rsidR="000D577F" w:rsidRPr="00787BA5" w:rsidRDefault="000D577F" w:rsidP="009A6817">
            <w:pPr>
              <w:keepNext/>
              <w:keepLines/>
              <w:jc w:val="left"/>
              <w:rPr>
                <w:rFonts w:ascii="Arial Narrow" w:hAnsi="Arial Narrow" w:cs="Arial"/>
                <w:bCs/>
                <w:sz w:val="20"/>
                <w:szCs w:val="20"/>
              </w:rPr>
            </w:pPr>
            <w:r>
              <w:rPr>
                <w:rFonts w:ascii="Arial Narrow" w:hAnsi="Arial Narrow" w:cs="Arial"/>
                <w:bCs/>
                <w:sz w:val="20"/>
                <w:szCs w:val="20"/>
              </w:rPr>
              <w:t xml:space="preserve">Pharmaceutical benefits that have the form medroxyprogesterone acetate 150 mg in 1 mL pre-filled syringe and pharmaceutical benefits that have the </w:t>
            </w:r>
            <w:r w:rsidR="00343AEB">
              <w:rPr>
                <w:rFonts w:ascii="Arial Narrow" w:hAnsi="Arial Narrow" w:cs="Arial"/>
                <w:bCs/>
                <w:sz w:val="20"/>
                <w:szCs w:val="20"/>
              </w:rPr>
              <w:t xml:space="preserve">form </w:t>
            </w:r>
            <w:r>
              <w:rPr>
                <w:rFonts w:ascii="Arial Narrow" w:hAnsi="Arial Narrow" w:cs="Arial"/>
                <w:bCs/>
                <w:sz w:val="20"/>
                <w:szCs w:val="20"/>
              </w:rPr>
              <w:t xml:space="preserve">medroxyprogesterone acetate 150 mg/mL injection, 1 mL vial are equivalent for the purposes of substitution. </w:t>
            </w:r>
          </w:p>
        </w:tc>
      </w:tr>
    </w:tbl>
    <w:p w14:paraId="1FB6C623" w14:textId="3A6050A0" w:rsidR="000D577F" w:rsidRDefault="000D577F" w:rsidP="00583F7A">
      <w:pPr>
        <w:pStyle w:val="3Bodytext"/>
        <w:numPr>
          <w:ilvl w:val="0"/>
          <w:numId w:val="0"/>
        </w:numPr>
        <w:tabs>
          <w:tab w:val="left" w:pos="1080"/>
        </w:tabs>
        <w:autoSpaceDE w:val="0"/>
        <w:autoSpaceDN w:val="0"/>
        <w:adjustRightInd w:val="0"/>
        <w:spacing w:after="0"/>
        <w:rPr>
          <w:rFonts w:cstheme="minorHAnsi"/>
        </w:rPr>
      </w:pPr>
    </w:p>
    <w:p w14:paraId="1C01EA43" w14:textId="2A285FFF" w:rsidR="00266D60" w:rsidRDefault="00266D60" w:rsidP="00583F7A">
      <w:pPr>
        <w:pStyle w:val="3Bodytext"/>
        <w:rPr>
          <w:rFonts w:cstheme="minorHAnsi"/>
        </w:rPr>
      </w:pPr>
      <w:r w:rsidRPr="00583F7A">
        <w:t>Flow on changes to existing medroxyprogesterone acetate 150mg vial (PBS item code 3118D) to include the above administrative advice</w:t>
      </w:r>
      <w:r w:rsidR="00875BB0" w:rsidRPr="00583F7A">
        <w:t>.</w:t>
      </w:r>
    </w:p>
    <w:p w14:paraId="63AEEABD" w14:textId="541265EA" w:rsidR="00562F51" w:rsidRDefault="000D577F" w:rsidP="00583F7A">
      <w:pPr>
        <w:tabs>
          <w:tab w:val="left" w:pos="360"/>
        </w:tabs>
        <w:autoSpaceDE w:val="0"/>
        <w:autoSpaceDN w:val="0"/>
        <w:adjustRightInd w:val="0"/>
        <w:rPr>
          <w:rFonts w:asciiTheme="minorHAnsi" w:eastAsiaTheme="minorHAnsi" w:hAnsiTheme="minorHAnsi" w:cstheme="minorBidi"/>
          <w:b/>
          <w:bCs/>
          <w:i/>
          <w:iCs/>
          <w:szCs w:val="22"/>
        </w:rPr>
      </w:pPr>
      <w:r w:rsidRPr="004A5C61">
        <w:rPr>
          <w:rFonts w:asciiTheme="minorHAnsi" w:eastAsiaTheme="minorHAnsi" w:hAnsiTheme="minorHAnsi" w:cstheme="minorBidi"/>
          <w:b/>
          <w:bCs/>
          <w:i/>
          <w:iCs/>
          <w:szCs w:val="22"/>
        </w:rPr>
        <w:t>This restriction may be subject to further review. Should there be any changes made to the restriction the sponsor will be informed.</w:t>
      </w:r>
    </w:p>
    <w:p w14:paraId="60DC933A" w14:textId="09091461" w:rsidR="00844E85" w:rsidRDefault="00844E85" w:rsidP="00583F7A">
      <w:pPr>
        <w:tabs>
          <w:tab w:val="left" w:pos="360"/>
        </w:tabs>
        <w:autoSpaceDE w:val="0"/>
        <w:autoSpaceDN w:val="0"/>
        <w:adjustRightInd w:val="0"/>
        <w:rPr>
          <w:rFonts w:asciiTheme="minorHAnsi" w:eastAsiaTheme="minorHAnsi" w:hAnsiTheme="minorHAnsi" w:cstheme="minorBidi"/>
          <w:b/>
          <w:bCs/>
          <w:i/>
          <w:iCs/>
          <w:szCs w:val="22"/>
        </w:rPr>
      </w:pPr>
    </w:p>
    <w:p w14:paraId="18DF51CD" w14:textId="77777777" w:rsidR="00844E85" w:rsidRPr="00C4285A" w:rsidRDefault="00844E85" w:rsidP="00844E85">
      <w:pPr>
        <w:pStyle w:val="2-SectionHeading"/>
      </w:pPr>
      <w:r w:rsidRPr="00C4285A">
        <w:lastRenderedPageBreak/>
        <w:t>Context for Decision</w:t>
      </w:r>
    </w:p>
    <w:p w14:paraId="4A51E490" w14:textId="77777777" w:rsidR="00844E85" w:rsidRPr="00C4285A" w:rsidRDefault="00844E85" w:rsidP="00844E85">
      <w:pPr>
        <w:spacing w:after="120"/>
        <w:ind w:left="720"/>
        <w:rPr>
          <w:rFonts w:asciiTheme="minorHAnsi" w:hAnsiTheme="minorHAnsi" w:cs="Arial"/>
          <w:bCs/>
          <w:lang w:val="en-GB"/>
        </w:rPr>
      </w:pPr>
      <w:r w:rsidRPr="00C4285A">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2BA3FE7" w14:textId="77777777" w:rsidR="00844E85" w:rsidRPr="00C4285A" w:rsidRDefault="00844E85" w:rsidP="00844E85">
      <w:pPr>
        <w:pStyle w:val="2-SectionHeading"/>
      </w:pPr>
      <w:r w:rsidRPr="00C4285A">
        <w:t>Sponsor’s Comment</w:t>
      </w:r>
    </w:p>
    <w:p w14:paraId="6EC1DFC6" w14:textId="77777777" w:rsidR="00844E85" w:rsidRPr="00C4285A" w:rsidRDefault="00844E85" w:rsidP="00844E85">
      <w:pPr>
        <w:spacing w:after="120" w:line="276" w:lineRule="auto"/>
        <w:ind w:left="720"/>
        <w:rPr>
          <w:rFonts w:asciiTheme="minorHAnsi" w:eastAsiaTheme="minorHAnsi" w:hAnsiTheme="minorHAnsi" w:cs="Arial"/>
          <w:bCs/>
          <w:szCs w:val="22"/>
          <w:lang w:eastAsia="en-US"/>
        </w:rPr>
      </w:pPr>
      <w:r w:rsidRPr="00C4285A">
        <w:rPr>
          <w:rFonts w:asciiTheme="minorHAnsi" w:eastAsiaTheme="minorHAnsi" w:hAnsiTheme="minorHAnsi" w:cs="Arial"/>
          <w:bCs/>
          <w:szCs w:val="22"/>
          <w:lang w:eastAsia="en-US"/>
        </w:rPr>
        <w:t>The sponsor had no comment.</w:t>
      </w:r>
    </w:p>
    <w:p w14:paraId="3C5F8DD4" w14:textId="77777777" w:rsidR="00844E85" w:rsidRDefault="00844E85" w:rsidP="00583F7A">
      <w:pPr>
        <w:tabs>
          <w:tab w:val="left" w:pos="360"/>
        </w:tabs>
        <w:autoSpaceDE w:val="0"/>
        <w:autoSpaceDN w:val="0"/>
        <w:adjustRightInd w:val="0"/>
        <w:rPr>
          <w:rFonts w:asciiTheme="minorHAnsi" w:eastAsiaTheme="minorHAnsi" w:hAnsiTheme="minorHAnsi" w:cstheme="minorBidi"/>
          <w:b/>
          <w:bCs/>
          <w:i/>
          <w:iCs/>
          <w:szCs w:val="22"/>
        </w:rPr>
      </w:pPr>
    </w:p>
    <w:p w14:paraId="16893DD8" w14:textId="2A164330" w:rsidR="00844E85" w:rsidRDefault="00844E85" w:rsidP="00583F7A">
      <w:pPr>
        <w:tabs>
          <w:tab w:val="left" w:pos="360"/>
        </w:tabs>
        <w:autoSpaceDE w:val="0"/>
        <w:autoSpaceDN w:val="0"/>
        <w:adjustRightInd w:val="0"/>
        <w:rPr>
          <w:rFonts w:asciiTheme="minorHAnsi" w:eastAsiaTheme="minorHAnsi" w:hAnsiTheme="minorHAnsi" w:cstheme="minorBidi"/>
          <w:b/>
          <w:bCs/>
          <w:i/>
          <w:iCs/>
          <w:szCs w:val="22"/>
        </w:rPr>
      </w:pPr>
    </w:p>
    <w:p w14:paraId="331C595C" w14:textId="6DB5940B" w:rsidR="00844E85" w:rsidRDefault="00844E85" w:rsidP="00583F7A">
      <w:pPr>
        <w:tabs>
          <w:tab w:val="left" w:pos="360"/>
        </w:tabs>
        <w:autoSpaceDE w:val="0"/>
        <w:autoSpaceDN w:val="0"/>
        <w:adjustRightInd w:val="0"/>
        <w:rPr>
          <w:rFonts w:asciiTheme="minorHAnsi" w:eastAsiaTheme="minorHAnsi" w:hAnsiTheme="minorHAnsi" w:cstheme="minorBidi"/>
          <w:b/>
          <w:bCs/>
          <w:i/>
          <w:iCs/>
          <w:szCs w:val="22"/>
        </w:rPr>
      </w:pPr>
    </w:p>
    <w:p w14:paraId="69FD68D9" w14:textId="77777777" w:rsidR="00844E85" w:rsidRPr="00583F7A" w:rsidRDefault="00844E85" w:rsidP="00583F7A">
      <w:pPr>
        <w:tabs>
          <w:tab w:val="left" w:pos="360"/>
        </w:tabs>
        <w:autoSpaceDE w:val="0"/>
        <w:autoSpaceDN w:val="0"/>
        <w:adjustRightInd w:val="0"/>
        <w:rPr>
          <w:rFonts w:asciiTheme="minorHAnsi" w:eastAsiaTheme="minorHAnsi" w:hAnsiTheme="minorHAnsi" w:cstheme="minorBidi"/>
          <w:b/>
          <w:bCs/>
          <w:i/>
          <w:iCs/>
          <w:szCs w:val="22"/>
        </w:rPr>
      </w:pPr>
    </w:p>
    <w:sectPr w:rsidR="00844E85" w:rsidRPr="00583F7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A0F8" w14:textId="77777777" w:rsidR="00374582" w:rsidRDefault="00374582">
      <w:r>
        <w:separator/>
      </w:r>
    </w:p>
    <w:p w14:paraId="7B98079B" w14:textId="77777777" w:rsidR="00374582" w:rsidRDefault="00374582"/>
  </w:endnote>
  <w:endnote w:type="continuationSeparator" w:id="0">
    <w:p w14:paraId="5928DBDB" w14:textId="77777777" w:rsidR="00374582" w:rsidRDefault="00374582">
      <w:r>
        <w:continuationSeparator/>
      </w:r>
    </w:p>
    <w:p w14:paraId="0F873AA0" w14:textId="77777777" w:rsidR="00374582" w:rsidRDefault="00374582"/>
  </w:endnote>
  <w:endnote w:type="continuationNotice" w:id="1">
    <w:p w14:paraId="380BF2A2" w14:textId="77777777" w:rsidR="00374582" w:rsidRDefault="0037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96537" w14:paraId="4075D3FE" w14:textId="77777777" w:rsidTr="005A3173">
      <w:trPr>
        <w:trHeight w:val="151"/>
      </w:trPr>
      <w:tc>
        <w:tcPr>
          <w:tcW w:w="2250" w:type="pct"/>
          <w:tcBorders>
            <w:top w:val="nil"/>
            <w:left w:val="nil"/>
            <w:bottom w:val="single" w:sz="4" w:space="0" w:color="4F81BD"/>
            <w:right w:val="nil"/>
          </w:tcBorders>
        </w:tcPr>
        <w:p w14:paraId="096D0DDE" w14:textId="77777777" w:rsidR="00B96537" w:rsidRPr="005A3173" w:rsidRDefault="00B96537"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B96537" w:rsidRPr="005A3173" w:rsidRDefault="00B965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B96537" w:rsidRPr="005A3173" w:rsidRDefault="00B96537" w:rsidP="005A3173">
          <w:pPr>
            <w:pStyle w:val="Header"/>
            <w:spacing w:line="276" w:lineRule="auto"/>
            <w:rPr>
              <w:rFonts w:eastAsia="MS Gothic"/>
              <w:b/>
              <w:bCs/>
              <w:color w:val="4F81BD"/>
            </w:rPr>
          </w:pPr>
        </w:p>
      </w:tc>
    </w:tr>
    <w:tr w:rsidR="00B96537" w14:paraId="32EF4DB8" w14:textId="77777777" w:rsidTr="005A3173">
      <w:trPr>
        <w:trHeight w:val="150"/>
      </w:trPr>
      <w:tc>
        <w:tcPr>
          <w:tcW w:w="2250" w:type="pct"/>
          <w:tcBorders>
            <w:top w:val="single" w:sz="4" w:space="0" w:color="4F81BD"/>
            <w:left w:val="nil"/>
            <w:bottom w:val="nil"/>
            <w:right w:val="nil"/>
          </w:tcBorders>
        </w:tcPr>
        <w:p w14:paraId="03528A4C" w14:textId="77777777" w:rsidR="00B96537" w:rsidRPr="005A3173" w:rsidRDefault="00B96537" w:rsidP="005A3173">
          <w:pPr>
            <w:pStyle w:val="Header"/>
            <w:spacing w:line="276" w:lineRule="auto"/>
            <w:rPr>
              <w:rFonts w:eastAsia="MS Gothic"/>
              <w:b/>
              <w:bCs/>
              <w:color w:val="4F81BD"/>
            </w:rPr>
          </w:pPr>
        </w:p>
      </w:tc>
      <w:tc>
        <w:tcPr>
          <w:tcW w:w="0" w:type="auto"/>
          <w:vMerge/>
          <w:vAlign w:val="center"/>
          <w:hideMark/>
        </w:tcPr>
        <w:p w14:paraId="109042FB" w14:textId="77777777" w:rsidR="00B96537" w:rsidRPr="005A3173" w:rsidRDefault="00B96537" w:rsidP="005A3173">
          <w:pPr>
            <w:rPr>
              <w:color w:val="365F91"/>
              <w:sz w:val="22"/>
              <w:szCs w:val="22"/>
            </w:rPr>
          </w:pPr>
        </w:p>
      </w:tc>
      <w:tc>
        <w:tcPr>
          <w:tcW w:w="2250" w:type="pct"/>
          <w:tcBorders>
            <w:top w:val="single" w:sz="4" w:space="0" w:color="4F81BD"/>
            <w:left w:val="nil"/>
            <w:bottom w:val="nil"/>
            <w:right w:val="nil"/>
          </w:tcBorders>
        </w:tcPr>
        <w:p w14:paraId="09664199" w14:textId="77777777" w:rsidR="00B96537" w:rsidRPr="005A3173" w:rsidRDefault="00B96537" w:rsidP="005A3173">
          <w:pPr>
            <w:pStyle w:val="Header"/>
            <w:spacing w:line="276" w:lineRule="auto"/>
            <w:rPr>
              <w:rFonts w:eastAsia="MS Gothic"/>
              <w:b/>
              <w:bCs/>
              <w:color w:val="4F81BD"/>
            </w:rPr>
          </w:pPr>
        </w:p>
      </w:tc>
    </w:tr>
  </w:tbl>
  <w:p w14:paraId="21855C18" w14:textId="77777777" w:rsidR="00B96537" w:rsidRDefault="00B9653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B96537" w:rsidRDefault="00B96537">
    <w:pPr>
      <w:pStyle w:val="Footer"/>
    </w:pPr>
  </w:p>
  <w:p w14:paraId="48FFA445" w14:textId="77777777" w:rsidR="00B96537" w:rsidRDefault="00B965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87D1" w14:textId="77777777" w:rsidR="000C12A1" w:rsidRPr="007E1B8B" w:rsidRDefault="000C12A1">
    <w:pPr>
      <w:pStyle w:val="Footer"/>
      <w:jc w:val="center"/>
      <w:rPr>
        <w:caps/>
      </w:rPr>
    </w:pPr>
  </w:p>
  <w:p w14:paraId="44C1F528" w14:textId="6B65EEBD" w:rsidR="000C12A1" w:rsidRPr="00B83999" w:rsidRDefault="000C12A1" w:rsidP="00B83999">
    <w:pPr>
      <w:pStyle w:val="Footer"/>
      <w:jc w:val="center"/>
      <w:rPr>
        <w:b/>
        <w:bCs/>
        <w:caps/>
        <w:noProof/>
      </w:rPr>
    </w:pPr>
    <w:r w:rsidRPr="000C12A1">
      <w:rPr>
        <w:b/>
        <w:bCs/>
        <w:caps/>
      </w:rPr>
      <w:fldChar w:fldCharType="begin"/>
    </w:r>
    <w:r w:rsidRPr="000C12A1">
      <w:rPr>
        <w:b/>
        <w:bCs/>
        <w:caps/>
      </w:rPr>
      <w:instrText xml:space="preserve"> PAGE   \* MERGEFORMAT </w:instrText>
    </w:r>
    <w:r w:rsidRPr="000C12A1">
      <w:rPr>
        <w:b/>
        <w:bCs/>
        <w:caps/>
      </w:rPr>
      <w:fldChar w:fldCharType="separate"/>
    </w:r>
    <w:r w:rsidRPr="000C12A1">
      <w:rPr>
        <w:b/>
        <w:bCs/>
        <w:caps/>
        <w:noProof/>
      </w:rPr>
      <w:t>2</w:t>
    </w:r>
    <w:r w:rsidRPr="000C12A1">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B96537" w14:paraId="1B1A9BFB" w14:textId="77777777" w:rsidTr="005A3173">
      <w:trPr>
        <w:trHeight w:val="151"/>
      </w:trPr>
      <w:tc>
        <w:tcPr>
          <w:tcW w:w="2250" w:type="pct"/>
          <w:tcBorders>
            <w:top w:val="nil"/>
            <w:left w:val="nil"/>
            <w:bottom w:val="single" w:sz="4" w:space="0" w:color="4F81BD"/>
            <w:right w:val="nil"/>
          </w:tcBorders>
        </w:tcPr>
        <w:p w14:paraId="1AEC0F9B" w14:textId="77777777" w:rsidR="00B96537" w:rsidRPr="005A3173" w:rsidRDefault="00B96537"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B96537" w:rsidRPr="005A3173" w:rsidRDefault="00B965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B96537" w:rsidRPr="005A3173" w:rsidRDefault="00B96537" w:rsidP="005A3173">
          <w:pPr>
            <w:pStyle w:val="Header"/>
            <w:spacing w:line="276" w:lineRule="auto"/>
            <w:rPr>
              <w:rFonts w:eastAsia="MS Gothic"/>
              <w:b/>
              <w:bCs/>
              <w:color w:val="4F81BD"/>
            </w:rPr>
          </w:pPr>
        </w:p>
      </w:tc>
    </w:tr>
    <w:tr w:rsidR="00B96537" w14:paraId="0A17FD7B" w14:textId="77777777" w:rsidTr="005A3173">
      <w:trPr>
        <w:trHeight w:val="150"/>
      </w:trPr>
      <w:tc>
        <w:tcPr>
          <w:tcW w:w="2250" w:type="pct"/>
          <w:tcBorders>
            <w:top w:val="single" w:sz="4" w:space="0" w:color="4F81BD"/>
            <w:left w:val="nil"/>
            <w:bottom w:val="nil"/>
            <w:right w:val="nil"/>
          </w:tcBorders>
        </w:tcPr>
        <w:p w14:paraId="66DEA9D9" w14:textId="77777777" w:rsidR="00B96537" w:rsidRPr="005A3173" w:rsidRDefault="00B96537" w:rsidP="005A3173">
          <w:pPr>
            <w:pStyle w:val="Header"/>
            <w:spacing w:line="276" w:lineRule="auto"/>
            <w:rPr>
              <w:rFonts w:eastAsia="MS Gothic"/>
              <w:b/>
              <w:bCs/>
              <w:color w:val="4F81BD"/>
            </w:rPr>
          </w:pPr>
        </w:p>
      </w:tc>
      <w:tc>
        <w:tcPr>
          <w:tcW w:w="0" w:type="auto"/>
          <w:vMerge/>
          <w:vAlign w:val="center"/>
          <w:hideMark/>
        </w:tcPr>
        <w:p w14:paraId="0726D67B" w14:textId="77777777" w:rsidR="00B96537" w:rsidRPr="005A3173" w:rsidRDefault="00B96537" w:rsidP="005A3173">
          <w:pPr>
            <w:rPr>
              <w:color w:val="365F91"/>
              <w:sz w:val="22"/>
              <w:szCs w:val="22"/>
            </w:rPr>
          </w:pPr>
        </w:p>
      </w:tc>
      <w:tc>
        <w:tcPr>
          <w:tcW w:w="2250" w:type="pct"/>
          <w:tcBorders>
            <w:top w:val="single" w:sz="4" w:space="0" w:color="4F81BD"/>
            <w:left w:val="nil"/>
            <w:bottom w:val="nil"/>
            <w:right w:val="nil"/>
          </w:tcBorders>
        </w:tcPr>
        <w:p w14:paraId="77FEEEB1" w14:textId="77777777" w:rsidR="00B96537" w:rsidRPr="005A3173" w:rsidRDefault="00B9653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96537" w14:paraId="434C4AE3" w14:textId="77777777" w:rsidTr="005A3173">
      <w:trPr>
        <w:trHeight w:val="151"/>
      </w:trPr>
      <w:tc>
        <w:tcPr>
          <w:tcW w:w="2250" w:type="pct"/>
          <w:tcBorders>
            <w:top w:val="nil"/>
            <w:left w:val="nil"/>
            <w:bottom w:val="single" w:sz="4" w:space="0" w:color="4F81BD"/>
            <w:right w:val="nil"/>
          </w:tcBorders>
        </w:tcPr>
        <w:p w14:paraId="556410DA" w14:textId="77777777" w:rsidR="00B96537" w:rsidRPr="005A3173" w:rsidRDefault="00B96537"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B96537" w:rsidRPr="005A3173" w:rsidRDefault="00B965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B96537" w:rsidRPr="005A3173" w:rsidRDefault="00B96537" w:rsidP="005A3173">
          <w:pPr>
            <w:pStyle w:val="Header"/>
            <w:spacing w:line="276" w:lineRule="auto"/>
            <w:rPr>
              <w:rFonts w:eastAsia="MS Gothic"/>
              <w:b/>
              <w:bCs/>
              <w:color w:val="4F81BD"/>
            </w:rPr>
          </w:pPr>
        </w:p>
      </w:tc>
    </w:tr>
    <w:tr w:rsidR="00B96537" w14:paraId="2F5EEC4C" w14:textId="77777777" w:rsidTr="005A3173">
      <w:trPr>
        <w:trHeight w:val="150"/>
      </w:trPr>
      <w:tc>
        <w:tcPr>
          <w:tcW w:w="2250" w:type="pct"/>
          <w:tcBorders>
            <w:top w:val="single" w:sz="4" w:space="0" w:color="4F81BD"/>
            <w:left w:val="nil"/>
            <w:bottom w:val="nil"/>
            <w:right w:val="nil"/>
          </w:tcBorders>
        </w:tcPr>
        <w:p w14:paraId="60E1BA15" w14:textId="77777777" w:rsidR="00B96537" w:rsidRPr="005A3173" w:rsidRDefault="00B96537" w:rsidP="005A3173">
          <w:pPr>
            <w:pStyle w:val="Header"/>
            <w:spacing w:line="276" w:lineRule="auto"/>
            <w:rPr>
              <w:rFonts w:eastAsia="MS Gothic"/>
              <w:b/>
              <w:bCs/>
              <w:color w:val="4F81BD"/>
            </w:rPr>
          </w:pPr>
        </w:p>
      </w:tc>
      <w:tc>
        <w:tcPr>
          <w:tcW w:w="0" w:type="auto"/>
          <w:vMerge/>
          <w:vAlign w:val="center"/>
          <w:hideMark/>
        </w:tcPr>
        <w:p w14:paraId="4EACACBE" w14:textId="77777777" w:rsidR="00B96537" w:rsidRPr="005A3173" w:rsidRDefault="00B96537" w:rsidP="005A3173">
          <w:pPr>
            <w:rPr>
              <w:color w:val="365F91"/>
              <w:sz w:val="22"/>
              <w:szCs w:val="22"/>
            </w:rPr>
          </w:pPr>
        </w:p>
      </w:tc>
      <w:tc>
        <w:tcPr>
          <w:tcW w:w="2250" w:type="pct"/>
          <w:tcBorders>
            <w:top w:val="single" w:sz="4" w:space="0" w:color="4F81BD"/>
            <w:left w:val="nil"/>
            <w:bottom w:val="nil"/>
            <w:right w:val="nil"/>
          </w:tcBorders>
        </w:tcPr>
        <w:p w14:paraId="516BCB31" w14:textId="77777777" w:rsidR="00B96537" w:rsidRPr="005A3173" w:rsidRDefault="00B96537" w:rsidP="005A3173">
          <w:pPr>
            <w:pStyle w:val="Header"/>
            <w:spacing w:line="276" w:lineRule="auto"/>
            <w:rPr>
              <w:rFonts w:eastAsia="MS Gothic"/>
              <w:b/>
              <w:bCs/>
              <w:color w:val="4F81BD"/>
            </w:rPr>
          </w:pPr>
        </w:p>
      </w:tc>
    </w:tr>
  </w:tbl>
  <w:p w14:paraId="679BDCC0" w14:textId="77777777" w:rsidR="00B96537" w:rsidRPr="007C0F57" w:rsidRDefault="00B9653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B96537" w:rsidRPr="007C0F57" w:rsidRDefault="00B96537" w:rsidP="007C0F57">
    <w:pPr>
      <w:pStyle w:val="Footer"/>
      <w:jc w:val="center"/>
      <w:rPr>
        <w:b/>
        <w:i/>
        <w:sz w:val="20"/>
        <w:szCs w:val="20"/>
      </w:rPr>
    </w:pPr>
    <w:r w:rsidRPr="007C0F57">
      <w:rPr>
        <w:b/>
        <w:i/>
        <w:sz w:val="20"/>
        <w:szCs w:val="20"/>
      </w:rPr>
      <w:t>Commercial-in-Confidence</w:t>
    </w:r>
  </w:p>
  <w:p w14:paraId="36E9E30B" w14:textId="77777777" w:rsidR="00B96537" w:rsidRDefault="00B96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225B" w14:textId="77777777" w:rsidR="00374582" w:rsidRDefault="00374582">
      <w:r>
        <w:separator/>
      </w:r>
    </w:p>
    <w:p w14:paraId="51C5DE17" w14:textId="77777777" w:rsidR="00374582" w:rsidRDefault="00374582"/>
  </w:footnote>
  <w:footnote w:type="continuationSeparator" w:id="0">
    <w:p w14:paraId="47D3CAF7" w14:textId="77777777" w:rsidR="00374582" w:rsidRDefault="00374582">
      <w:r>
        <w:continuationSeparator/>
      </w:r>
    </w:p>
    <w:p w14:paraId="231E318F" w14:textId="77777777" w:rsidR="00374582" w:rsidRDefault="00374582"/>
  </w:footnote>
  <w:footnote w:type="continuationNotice" w:id="1">
    <w:p w14:paraId="7801E6F3" w14:textId="77777777" w:rsidR="00374582" w:rsidRDefault="00374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B96537" w:rsidRDefault="00B965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0D9EF61B" w:rsidR="00B96537" w:rsidRDefault="00C4285A" w:rsidP="00271888">
    <w:pPr>
      <w:keepNext/>
      <w:tabs>
        <w:tab w:val="center" w:pos="4513"/>
        <w:tab w:val="right" w:pos="9026"/>
      </w:tabs>
      <w:ind w:left="360"/>
      <w:jc w:val="center"/>
    </w:pPr>
    <w:bookmarkStart w:id="2" w:name="_Hlk76375146"/>
    <w:r w:rsidRPr="00C4285A">
      <w:rPr>
        <w:rFonts w:asciiTheme="minorHAnsi" w:hAnsiTheme="minorHAnsi" w:cs="Arial"/>
        <w:i/>
        <w:color w:val="808080"/>
      </w:rPr>
      <w:t>Public Summary Document – November 2023 PBAC Meeting</w:t>
    </w:r>
    <w:bookmarkEnd w:id="2"/>
  </w:p>
  <w:p w14:paraId="451EE165" w14:textId="77777777" w:rsidR="00416875" w:rsidRDefault="004168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2F8C" w14:textId="77777777" w:rsidR="00412891" w:rsidRDefault="004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E244B"/>
    <w:multiLevelType w:val="hybridMultilevel"/>
    <w:tmpl w:val="018E1210"/>
    <w:lvl w:ilvl="0" w:tplc="7046B79E">
      <w:start w:val="1"/>
      <w:numFmt w:val="upperLetter"/>
      <w:lvlText w:val="%1."/>
      <w:lvlJc w:val="left"/>
      <w:pPr>
        <w:ind w:left="360" w:hanging="360"/>
      </w:pPr>
      <w:rPr>
        <w:i w:val="0"/>
        <w:iCs/>
        <w:color w:val="auto"/>
      </w:rPr>
    </w:lvl>
    <w:lvl w:ilvl="1" w:tplc="0C090001">
      <w:start w:val="1"/>
      <w:numFmt w:val="bullet"/>
      <w:lvlText w:val=""/>
      <w:lvlJc w:val="left"/>
      <w:pPr>
        <w:ind w:left="1080"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7" w15:restartNumberingAfterBreak="0">
    <w:nsid w:val="25124C83"/>
    <w:multiLevelType w:val="hybridMultilevel"/>
    <w:tmpl w:val="49CEBD16"/>
    <w:lvl w:ilvl="0" w:tplc="8ED4C62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986B8F"/>
    <w:multiLevelType w:val="hybridMultilevel"/>
    <w:tmpl w:val="C2724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244933"/>
    <w:multiLevelType w:val="hybridMultilevel"/>
    <w:tmpl w:val="ACB657EE"/>
    <w:lvl w:ilvl="0" w:tplc="C7187956">
      <w:start w:val="1"/>
      <w:numFmt w:val="upperLetter"/>
      <w:lvlText w:val="%1."/>
      <w:lvlJc w:val="left"/>
      <w:pPr>
        <w:ind w:left="36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8C76397"/>
    <w:multiLevelType w:val="hybridMultilevel"/>
    <w:tmpl w:val="C6540BE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4A3628B"/>
    <w:multiLevelType w:val="hybridMultilevel"/>
    <w:tmpl w:val="8D6E2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7030860"/>
    <w:multiLevelType w:val="hybridMultilevel"/>
    <w:tmpl w:val="EAC62B84"/>
    <w:lvl w:ilvl="0" w:tplc="E158A700">
      <w:start w:val="1"/>
      <w:numFmt w:val="bullet"/>
      <w:lvlText w:val="•"/>
      <w:lvlJc w:val="left"/>
      <w:pPr>
        <w:tabs>
          <w:tab w:val="num" w:pos="720"/>
        </w:tabs>
        <w:ind w:left="720" w:hanging="360"/>
      </w:pPr>
      <w:rPr>
        <w:rFonts w:ascii="Arial" w:hAnsi="Arial" w:hint="default"/>
      </w:rPr>
    </w:lvl>
    <w:lvl w:ilvl="1" w:tplc="1856DA02">
      <w:start w:val="1"/>
      <w:numFmt w:val="bullet"/>
      <w:lvlText w:val="•"/>
      <w:lvlJc w:val="left"/>
      <w:pPr>
        <w:tabs>
          <w:tab w:val="num" w:pos="1440"/>
        </w:tabs>
        <w:ind w:left="1440" w:hanging="360"/>
      </w:pPr>
      <w:rPr>
        <w:rFonts w:ascii="Arial" w:hAnsi="Arial" w:hint="default"/>
      </w:rPr>
    </w:lvl>
    <w:lvl w:ilvl="2" w:tplc="0B982EBC" w:tentative="1">
      <w:start w:val="1"/>
      <w:numFmt w:val="bullet"/>
      <w:lvlText w:val="•"/>
      <w:lvlJc w:val="left"/>
      <w:pPr>
        <w:tabs>
          <w:tab w:val="num" w:pos="2160"/>
        </w:tabs>
        <w:ind w:left="2160" w:hanging="360"/>
      </w:pPr>
      <w:rPr>
        <w:rFonts w:ascii="Arial" w:hAnsi="Arial" w:hint="default"/>
      </w:rPr>
    </w:lvl>
    <w:lvl w:ilvl="3" w:tplc="57B084C2" w:tentative="1">
      <w:start w:val="1"/>
      <w:numFmt w:val="bullet"/>
      <w:lvlText w:val="•"/>
      <w:lvlJc w:val="left"/>
      <w:pPr>
        <w:tabs>
          <w:tab w:val="num" w:pos="2880"/>
        </w:tabs>
        <w:ind w:left="2880" w:hanging="360"/>
      </w:pPr>
      <w:rPr>
        <w:rFonts w:ascii="Arial" w:hAnsi="Arial" w:hint="default"/>
      </w:rPr>
    </w:lvl>
    <w:lvl w:ilvl="4" w:tplc="7B3644AE" w:tentative="1">
      <w:start w:val="1"/>
      <w:numFmt w:val="bullet"/>
      <w:lvlText w:val="•"/>
      <w:lvlJc w:val="left"/>
      <w:pPr>
        <w:tabs>
          <w:tab w:val="num" w:pos="3600"/>
        </w:tabs>
        <w:ind w:left="3600" w:hanging="360"/>
      </w:pPr>
      <w:rPr>
        <w:rFonts w:ascii="Arial" w:hAnsi="Arial" w:hint="default"/>
      </w:rPr>
    </w:lvl>
    <w:lvl w:ilvl="5" w:tplc="3BCE9C0A" w:tentative="1">
      <w:start w:val="1"/>
      <w:numFmt w:val="bullet"/>
      <w:lvlText w:val="•"/>
      <w:lvlJc w:val="left"/>
      <w:pPr>
        <w:tabs>
          <w:tab w:val="num" w:pos="4320"/>
        </w:tabs>
        <w:ind w:left="4320" w:hanging="360"/>
      </w:pPr>
      <w:rPr>
        <w:rFonts w:ascii="Arial" w:hAnsi="Arial" w:hint="default"/>
      </w:rPr>
    </w:lvl>
    <w:lvl w:ilvl="6" w:tplc="9822BBA8" w:tentative="1">
      <w:start w:val="1"/>
      <w:numFmt w:val="bullet"/>
      <w:lvlText w:val="•"/>
      <w:lvlJc w:val="left"/>
      <w:pPr>
        <w:tabs>
          <w:tab w:val="num" w:pos="5040"/>
        </w:tabs>
        <w:ind w:left="5040" w:hanging="360"/>
      </w:pPr>
      <w:rPr>
        <w:rFonts w:ascii="Arial" w:hAnsi="Arial" w:hint="default"/>
      </w:rPr>
    </w:lvl>
    <w:lvl w:ilvl="7" w:tplc="99E8C6A0" w:tentative="1">
      <w:start w:val="1"/>
      <w:numFmt w:val="bullet"/>
      <w:lvlText w:val="•"/>
      <w:lvlJc w:val="left"/>
      <w:pPr>
        <w:tabs>
          <w:tab w:val="num" w:pos="5760"/>
        </w:tabs>
        <w:ind w:left="5760" w:hanging="360"/>
      </w:pPr>
      <w:rPr>
        <w:rFonts w:ascii="Arial" w:hAnsi="Arial" w:hint="default"/>
      </w:rPr>
    </w:lvl>
    <w:lvl w:ilvl="8" w:tplc="6CF2F5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0C63644"/>
    <w:multiLevelType w:val="hybridMultilevel"/>
    <w:tmpl w:val="2D42C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83805435">
    <w:abstractNumId w:val="10"/>
  </w:num>
  <w:num w:numId="2" w16cid:durableId="2036036556">
    <w:abstractNumId w:val="25"/>
  </w:num>
  <w:num w:numId="3" w16cid:durableId="486635019">
    <w:abstractNumId w:val="0"/>
  </w:num>
  <w:num w:numId="4" w16cid:durableId="346758391">
    <w:abstractNumId w:val="18"/>
  </w:num>
  <w:num w:numId="5" w16cid:durableId="86002914">
    <w:abstractNumId w:val="27"/>
  </w:num>
  <w:num w:numId="6" w16cid:durableId="108160132">
    <w:abstractNumId w:val="22"/>
  </w:num>
  <w:num w:numId="7" w16cid:durableId="73400574">
    <w:abstractNumId w:val="16"/>
  </w:num>
  <w:num w:numId="8" w16cid:durableId="1829131987">
    <w:abstractNumId w:val="12"/>
  </w:num>
  <w:num w:numId="9" w16cid:durableId="749501077">
    <w:abstractNumId w:val="1"/>
  </w:num>
  <w:num w:numId="10" w16cid:durableId="967779160">
    <w:abstractNumId w:val="25"/>
  </w:num>
  <w:num w:numId="11" w16cid:durableId="249046986">
    <w:abstractNumId w:val="21"/>
  </w:num>
  <w:num w:numId="12" w16cid:durableId="138958107">
    <w:abstractNumId w:val="24"/>
  </w:num>
  <w:num w:numId="13" w16cid:durableId="269430965">
    <w:abstractNumId w:val="9"/>
  </w:num>
  <w:num w:numId="14" w16cid:durableId="681318516">
    <w:abstractNumId w:val="5"/>
  </w:num>
  <w:num w:numId="15" w16cid:durableId="183597210">
    <w:abstractNumId w:val="19"/>
  </w:num>
  <w:num w:numId="16" w16cid:durableId="149291942">
    <w:abstractNumId w:val="2"/>
  </w:num>
  <w:num w:numId="17" w16cid:durableId="191157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905828">
    <w:abstractNumId w:val="26"/>
  </w:num>
  <w:num w:numId="19" w16cid:durableId="1435396036">
    <w:abstractNumId w:val="17"/>
  </w:num>
  <w:num w:numId="20" w16cid:durableId="270283566">
    <w:abstractNumId w:val="4"/>
  </w:num>
  <w:num w:numId="21" w16cid:durableId="654189844">
    <w:abstractNumId w:val="3"/>
  </w:num>
  <w:num w:numId="22" w16cid:durableId="2129618177">
    <w:abstractNumId w:val="15"/>
  </w:num>
  <w:num w:numId="23" w16cid:durableId="12995353">
    <w:abstractNumId w:val="8"/>
  </w:num>
  <w:num w:numId="24" w16cid:durableId="1220483792">
    <w:abstractNumId w:val="6"/>
  </w:num>
  <w:num w:numId="25" w16cid:durableId="106900504">
    <w:abstractNumId w:val="25"/>
  </w:num>
  <w:num w:numId="26" w16cid:durableId="18940543">
    <w:abstractNumId w:val="23"/>
  </w:num>
  <w:num w:numId="27" w16cid:durableId="1314330834">
    <w:abstractNumId w:val="25"/>
  </w:num>
  <w:num w:numId="28" w16cid:durableId="462389194">
    <w:abstractNumId w:val="7"/>
  </w:num>
  <w:num w:numId="29" w16cid:durableId="1206719480">
    <w:abstractNumId w:val="11"/>
  </w:num>
  <w:num w:numId="30" w16cid:durableId="1721589569">
    <w:abstractNumId w:val="25"/>
  </w:num>
  <w:num w:numId="31" w16cid:durableId="184293273">
    <w:abstractNumId w:val="25"/>
  </w:num>
  <w:num w:numId="32" w16cid:durableId="566038161">
    <w:abstractNumId w:val="14"/>
  </w:num>
  <w:num w:numId="33" w16cid:durableId="1048072587">
    <w:abstractNumId w:val="25"/>
  </w:num>
  <w:num w:numId="34" w16cid:durableId="931476649">
    <w:abstractNumId w:val="25"/>
  </w:num>
  <w:num w:numId="35" w16cid:durableId="1614284794">
    <w:abstractNumId w:val="25"/>
  </w:num>
  <w:num w:numId="36" w16cid:durableId="1000082358">
    <w:abstractNumId w:val="25"/>
  </w:num>
  <w:num w:numId="37" w16cid:durableId="1635942049">
    <w:abstractNumId w:val="13"/>
  </w:num>
  <w:num w:numId="38" w16cid:durableId="464472682">
    <w:abstractNumId w:val="25"/>
  </w:num>
  <w:num w:numId="39" w16cid:durableId="1294628622">
    <w:abstractNumId w:val="25"/>
  </w:num>
  <w:num w:numId="40" w16cid:durableId="1067006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E35"/>
    <w:rsid w:val="0000335D"/>
    <w:rsid w:val="00006659"/>
    <w:rsid w:val="00006782"/>
    <w:rsid w:val="00007297"/>
    <w:rsid w:val="0001179A"/>
    <w:rsid w:val="00011A59"/>
    <w:rsid w:val="00014D69"/>
    <w:rsid w:val="00016A41"/>
    <w:rsid w:val="000214D1"/>
    <w:rsid w:val="0002464A"/>
    <w:rsid w:val="00025A04"/>
    <w:rsid w:val="0002693D"/>
    <w:rsid w:val="0003050E"/>
    <w:rsid w:val="0003106B"/>
    <w:rsid w:val="00034905"/>
    <w:rsid w:val="0003743F"/>
    <w:rsid w:val="00040A30"/>
    <w:rsid w:val="00041373"/>
    <w:rsid w:val="000417A7"/>
    <w:rsid w:val="000421A1"/>
    <w:rsid w:val="0004240E"/>
    <w:rsid w:val="00044EC4"/>
    <w:rsid w:val="00045E26"/>
    <w:rsid w:val="00046903"/>
    <w:rsid w:val="000514B5"/>
    <w:rsid w:val="0005322E"/>
    <w:rsid w:val="00054E2B"/>
    <w:rsid w:val="00055483"/>
    <w:rsid w:val="000568C1"/>
    <w:rsid w:val="00057AA5"/>
    <w:rsid w:val="00060B02"/>
    <w:rsid w:val="00060E64"/>
    <w:rsid w:val="0006117F"/>
    <w:rsid w:val="000621AB"/>
    <w:rsid w:val="00062E88"/>
    <w:rsid w:val="00062E8A"/>
    <w:rsid w:val="00064023"/>
    <w:rsid w:val="00065213"/>
    <w:rsid w:val="00066193"/>
    <w:rsid w:val="00066755"/>
    <w:rsid w:val="00071132"/>
    <w:rsid w:val="00071A5B"/>
    <w:rsid w:val="00072730"/>
    <w:rsid w:val="0007337F"/>
    <w:rsid w:val="00074320"/>
    <w:rsid w:val="000763D5"/>
    <w:rsid w:val="00076C38"/>
    <w:rsid w:val="00077143"/>
    <w:rsid w:val="00077DF7"/>
    <w:rsid w:val="0008050C"/>
    <w:rsid w:val="00081E9A"/>
    <w:rsid w:val="00082169"/>
    <w:rsid w:val="000834BE"/>
    <w:rsid w:val="00083F01"/>
    <w:rsid w:val="0008642A"/>
    <w:rsid w:val="00087C4C"/>
    <w:rsid w:val="000906B8"/>
    <w:rsid w:val="000918CB"/>
    <w:rsid w:val="00091B06"/>
    <w:rsid w:val="000951C4"/>
    <w:rsid w:val="00095ADA"/>
    <w:rsid w:val="000969AD"/>
    <w:rsid w:val="000975FB"/>
    <w:rsid w:val="000A02F8"/>
    <w:rsid w:val="000A1BB9"/>
    <w:rsid w:val="000A3AA2"/>
    <w:rsid w:val="000A44B2"/>
    <w:rsid w:val="000A52F6"/>
    <w:rsid w:val="000A58B8"/>
    <w:rsid w:val="000B23B1"/>
    <w:rsid w:val="000B3304"/>
    <w:rsid w:val="000B44C3"/>
    <w:rsid w:val="000B54D8"/>
    <w:rsid w:val="000B558D"/>
    <w:rsid w:val="000B5A89"/>
    <w:rsid w:val="000B65F6"/>
    <w:rsid w:val="000B7767"/>
    <w:rsid w:val="000C0371"/>
    <w:rsid w:val="000C12A1"/>
    <w:rsid w:val="000C5F95"/>
    <w:rsid w:val="000C6996"/>
    <w:rsid w:val="000C7C46"/>
    <w:rsid w:val="000D09E9"/>
    <w:rsid w:val="000D113F"/>
    <w:rsid w:val="000D21B1"/>
    <w:rsid w:val="000D23BA"/>
    <w:rsid w:val="000D3187"/>
    <w:rsid w:val="000D577F"/>
    <w:rsid w:val="000E0676"/>
    <w:rsid w:val="000E06FA"/>
    <w:rsid w:val="000E19B7"/>
    <w:rsid w:val="000E1FC2"/>
    <w:rsid w:val="000E20FC"/>
    <w:rsid w:val="000E2AE8"/>
    <w:rsid w:val="000E3DFB"/>
    <w:rsid w:val="000E5EA1"/>
    <w:rsid w:val="000E681E"/>
    <w:rsid w:val="000E696B"/>
    <w:rsid w:val="000E7E52"/>
    <w:rsid w:val="000E7E90"/>
    <w:rsid w:val="000EE1C7"/>
    <w:rsid w:val="000F0003"/>
    <w:rsid w:val="000F3384"/>
    <w:rsid w:val="000F4CDA"/>
    <w:rsid w:val="000F4E6A"/>
    <w:rsid w:val="000F7354"/>
    <w:rsid w:val="001010D2"/>
    <w:rsid w:val="00101ABE"/>
    <w:rsid w:val="00102202"/>
    <w:rsid w:val="00102700"/>
    <w:rsid w:val="00102A78"/>
    <w:rsid w:val="00103118"/>
    <w:rsid w:val="00103F1B"/>
    <w:rsid w:val="00104227"/>
    <w:rsid w:val="00104C2E"/>
    <w:rsid w:val="001053D5"/>
    <w:rsid w:val="001107BF"/>
    <w:rsid w:val="00110FCB"/>
    <w:rsid w:val="001123B2"/>
    <w:rsid w:val="00112C3C"/>
    <w:rsid w:val="00113649"/>
    <w:rsid w:val="00113D5C"/>
    <w:rsid w:val="00114C40"/>
    <w:rsid w:val="00116B03"/>
    <w:rsid w:val="00120AA6"/>
    <w:rsid w:val="001239DB"/>
    <w:rsid w:val="0012417C"/>
    <w:rsid w:val="00124BF2"/>
    <w:rsid w:val="00124C40"/>
    <w:rsid w:val="00125837"/>
    <w:rsid w:val="0012597F"/>
    <w:rsid w:val="00126B19"/>
    <w:rsid w:val="00126D3A"/>
    <w:rsid w:val="0012749D"/>
    <w:rsid w:val="001306A5"/>
    <w:rsid w:val="00130918"/>
    <w:rsid w:val="001311AE"/>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3D4"/>
    <w:rsid w:val="00162BDD"/>
    <w:rsid w:val="00162D4E"/>
    <w:rsid w:val="00163329"/>
    <w:rsid w:val="00164623"/>
    <w:rsid w:val="001652DE"/>
    <w:rsid w:val="00165329"/>
    <w:rsid w:val="001653EC"/>
    <w:rsid w:val="00165B64"/>
    <w:rsid w:val="001663E0"/>
    <w:rsid w:val="00167C39"/>
    <w:rsid w:val="00167EEB"/>
    <w:rsid w:val="00175DD6"/>
    <w:rsid w:val="001765AD"/>
    <w:rsid w:val="00176B9D"/>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4AF5"/>
    <w:rsid w:val="001B4BD1"/>
    <w:rsid w:val="001B5129"/>
    <w:rsid w:val="001C0B4C"/>
    <w:rsid w:val="001C0EC4"/>
    <w:rsid w:val="001C1195"/>
    <w:rsid w:val="001C12AE"/>
    <w:rsid w:val="001C1E84"/>
    <w:rsid w:val="001C2A0F"/>
    <w:rsid w:val="001C2E42"/>
    <w:rsid w:val="001D1F5F"/>
    <w:rsid w:val="001D2F55"/>
    <w:rsid w:val="001D341B"/>
    <w:rsid w:val="001E06D2"/>
    <w:rsid w:val="001E17C4"/>
    <w:rsid w:val="001E2D65"/>
    <w:rsid w:val="001F005B"/>
    <w:rsid w:val="001F1850"/>
    <w:rsid w:val="001F1FBF"/>
    <w:rsid w:val="001F2311"/>
    <w:rsid w:val="001F2B80"/>
    <w:rsid w:val="001F2F1C"/>
    <w:rsid w:val="001F3189"/>
    <w:rsid w:val="001F3834"/>
    <w:rsid w:val="001F4F6B"/>
    <w:rsid w:val="00200BEA"/>
    <w:rsid w:val="00201024"/>
    <w:rsid w:val="00201FB8"/>
    <w:rsid w:val="00203FAC"/>
    <w:rsid w:val="002133FB"/>
    <w:rsid w:val="00213CFB"/>
    <w:rsid w:val="0021553C"/>
    <w:rsid w:val="0021557B"/>
    <w:rsid w:val="0021660D"/>
    <w:rsid w:val="00216B87"/>
    <w:rsid w:val="002174FD"/>
    <w:rsid w:val="00217BE1"/>
    <w:rsid w:val="002214B9"/>
    <w:rsid w:val="00222680"/>
    <w:rsid w:val="00223370"/>
    <w:rsid w:val="00227BC5"/>
    <w:rsid w:val="00230DDB"/>
    <w:rsid w:val="00230F63"/>
    <w:rsid w:val="00232BE3"/>
    <w:rsid w:val="00234252"/>
    <w:rsid w:val="0023466E"/>
    <w:rsid w:val="00234C6A"/>
    <w:rsid w:val="00237AC6"/>
    <w:rsid w:val="00242BFD"/>
    <w:rsid w:val="00244139"/>
    <w:rsid w:val="00244490"/>
    <w:rsid w:val="00244BEC"/>
    <w:rsid w:val="0024598E"/>
    <w:rsid w:val="00245B9C"/>
    <w:rsid w:val="00245CF7"/>
    <w:rsid w:val="00252587"/>
    <w:rsid w:val="00253499"/>
    <w:rsid w:val="002551A4"/>
    <w:rsid w:val="00257664"/>
    <w:rsid w:val="00260165"/>
    <w:rsid w:val="00264095"/>
    <w:rsid w:val="00265151"/>
    <w:rsid w:val="00265C2C"/>
    <w:rsid w:val="00266509"/>
    <w:rsid w:val="00266A70"/>
    <w:rsid w:val="00266D60"/>
    <w:rsid w:val="00270573"/>
    <w:rsid w:val="00271888"/>
    <w:rsid w:val="00271BA1"/>
    <w:rsid w:val="00273AC5"/>
    <w:rsid w:val="00276111"/>
    <w:rsid w:val="002762FA"/>
    <w:rsid w:val="00276B51"/>
    <w:rsid w:val="00277505"/>
    <w:rsid w:val="00277873"/>
    <w:rsid w:val="0028158C"/>
    <w:rsid w:val="00281AC8"/>
    <w:rsid w:val="002823B6"/>
    <w:rsid w:val="00287D4C"/>
    <w:rsid w:val="00290C03"/>
    <w:rsid w:val="00292E3B"/>
    <w:rsid w:val="002933A8"/>
    <w:rsid w:val="00294274"/>
    <w:rsid w:val="0029458F"/>
    <w:rsid w:val="00297A63"/>
    <w:rsid w:val="002A018F"/>
    <w:rsid w:val="002A0E04"/>
    <w:rsid w:val="002A104C"/>
    <w:rsid w:val="002A1EF7"/>
    <w:rsid w:val="002A2B7B"/>
    <w:rsid w:val="002A494D"/>
    <w:rsid w:val="002A4960"/>
    <w:rsid w:val="002A62FD"/>
    <w:rsid w:val="002A636A"/>
    <w:rsid w:val="002A750E"/>
    <w:rsid w:val="002A755F"/>
    <w:rsid w:val="002B0AE0"/>
    <w:rsid w:val="002B1AE6"/>
    <w:rsid w:val="002B1D51"/>
    <w:rsid w:val="002B1F00"/>
    <w:rsid w:val="002B2DE8"/>
    <w:rsid w:val="002B30F8"/>
    <w:rsid w:val="002B388A"/>
    <w:rsid w:val="002B3BFE"/>
    <w:rsid w:val="002B3C1A"/>
    <w:rsid w:val="002B5596"/>
    <w:rsid w:val="002B77D7"/>
    <w:rsid w:val="002C047C"/>
    <w:rsid w:val="002C212F"/>
    <w:rsid w:val="002C2F35"/>
    <w:rsid w:val="002C4780"/>
    <w:rsid w:val="002C6AA9"/>
    <w:rsid w:val="002C7485"/>
    <w:rsid w:val="002D014C"/>
    <w:rsid w:val="002D2641"/>
    <w:rsid w:val="002D283A"/>
    <w:rsid w:val="002D4543"/>
    <w:rsid w:val="002D4973"/>
    <w:rsid w:val="002E022A"/>
    <w:rsid w:val="002E0562"/>
    <w:rsid w:val="002E3153"/>
    <w:rsid w:val="002E39D4"/>
    <w:rsid w:val="002E4A02"/>
    <w:rsid w:val="002E5292"/>
    <w:rsid w:val="002E72CA"/>
    <w:rsid w:val="002E75DD"/>
    <w:rsid w:val="002F15D2"/>
    <w:rsid w:val="002F1D07"/>
    <w:rsid w:val="002F5C5B"/>
    <w:rsid w:val="002F600D"/>
    <w:rsid w:val="002F6F0F"/>
    <w:rsid w:val="002F7E47"/>
    <w:rsid w:val="00300AD6"/>
    <w:rsid w:val="00300B1B"/>
    <w:rsid w:val="00300FBA"/>
    <w:rsid w:val="00301795"/>
    <w:rsid w:val="003019D0"/>
    <w:rsid w:val="003019DE"/>
    <w:rsid w:val="00304BE3"/>
    <w:rsid w:val="00304C25"/>
    <w:rsid w:val="003064AF"/>
    <w:rsid w:val="00307DC6"/>
    <w:rsid w:val="00310A8B"/>
    <w:rsid w:val="00310B68"/>
    <w:rsid w:val="0031104E"/>
    <w:rsid w:val="003160D2"/>
    <w:rsid w:val="003173FC"/>
    <w:rsid w:val="00317C6C"/>
    <w:rsid w:val="00320B80"/>
    <w:rsid w:val="00320CD3"/>
    <w:rsid w:val="003215FF"/>
    <w:rsid w:val="00322667"/>
    <w:rsid w:val="0032607C"/>
    <w:rsid w:val="00326E79"/>
    <w:rsid w:val="0032748A"/>
    <w:rsid w:val="003301B1"/>
    <w:rsid w:val="00331189"/>
    <w:rsid w:val="0033263D"/>
    <w:rsid w:val="003329DA"/>
    <w:rsid w:val="00334E69"/>
    <w:rsid w:val="0033518A"/>
    <w:rsid w:val="00335535"/>
    <w:rsid w:val="003367EF"/>
    <w:rsid w:val="00337788"/>
    <w:rsid w:val="00341737"/>
    <w:rsid w:val="00341AE4"/>
    <w:rsid w:val="003431BC"/>
    <w:rsid w:val="00343AEB"/>
    <w:rsid w:val="00343FB7"/>
    <w:rsid w:val="00347343"/>
    <w:rsid w:val="003476EE"/>
    <w:rsid w:val="003541DD"/>
    <w:rsid w:val="00356E5B"/>
    <w:rsid w:val="00360887"/>
    <w:rsid w:val="0036249F"/>
    <w:rsid w:val="003628BE"/>
    <w:rsid w:val="003640AE"/>
    <w:rsid w:val="00364CD0"/>
    <w:rsid w:val="00371246"/>
    <w:rsid w:val="00372295"/>
    <w:rsid w:val="003736C9"/>
    <w:rsid w:val="00374582"/>
    <w:rsid w:val="00383B77"/>
    <w:rsid w:val="00384988"/>
    <w:rsid w:val="003872CF"/>
    <w:rsid w:val="003874CB"/>
    <w:rsid w:val="0039782C"/>
    <w:rsid w:val="003A13A6"/>
    <w:rsid w:val="003A2165"/>
    <w:rsid w:val="003A2ECC"/>
    <w:rsid w:val="003A3AF3"/>
    <w:rsid w:val="003A5B4A"/>
    <w:rsid w:val="003A5D95"/>
    <w:rsid w:val="003A619C"/>
    <w:rsid w:val="003A6510"/>
    <w:rsid w:val="003A6AED"/>
    <w:rsid w:val="003A74E2"/>
    <w:rsid w:val="003B0274"/>
    <w:rsid w:val="003B0D3A"/>
    <w:rsid w:val="003B2302"/>
    <w:rsid w:val="003B23C5"/>
    <w:rsid w:val="003B2A75"/>
    <w:rsid w:val="003B49B2"/>
    <w:rsid w:val="003B6124"/>
    <w:rsid w:val="003B7960"/>
    <w:rsid w:val="003C0908"/>
    <w:rsid w:val="003C093A"/>
    <w:rsid w:val="003C1ECF"/>
    <w:rsid w:val="003C2FB5"/>
    <w:rsid w:val="003C5CC9"/>
    <w:rsid w:val="003C7602"/>
    <w:rsid w:val="003D24C5"/>
    <w:rsid w:val="003D394B"/>
    <w:rsid w:val="003D3F31"/>
    <w:rsid w:val="003D4594"/>
    <w:rsid w:val="003D4AC4"/>
    <w:rsid w:val="003D5433"/>
    <w:rsid w:val="003D63B7"/>
    <w:rsid w:val="003D74C5"/>
    <w:rsid w:val="003E25BB"/>
    <w:rsid w:val="003E3BBF"/>
    <w:rsid w:val="003E4374"/>
    <w:rsid w:val="003E468B"/>
    <w:rsid w:val="003E62BD"/>
    <w:rsid w:val="003E658D"/>
    <w:rsid w:val="003F044F"/>
    <w:rsid w:val="003F0C3A"/>
    <w:rsid w:val="003F15F0"/>
    <w:rsid w:val="003F2AD9"/>
    <w:rsid w:val="003F3228"/>
    <w:rsid w:val="003F32C9"/>
    <w:rsid w:val="003F5C8C"/>
    <w:rsid w:val="003F63CE"/>
    <w:rsid w:val="003F775A"/>
    <w:rsid w:val="004002D6"/>
    <w:rsid w:val="00400B60"/>
    <w:rsid w:val="00400E55"/>
    <w:rsid w:val="0040128E"/>
    <w:rsid w:val="0040216B"/>
    <w:rsid w:val="0040590E"/>
    <w:rsid w:val="00406E6F"/>
    <w:rsid w:val="00407CC8"/>
    <w:rsid w:val="004107C4"/>
    <w:rsid w:val="00412891"/>
    <w:rsid w:val="00414F0C"/>
    <w:rsid w:val="00416875"/>
    <w:rsid w:val="00420400"/>
    <w:rsid w:val="00421CB3"/>
    <w:rsid w:val="00422914"/>
    <w:rsid w:val="00422AB3"/>
    <w:rsid w:val="00423E78"/>
    <w:rsid w:val="004252EC"/>
    <w:rsid w:val="00430D39"/>
    <w:rsid w:val="00442C91"/>
    <w:rsid w:val="00445DA2"/>
    <w:rsid w:val="004465BD"/>
    <w:rsid w:val="00446938"/>
    <w:rsid w:val="00451981"/>
    <w:rsid w:val="004528FA"/>
    <w:rsid w:val="00455F9D"/>
    <w:rsid w:val="00461A44"/>
    <w:rsid w:val="00462D26"/>
    <w:rsid w:val="00462FCD"/>
    <w:rsid w:val="0046368B"/>
    <w:rsid w:val="0046385A"/>
    <w:rsid w:val="00464039"/>
    <w:rsid w:val="00466835"/>
    <w:rsid w:val="00466ADA"/>
    <w:rsid w:val="004702BB"/>
    <w:rsid w:val="0047494B"/>
    <w:rsid w:val="00476245"/>
    <w:rsid w:val="00476409"/>
    <w:rsid w:val="0047657F"/>
    <w:rsid w:val="00477A9B"/>
    <w:rsid w:val="00482AE4"/>
    <w:rsid w:val="00482CF8"/>
    <w:rsid w:val="00482EA0"/>
    <w:rsid w:val="00483035"/>
    <w:rsid w:val="00485940"/>
    <w:rsid w:val="00486C95"/>
    <w:rsid w:val="004877C2"/>
    <w:rsid w:val="004904B9"/>
    <w:rsid w:val="00491E86"/>
    <w:rsid w:val="004928E1"/>
    <w:rsid w:val="00492D8D"/>
    <w:rsid w:val="00494415"/>
    <w:rsid w:val="00496662"/>
    <w:rsid w:val="004A1431"/>
    <w:rsid w:val="004A2484"/>
    <w:rsid w:val="004A57AB"/>
    <w:rsid w:val="004A5A85"/>
    <w:rsid w:val="004A5C61"/>
    <w:rsid w:val="004A71D1"/>
    <w:rsid w:val="004A7C5B"/>
    <w:rsid w:val="004B1845"/>
    <w:rsid w:val="004B1ED8"/>
    <w:rsid w:val="004B2348"/>
    <w:rsid w:val="004B2E01"/>
    <w:rsid w:val="004B2E98"/>
    <w:rsid w:val="004B5432"/>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0711"/>
    <w:rsid w:val="004D2CD1"/>
    <w:rsid w:val="004D4FF6"/>
    <w:rsid w:val="004D5ADD"/>
    <w:rsid w:val="004E692D"/>
    <w:rsid w:val="004E7230"/>
    <w:rsid w:val="004E7D87"/>
    <w:rsid w:val="004F0718"/>
    <w:rsid w:val="004F2553"/>
    <w:rsid w:val="004F306A"/>
    <w:rsid w:val="004F5488"/>
    <w:rsid w:val="004F6DF4"/>
    <w:rsid w:val="005006A0"/>
    <w:rsid w:val="00501554"/>
    <w:rsid w:val="00502AFE"/>
    <w:rsid w:val="00502E64"/>
    <w:rsid w:val="00503AD7"/>
    <w:rsid w:val="00503E89"/>
    <w:rsid w:val="00504DDA"/>
    <w:rsid w:val="00504E0C"/>
    <w:rsid w:val="00504E13"/>
    <w:rsid w:val="005076DC"/>
    <w:rsid w:val="005109D4"/>
    <w:rsid w:val="0051230A"/>
    <w:rsid w:val="00514CD7"/>
    <w:rsid w:val="005167EC"/>
    <w:rsid w:val="00516FCB"/>
    <w:rsid w:val="005170DA"/>
    <w:rsid w:val="00520D6A"/>
    <w:rsid w:val="00522DB6"/>
    <w:rsid w:val="005264A7"/>
    <w:rsid w:val="0052792D"/>
    <w:rsid w:val="00531985"/>
    <w:rsid w:val="005319B2"/>
    <w:rsid w:val="00532402"/>
    <w:rsid w:val="00532C74"/>
    <w:rsid w:val="00533239"/>
    <w:rsid w:val="00534AFA"/>
    <w:rsid w:val="00534E2E"/>
    <w:rsid w:val="00535133"/>
    <w:rsid w:val="00535A48"/>
    <w:rsid w:val="00536502"/>
    <w:rsid w:val="00536900"/>
    <w:rsid w:val="0054064C"/>
    <w:rsid w:val="00544552"/>
    <w:rsid w:val="00545130"/>
    <w:rsid w:val="00546B36"/>
    <w:rsid w:val="00546FB8"/>
    <w:rsid w:val="00547387"/>
    <w:rsid w:val="0055286A"/>
    <w:rsid w:val="00552AD8"/>
    <w:rsid w:val="00555745"/>
    <w:rsid w:val="00557A9C"/>
    <w:rsid w:val="00557D4F"/>
    <w:rsid w:val="0056122E"/>
    <w:rsid w:val="00562F51"/>
    <w:rsid w:val="0056484E"/>
    <w:rsid w:val="00565999"/>
    <w:rsid w:val="00567D8A"/>
    <w:rsid w:val="00570231"/>
    <w:rsid w:val="005764CD"/>
    <w:rsid w:val="00577C4D"/>
    <w:rsid w:val="00580532"/>
    <w:rsid w:val="00581932"/>
    <w:rsid w:val="00583F7A"/>
    <w:rsid w:val="00586D7B"/>
    <w:rsid w:val="0058769A"/>
    <w:rsid w:val="005903BB"/>
    <w:rsid w:val="005923DB"/>
    <w:rsid w:val="00593893"/>
    <w:rsid w:val="0059542B"/>
    <w:rsid w:val="005963BB"/>
    <w:rsid w:val="005A15D2"/>
    <w:rsid w:val="005A3173"/>
    <w:rsid w:val="005A3223"/>
    <w:rsid w:val="005A3DA3"/>
    <w:rsid w:val="005A52C4"/>
    <w:rsid w:val="005A63A1"/>
    <w:rsid w:val="005B0486"/>
    <w:rsid w:val="005B13C0"/>
    <w:rsid w:val="005B1473"/>
    <w:rsid w:val="005B2F59"/>
    <w:rsid w:val="005B36FA"/>
    <w:rsid w:val="005C46ED"/>
    <w:rsid w:val="005C46FF"/>
    <w:rsid w:val="005C4F73"/>
    <w:rsid w:val="005D03AB"/>
    <w:rsid w:val="005D401D"/>
    <w:rsid w:val="005D5017"/>
    <w:rsid w:val="005D5708"/>
    <w:rsid w:val="005D63FA"/>
    <w:rsid w:val="005D73C7"/>
    <w:rsid w:val="005D7987"/>
    <w:rsid w:val="005E0C2D"/>
    <w:rsid w:val="005E0D82"/>
    <w:rsid w:val="005E0F59"/>
    <w:rsid w:val="005E1333"/>
    <w:rsid w:val="005E1E6E"/>
    <w:rsid w:val="005E2B83"/>
    <w:rsid w:val="005E3136"/>
    <w:rsid w:val="005E4B39"/>
    <w:rsid w:val="005E507D"/>
    <w:rsid w:val="005F0AD0"/>
    <w:rsid w:val="005F175E"/>
    <w:rsid w:val="005F251A"/>
    <w:rsid w:val="00601A91"/>
    <w:rsid w:val="00602BA3"/>
    <w:rsid w:val="00603B68"/>
    <w:rsid w:val="00605B63"/>
    <w:rsid w:val="00605F9A"/>
    <w:rsid w:val="006062C8"/>
    <w:rsid w:val="00606442"/>
    <w:rsid w:val="00606EED"/>
    <w:rsid w:val="00612A95"/>
    <w:rsid w:val="00612E34"/>
    <w:rsid w:val="00614159"/>
    <w:rsid w:val="00614AAA"/>
    <w:rsid w:val="006158A3"/>
    <w:rsid w:val="00615997"/>
    <w:rsid w:val="00616C5F"/>
    <w:rsid w:val="00616DAC"/>
    <w:rsid w:val="00617725"/>
    <w:rsid w:val="00617C00"/>
    <w:rsid w:val="00617FF0"/>
    <w:rsid w:val="00624D76"/>
    <w:rsid w:val="00625C70"/>
    <w:rsid w:val="00626350"/>
    <w:rsid w:val="006263BF"/>
    <w:rsid w:val="00627366"/>
    <w:rsid w:val="0062748A"/>
    <w:rsid w:val="00630546"/>
    <w:rsid w:val="00630A2C"/>
    <w:rsid w:val="00634A75"/>
    <w:rsid w:val="0063682E"/>
    <w:rsid w:val="00640088"/>
    <w:rsid w:val="00642672"/>
    <w:rsid w:val="00642DA8"/>
    <w:rsid w:val="00643620"/>
    <w:rsid w:val="006436CD"/>
    <w:rsid w:val="00651169"/>
    <w:rsid w:val="00653D69"/>
    <w:rsid w:val="006552E6"/>
    <w:rsid w:val="00655794"/>
    <w:rsid w:val="00656F2F"/>
    <w:rsid w:val="00657C63"/>
    <w:rsid w:val="00661CBC"/>
    <w:rsid w:val="00662B4E"/>
    <w:rsid w:val="00662B85"/>
    <w:rsid w:val="00664E52"/>
    <w:rsid w:val="0066658B"/>
    <w:rsid w:val="006670BE"/>
    <w:rsid w:val="00670A76"/>
    <w:rsid w:val="006711AA"/>
    <w:rsid w:val="00671EF6"/>
    <w:rsid w:val="00672B57"/>
    <w:rsid w:val="00673F1F"/>
    <w:rsid w:val="00675622"/>
    <w:rsid w:val="0067747D"/>
    <w:rsid w:val="006818D5"/>
    <w:rsid w:val="00681CA4"/>
    <w:rsid w:val="0069039D"/>
    <w:rsid w:val="006906DB"/>
    <w:rsid w:val="00691649"/>
    <w:rsid w:val="00691900"/>
    <w:rsid w:val="00691E6C"/>
    <w:rsid w:val="0069342D"/>
    <w:rsid w:val="00693DFB"/>
    <w:rsid w:val="00694FD5"/>
    <w:rsid w:val="0069501D"/>
    <w:rsid w:val="006956A9"/>
    <w:rsid w:val="00696129"/>
    <w:rsid w:val="00697CF2"/>
    <w:rsid w:val="006A12A5"/>
    <w:rsid w:val="006A2515"/>
    <w:rsid w:val="006A5E20"/>
    <w:rsid w:val="006B0D94"/>
    <w:rsid w:val="006B14CF"/>
    <w:rsid w:val="006B16B6"/>
    <w:rsid w:val="006B485D"/>
    <w:rsid w:val="006C0C45"/>
    <w:rsid w:val="006C334C"/>
    <w:rsid w:val="006C6C10"/>
    <w:rsid w:val="006C708E"/>
    <w:rsid w:val="006D14E7"/>
    <w:rsid w:val="006D4444"/>
    <w:rsid w:val="006D6493"/>
    <w:rsid w:val="006D6EC7"/>
    <w:rsid w:val="006D7E45"/>
    <w:rsid w:val="006E1143"/>
    <w:rsid w:val="006E1BCD"/>
    <w:rsid w:val="006E2732"/>
    <w:rsid w:val="006E59CD"/>
    <w:rsid w:val="006F0A71"/>
    <w:rsid w:val="006F1C6B"/>
    <w:rsid w:val="006F40C2"/>
    <w:rsid w:val="006F5125"/>
    <w:rsid w:val="006F696E"/>
    <w:rsid w:val="006F733D"/>
    <w:rsid w:val="00700765"/>
    <w:rsid w:val="00702959"/>
    <w:rsid w:val="00702B6F"/>
    <w:rsid w:val="007030B4"/>
    <w:rsid w:val="00703B86"/>
    <w:rsid w:val="00704069"/>
    <w:rsid w:val="00706A2F"/>
    <w:rsid w:val="00706B7F"/>
    <w:rsid w:val="0070718E"/>
    <w:rsid w:val="00707E52"/>
    <w:rsid w:val="00710259"/>
    <w:rsid w:val="0071031F"/>
    <w:rsid w:val="00710737"/>
    <w:rsid w:val="0071340B"/>
    <w:rsid w:val="00713C50"/>
    <w:rsid w:val="00714269"/>
    <w:rsid w:val="007142CA"/>
    <w:rsid w:val="0071436D"/>
    <w:rsid w:val="00715BBB"/>
    <w:rsid w:val="007174BB"/>
    <w:rsid w:val="0072025D"/>
    <w:rsid w:val="00723328"/>
    <w:rsid w:val="007237DE"/>
    <w:rsid w:val="0072502E"/>
    <w:rsid w:val="0073137C"/>
    <w:rsid w:val="007340B9"/>
    <w:rsid w:val="007353D3"/>
    <w:rsid w:val="007371EE"/>
    <w:rsid w:val="0074156B"/>
    <w:rsid w:val="00741619"/>
    <w:rsid w:val="00744CBA"/>
    <w:rsid w:val="007455B2"/>
    <w:rsid w:val="00747092"/>
    <w:rsid w:val="00751DD2"/>
    <w:rsid w:val="007526E6"/>
    <w:rsid w:val="0075295B"/>
    <w:rsid w:val="00754DF9"/>
    <w:rsid w:val="007555E8"/>
    <w:rsid w:val="00755CC5"/>
    <w:rsid w:val="00760C7F"/>
    <w:rsid w:val="00762441"/>
    <w:rsid w:val="00762862"/>
    <w:rsid w:val="007629B3"/>
    <w:rsid w:val="0076420C"/>
    <w:rsid w:val="00764C48"/>
    <w:rsid w:val="00764F2E"/>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10DB"/>
    <w:rsid w:val="007A18E3"/>
    <w:rsid w:val="007A3BBB"/>
    <w:rsid w:val="007A5C88"/>
    <w:rsid w:val="007A6555"/>
    <w:rsid w:val="007A6A2F"/>
    <w:rsid w:val="007A7C99"/>
    <w:rsid w:val="007B024E"/>
    <w:rsid w:val="007B3BAF"/>
    <w:rsid w:val="007B3DDC"/>
    <w:rsid w:val="007B72A6"/>
    <w:rsid w:val="007C06D2"/>
    <w:rsid w:val="007C08E0"/>
    <w:rsid w:val="007C0F57"/>
    <w:rsid w:val="007C40B6"/>
    <w:rsid w:val="007C5975"/>
    <w:rsid w:val="007C729F"/>
    <w:rsid w:val="007D1DFB"/>
    <w:rsid w:val="007D503D"/>
    <w:rsid w:val="007D59E7"/>
    <w:rsid w:val="007D5F2A"/>
    <w:rsid w:val="007D7A93"/>
    <w:rsid w:val="007E07AC"/>
    <w:rsid w:val="007E1014"/>
    <w:rsid w:val="007E12F8"/>
    <w:rsid w:val="007E1B8B"/>
    <w:rsid w:val="007E1D28"/>
    <w:rsid w:val="007E490F"/>
    <w:rsid w:val="007E6751"/>
    <w:rsid w:val="007E7AC1"/>
    <w:rsid w:val="007F0021"/>
    <w:rsid w:val="007F2641"/>
    <w:rsid w:val="007F7C36"/>
    <w:rsid w:val="007F7F45"/>
    <w:rsid w:val="0080001F"/>
    <w:rsid w:val="00801958"/>
    <w:rsid w:val="0080289F"/>
    <w:rsid w:val="008040C8"/>
    <w:rsid w:val="008055AF"/>
    <w:rsid w:val="008057CD"/>
    <w:rsid w:val="008066B8"/>
    <w:rsid w:val="00806796"/>
    <w:rsid w:val="00810167"/>
    <w:rsid w:val="008104D0"/>
    <w:rsid w:val="00811CC0"/>
    <w:rsid w:val="008137AF"/>
    <w:rsid w:val="008151D6"/>
    <w:rsid w:val="0081597E"/>
    <w:rsid w:val="00820803"/>
    <w:rsid w:val="00821527"/>
    <w:rsid w:val="00822696"/>
    <w:rsid w:val="008235C1"/>
    <w:rsid w:val="00825A6C"/>
    <w:rsid w:val="0082617E"/>
    <w:rsid w:val="008268BB"/>
    <w:rsid w:val="00826F6D"/>
    <w:rsid w:val="008306F3"/>
    <w:rsid w:val="00830E40"/>
    <w:rsid w:val="008311C0"/>
    <w:rsid w:val="00832D9A"/>
    <w:rsid w:val="00835C62"/>
    <w:rsid w:val="008368A1"/>
    <w:rsid w:val="008379D3"/>
    <w:rsid w:val="00840A2B"/>
    <w:rsid w:val="00840EF7"/>
    <w:rsid w:val="00844C0A"/>
    <w:rsid w:val="00844E85"/>
    <w:rsid w:val="00846056"/>
    <w:rsid w:val="0084681F"/>
    <w:rsid w:val="00846B08"/>
    <w:rsid w:val="00847EC0"/>
    <w:rsid w:val="00855FD6"/>
    <w:rsid w:val="00856DDD"/>
    <w:rsid w:val="00860233"/>
    <w:rsid w:val="00863E68"/>
    <w:rsid w:val="008647B5"/>
    <w:rsid w:val="00867D64"/>
    <w:rsid w:val="00872E8F"/>
    <w:rsid w:val="00875BB0"/>
    <w:rsid w:val="00875DCB"/>
    <w:rsid w:val="00875DE9"/>
    <w:rsid w:val="00876FBF"/>
    <w:rsid w:val="0087755A"/>
    <w:rsid w:val="00877FF2"/>
    <w:rsid w:val="00882085"/>
    <w:rsid w:val="00883188"/>
    <w:rsid w:val="00884A0C"/>
    <w:rsid w:val="00885296"/>
    <w:rsid w:val="00886ACA"/>
    <w:rsid w:val="00886B01"/>
    <w:rsid w:val="0089031E"/>
    <w:rsid w:val="0089092B"/>
    <w:rsid w:val="0089109A"/>
    <w:rsid w:val="00891806"/>
    <w:rsid w:val="00893D5C"/>
    <w:rsid w:val="0089460B"/>
    <w:rsid w:val="00897D58"/>
    <w:rsid w:val="00897F22"/>
    <w:rsid w:val="008A0B39"/>
    <w:rsid w:val="008A0DFF"/>
    <w:rsid w:val="008A17A3"/>
    <w:rsid w:val="008A1956"/>
    <w:rsid w:val="008A1E48"/>
    <w:rsid w:val="008A1E85"/>
    <w:rsid w:val="008A2419"/>
    <w:rsid w:val="008A4937"/>
    <w:rsid w:val="008A50F1"/>
    <w:rsid w:val="008A59D9"/>
    <w:rsid w:val="008A643E"/>
    <w:rsid w:val="008A6819"/>
    <w:rsid w:val="008B007A"/>
    <w:rsid w:val="008B2EC0"/>
    <w:rsid w:val="008B6DCF"/>
    <w:rsid w:val="008B7143"/>
    <w:rsid w:val="008C5727"/>
    <w:rsid w:val="008D0945"/>
    <w:rsid w:val="008D0F2D"/>
    <w:rsid w:val="008D1409"/>
    <w:rsid w:val="008D15CC"/>
    <w:rsid w:val="008D1729"/>
    <w:rsid w:val="008D1B5C"/>
    <w:rsid w:val="008D3C82"/>
    <w:rsid w:val="008D447E"/>
    <w:rsid w:val="008D6ACF"/>
    <w:rsid w:val="008D7A41"/>
    <w:rsid w:val="008E0687"/>
    <w:rsid w:val="008E2C72"/>
    <w:rsid w:val="008E3680"/>
    <w:rsid w:val="008E4F87"/>
    <w:rsid w:val="008E5870"/>
    <w:rsid w:val="008E77E4"/>
    <w:rsid w:val="008F0213"/>
    <w:rsid w:val="008F07ED"/>
    <w:rsid w:val="008F11F8"/>
    <w:rsid w:val="008F1434"/>
    <w:rsid w:val="008F1A94"/>
    <w:rsid w:val="008F2BB9"/>
    <w:rsid w:val="008F3D6A"/>
    <w:rsid w:val="008F54C3"/>
    <w:rsid w:val="008F7355"/>
    <w:rsid w:val="009023DC"/>
    <w:rsid w:val="009027C5"/>
    <w:rsid w:val="00903D4C"/>
    <w:rsid w:val="00904413"/>
    <w:rsid w:val="009067B7"/>
    <w:rsid w:val="00906F83"/>
    <w:rsid w:val="0090775A"/>
    <w:rsid w:val="00907DFD"/>
    <w:rsid w:val="0091308F"/>
    <w:rsid w:val="00913C99"/>
    <w:rsid w:val="00915F63"/>
    <w:rsid w:val="00917D69"/>
    <w:rsid w:val="00920B6D"/>
    <w:rsid w:val="00924F31"/>
    <w:rsid w:val="00926560"/>
    <w:rsid w:val="00926B15"/>
    <w:rsid w:val="009279B9"/>
    <w:rsid w:val="00930291"/>
    <w:rsid w:val="00930937"/>
    <w:rsid w:val="009324A6"/>
    <w:rsid w:val="0093309D"/>
    <w:rsid w:val="00933272"/>
    <w:rsid w:val="0093363A"/>
    <w:rsid w:val="00933B7D"/>
    <w:rsid w:val="00933E6C"/>
    <w:rsid w:val="00935A6E"/>
    <w:rsid w:val="00937958"/>
    <w:rsid w:val="009406E5"/>
    <w:rsid w:val="00941602"/>
    <w:rsid w:val="00942160"/>
    <w:rsid w:val="00942B15"/>
    <w:rsid w:val="00946921"/>
    <w:rsid w:val="00947343"/>
    <w:rsid w:val="0095146F"/>
    <w:rsid w:val="009534C7"/>
    <w:rsid w:val="00957944"/>
    <w:rsid w:val="00957E52"/>
    <w:rsid w:val="009602C5"/>
    <w:rsid w:val="00962223"/>
    <w:rsid w:val="0096252B"/>
    <w:rsid w:val="009644D9"/>
    <w:rsid w:val="00964A9F"/>
    <w:rsid w:val="00966581"/>
    <w:rsid w:val="00966D0D"/>
    <w:rsid w:val="00967732"/>
    <w:rsid w:val="0096783C"/>
    <w:rsid w:val="00970023"/>
    <w:rsid w:val="009722B3"/>
    <w:rsid w:val="00973E24"/>
    <w:rsid w:val="00974C21"/>
    <w:rsid w:val="00975948"/>
    <w:rsid w:val="009772FD"/>
    <w:rsid w:val="00977BF3"/>
    <w:rsid w:val="009803E4"/>
    <w:rsid w:val="00980B0E"/>
    <w:rsid w:val="00982B39"/>
    <w:rsid w:val="00983595"/>
    <w:rsid w:val="009836A3"/>
    <w:rsid w:val="00983EB5"/>
    <w:rsid w:val="00984C58"/>
    <w:rsid w:val="009855A8"/>
    <w:rsid w:val="00985CBE"/>
    <w:rsid w:val="00985D1A"/>
    <w:rsid w:val="00990CF8"/>
    <w:rsid w:val="009913F4"/>
    <w:rsid w:val="00991782"/>
    <w:rsid w:val="009937F7"/>
    <w:rsid w:val="0099465B"/>
    <w:rsid w:val="009951A1"/>
    <w:rsid w:val="00997A44"/>
    <w:rsid w:val="009A0CDD"/>
    <w:rsid w:val="009A3168"/>
    <w:rsid w:val="009A4BDF"/>
    <w:rsid w:val="009A5115"/>
    <w:rsid w:val="009A5D04"/>
    <w:rsid w:val="009A61CA"/>
    <w:rsid w:val="009A6467"/>
    <w:rsid w:val="009B0C64"/>
    <w:rsid w:val="009B0F67"/>
    <w:rsid w:val="009B208A"/>
    <w:rsid w:val="009B2756"/>
    <w:rsid w:val="009B3D56"/>
    <w:rsid w:val="009B3F8C"/>
    <w:rsid w:val="009B4634"/>
    <w:rsid w:val="009B533B"/>
    <w:rsid w:val="009B5A03"/>
    <w:rsid w:val="009C3901"/>
    <w:rsid w:val="009C703C"/>
    <w:rsid w:val="009D0C29"/>
    <w:rsid w:val="009D206E"/>
    <w:rsid w:val="009D3CAA"/>
    <w:rsid w:val="009D507A"/>
    <w:rsid w:val="009D6532"/>
    <w:rsid w:val="009D71FD"/>
    <w:rsid w:val="009E06F0"/>
    <w:rsid w:val="009E0755"/>
    <w:rsid w:val="009E10AD"/>
    <w:rsid w:val="009E2588"/>
    <w:rsid w:val="009E2932"/>
    <w:rsid w:val="009E2E8E"/>
    <w:rsid w:val="009E40E1"/>
    <w:rsid w:val="009E6FC9"/>
    <w:rsid w:val="009F0EFA"/>
    <w:rsid w:val="009F1E38"/>
    <w:rsid w:val="009F39A1"/>
    <w:rsid w:val="009F4E46"/>
    <w:rsid w:val="009F5B65"/>
    <w:rsid w:val="009F5F2E"/>
    <w:rsid w:val="00A01432"/>
    <w:rsid w:val="00A022F1"/>
    <w:rsid w:val="00A06225"/>
    <w:rsid w:val="00A065E5"/>
    <w:rsid w:val="00A110D1"/>
    <w:rsid w:val="00A12587"/>
    <w:rsid w:val="00A128E6"/>
    <w:rsid w:val="00A144D3"/>
    <w:rsid w:val="00A14BD9"/>
    <w:rsid w:val="00A14C7F"/>
    <w:rsid w:val="00A17112"/>
    <w:rsid w:val="00A17D26"/>
    <w:rsid w:val="00A21D7D"/>
    <w:rsid w:val="00A22AC3"/>
    <w:rsid w:val="00A23F3F"/>
    <w:rsid w:val="00A24067"/>
    <w:rsid w:val="00A24A4B"/>
    <w:rsid w:val="00A270C9"/>
    <w:rsid w:val="00A2744D"/>
    <w:rsid w:val="00A30D16"/>
    <w:rsid w:val="00A32342"/>
    <w:rsid w:val="00A33EB7"/>
    <w:rsid w:val="00A34E6C"/>
    <w:rsid w:val="00A34FD0"/>
    <w:rsid w:val="00A36398"/>
    <w:rsid w:val="00A37C22"/>
    <w:rsid w:val="00A37C8D"/>
    <w:rsid w:val="00A4020E"/>
    <w:rsid w:val="00A408E8"/>
    <w:rsid w:val="00A40FB5"/>
    <w:rsid w:val="00A42826"/>
    <w:rsid w:val="00A429B3"/>
    <w:rsid w:val="00A42FA0"/>
    <w:rsid w:val="00A44EC1"/>
    <w:rsid w:val="00A44FB2"/>
    <w:rsid w:val="00A510E4"/>
    <w:rsid w:val="00A526F7"/>
    <w:rsid w:val="00A5273B"/>
    <w:rsid w:val="00A53A9D"/>
    <w:rsid w:val="00A53E3B"/>
    <w:rsid w:val="00A542BA"/>
    <w:rsid w:val="00A55FEE"/>
    <w:rsid w:val="00A57422"/>
    <w:rsid w:val="00A62C1A"/>
    <w:rsid w:val="00A63CA2"/>
    <w:rsid w:val="00A6426D"/>
    <w:rsid w:val="00A665C1"/>
    <w:rsid w:val="00A67275"/>
    <w:rsid w:val="00A673A4"/>
    <w:rsid w:val="00A7001A"/>
    <w:rsid w:val="00A70622"/>
    <w:rsid w:val="00A70977"/>
    <w:rsid w:val="00A70D58"/>
    <w:rsid w:val="00A72459"/>
    <w:rsid w:val="00A744F9"/>
    <w:rsid w:val="00A7550D"/>
    <w:rsid w:val="00A75FAF"/>
    <w:rsid w:val="00A77613"/>
    <w:rsid w:val="00A77B87"/>
    <w:rsid w:val="00A81851"/>
    <w:rsid w:val="00A8390C"/>
    <w:rsid w:val="00A86AE0"/>
    <w:rsid w:val="00A90100"/>
    <w:rsid w:val="00A91362"/>
    <w:rsid w:val="00A9151C"/>
    <w:rsid w:val="00A919C6"/>
    <w:rsid w:val="00A928BD"/>
    <w:rsid w:val="00A976A3"/>
    <w:rsid w:val="00A97A36"/>
    <w:rsid w:val="00A97DE9"/>
    <w:rsid w:val="00AA10E5"/>
    <w:rsid w:val="00AA12CD"/>
    <w:rsid w:val="00AA2BF4"/>
    <w:rsid w:val="00AA4D1C"/>
    <w:rsid w:val="00AA52FD"/>
    <w:rsid w:val="00AA7006"/>
    <w:rsid w:val="00AB1C45"/>
    <w:rsid w:val="00AB4684"/>
    <w:rsid w:val="00AB5856"/>
    <w:rsid w:val="00AC081D"/>
    <w:rsid w:val="00AC0C6F"/>
    <w:rsid w:val="00AC0EA3"/>
    <w:rsid w:val="00AC1266"/>
    <w:rsid w:val="00AC193C"/>
    <w:rsid w:val="00AC30C1"/>
    <w:rsid w:val="00AC4DE5"/>
    <w:rsid w:val="00AC5206"/>
    <w:rsid w:val="00AD3106"/>
    <w:rsid w:val="00AD349D"/>
    <w:rsid w:val="00AD363C"/>
    <w:rsid w:val="00AD4322"/>
    <w:rsid w:val="00AD4C3B"/>
    <w:rsid w:val="00AD76C9"/>
    <w:rsid w:val="00AE11A5"/>
    <w:rsid w:val="00AE13E2"/>
    <w:rsid w:val="00AE1778"/>
    <w:rsid w:val="00AE22D3"/>
    <w:rsid w:val="00AE5A49"/>
    <w:rsid w:val="00AF11D8"/>
    <w:rsid w:val="00AF3461"/>
    <w:rsid w:val="00AF3FF0"/>
    <w:rsid w:val="00AF5867"/>
    <w:rsid w:val="00AF5D56"/>
    <w:rsid w:val="00AF62DF"/>
    <w:rsid w:val="00AF68CC"/>
    <w:rsid w:val="00AF70D7"/>
    <w:rsid w:val="00B00CD0"/>
    <w:rsid w:val="00B00DA1"/>
    <w:rsid w:val="00B00E7F"/>
    <w:rsid w:val="00B01FF4"/>
    <w:rsid w:val="00B0326D"/>
    <w:rsid w:val="00B0413D"/>
    <w:rsid w:val="00B06037"/>
    <w:rsid w:val="00B06478"/>
    <w:rsid w:val="00B06987"/>
    <w:rsid w:val="00B07533"/>
    <w:rsid w:val="00B07CFB"/>
    <w:rsid w:val="00B1059E"/>
    <w:rsid w:val="00B14A36"/>
    <w:rsid w:val="00B1500D"/>
    <w:rsid w:val="00B16273"/>
    <w:rsid w:val="00B170A5"/>
    <w:rsid w:val="00B1725F"/>
    <w:rsid w:val="00B176C8"/>
    <w:rsid w:val="00B1776E"/>
    <w:rsid w:val="00B17EE5"/>
    <w:rsid w:val="00B205AA"/>
    <w:rsid w:val="00B22E84"/>
    <w:rsid w:val="00B232C0"/>
    <w:rsid w:val="00B233AD"/>
    <w:rsid w:val="00B23E25"/>
    <w:rsid w:val="00B25F75"/>
    <w:rsid w:val="00B26B3F"/>
    <w:rsid w:val="00B2778F"/>
    <w:rsid w:val="00B32239"/>
    <w:rsid w:val="00B327E2"/>
    <w:rsid w:val="00B32BD9"/>
    <w:rsid w:val="00B33635"/>
    <w:rsid w:val="00B36313"/>
    <w:rsid w:val="00B36D1F"/>
    <w:rsid w:val="00B37A23"/>
    <w:rsid w:val="00B37CF8"/>
    <w:rsid w:val="00B42AF4"/>
    <w:rsid w:val="00B43E90"/>
    <w:rsid w:val="00B44308"/>
    <w:rsid w:val="00B45722"/>
    <w:rsid w:val="00B467DC"/>
    <w:rsid w:val="00B52303"/>
    <w:rsid w:val="00B5392A"/>
    <w:rsid w:val="00B539EF"/>
    <w:rsid w:val="00B56118"/>
    <w:rsid w:val="00B566E1"/>
    <w:rsid w:val="00B56AFB"/>
    <w:rsid w:val="00B602F6"/>
    <w:rsid w:val="00B61DCA"/>
    <w:rsid w:val="00B6343C"/>
    <w:rsid w:val="00B64A96"/>
    <w:rsid w:val="00B6773F"/>
    <w:rsid w:val="00B70EB3"/>
    <w:rsid w:val="00B72906"/>
    <w:rsid w:val="00B74F48"/>
    <w:rsid w:val="00B7525E"/>
    <w:rsid w:val="00B75433"/>
    <w:rsid w:val="00B760FB"/>
    <w:rsid w:val="00B76765"/>
    <w:rsid w:val="00B767AB"/>
    <w:rsid w:val="00B801BA"/>
    <w:rsid w:val="00B812D6"/>
    <w:rsid w:val="00B83999"/>
    <w:rsid w:val="00B84D5C"/>
    <w:rsid w:val="00B85AF6"/>
    <w:rsid w:val="00B956ED"/>
    <w:rsid w:val="00B96537"/>
    <w:rsid w:val="00BA057F"/>
    <w:rsid w:val="00BA0BA6"/>
    <w:rsid w:val="00BA2DA8"/>
    <w:rsid w:val="00BA347C"/>
    <w:rsid w:val="00BA4C79"/>
    <w:rsid w:val="00BA7160"/>
    <w:rsid w:val="00BB298A"/>
    <w:rsid w:val="00BB3469"/>
    <w:rsid w:val="00BB570E"/>
    <w:rsid w:val="00BB5C49"/>
    <w:rsid w:val="00BB6240"/>
    <w:rsid w:val="00BB6285"/>
    <w:rsid w:val="00BB69F5"/>
    <w:rsid w:val="00BB7EC3"/>
    <w:rsid w:val="00BC04B1"/>
    <w:rsid w:val="00BC470E"/>
    <w:rsid w:val="00BC4B9A"/>
    <w:rsid w:val="00BD02C3"/>
    <w:rsid w:val="00BD531D"/>
    <w:rsid w:val="00BD7483"/>
    <w:rsid w:val="00BD784C"/>
    <w:rsid w:val="00BE020A"/>
    <w:rsid w:val="00BE13DF"/>
    <w:rsid w:val="00BE1EF0"/>
    <w:rsid w:val="00BE229F"/>
    <w:rsid w:val="00BE25D7"/>
    <w:rsid w:val="00BE4784"/>
    <w:rsid w:val="00BF092C"/>
    <w:rsid w:val="00BF27A0"/>
    <w:rsid w:val="00BF2AB4"/>
    <w:rsid w:val="00BF2BBE"/>
    <w:rsid w:val="00BF2C9A"/>
    <w:rsid w:val="00BF4CB6"/>
    <w:rsid w:val="00BF4FEE"/>
    <w:rsid w:val="00BF59D0"/>
    <w:rsid w:val="00BF6CBD"/>
    <w:rsid w:val="00C00DA7"/>
    <w:rsid w:val="00C02FF3"/>
    <w:rsid w:val="00C034FB"/>
    <w:rsid w:val="00C04CDE"/>
    <w:rsid w:val="00C068A6"/>
    <w:rsid w:val="00C11B31"/>
    <w:rsid w:val="00C12768"/>
    <w:rsid w:val="00C12D70"/>
    <w:rsid w:val="00C16353"/>
    <w:rsid w:val="00C16724"/>
    <w:rsid w:val="00C21B09"/>
    <w:rsid w:val="00C22E5D"/>
    <w:rsid w:val="00C24CD6"/>
    <w:rsid w:val="00C25EFF"/>
    <w:rsid w:val="00C2673A"/>
    <w:rsid w:val="00C278CD"/>
    <w:rsid w:val="00C27B58"/>
    <w:rsid w:val="00C27C1C"/>
    <w:rsid w:val="00C27ED2"/>
    <w:rsid w:val="00C33186"/>
    <w:rsid w:val="00C35996"/>
    <w:rsid w:val="00C424C9"/>
    <w:rsid w:val="00C4285A"/>
    <w:rsid w:val="00C42BCD"/>
    <w:rsid w:val="00C43465"/>
    <w:rsid w:val="00C46150"/>
    <w:rsid w:val="00C46291"/>
    <w:rsid w:val="00C46965"/>
    <w:rsid w:val="00C46C13"/>
    <w:rsid w:val="00C4747E"/>
    <w:rsid w:val="00C5151E"/>
    <w:rsid w:val="00C5342C"/>
    <w:rsid w:val="00C53B2B"/>
    <w:rsid w:val="00C57465"/>
    <w:rsid w:val="00C60272"/>
    <w:rsid w:val="00C603D4"/>
    <w:rsid w:val="00C6256A"/>
    <w:rsid w:val="00C63FDA"/>
    <w:rsid w:val="00C64EBC"/>
    <w:rsid w:val="00C664D2"/>
    <w:rsid w:val="00C677E1"/>
    <w:rsid w:val="00C70D77"/>
    <w:rsid w:val="00C710E2"/>
    <w:rsid w:val="00C71C3F"/>
    <w:rsid w:val="00C7409E"/>
    <w:rsid w:val="00C74D6D"/>
    <w:rsid w:val="00C76E76"/>
    <w:rsid w:val="00C77891"/>
    <w:rsid w:val="00C77B74"/>
    <w:rsid w:val="00C82062"/>
    <w:rsid w:val="00C829A9"/>
    <w:rsid w:val="00C85C59"/>
    <w:rsid w:val="00C87B80"/>
    <w:rsid w:val="00C90330"/>
    <w:rsid w:val="00C908F8"/>
    <w:rsid w:val="00C91449"/>
    <w:rsid w:val="00C92D10"/>
    <w:rsid w:val="00C92F79"/>
    <w:rsid w:val="00C95200"/>
    <w:rsid w:val="00C95DF3"/>
    <w:rsid w:val="00C96C5A"/>
    <w:rsid w:val="00C96EC0"/>
    <w:rsid w:val="00CA0A61"/>
    <w:rsid w:val="00CA48D9"/>
    <w:rsid w:val="00CA5DAE"/>
    <w:rsid w:val="00CB0BBA"/>
    <w:rsid w:val="00CB1193"/>
    <w:rsid w:val="00CB4767"/>
    <w:rsid w:val="00CB493D"/>
    <w:rsid w:val="00CC3B97"/>
    <w:rsid w:val="00CD268F"/>
    <w:rsid w:val="00CD423C"/>
    <w:rsid w:val="00CD55BF"/>
    <w:rsid w:val="00CD6257"/>
    <w:rsid w:val="00CD7923"/>
    <w:rsid w:val="00CD7C0B"/>
    <w:rsid w:val="00CE10C4"/>
    <w:rsid w:val="00CE2343"/>
    <w:rsid w:val="00CE27B5"/>
    <w:rsid w:val="00CE2BDF"/>
    <w:rsid w:val="00CE6D24"/>
    <w:rsid w:val="00CE6DAF"/>
    <w:rsid w:val="00CF410A"/>
    <w:rsid w:val="00CF7528"/>
    <w:rsid w:val="00CF7FDE"/>
    <w:rsid w:val="00D012AF"/>
    <w:rsid w:val="00D0321E"/>
    <w:rsid w:val="00D03D93"/>
    <w:rsid w:val="00D05457"/>
    <w:rsid w:val="00D0655B"/>
    <w:rsid w:val="00D069EB"/>
    <w:rsid w:val="00D07A8A"/>
    <w:rsid w:val="00D10E31"/>
    <w:rsid w:val="00D11199"/>
    <w:rsid w:val="00D12702"/>
    <w:rsid w:val="00D1455A"/>
    <w:rsid w:val="00D14A70"/>
    <w:rsid w:val="00D207EA"/>
    <w:rsid w:val="00D20AA4"/>
    <w:rsid w:val="00D22093"/>
    <w:rsid w:val="00D31150"/>
    <w:rsid w:val="00D3138B"/>
    <w:rsid w:val="00D31FCE"/>
    <w:rsid w:val="00D3280C"/>
    <w:rsid w:val="00D3406A"/>
    <w:rsid w:val="00D34CC2"/>
    <w:rsid w:val="00D34D24"/>
    <w:rsid w:val="00D40B11"/>
    <w:rsid w:val="00D42864"/>
    <w:rsid w:val="00D429EC"/>
    <w:rsid w:val="00D441F1"/>
    <w:rsid w:val="00D4572C"/>
    <w:rsid w:val="00D469B2"/>
    <w:rsid w:val="00D52B24"/>
    <w:rsid w:val="00D54B09"/>
    <w:rsid w:val="00D55D66"/>
    <w:rsid w:val="00D579CE"/>
    <w:rsid w:val="00D6243E"/>
    <w:rsid w:val="00D65658"/>
    <w:rsid w:val="00D67EB2"/>
    <w:rsid w:val="00D70349"/>
    <w:rsid w:val="00D72A5D"/>
    <w:rsid w:val="00D72B6F"/>
    <w:rsid w:val="00D741EB"/>
    <w:rsid w:val="00D7679C"/>
    <w:rsid w:val="00D77B14"/>
    <w:rsid w:val="00D801E1"/>
    <w:rsid w:val="00D820F3"/>
    <w:rsid w:val="00D83605"/>
    <w:rsid w:val="00D838AE"/>
    <w:rsid w:val="00D84934"/>
    <w:rsid w:val="00D84B5A"/>
    <w:rsid w:val="00D866EB"/>
    <w:rsid w:val="00D87D1A"/>
    <w:rsid w:val="00D87FA0"/>
    <w:rsid w:val="00D906DA"/>
    <w:rsid w:val="00D91271"/>
    <w:rsid w:val="00D919F5"/>
    <w:rsid w:val="00D945F6"/>
    <w:rsid w:val="00D94F03"/>
    <w:rsid w:val="00D95161"/>
    <w:rsid w:val="00D95C23"/>
    <w:rsid w:val="00DA0A82"/>
    <w:rsid w:val="00DA0D14"/>
    <w:rsid w:val="00DA1FC9"/>
    <w:rsid w:val="00DA2CB5"/>
    <w:rsid w:val="00DA383E"/>
    <w:rsid w:val="00DA388B"/>
    <w:rsid w:val="00DA4BAC"/>
    <w:rsid w:val="00DA722E"/>
    <w:rsid w:val="00DA792A"/>
    <w:rsid w:val="00DB0151"/>
    <w:rsid w:val="00DB04D7"/>
    <w:rsid w:val="00DB50E1"/>
    <w:rsid w:val="00DC0566"/>
    <w:rsid w:val="00DC05E1"/>
    <w:rsid w:val="00DC08EB"/>
    <w:rsid w:val="00DC1499"/>
    <w:rsid w:val="00DC16CF"/>
    <w:rsid w:val="00DC17D8"/>
    <w:rsid w:val="00DC2C3E"/>
    <w:rsid w:val="00DC3137"/>
    <w:rsid w:val="00DC3C6D"/>
    <w:rsid w:val="00DC4880"/>
    <w:rsid w:val="00DC5E90"/>
    <w:rsid w:val="00DC6D74"/>
    <w:rsid w:val="00DD0BE9"/>
    <w:rsid w:val="00DD26F9"/>
    <w:rsid w:val="00DD42AB"/>
    <w:rsid w:val="00DD4EA5"/>
    <w:rsid w:val="00DE06AF"/>
    <w:rsid w:val="00DE0EB2"/>
    <w:rsid w:val="00DE1A14"/>
    <w:rsid w:val="00DE2E73"/>
    <w:rsid w:val="00DE5AA5"/>
    <w:rsid w:val="00DE6D27"/>
    <w:rsid w:val="00DE76EA"/>
    <w:rsid w:val="00DF01F8"/>
    <w:rsid w:val="00DF021D"/>
    <w:rsid w:val="00DF14EE"/>
    <w:rsid w:val="00DF217D"/>
    <w:rsid w:val="00DF26A7"/>
    <w:rsid w:val="00DF3277"/>
    <w:rsid w:val="00DF6A31"/>
    <w:rsid w:val="00DF77A1"/>
    <w:rsid w:val="00DF7919"/>
    <w:rsid w:val="00E0207E"/>
    <w:rsid w:val="00E02AE6"/>
    <w:rsid w:val="00E02B14"/>
    <w:rsid w:val="00E03912"/>
    <w:rsid w:val="00E04748"/>
    <w:rsid w:val="00E078D9"/>
    <w:rsid w:val="00E10293"/>
    <w:rsid w:val="00E103A0"/>
    <w:rsid w:val="00E1043F"/>
    <w:rsid w:val="00E11F44"/>
    <w:rsid w:val="00E1267D"/>
    <w:rsid w:val="00E13E60"/>
    <w:rsid w:val="00E15627"/>
    <w:rsid w:val="00E164B3"/>
    <w:rsid w:val="00E16910"/>
    <w:rsid w:val="00E239E2"/>
    <w:rsid w:val="00E24711"/>
    <w:rsid w:val="00E24E09"/>
    <w:rsid w:val="00E27234"/>
    <w:rsid w:val="00E32321"/>
    <w:rsid w:val="00E3495C"/>
    <w:rsid w:val="00E42BDB"/>
    <w:rsid w:val="00E50E5E"/>
    <w:rsid w:val="00E5726D"/>
    <w:rsid w:val="00E57EEB"/>
    <w:rsid w:val="00E62D94"/>
    <w:rsid w:val="00E62ECC"/>
    <w:rsid w:val="00E63700"/>
    <w:rsid w:val="00E64286"/>
    <w:rsid w:val="00E64F37"/>
    <w:rsid w:val="00E65091"/>
    <w:rsid w:val="00E65393"/>
    <w:rsid w:val="00E65E54"/>
    <w:rsid w:val="00E661C7"/>
    <w:rsid w:val="00E666AA"/>
    <w:rsid w:val="00E67907"/>
    <w:rsid w:val="00E7143F"/>
    <w:rsid w:val="00E732C4"/>
    <w:rsid w:val="00E74E41"/>
    <w:rsid w:val="00E7607C"/>
    <w:rsid w:val="00E80155"/>
    <w:rsid w:val="00E8134B"/>
    <w:rsid w:val="00E81E0D"/>
    <w:rsid w:val="00E81F28"/>
    <w:rsid w:val="00E84263"/>
    <w:rsid w:val="00E848C0"/>
    <w:rsid w:val="00E84BB8"/>
    <w:rsid w:val="00E86F92"/>
    <w:rsid w:val="00E90501"/>
    <w:rsid w:val="00E91B96"/>
    <w:rsid w:val="00E92F2E"/>
    <w:rsid w:val="00E92FDD"/>
    <w:rsid w:val="00E935DA"/>
    <w:rsid w:val="00E93D1E"/>
    <w:rsid w:val="00E93EA3"/>
    <w:rsid w:val="00E941A1"/>
    <w:rsid w:val="00E95451"/>
    <w:rsid w:val="00E95CE3"/>
    <w:rsid w:val="00E95F9A"/>
    <w:rsid w:val="00E961AD"/>
    <w:rsid w:val="00EA0856"/>
    <w:rsid w:val="00EA0DB2"/>
    <w:rsid w:val="00EA1A1D"/>
    <w:rsid w:val="00EA1DC4"/>
    <w:rsid w:val="00EA252F"/>
    <w:rsid w:val="00EA2825"/>
    <w:rsid w:val="00EA5027"/>
    <w:rsid w:val="00EA5A30"/>
    <w:rsid w:val="00EA64C2"/>
    <w:rsid w:val="00EA6518"/>
    <w:rsid w:val="00EA71A2"/>
    <w:rsid w:val="00EA7466"/>
    <w:rsid w:val="00EA7EDE"/>
    <w:rsid w:val="00EB0B63"/>
    <w:rsid w:val="00EB1936"/>
    <w:rsid w:val="00EB3545"/>
    <w:rsid w:val="00EB37BE"/>
    <w:rsid w:val="00EB4BAE"/>
    <w:rsid w:val="00EB5088"/>
    <w:rsid w:val="00EB58CB"/>
    <w:rsid w:val="00EB7210"/>
    <w:rsid w:val="00EC0EF1"/>
    <w:rsid w:val="00EC2726"/>
    <w:rsid w:val="00EC3298"/>
    <w:rsid w:val="00EC681C"/>
    <w:rsid w:val="00EC7B87"/>
    <w:rsid w:val="00ED0D06"/>
    <w:rsid w:val="00ED1644"/>
    <w:rsid w:val="00ED2593"/>
    <w:rsid w:val="00ED3709"/>
    <w:rsid w:val="00ED7D55"/>
    <w:rsid w:val="00ED7D9C"/>
    <w:rsid w:val="00EE00A7"/>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0E55"/>
    <w:rsid w:val="00F12C74"/>
    <w:rsid w:val="00F1559A"/>
    <w:rsid w:val="00F17ED6"/>
    <w:rsid w:val="00F20676"/>
    <w:rsid w:val="00F209E2"/>
    <w:rsid w:val="00F2398F"/>
    <w:rsid w:val="00F25578"/>
    <w:rsid w:val="00F258E5"/>
    <w:rsid w:val="00F25B9C"/>
    <w:rsid w:val="00F2675A"/>
    <w:rsid w:val="00F26CC6"/>
    <w:rsid w:val="00F277BB"/>
    <w:rsid w:val="00F300BC"/>
    <w:rsid w:val="00F305FA"/>
    <w:rsid w:val="00F31019"/>
    <w:rsid w:val="00F3263C"/>
    <w:rsid w:val="00F3334E"/>
    <w:rsid w:val="00F33DA4"/>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50CF"/>
    <w:rsid w:val="00F553D2"/>
    <w:rsid w:val="00F56A2D"/>
    <w:rsid w:val="00F57A6D"/>
    <w:rsid w:val="00F6044B"/>
    <w:rsid w:val="00F62F19"/>
    <w:rsid w:val="00F638CC"/>
    <w:rsid w:val="00F642AF"/>
    <w:rsid w:val="00F64C9E"/>
    <w:rsid w:val="00F64CC1"/>
    <w:rsid w:val="00F708B1"/>
    <w:rsid w:val="00F72317"/>
    <w:rsid w:val="00F73DC1"/>
    <w:rsid w:val="00F75A79"/>
    <w:rsid w:val="00F75BB8"/>
    <w:rsid w:val="00F77714"/>
    <w:rsid w:val="00F80475"/>
    <w:rsid w:val="00F80E6E"/>
    <w:rsid w:val="00F81390"/>
    <w:rsid w:val="00F8151B"/>
    <w:rsid w:val="00F81F7A"/>
    <w:rsid w:val="00F8220D"/>
    <w:rsid w:val="00F8247A"/>
    <w:rsid w:val="00F82E5C"/>
    <w:rsid w:val="00F83F58"/>
    <w:rsid w:val="00F85206"/>
    <w:rsid w:val="00F87CEA"/>
    <w:rsid w:val="00F930E9"/>
    <w:rsid w:val="00F95E5B"/>
    <w:rsid w:val="00F9629A"/>
    <w:rsid w:val="00F97EFC"/>
    <w:rsid w:val="00FA0B04"/>
    <w:rsid w:val="00FA0C7C"/>
    <w:rsid w:val="00FA1BDD"/>
    <w:rsid w:val="00FA305C"/>
    <w:rsid w:val="00FA462E"/>
    <w:rsid w:val="00FA4DD5"/>
    <w:rsid w:val="00FA5883"/>
    <w:rsid w:val="00FA6055"/>
    <w:rsid w:val="00FB0B39"/>
    <w:rsid w:val="00FB322F"/>
    <w:rsid w:val="00FB442F"/>
    <w:rsid w:val="00FB4E2B"/>
    <w:rsid w:val="00FC09D1"/>
    <w:rsid w:val="00FC118C"/>
    <w:rsid w:val="00FC1929"/>
    <w:rsid w:val="00FC5B46"/>
    <w:rsid w:val="00FD0127"/>
    <w:rsid w:val="00FD1D4F"/>
    <w:rsid w:val="00FD24BF"/>
    <w:rsid w:val="00FD3B6E"/>
    <w:rsid w:val="00FD4140"/>
    <w:rsid w:val="00FD57EB"/>
    <w:rsid w:val="00FD6D8E"/>
    <w:rsid w:val="00FE0663"/>
    <w:rsid w:val="00FE0E94"/>
    <w:rsid w:val="00FE369C"/>
    <w:rsid w:val="00FE3CD9"/>
    <w:rsid w:val="00FE4DB5"/>
    <w:rsid w:val="00FF00BD"/>
    <w:rsid w:val="00FF0B13"/>
    <w:rsid w:val="00FF1ED4"/>
    <w:rsid w:val="00FF2801"/>
    <w:rsid w:val="00FF3695"/>
    <w:rsid w:val="00FF5AC4"/>
    <w:rsid w:val="00FF5B98"/>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38EE599"/>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3F92875C"/>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583F7A"/>
    <w:pPr>
      <w:numPr>
        <w:ilvl w:val="1"/>
        <w:numId w:val="2"/>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583F7A"/>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character" w:styleId="UnresolvedMention">
    <w:name w:val="Unresolved Mention"/>
    <w:basedOn w:val="DefaultParagraphFont"/>
    <w:uiPriority w:val="99"/>
    <w:semiHidden/>
    <w:unhideWhenUsed/>
    <w:rsid w:val="00FC09D1"/>
    <w:rPr>
      <w:color w:val="605E5C"/>
      <w:shd w:val="clear" w:color="auto" w:fill="E1DFDD"/>
    </w:rPr>
  </w:style>
  <w:style w:type="paragraph" w:customStyle="1" w:styleId="3-SubsectionHeading">
    <w:name w:val="3-Subsection Heading"/>
    <w:basedOn w:val="Heading2"/>
    <w:next w:val="Normal"/>
    <w:link w:val="3-SubsectionHeadingChar"/>
    <w:qFormat/>
    <w:rsid w:val="00D12702"/>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D12702"/>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0592153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42363638">
      <w:bodyDiv w:val="1"/>
      <w:marLeft w:val="0"/>
      <w:marRight w:val="0"/>
      <w:marTop w:val="0"/>
      <w:marBottom w:val="0"/>
      <w:divBdr>
        <w:top w:val="none" w:sz="0" w:space="0" w:color="auto"/>
        <w:left w:val="none" w:sz="0" w:space="0" w:color="auto"/>
        <w:bottom w:val="none" w:sz="0" w:space="0" w:color="auto"/>
        <w:right w:val="none" w:sz="0" w:space="0" w:color="auto"/>
      </w:divBdr>
    </w:div>
    <w:div w:id="1116830870">
      <w:bodyDiv w:val="1"/>
      <w:marLeft w:val="0"/>
      <w:marRight w:val="0"/>
      <w:marTop w:val="0"/>
      <w:marBottom w:val="0"/>
      <w:divBdr>
        <w:top w:val="none" w:sz="0" w:space="0" w:color="auto"/>
        <w:left w:val="none" w:sz="0" w:space="0" w:color="auto"/>
        <w:bottom w:val="none" w:sz="0" w:space="0" w:color="auto"/>
        <w:right w:val="none" w:sz="0" w:space="0" w:color="auto"/>
      </w:divBdr>
      <w:divsChild>
        <w:div w:id="1128284606">
          <w:marLeft w:val="446"/>
          <w:marRight w:val="0"/>
          <w:marTop w:val="0"/>
          <w:marBottom w:val="40"/>
          <w:divBdr>
            <w:top w:val="none" w:sz="0" w:space="0" w:color="auto"/>
            <w:left w:val="none" w:sz="0" w:space="0" w:color="auto"/>
            <w:bottom w:val="none" w:sz="0" w:space="0" w:color="auto"/>
            <w:right w:val="none" w:sz="0" w:space="0" w:color="auto"/>
          </w:divBdr>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99294113">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FA44-99CC-43B5-BEA2-0799D2CA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7031</Characters>
  <Application>Microsoft Office Word</Application>
  <DocSecurity>0</DocSecurity>
  <Lines>156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2024-02-22T02:00:00Z</dcterms:created>
  <dcterms:modified xsi:type="dcterms:W3CDTF">2024-02-22T02:33:00Z</dcterms:modified>
</cp:coreProperties>
</file>