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3773B545" w:rsidR="00872E8F" w:rsidRPr="004D1C59" w:rsidRDefault="00DA751A" w:rsidP="005F23E7">
      <w:pPr>
        <w:pStyle w:val="1-MainHeading"/>
        <w:ind w:left="851" w:hanging="851"/>
      </w:pPr>
      <w:r w:rsidRPr="004D1C59">
        <w:t>5.12</w:t>
      </w:r>
      <w:r w:rsidR="00872E8F" w:rsidRPr="004D1C59">
        <w:tab/>
      </w:r>
      <w:r w:rsidR="00FA518A" w:rsidRPr="004D1C59">
        <w:t>MENINGOCOCCAL (GROUPS A,C,W</w:t>
      </w:r>
      <w:r w:rsidR="00FA518A" w:rsidRPr="004D1C59">
        <w:noBreakHyphen/>
        <w:t>135 AND Y) OLIGOSACCHARIDE CRM197 CONJUGATE VACCINE (Men ACWY-CRM),</w:t>
      </w:r>
      <w:r w:rsidR="00872E8F" w:rsidRPr="004D1C59">
        <w:br/>
      </w:r>
      <w:r w:rsidR="00FA518A" w:rsidRPr="004D1C59">
        <w:t>Solution for Injection</w:t>
      </w:r>
      <w:r w:rsidR="004A677F" w:rsidRPr="004D1C59">
        <w:t xml:space="preserve"> (0.5</w:t>
      </w:r>
      <w:r w:rsidR="006940E1" w:rsidRPr="004D1C59">
        <w:t> </w:t>
      </w:r>
      <w:r w:rsidR="004A677F" w:rsidRPr="004D1C59">
        <w:t>mL)</w:t>
      </w:r>
      <w:r w:rsidR="00FA518A" w:rsidRPr="004D1C59">
        <w:t>,</w:t>
      </w:r>
      <w:r w:rsidR="00872E8F" w:rsidRPr="004D1C59">
        <w:br/>
      </w:r>
      <w:r w:rsidR="00FA518A" w:rsidRPr="004D1C59">
        <w:t>Menveo</w:t>
      </w:r>
      <w:r w:rsidR="70971A32" w:rsidRPr="004D1C59">
        <w:t>®,</w:t>
      </w:r>
      <w:r w:rsidR="00872E8F" w:rsidRPr="004D1C59">
        <w:br/>
      </w:r>
      <w:r w:rsidR="00DC2B55" w:rsidRPr="004D1C59">
        <w:t>Glaxosmithkline Australia Pty Ltd</w:t>
      </w:r>
    </w:p>
    <w:p w14:paraId="5F4D54C1" w14:textId="6253F31E" w:rsidR="00E11F44" w:rsidRPr="004D1C59" w:rsidRDefault="007E490F" w:rsidP="005F23E7">
      <w:pPr>
        <w:pStyle w:val="2-SectionHeading"/>
        <w:jc w:val="both"/>
        <w:rPr>
          <w:rFonts w:cstheme="minorHAnsi"/>
        </w:rPr>
      </w:pPr>
      <w:r w:rsidRPr="004D1C59">
        <w:t xml:space="preserve">Purpose of </w:t>
      </w:r>
      <w:r w:rsidR="00FA0B04" w:rsidRPr="004D1C59">
        <w:t>Submission</w:t>
      </w:r>
      <w:r w:rsidRPr="004D1C59">
        <w:t xml:space="preserve"> </w:t>
      </w:r>
    </w:p>
    <w:p w14:paraId="1B64C81B" w14:textId="7A37AF4C" w:rsidR="0073736F" w:rsidRPr="004D1C59" w:rsidRDefault="006C6C10" w:rsidP="00C96DF4">
      <w:pPr>
        <w:pStyle w:val="3-BodyText"/>
        <w:rPr>
          <w:rFonts w:cstheme="minorHAnsi"/>
          <w:szCs w:val="24"/>
        </w:rPr>
      </w:pPr>
      <w:bookmarkStart w:id="0" w:name="_Hlk146005339"/>
      <w:bookmarkStart w:id="1" w:name="_Hlk146640490"/>
      <w:r w:rsidRPr="004D1C59">
        <w:rPr>
          <w:rFonts w:cstheme="minorHAnsi"/>
          <w:szCs w:val="24"/>
        </w:rPr>
        <w:t xml:space="preserve">The </w:t>
      </w:r>
      <w:r w:rsidR="00C96EC0" w:rsidRPr="004D1C59">
        <w:rPr>
          <w:rFonts w:cstheme="minorHAnsi"/>
          <w:szCs w:val="24"/>
        </w:rPr>
        <w:t xml:space="preserve">Committee Secretariat </w:t>
      </w:r>
      <w:r w:rsidRPr="004D1C59">
        <w:rPr>
          <w:rFonts w:cstheme="minorHAnsi"/>
          <w:szCs w:val="24"/>
        </w:rPr>
        <w:t xml:space="preserve">submission </w:t>
      </w:r>
      <w:r w:rsidR="00244BEC" w:rsidRPr="004D1C59">
        <w:rPr>
          <w:rFonts w:cstheme="minorHAnsi"/>
          <w:szCs w:val="24"/>
        </w:rPr>
        <w:t>requested</w:t>
      </w:r>
      <w:r w:rsidRPr="004D1C59">
        <w:rPr>
          <w:rFonts w:cstheme="minorHAnsi"/>
          <w:szCs w:val="24"/>
        </w:rPr>
        <w:t xml:space="preserve"> </w:t>
      </w:r>
      <w:r w:rsidR="00C3550B" w:rsidRPr="004D1C59">
        <w:t xml:space="preserve">the listing of the new </w:t>
      </w:r>
      <w:r w:rsidR="00180F8C" w:rsidRPr="004D1C59">
        <w:t xml:space="preserve">solution for injection </w:t>
      </w:r>
      <w:r w:rsidR="00D90133" w:rsidRPr="004D1C59">
        <w:t xml:space="preserve">form of </w:t>
      </w:r>
      <w:r w:rsidR="00410B89" w:rsidRPr="004D1C59">
        <w:t>meningococcal serogroup A, C, W-135 and Y oligosaccharides conjugated individually to Corynebacterium diphtheriae CRM197 protein (MenACWY</w:t>
      </w:r>
      <w:r w:rsidR="00410B89" w:rsidRPr="004D1C59">
        <w:noBreakHyphen/>
        <w:t xml:space="preserve">CRM) vaccine </w:t>
      </w:r>
      <w:r w:rsidR="004A677F" w:rsidRPr="004D1C59">
        <w:t>(</w:t>
      </w:r>
      <w:r w:rsidR="00D90133" w:rsidRPr="004D1C59">
        <w:t>Menveo</w:t>
      </w:r>
      <w:r w:rsidR="004A677F" w:rsidRPr="004D1C59">
        <w:t>®</w:t>
      </w:r>
      <w:r w:rsidR="00EA491F" w:rsidRPr="004D1C59">
        <w:t xml:space="preserve"> solution for injection</w:t>
      </w:r>
      <w:r w:rsidR="004A677F" w:rsidRPr="004D1C59">
        <w:t>)</w:t>
      </w:r>
      <w:r w:rsidR="00D90133" w:rsidRPr="004D1C59">
        <w:t xml:space="preserve"> </w:t>
      </w:r>
      <w:r w:rsidR="004A677F" w:rsidRPr="004D1C59">
        <w:t>as a d</w:t>
      </w:r>
      <w:r w:rsidR="0047390E" w:rsidRPr="004D1C59">
        <w:rPr>
          <w:color w:val="000000" w:themeColor="text1"/>
        </w:rPr>
        <w:t xml:space="preserve">esignated </w:t>
      </w:r>
      <w:r w:rsidR="004A677F" w:rsidRPr="004D1C59">
        <w:rPr>
          <w:color w:val="000000" w:themeColor="text1"/>
        </w:rPr>
        <w:t>v</w:t>
      </w:r>
      <w:r w:rsidR="0047390E" w:rsidRPr="004D1C59">
        <w:rPr>
          <w:color w:val="000000" w:themeColor="text1"/>
        </w:rPr>
        <w:t xml:space="preserve">accine </w:t>
      </w:r>
      <w:r w:rsidR="00AF600A" w:rsidRPr="004D1C59">
        <w:rPr>
          <w:color w:val="000000" w:themeColor="text1"/>
        </w:rPr>
        <w:t xml:space="preserve">on </w:t>
      </w:r>
      <w:r w:rsidR="00AF600A" w:rsidRPr="004D1C59">
        <w:rPr>
          <w:i/>
          <w:iCs/>
          <w:color w:val="000000" w:themeColor="text1"/>
        </w:rPr>
        <w:t>the National Health (Immunisation Program — Designated Vaccines) Determination 2014 (No. 1)</w:t>
      </w:r>
      <w:r w:rsidR="00646DCB" w:rsidRPr="004D1C59">
        <w:t xml:space="preserve"> </w:t>
      </w:r>
      <w:r w:rsidR="00C3550B" w:rsidRPr="004D1C59">
        <w:t xml:space="preserve">for adolescents for the prevention of </w:t>
      </w:r>
      <w:r w:rsidR="00180F8C" w:rsidRPr="004D1C59">
        <w:t>invasive meningococcal diseases (</w:t>
      </w:r>
      <w:r w:rsidR="00C3550B" w:rsidRPr="004D1C59">
        <w:t>IMDs</w:t>
      </w:r>
      <w:r w:rsidR="00180F8C" w:rsidRPr="004D1C59">
        <w:t>)</w:t>
      </w:r>
      <w:r w:rsidR="00C3550B" w:rsidRPr="004D1C59">
        <w:t xml:space="preserve"> caused by Neisseria meningitidis serogroups A, C, W-135 and Y </w:t>
      </w:r>
      <w:r w:rsidR="00180F8C" w:rsidRPr="004D1C59">
        <w:rPr>
          <w:rFonts w:cstheme="minorHAnsi"/>
        </w:rPr>
        <w:t xml:space="preserve">under the same circumstances as </w:t>
      </w:r>
      <w:r w:rsidR="005B2E38" w:rsidRPr="004D1C59">
        <w:t>MenACWY</w:t>
      </w:r>
      <w:r w:rsidR="005B2E38" w:rsidRPr="004D1C59">
        <w:noBreakHyphen/>
        <w:t xml:space="preserve">CRM </w:t>
      </w:r>
      <w:r w:rsidR="00D90133" w:rsidRPr="004D1C59">
        <w:rPr>
          <w:rFonts w:cstheme="minorHAnsi"/>
        </w:rPr>
        <w:t xml:space="preserve">Menveo </w:t>
      </w:r>
      <w:r w:rsidR="00180F8C" w:rsidRPr="004D1C59">
        <w:rPr>
          <w:rFonts w:cstheme="minorHAnsi"/>
        </w:rPr>
        <w:t xml:space="preserve">solution and powder for reconstitution. </w:t>
      </w:r>
      <w:bookmarkEnd w:id="0"/>
    </w:p>
    <w:bookmarkEnd w:id="1"/>
    <w:p w14:paraId="3D1D4320" w14:textId="77777777" w:rsidR="007E490F" w:rsidRPr="004D1C59" w:rsidRDefault="007E490F" w:rsidP="005F23E7">
      <w:pPr>
        <w:pStyle w:val="2-SectionHeading"/>
        <w:numPr>
          <w:ilvl w:val="0"/>
          <w:numId w:val="2"/>
        </w:numPr>
        <w:jc w:val="both"/>
      </w:pPr>
      <w:r w:rsidRPr="004D1C59">
        <w:t xml:space="preserve">Background </w:t>
      </w:r>
    </w:p>
    <w:p w14:paraId="60BC9347" w14:textId="13290BF9" w:rsidR="0097399F" w:rsidRPr="004D1C59" w:rsidRDefault="00B24244" w:rsidP="00C96DF4">
      <w:pPr>
        <w:pStyle w:val="3-BodyText"/>
      </w:pPr>
      <w:r w:rsidRPr="004D1C59">
        <w:t>Menveo</w:t>
      </w:r>
      <w:r w:rsidR="005B2E38" w:rsidRPr="004D1C59">
        <w:t xml:space="preserve"> </w:t>
      </w:r>
      <w:r w:rsidR="00331115" w:rsidRPr="004D1C59">
        <w:rPr>
          <w:rFonts w:cstheme="minorHAnsi"/>
        </w:rPr>
        <w:t>solution and powder for reconstitution</w:t>
      </w:r>
      <w:r w:rsidR="005B2E38" w:rsidRPr="004D1C59">
        <w:t xml:space="preserve"> </w:t>
      </w:r>
      <w:r w:rsidR="001F2311" w:rsidRPr="004D1C59">
        <w:t xml:space="preserve">is </w:t>
      </w:r>
      <w:r w:rsidR="00EA491F" w:rsidRPr="004D1C59">
        <w:t>a d</w:t>
      </w:r>
      <w:r w:rsidR="0047390E" w:rsidRPr="004D1C59">
        <w:t xml:space="preserve">esignated </w:t>
      </w:r>
      <w:r w:rsidR="00EA491F" w:rsidRPr="004D1C59">
        <w:t>v</w:t>
      </w:r>
      <w:r w:rsidR="0047390E" w:rsidRPr="004D1C59">
        <w:t>accine</w:t>
      </w:r>
      <w:r w:rsidR="00500F3F" w:rsidRPr="004D1C59">
        <w:t xml:space="preserve"> </w:t>
      </w:r>
      <w:r w:rsidR="00EA491F" w:rsidRPr="004D1C59">
        <w:t xml:space="preserve">under the </w:t>
      </w:r>
      <w:r w:rsidR="007B3941" w:rsidRPr="004D1C59">
        <w:t>National Immunisation Program (NIP) Schedule</w:t>
      </w:r>
      <w:r w:rsidR="00EA491F" w:rsidRPr="004D1C59">
        <w:t xml:space="preserve"> </w:t>
      </w:r>
      <w:r w:rsidR="001F2311" w:rsidRPr="004D1C59">
        <w:t>for</w:t>
      </w:r>
      <w:r w:rsidR="00331115" w:rsidRPr="004D1C59">
        <w:t xml:space="preserve"> prevention of IMDs in</w:t>
      </w:r>
      <w:r w:rsidR="00DD52E5" w:rsidRPr="004D1C59">
        <w:t>:</w:t>
      </w:r>
    </w:p>
    <w:p w14:paraId="6EF8C4A9" w14:textId="26FDE1DD" w:rsidR="0097399F" w:rsidRPr="004D1C59" w:rsidRDefault="000A1C7E" w:rsidP="002F42DA">
      <w:pPr>
        <w:pStyle w:val="3-BodyText"/>
        <w:numPr>
          <w:ilvl w:val="0"/>
          <w:numId w:val="0"/>
        </w:numPr>
        <w:ind w:left="720"/>
      </w:pPr>
      <w:r w:rsidRPr="004D1C59">
        <w:t xml:space="preserve">(a) a </w:t>
      </w:r>
      <w:r w:rsidR="00331115" w:rsidRPr="004D1C59">
        <w:t xml:space="preserve">person aged at least 14 years old but less than 17 years old as part of a </w:t>
      </w:r>
      <w:r w:rsidR="004D1C59" w:rsidRPr="004D1C59">
        <w:t>school-based</w:t>
      </w:r>
      <w:r w:rsidR="00331115" w:rsidRPr="004D1C59">
        <w:t xml:space="preserve"> program; or </w:t>
      </w:r>
    </w:p>
    <w:p w14:paraId="196FAD9C" w14:textId="14D6F3C8" w:rsidR="001F2311" w:rsidRPr="004D1C59" w:rsidRDefault="000A1C7E" w:rsidP="002F42DA">
      <w:pPr>
        <w:pStyle w:val="3-BodyText"/>
        <w:numPr>
          <w:ilvl w:val="0"/>
          <w:numId w:val="0"/>
        </w:numPr>
        <w:ind w:left="720"/>
      </w:pPr>
      <w:r w:rsidRPr="004D1C59">
        <w:t xml:space="preserve">(b) a </w:t>
      </w:r>
      <w:r w:rsidR="00331115" w:rsidRPr="004D1C59">
        <w:t xml:space="preserve">person aged at least 14 years old but less than 19 years old who did not receive the vaccination as part of a </w:t>
      </w:r>
      <w:r w:rsidR="004D1C59" w:rsidRPr="004D1C59">
        <w:t>school-based</w:t>
      </w:r>
      <w:r w:rsidR="00331115" w:rsidRPr="004D1C59">
        <w:t xml:space="preserve"> program</w:t>
      </w:r>
      <w:r w:rsidR="00445437" w:rsidRPr="004D1C59">
        <w:t xml:space="preserve"> (</w:t>
      </w:r>
      <w:r w:rsidR="0047390E" w:rsidRPr="004D1C59">
        <w:t>including the</w:t>
      </w:r>
      <w:r w:rsidR="00445437" w:rsidRPr="004D1C59">
        <w:t xml:space="preserve"> catch-up program)</w:t>
      </w:r>
      <w:r w:rsidR="00331115" w:rsidRPr="004D1C59">
        <w:t>.</w:t>
      </w:r>
      <w:r w:rsidR="001F2311" w:rsidRPr="004D1C59">
        <w:t xml:space="preserve"> </w:t>
      </w:r>
    </w:p>
    <w:p w14:paraId="33C2C319" w14:textId="66DF215F" w:rsidR="007E490F" w:rsidRPr="004D1C59" w:rsidRDefault="007E490F" w:rsidP="001C1FC7">
      <w:pPr>
        <w:pStyle w:val="4-SubsectionHeading"/>
      </w:pPr>
      <w:r w:rsidRPr="004D1C59">
        <w:t>Registration status</w:t>
      </w:r>
    </w:p>
    <w:p w14:paraId="2C579ACF" w14:textId="26087659" w:rsidR="00452A6C" w:rsidRPr="004D1C59" w:rsidRDefault="00B24244" w:rsidP="00C96DF4">
      <w:pPr>
        <w:pStyle w:val="3-BodyText"/>
      </w:pPr>
      <w:r w:rsidRPr="004D1C59">
        <w:t>Menveo</w:t>
      </w:r>
      <w:r w:rsidR="005B2E38" w:rsidRPr="004D1C59">
        <w:t xml:space="preserve"> </w:t>
      </w:r>
      <w:r w:rsidR="00445437" w:rsidRPr="004D1C59">
        <w:t>solution for injection</w:t>
      </w:r>
      <w:r w:rsidR="00452A6C" w:rsidRPr="004D1C59">
        <w:t xml:space="preserve"> was </w:t>
      </w:r>
      <w:r w:rsidR="008A2E2A" w:rsidRPr="004D1C59">
        <w:t xml:space="preserve">approved by the TGA </w:t>
      </w:r>
      <w:r w:rsidR="007F7615" w:rsidRPr="004D1C59">
        <w:t xml:space="preserve">on 26 September 2023. </w:t>
      </w:r>
      <w:r w:rsidR="008A2E2A" w:rsidRPr="004D1C59">
        <w:t>The sponsor provided the TGA Delegate’s Overview, the minutes from the Advisory Committee on Vaccines (ACV) and the TGA approval letter during the evaluation.</w:t>
      </w:r>
    </w:p>
    <w:p w14:paraId="16DEB62F" w14:textId="77777777" w:rsidR="007F7615" w:rsidRPr="004D1C59" w:rsidRDefault="008A2E2A" w:rsidP="00C96DF4">
      <w:pPr>
        <w:pStyle w:val="3-BodyText"/>
      </w:pPr>
      <w:r w:rsidRPr="004D1C59">
        <w:rPr>
          <w:rFonts w:cstheme="minorHAnsi"/>
        </w:rPr>
        <w:t xml:space="preserve">The approved indication for </w:t>
      </w:r>
      <w:r w:rsidR="00B24244" w:rsidRPr="004D1C59">
        <w:t>Menveo solution for injection</w:t>
      </w:r>
      <w:r w:rsidRPr="004D1C59">
        <w:t xml:space="preserve"> is</w:t>
      </w:r>
      <w:r w:rsidR="007F7615" w:rsidRPr="004D1C59">
        <w:t>:</w:t>
      </w:r>
      <w:r w:rsidRPr="004D1C59">
        <w:t xml:space="preserve"> </w:t>
      </w:r>
    </w:p>
    <w:p w14:paraId="45E926C1" w14:textId="77777777" w:rsidR="007F7615" w:rsidRPr="004D1C59" w:rsidRDefault="008A2E2A" w:rsidP="007F7615">
      <w:pPr>
        <w:pStyle w:val="3-BodyText"/>
        <w:numPr>
          <w:ilvl w:val="0"/>
          <w:numId w:val="0"/>
        </w:numPr>
        <w:ind w:left="720"/>
      </w:pPr>
      <w:r w:rsidRPr="004D1C59">
        <w:t>“MENVEO is indicated for active immunisation of children (from 2 years of age), adolescents and adults to prevent invasive disease caused by Neisseria meningitidis serogroups A, C,</w:t>
      </w:r>
      <w:r w:rsidR="006055C7" w:rsidRPr="004D1C59">
        <w:t xml:space="preserve"> </w:t>
      </w:r>
      <w:r w:rsidRPr="004D1C59">
        <w:t xml:space="preserve">W135 and Y. The use of this vaccine should be in accordance with official recommendations.” </w:t>
      </w:r>
    </w:p>
    <w:p w14:paraId="1F85F26B" w14:textId="6D5A84B4" w:rsidR="008A2E2A" w:rsidRPr="004D1C59" w:rsidRDefault="008A2E2A" w:rsidP="007F7615">
      <w:pPr>
        <w:pStyle w:val="3-BodyText"/>
      </w:pPr>
      <w:r w:rsidRPr="004D1C59">
        <w:t xml:space="preserve">It was noted during the evaluation that </w:t>
      </w:r>
      <w:r w:rsidR="00B24244" w:rsidRPr="004D1C59">
        <w:t>Menveo</w:t>
      </w:r>
      <w:r w:rsidRPr="004D1C59">
        <w:t xml:space="preserve"> solution for injection</w:t>
      </w:r>
      <w:r w:rsidR="006055C7" w:rsidRPr="004D1C59">
        <w:t xml:space="preserve"> is indicated for persons </w:t>
      </w:r>
      <w:r w:rsidR="0046005B">
        <w:t>from</w:t>
      </w:r>
      <w:r w:rsidR="000913B7">
        <w:t xml:space="preserve"> </w:t>
      </w:r>
      <w:r w:rsidR="006055C7" w:rsidRPr="004D1C59">
        <w:t>2 years of age</w:t>
      </w:r>
      <w:r w:rsidRPr="004D1C59">
        <w:t xml:space="preserve"> while the solution and powder for reconstitution</w:t>
      </w:r>
      <w:r w:rsidRPr="004D1C59" w:rsidDel="004336DD">
        <w:t xml:space="preserve"> </w:t>
      </w:r>
      <w:r w:rsidRPr="004D1C59">
        <w:t xml:space="preserve">is indicated for persons </w:t>
      </w:r>
      <w:r w:rsidR="00BE53EA">
        <w:t>from</w:t>
      </w:r>
      <w:r w:rsidR="000913B7">
        <w:t xml:space="preserve"> </w:t>
      </w:r>
      <w:r w:rsidRPr="004D1C59">
        <w:t xml:space="preserve">2 months of age. The ACV advised that </w:t>
      </w:r>
      <w:r w:rsidR="006055C7" w:rsidRPr="004D1C59">
        <w:t>“</w:t>
      </w:r>
      <w:r w:rsidRPr="004D1C59">
        <w:t xml:space="preserve">use of MenACWY </w:t>
      </w:r>
      <w:r w:rsidRPr="004D1C59">
        <w:lastRenderedPageBreak/>
        <w:t xml:space="preserve">Liquid in infants and children aged 2 months to 23 months was not supported at this time. This age group requires 2, 3 or 4 doses of Menveo, and these schedules have not been tested with the MenACWY Liquid formulation. In the absence of data there is uncertainty on immunogenicity and </w:t>
      </w:r>
      <w:r w:rsidR="00F172F2" w:rsidRPr="004D1C59">
        <w:t>safety. “(</w:t>
      </w:r>
      <w:r w:rsidRPr="004D1C59">
        <w:t>p6, ACV minutes). Th</w:t>
      </w:r>
      <w:r w:rsidR="006055C7" w:rsidRPr="004D1C59">
        <w:t>e</w:t>
      </w:r>
      <w:r w:rsidRPr="004D1C59">
        <w:t xml:space="preserve"> </w:t>
      </w:r>
      <w:r w:rsidR="007B3941" w:rsidRPr="004D1C59">
        <w:t xml:space="preserve">PBAC </w:t>
      </w:r>
      <w:r w:rsidR="006055C7" w:rsidRPr="004D1C59">
        <w:t xml:space="preserve">noted this </w:t>
      </w:r>
      <w:r w:rsidRPr="004D1C59">
        <w:t xml:space="preserve">difference would not impact the request for the solution for injection to be used under the NIP </w:t>
      </w:r>
      <w:r w:rsidRPr="004D1C59">
        <w:rPr>
          <w:color w:val="000000" w:themeColor="text1"/>
        </w:rPr>
        <w:t>for prevention of IMD</w:t>
      </w:r>
      <w:r w:rsidR="00DD52E5" w:rsidRPr="004D1C59">
        <w:rPr>
          <w:color w:val="000000" w:themeColor="text1"/>
        </w:rPr>
        <w:t>s</w:t>
      </w:r>
      <w:r w:rsidR="00752EFC" w:rsidRPr="004D1C59">
        <w:rPr>
          <w:color w:val="000000" w:themeColor="text1"/>
        </w:rPr>
        <w:t xml:space="preserve"> in adolescents</w:t>
      </w:r>
      <w:r w:rsidRPr="004D1C59">
        <w:t>.</w:t>
      </w:r>
    </w:p>
    <w:p w14:paraId="0094486E" w14:textId="77777777" w:rsidR="007E490F" w:rsidRPr="004D1C59" w:rsidRDefault="007E490F" w:rsidP="001C1FC7">
      <w:pPr>
        <w:pStyle w:val="4-SubsectionHeading"/>
      </w:pPr>
      <w:r w:rsidRPr="004D1C59">
        <w:t xml:space="preserve">Previous PBAC consideration </w:t>
      </w:r>
    </w:p>
    <w:p w14:paraId="56C938A2" w14:textId="3645EBB8" w:rsidR="007E490F" w:rsidRPr="004D1C59" w:rsidRDefault="007B3941" w:rsidP="00C96DF4">
      <w:pPr>
        <w:pStyle w:val="3-BodyText"/>
      </w:pPr>
      <w:r w:rsidRPr="004D1C59">
        <w:t xml:space="preserve">This is the first PBAC submission for </w:t>
      </w:r>
      <w:r w:rsidR="00B24244" w:rsidRPr="004D1C59">
        <w:t>Menveo</w:t>
      </w:r>
      <w:r w:rsidR="005B2E38" w:rsidRPr="004D1C59">
        <w:t xml:space="preserve"> solution for injection</w:t>
      </w:r>
      <w:r w:rsidR="007E490F" w:rsidRPr="004D1C59">
        <w:t xml:space="preserve"> for </w:t>
      </w:r>
      <w:r w:rsidR="005B2E38" w:rsidRPr="004D1C59">
        <w:t>the prevention of IMD</w:t>
      </w:r>
      <w:r w:rsidR="004D1C59">
        <w:t>s</w:t>
      </w:r>
      <w:r w:rsidR="005B2E38" w:rsidRPr="004D1C59">
        <w:t xml:space="preserve"> caused by Neisseria meningitidis serogroups A, C, W-135 and Y in adolescents</w:t>
      </w:r>
      <w:r w:rsidR="007F7615" w:rsidRPr="004D1C59">
        <w:t>.</w:t>
      </w:r>
      <w:r w:rsidR="005B2E38" w:rsidRPr="004D1C59" w:rsidDel="005B2E38">
        <w:rPr>
          <w:color w:val="FF0000"/>
        </w:rPr>
        <w:t xml:space="preserve"> </w:t>
      </w:r>
    </w:p>
    <w:p w14:paraId="26428226" w14:textId="30FDF8DB" w:rsidR="00F61D4D" w:rsidRPr="004D1C59" w:rsidRDefault="00B24244" w:rsidP="00C96DF4">
      <w:pPr>
        <w:pStyle w:val="3-BodyText"/>
      </w:pPr>
      <w:r w:rsidRPr="004D1C59">
        <w:t>Menveo</w:t>
      </w:r>
      <w:r w:rsidR="00F61D4D" w:rsidRPr="004D1C59">
        <w:t xml:space="preserve"> </w:t>
      </w:r>
      <w:r w:rsidR="00F61D4D" w:rsidRPr="004D1C59">
        <w:rPr>
          <w:rFonts w:cstheme="minorHAnsi"/>
        </w:rPr>
        <w:t>solution and powder for reconstitution</w:t>
      </w:r>
      <w:r w:rsidR="00F61D4D" w:rsidRPr="004D1C59">
        <w:t xml:space="preserve"> was recommended at the July</w:t>
      </w:r>
      <w:r w:rsidR="00B22AE4" w:rsidRPr="004D1C59">
        <w:t> </w:t>
      </w:r>
      <w:r w:rsidR="00F61D4D" w:rsidRPr="004D1C59">
        <w:t>2018 PBAC meeting. The PBAC recommended</w:t>
      </w:r>
      <w:r w:rsidR="00500F3F" w:rsidRPr="004D1C59">
        <w:t xml:space="preserve"> it as a</w:t>
      </w:r>
      <w:r w:rsidR="00F61D4D" w:rsidRPr="004D1C59">
        <w:t xml:space="preserve"> designated vaccine for the purposes of </w:t>
      </w:r>
      <w:r w:rsidR="00F61D4D" w:rsidRPr="004D1C59">
        <w:rPr>
          <w:szCs w:val="24"/>
        </w:rPr>
        <w:t xml:space="preserve">the </w:t>
      </w:r>
      <w:r w:rsidR="00621646" w:rsidRPr="004D1C59">
        <w:rPr>
          <w:rFonts w:cstheme="minorHAnsi"/>
          <w:i/>
          <w:szCs w:val="24"/>
        </w:rPr>
        <w:t>National Health Act 1953</w:t>
      </w:r>
      <w:r w:rsidR="00F61D4D" w:rsidRPr="004D1C59">
        <w:rPr>
          <w:szCs w:val="24"/>
        </w:rPr>
        <w:t xml:space="preserve"> for the</w:t>
      </w:r>
      <w:r w:rsidR="00F61D4D" w:rsidRPr="004D1C59">
        <w:t xml:space="preserve"> prevention of IMD</w:t>
      </w:r>
      <w:r w:rsidR="004D1C59">
        <w:t>s</w:t>
      </w:r>
      <w:r w:rsidR="00F61D4D" w:rsidRPr="004D1C59">
        <w:t xml:space="preserve"> caused by N.</w:t>
      </w:r>
      <w:r w:rsidR="00F172F2" w:rsidRPr="004D1C59">
        <w:t xml:space="preserve"> </w:t>
      </w:r>
      <w:r w:rsidR="00F61D4D" w:rsidRPr="004D1C59">
        <w:t xml:space="preserve">meningitidis serogroups A, C, W135 and Y as a single dose for adolescents as part of a school based immunisation program for year 10 students (aged 14-16) and via a catch-up program for a single dose for adolescents aged up to 19 years old. The PBAC considered that the claim that there is no evidence of a difference in the immunogenicity or safety between the Menveo </w:t>
      </w:r>
      <w:r w:rsidR="000C78CC" w:rsidRPr="004D1C59">
        <w:rPr>
          <w:rFonts w:cstheme="minorHAnsi"/>
        </w:rPr>
        <w:t>solution and powder for reconstitution</w:t>
      </w:r>
      <w:r w:rsidR="000C78CC" w:rsidRPr="004D1C59">
        <w:t xml:space="preserve"> </w:t>
      </w:r>
      <w:r w:rsidR="00F61D4D" w:rsidRPr="004D1C59">
        <w:t xml:space="preserve">and </w:t>
      </w:r>
      <w:r w:rsidR="007F7615" w:rsidRPr="004D1C59">
        <w:rPr>
          <w:rFonts w:cstheme="minorHAnsi"/>
          <w:bCs/>
          <w:szCs w:val="24"/>
        </w:rPr>
        <w:t>meningococcal polysaccharide serogroups A, C, W135 and Y tetanus toxoid conjugate</w:t>
      </w:r>
      <w:r w:rsidR="007F7615" w:rsidRPr="004D1C59">
        <w:t xml:space="preserve"> (</w:t>
      </w:r>
      <w:r w:rsidR="00F61D4D" w:rsidRPr="004D1C59">
        <w:t>Nimenrix</w:t>
      </w:r>
      <w:r w:rsidRPr="004D1C59">
        <w:rPr>
          <w:rFonts w:cstheme="minorHAnsi"/>
        </w:rPr>
        <w:t>®</w:t>
      </w:r>
      <w:r w:rsidR="007F7615" w:rsidRPr="004D1C59">
        <w:rPr>
          <w:rFonts w:cstheme="minorHAnsi"/>
        </w:rPr>
        <w:t>)</w:t>
      </w:r>
      <w:r w:rsidR="00F61D4D" w:rsidRPr="004D1C59">
        <w:t xml:space="preserve"> vaccines was reasonable. Recommendation was made on a cost minimisation basis, with equi-effective doses of 0.5 mL </w:t>
      </w:r>
      <w:r w:rsidRPr="004D1C59">
        <w:t>Menveo</w:t>
      </w:r>
      <w:r w:rsidR="00F61D4D" w:rsidRPr="004D1C59">
        <w:t xml:space="preserve"> and 0.5mL </w:t>
      </w:r>
      <w:r w:rsidRPr="004D1C59">
        <w:t>Nimenrix</w:t>
      </w:r>
      <w:r w:rsidR="00F61D4D" w:rsidRPr="004D1C59">
        <w:t>.</w:t>
      </w:r>
    </w:p>
    <w:p w14:paraId="1B8790B6" w14:textId="6919D497" w:rsidR="00964A9F" w:rsidRPr="004D1C59" w:rsidRDefault="00964A9F" w:rsidP="00CD6291">
      <w:pPr>
        <w:pStyle w:val="2-SectionHeading"/>
        <w:keepLines/>
        <w:jc w:val="both"/>
      </w:pPr>
      <w:r w:rsidRPr="004D1C59">
        <w:t>Requested listing</w:t>
      </w:r>
    </w:p>
    <w:p w14:paraId="18220F17" w14:textId="7447B3B7" w:rsidR="00B21788" w:rsidRPr="004D1C59" w:rsidRDefault="00964A9F" w:rsidP="00C96DF4">
      <w:pPr>
        <w:pStyle w:val="3-BodyText"/>
      </w:pPr>
      <w:r w:rsidRPr="004D1C59">
        <w:t>The submission requested the following new listing</w:t>
      </w:r>
      <w:r w:rsidR="006D33A6" w:rsidRPr="004D1C59">
        <w:t xml:space="preserve"> under the NIP</w:t>
      </w:r>
      <w:r w:rsidR="00B21788" w:rsidRPr="004D1C59">
        <w:t>.</w:t>
      </w:r>
    </w:p>
    <w:tbl>
      <w:tblPr>
        <w:tblW w:w="5001" w:type="pct"/>
        <w:tblInd w:w="28" w:type="dxa"/>
        <w:tblCellMar>
          <w:left w:w="28" w:type="dxa"/>
          <w:right w:w="28" w:type="dxa"/>
        </w:tblCellMar>
        <w:tblLook w:val="0000" w:firstRow="0" w:lastRow="0" w:firstColumn="0" w:lastColumn="0" w:noHBand="0" w:noVBand="0"/>
      </w:tblPr>
      <w:tblGrid>
        <w:gridCol w:w="2085"/>
        <w:gridCol w:w="1053"/>
        <w:gridCol w:w="1225"/>
        <w:gridCol w:w="2691"/>
        <w:gridCol w:w="1964"/>
      </w:tblGrid>
      <w:tr w:rsidR="006D33A6" w:rsidRPr="004D1C59" w14:paraId="00833A82" w14:textId="77777777" w:rsidTr="00F4389F">
        <w:trPr>
          <w:cantSplit/>
          <w:trHeight w:val="463"/>
        </w:trPr>
        <w:tc>
          <w:tcPr>
            <w:tcW w:w="1156" w:type="pct"/>
            <w:tcBorders>
              <w:top w:val="single" w:sz="4" w:space="0" w:color="auto"/>
              <w:left w:val="single" w:sz="4" w:space="0" w:color="auto"/>
              <w:bottom w:val="single" w:sz="4" w:space="0" w:color="auto"/>
              <w:right w:val="single" w:sz="4" w:space="0" w:color="auto"/>
            </w:tcBorders>
            <w:vAlign w:val="center"/>
          </w:tcPr>
          <w:p w14:paraId="59063B1A" w14:textId="12BB1631" w:rsidR="006D33A6" w:rsidRPr="004D1C59" w:rsidRDefault="006D33A6" w:rsidP="002F42DA">
            <w:pPr>
              <w:pStyle w:val="TableFigureHeading"/>
            </w:pPr>
            <w:r w:rsidRPr="004D1C59">
              <w:lastRenderedPageBreak/>
              <w:t>Vaccine</w:t>
            </w:r>
          </w:p>
        </w:tc>
        <w:tc>
          <w:tcPr>
            <w:tcW w:w="584" w:type="pct"/>
            <w:tcBorders>
              <w:top w:val="single" w:sz="4" w:space="0" w:color="auto"/>
              <w:left w:val="single" w:sz="4" w:space="0" w:color="auto"/>
              <w:bottom w:val="single" w:sz="4" w:space="0" w:color="auto"/>
              <w:right w:val="single" w:sz="4" w:space="0" w:color="auto"/>
            </w:tcBorders>
            <w:vAlign w:val="center"/>
          </w:tcPr>
          <w:p w14:paraId="5F162A16" w14:textId="77777777" w:rsidR="006D33A6" w:rsidRPr="004D1C59" w:rsidRDefault="006D33A6" w:rsidP="002F42DA">
            <w:pPr>
              <w:pStyle w:val="TableFigureHeading"/>
            </w:pPr>
            <w:r w:rsidRPr="004D1C59">
              <w:t>Brand</w:t>
            </w:r>
          </w:p>
        </w:tc>
        <w:tc>
          <w:tcPr>
            <w:tcW w:w="679" w:type="pct"/>
            <w:tcBorders>
              <w:top w:val="single" w:sz="4" w:space="0" w:color="auto"/>
              <w:left w:val="single" w:sz="4" w:space="0" w:color="auto"/>
              <w:bottom w:val="single" w:sz="4" w:space="0" w:color="auto"/>
              <w:right w:val="single" w:sz="4" w:space="0" w:color="auto"/>
            </w:tcBorders>
            <w:vAlign w:val="center"/>
          </w:tcPr>
          <w:p w14:paraId="70597F6E" w14:textId="77777777" w:rsidR="006D33A6" w:rsidRPr="004D1C59" w:rsidRDefault="006D33A6" w:rsidP="002F42DA">
            <w:pPr>
              <w:pStyle w:val="TableFigureHeading"/>
            </w:pPr>
            <w:r w:rsidRPr="004D1C59">
              <w:t>Formulation</w:t>
            </w:r>
          </w:p>
        </w:tc>
        <w:tc>
          <w:tcPr>
            <w:tcW w:w="1492" w:type="pct"/>
            <w:tcBorders>
              <w:top w:val="single" w:sz="4" w:space="0" w:color="auto"/>
              <w:left w:val="single" w:sz="4" w:space="0" w:color="auto"/>
              <w:bottom w:val="single" w:sz="4" w:space="0" w:color="auto"/>
              <w:right w:val="single" w:sz="4" w:space="0" w:color="auto"/>
            </w:tcBorders>
            <w:vAlign w:val="center"/>
          </w:tcPr>
          <w:p w14:paraId="347A9F50" w14:textId="77777777" w:rsidR="006D33A6" w:rsidRPr="004D1C59" w:rsidRDefault="006D33A6" w:rsidP="002F42DA">
            <w:pPr>
              <w:pStyle w:val="TableFigureHeading"/>
            </w:pPr>
            <w:r w:rsidRPr="004D1C59">
              <w:t>Active ingredient and strength</w:t>
            </w:r>
          </w:p>
        </w:tc>
        <w:tc>
          <w:tcPr>
            <w:tcW w:w="1089" w:type="pct"/>
            <w:tcBorders>
              <w:top w:val="single" w:sz="4" w:space="0" w:color="auto"/>
              <w:left w:val="single" w:sz="4" w:space="0" w:color="auto"/>
              <w:bottom w:val="single" w:sz="4" w:space="0" w:color="auto"/>
              <w:right w:val="single" w:sz="4" w:space="0" w:color="auto"/>
            </w:tcBorders>
            <w:vAlign w:val="center"/>
          </w:tcPr>
          <w:p w14:paraId="5F3E9FBF" w14:textId="77777777" w:rsidR="006D33A6" w:rsidRPr="000E788E" w:rsidRDefault="006D33A6" w:rsidP="002F42DA">
            <w:pPr>
              <w:pStyle w:val="TableFigureHeading"/>
            </w:pPr>
            <w:r w:rsidRPr="000E788E">
              <w:t>Number and timing of doses</w:t>
            </w:r>
          </w:p>
        </w:tc>
      </w:tr>
      <w:tr w:rsidR="006D33A6" w:rsidRPr="004D1C59" w14:paraId="62A268F4" w14:textId="77777777" w:rsidTr="00F4389F">
        <w:trPr>
          <w:cantSplit/>
          <w:trHeight w:val="463"/>
        </w:trPr>
        <w:tc>
          <w:tcPr>
            <w:tcW w:w="1156" w:type="pct"/>
            <w:tcBorders>
              <w:top w:val="single" w:sz="4" w:space="0" w:color="auto"/>
              <w:left w:val="single" w:sz="4" w:space="0" w:color="auto"/>
              <w:bottom w:val="single" w:sz="4" w:space="0" w:color="auto"/>
              <w:right w:val="single" w:sz="4" w:space="0" w:color="auto"/>
            </w:tcBorders>
            <w:vAlign w:val="center"/>
          </w:tcPr>
          <w:p w14:paraId="795D1A4D" w14:textId="2871AC84" w:rsidR="006D33A6" w:rsidRPr="004D1C59" w:rsidRDefault="006D33A6" w:rsidP="00F4389F">
            <w:pPr>
              <w:keepNext/>
              <w:keepLines/>
              <w:jc w:val="left"/>
              <w:rPr>
                <w:rFonts w:ascii="Arial Narrow" w:hAnsi="Arial Narrow"/>
                <w:bCs/>
                <w:sz w:val="20"/>
              </w:rPr>
            </w:pPr>
            <w:r w:rsidRPr="004D1C59">
              <w:rPr>
                <w:rFonts w:ascii="Arial Narrow" w:hAnsi="Arial Narrow"/>
                <w:bCs/>
                <w:sz w:val="20"/>
              </w:rPr>
              <w:t>Meningococcal (Groups A,C,W</w:t>
            </w:r>
            <w:r w:rsidRPr="004D1C59">
              <w:rPr>
                <w:rFonts w:ascii="Cambria Math" w:hAnsi="Cambria Math" w:cs="Cambria Math"/>
                <w:bCs/>
                <w:sz w:val="20"/>
              </w:rPr>
              <w:t>‑</w:t>
            </w:r>
            <w:r w:rsidRPr="004D1C59">
              <w:rPr>
                <w:rFonts w:ascii="Arial Narrow" w:hAnsi="Arial Narrow"/>
                <w:bCs/>
                <w:sz w:val="20"/>
              </w:rPr>
              <w:t>135 and Y) Oligosaccharide CRM197 Conjugate Vaccine (Men ACWY</w:t>
            </w:r>
            <w:r w:rsidRPr="004D1C59">
              <w:rPr>
                <w:rFonts w:ascii="Cambria Math" w:hAnsi="Cambria Math" w:cs="Cambria Math"/>
                <w:bCs/>
                <w:sz w:val="20"/>
              </w:rPr>
              <w:t>‑</w:t>
            </w:r>
            <w:r w:rsidRPr="004D1C59">
              <w:rPr>
                <w:rFonts w:ascii="Arial Narrow" w:hAnsi="Arial Narrow"/>
                <w:bCs/>
                <w:sz w:val="20"/>
              </w:rPr>
              <w:t>CRM)</w:t>
            </w:r>
          </w:p>
        </w:tc>
        <w:tc>
          <w:tcPr>
            <w:tcW w:w="584" w:type="pct"/>
            <w:tcBorders>
              <w:top w:val="single" w:sz="4" w:space="0" w:color="auto"/>
              <w:left w:val="single" w:sz="4" w:space="0" w:color="auto"/>
              <w:bottom w:val="single" w:sz="4" w:space="0" w:color="auto"/>
              <w:right w:val="single" w:sz="4" w:space="0" w:color="auto"/>
            </w:tcBorders>
            <w:vAlign w:val="center"/>
          </w:tcPr>
          <w:p w14:paraId="03C6E207" w14:textId="30F16778" w:rsidR="006D33A6" w:rsidRPr="004D1C59" w:rsidRDefault="006D33A6" w:rsidP="00CD6291">
            <w:pPr>
              <w:keepNext/>
              <w:keepLines/>
              <w:jc w:val="center"/>
              <w:rPr>
                <w:rFonts w:ascii="Arial Narrow" w:hAnsi="Arial Narrow"/>
                <w:bCs/>
                <w:sz w:val="20"/>
              </w:rPr>
            </w:pPr>
            <w:r w:rsidRPr="004D1C59">
              <w:rPr>
                <w:rFonts w:ascii="Arial Narrow" w:hAnsi="Arial Narrow"/>
                <w:bCs/>
                <w:sz w:val="20"/>
              </w:rPr>
              <w:t>Menveo</w:t>
            </w:r>
          </w:p>
        </w:tc>
        <w:tc>
          <w:tcPr>
            <w:tcW w:w="679" w:type="pct"/>
            <w:tcBorders>
              <w:top w:val="single" w:sz="4" w:space="0" w:color="auto"/>
              <w:left w:val="single" w:sz="4" w:space="0" w:color="auto"/>
              <w:bottom w:val="single" w:sz="4" w:space="0" w:color="auto"/>
              <w:right w:val="single" w:sz="4" w:space="0" w:color="auto"/>
            </w:tcBorders>
            <w:vAlign w:val="center"/>
          </w:tcPr>
          <w:p w14:paraId="7FD9E94D" w14:textId="6470BA17" w:rsidR="006D33A6" w:rsidRPr="004D1C59" w:rsidRDefault="006D33A6" w:rsidP="00CD6291">
            <w:pPr>
              <w:keepNext/>
              <w:keepLines/>
              <w:jc w:val="center"/>
              <w:rPr>
                <w:rFonts w:ascii="Arial Narrow" w:hAnsi="Arial Narrow"/>
                <w:bCs/>
                <w:sz w:val="20"/>
              </w:rPr>
            </w:pPr>
            <w:r w:rsidRPr="004D1C59">
              <w:rPr>
                <w:rFonts w:ascii="Arial Narrow" w:hAnsi="Arial Narrow"/>
                <w:bCs/>
                <w:sz w:val="20"/>
              </w:rPr>
              <w:t>Injection (0.5mL)</w:t>
            </w:r>
          </w:p>
        </w:tc>
        <w:tc>
          <w:tcPr>
            <w:tcW w:w="1492" w:type="pct"/>
            <w:tcBorders>
              <w:top w:val="single" w:sz="4" w:space="0" w:color="auto"/>
              <w:left w:val="single" w:sz="4" w:space="0" w:color="auto"/>
              <w:bottom w:val="single" w:sz="4" w:space="0" w:color="auto"/>
              <w:right w:val="single" w:sz="4" w:space="0" w:color="auto"/>
            </w:tcBorders>
            <w:vAlign w:val="center"/>
          </w:tcPr>
          <w:p w14:paraId="67E0742D" w14:textId="7ACBADDB" w:rsidR="006D33A6" w:rsidRPr="004D1C59" w:rsidRDefault="006D33A6" w:rsidP="00CD6291">
            <w:pPr>
              <w:keepNext/>
              <w:keepLines/>
              <w:rPr>
                <w:rFonts w:ascii="Arial Narrow" w:hAnsi="Arial Narrow"/>
                <w:bCs/>
                <w:sz w:val="20"/>
              </w:rPr>
            </w:pPr>
            <w:r w:rsidRPr="004D1C59">
              <w:rPr>
                <w:rFonts w:ascii="Arial Narrow" w:hAnsi="Arial Narrow"/>
                <w:bCs/>
                <w:sz w:val="20"/>
              </w:rPr>
              <w:t>Each 0.5 mL dose contains:</w:t>
            </w:r>
          </w:p>
          <w:p w14:paraId="41274676" w14:textId="24FF0E9D" w:rsidR="006D33A6" w:rsidRPr="004D1C59" w:rsidRDefault="006D33A6" w:rsidP="009D58DD">
            <w:pPr>
              <w:pStyle w:val="ListParagraph"/>
              <w:keepNext/>
              <w:keepLines/>
              <w:numPr>
                <w:ilvl w:val="0"/>
                <w:numId w:val="59"/>
              </w:numPr>
              <w:rPr>
                <w:rFonts w:ascii="Arial Narrow" w:hAnsi="Arial Narrow"/>
                <w:bCs/>
                <w:sz w:val="20"/>
              </w:rPr>
            </w:pPr>
            <w:r w:rsidRPr="004D1C59">
              <w:rPr>
                <w:rFonts w:ascii="Arial Narrow" w:hAnsi="Arial Narrow"/>
                <w:bCs/>
                <w:sz w:val="20"/>
              </w:rPr>
              <w:t>10 µg Meningococcal polysaccharide serogroup A conjugated to 16.7–33.3 µg Corynebacterium diphtheriae CRM197 protein</w:t>
            </w:r>
          </w:p>
          <w:p w14:paraId="1AC6F223" w14:textId="77777777" w:rsidR="006D33A6" w:rsidRPr="004D1C59" w:rsidRDefault="006D33A6" w:rsidP="00CD6291">
            <w:pPr>
              <w:keepNext/>
              <w:keepLines/>
              <w:jc w:val="center"/>
              <w:rPr>
                <w:rFonts w:ascii="Arial Narrow" w:hAnsi="Arial Narrow"/>
                <w:bCs/>
                <w:sz w:val="20"/>
              </w:rPr>
            </w:pPr>
          </w:p>
          <w:p w14:paraId="5D43F750" w14:textId="6EADF010" w:rsidR="006D33A6" w:rsidRPr="004D1C59" w:rsidRDefault="006D33A6" w:rsidP="009D58DD">
            <w:pPr>
              <w:pStyle w:val="ListParagraph"/>
              <w:keepNext/>
              <w:keepLines/>
              <w:numPr>
                <w:ilvl w:val="0"/>
                <w:numId w:val="59"/>
              </w:numPr>
              <w:rPr>
                <w:rFonts w:ascii="Arial Narrow" w:hAnsi="Arial Narrow"/>
                <w:bCs/>
                <w:sz w:val="20"/>
              </w:rPr>
            </w:pPr>
            <w:r w:rsidRPr="004D1C59">
              <w:rPr>
                <w:rFonts w:ascii="Arial Narrow" w:hAnsi="Arial Narrow"/>
                <w:bCs/>
                <w:sz w:val="20"/>
              </w:rPr>
              <w:t>5 µg Meningococcal polysaccharide serogroup C conjugated to 7.1–12.5 µg C. diphtheriae CRM197 protein</w:t>
            </w:r>
          </w:p>
          <w:p w14:paraId="1373A6A9" w14:textId="77777777" w:rsidR="006D33A6" w:rsidRPr="004D1C59" w:rsidRDefault="006D33A6" w:rsidP="00CD6291">
            <w:pPr>
              <w:keepNext/>
              <w:keepLines/>
              <w:jc w:val="center"/>
              <w:rPr>
                <w:rFonts w:ascii="Arial Narrow" w:hAnsi="Arial Narrow"/>
                <w:bCs/>
                <w:sz w:val="20"/>
              </w:rPr>
            </w:pPr>
          </w:p>
          <w:p w14:paraId="56CD58C4" w14:textId="181804F9" w:rsidR="006D33A6" w:rsidRPr="004D1C59" w:rsidRDefault="006D33A6" w:rsidP="009D58DD">
            <w:pPr>
              <w:pStyle w:val="ListParagraph"/>
              <w:keepNext/>
              <w:keepLines/>
              <w:numPr>
                <w:ilvl w:val="0"/>
                <w:numId w:val="59"/>
              </w:numPr>
              <w:rPr>
                <w:rFonts w:ascii="Arial Narrow" w:hAnsi="Arial Narrow"/>
                <w:bCs/>
                <w:sz w:val="20"/>
              </w:rPr>
            </w:pPr>
            <w:r w:rsidRPr="004D1C59">
              <w:rPr>
                <w:rFonts w:ascii="Arial Narrow" w:hAnsi="Arial Narrow"/>
                <w:bCs/>
                <w:sz w:val="20"/>
              </w:rPr>
              <w:t>5 µg Meningococcal polysaccharide serogroup W</w:t>
            </w:r>
            <w:r w:rsidRPr="004D1C59">
              <w:rPr>
                <w:rFonts w:ascii="Cambria Math" w:hAnsi="Cambria Math" w:cs="Cambria Math"/>
                <w:bCs/>
                <w:sz w:val="20"/>
              </w:rPr>
              <w:t>‑</w:t>
            </w:r>
            <w:r w:rsidRPr="004D1C59">
              <w:rPr>
                <w:rFonts w:ascii="Arial Narrow" w:hAnsi="Arial Narrow"/>
                <w:bCs/>
                <w:sz w:val="20"/>
              </w:rPr>
              <w:t>135 conjugated to 3.3</w:t>
            </w:r>
            <w:r w:rsidRPr="004D1C59">
              <w:rPr>
                <w:rFonts w:ascii="Arial Narrow" w:hAnsi="Arial Narrow" w:cs="Arial Narrow"/>
                <w:bCs/>
                <w:sz w:val="20"/>
              </w:rPr>
              <w:t>–</w:t>
            </w:r>
            <w:r w:rsidRPr="004D1C59">
              <w:rPr>
                <w:rFonts w:ascii="Arial Narrow" w:hAnsi="Arial Narrow"/>
                <w:bCs/>
                <w:sz w:val="20"/>
              </w:rPr>
              <w:t xml:space="preserve">8.3 </w:t>
            </w:r>
            <w:r w:rsidRPr="004D1C59">
              <w:rPr>
                <w:rFonts w:ascii="Arial Narrow" w:hAnsi="Arial Narrow" w:cs="Arial Narrow"/>
                <w:bCs/>
                <w:sz w:val="20"/>
              </w:rPr>
              <w:t>µ</w:t>
            </w:r>
            <w:r w:rsidRPr="004D1C59">
              <w:rPr>
                <w:rFonts w:ascii="Arial Narrow" w:hAnsi="Arial Narrow"/>
                <w:bCs/>
                <w:sz w:val="20"/>
              </w:rPr>
              <w:t>g C. diphtheriae CRM197 protein</w:t>
            </w:r>
          </w:p>
          <w:p w14:paraId="1ED339F6" w14:textId="77777777" w:rsidR="006D33A6" w:rsidRPr="004D1C59" w:rsidRDefault="006D33A6" w:rsidP="00CD6291">
            <w:pPr>
              <w:keepNext/>
              <w:keepLines/>
              <w:jc w:val="center"/>
              <w:rPr>
                <w:rFonts w:ascii="Arial Narrow" w:hAnsi="Arial Narrow"/>
                <w:bCs/>
                <w:sz w:val="20"/>
              </w:rPr>
            </w:pPr>
          </w:p>
          <w:p w14:paraId="65D8291B" w14:textId="0B3142D5" w:rsidR="006D33A6" w:rsidRPr="004D1C59" w:rsidRDefault="006D33A6" w:rsidP="009D58DD">
            <w:pPr>
              <w:pStyle w:val="ListParagraph"/>
              <w:keepNext/>
              <w:keepLines/>
              <w:numPr>
                <w:ilvl w:val="0"/>
                <w:numId w:val="59"/>
              </w:numPr>
              <w:rPr>
                <w:rFonts w:ascii="Arial Narrow" w:hAnsi="Arial Narrow"/>
                <w:bCs/>
                <w:sz w:val="20"/>
              </w:rPr>
            </w:pPr>
            <w:r w:rsidRPr="004D1C59">
              <w:rPr>
                <w:rFonts w:ascii="Arial Narrow" w:hAnsi="Arial Narrow"/>
                <w:bCs/>
                <w:sz w:val="20"/>
              </w:rPr>
              <w:t>5 µg Meningococcal polysaccharide serogroup Y conjugated to 5.6–10 µg C. diphtheriae CRM197 protein</w:t>
            </w:r>
          </w:p>
        </w:tc>
        <w:tc>
          <w:tcPr>
            <w:tcW w:w="1089" w:type="pct"/>
            <w:tcBorders>
              <w:top w:val="single" w:sz="4" w:space="0" w:color="auto"/>
              <w:left w:val="single" w:sz="4" w:space="0" w:color="auto"/>
              <w:bottom w:val="single" w:sz="4" w:space="0" w:color="auto"/>
              <w:right w:val="single" w:sz="4" w:space="0" w:color="auto"/>
            </w:tcBorders>
            <w:vAlign w:val="center"/>
          </w:tcPr>
          <w:p w14:paraId="07BFC2D7" w14:textId="22F7BB98" w:rsidR="006D33A6" w:rsidRPr="000E788E" w:rsidRDefault="006D33A6" w:rsidP="00CD6291">
            <w:pPr>
              <w:keepNext/>
              <w:keepLines/>
              <w:jc w:val="center"/>
              <w:rPr>
                <w:rFonts w:ascii="Arial Narrow" w:hAnsi="Arial Narrow"/>
                <w:bCs/>
                <w:sz w:val="20"/>
              </w:rPr>
            </w:pPr>
            <w:r w:rsidRPr="000E788E">
              <w:rPr>
                <w:rFonts w:ascii="Arial Narrow" w:hAnsi="Arial Narrow"/>
                <w:bCs/>
                <w:sz w:val="20"/>
              </w:rPr>
              <w:t>1 dose</w:t>
            </w:r>
          </w:p>
        </w:tc>
      </w:tr>
      <w:tr w:rsidR="006D33A6" w:rsidRPr="004D1C59" w14:paraId="2F2A093A" w14:textId="77777777" w:rsidTr="006D33A6">
        <w:trPr>
          <w:cantSplit/>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BA130FC" w14:textId="77777777" w:rsidR="006D33A6" w:rsidRPr="004D1C59" w:rsidRDefault="006D33A6" w:rsidP="002F42DA">
            <w:pPr>
              <w:keepNext/>
              <w:keepLines/>
              <w:rPr>
                <w:rFonts w:ascii="Arial Narrow" w:hAnsi="Arial Narrow"/>
                <w:sz w:val="20"/>
              </w:rPr>
            </w:pPr>
            <w:r w:rsidRPr="004D1C59">
              <w:rPr>
                <w:rFonts w:ascii="Arial Narrow" w:hAnsi="Arial Narrow"/>
                <w:sz w:val="20"/>
              </w:rPr>
              <w:t>Circumstances</w:t>
            </w:r>
          </w:p>
          <w:p w14:paraId="736A8FF5" w14:textId="35A8B91C" w:rsidR="006D33A6" w:rsidRPr="004D1C59" w:rsidRDefault="006D33A6" w:rsidP="00CD6291">
            <w:pPr>
              <w:keepNext/>
              <w:keepLines/>
              <w:rPr>
                <w:rFonts w:ascii="Arial Narrow" w:hAnsi="Arial Narrow"/>
                <w:sz w:val="20"/>
              </w:rPr>
            </w:pPr>
            <w:r w:rsidRPr="004D1C59">
              <w:rPr>
                <w:rFonts w:ascii="Arial Narrow" w:hAnsi="Arial Narrow"/>
                <w:sz w:val="20"/>
              </w:rPr>
              <w:t>Vaccine may be provided to:</w:t>
            </w:r>
          </w:p>
          <w:p w14:paraId="24D24792" w14:textId="77777777" w:rsidR="006D33A6" w:rsidRPr="004D1C59" w:rsidRDefault="006D33A6" w:rsidP="00CD6291">
            <w:pPr>
              <w:keepNext/>
              <w:keepLines/>
              <w:rPr>
                <w:rFonts w:ascii="Arial Narrow" w:hAnsi="Arial Narrow"/>
                <w:sz w:val="20"/>
              </w:rPr>
            </w:pPr>
          </w:p>
          <w:p w14:paraId="6F32878C" w14:textId="77777777" w:rsidR="006D33A6" w:rsidRPr="004D1C59" w:rsidRDefault="006D33A6" w:rsidP="00CD6291">
            <w:pPr>
              <w:keepNext/>
              <w:keepLines/>
              <w:rPr>
                <w:rFonts w:ascii="Arial Narrow" w:hAnsi="Arial Narrow"/>
                <w:sz w:val="20"/>
              </w:rPr>
            </w:pPr>
            <w:r w:rsidRPr="004D1C59">
              <w:rPr>
                <w:rFonts w:ascii="Arial Narrow" w:hAnsi="Arial Narrow"/>
                <w:sz w:val="20"/>
              </w:rPr>
              <w:t>(a) a person aged at least 14 years old but less than 17 years old as part of a school based program; or</w:t>
            </w:r>
          </w:p>
          <w:p w14:paraId="0086F2A9" w14:textId="77777777" w:rsidR="006D33A6" w:rsidRPr="004D1C59" w:rsidRDefault="006D33A6" w:rsidP="00CD6291">
            <w:pPr>
              <w:keepNext/>
              <w:keepLines/>
              <w:rPr>
                <w:rFonts w:ascii="Arial Narrow" w:hAnsi="Arial Narrow"/>
                <w:sz w:val="20"/>
              </w:rPr>
            </w:pPr>
          </w:p>
          <w:p w14:paraId="4B8457D3" w14:textId="5417E6FB" w:rsidR="006D33A6" w:rsidRPr="004D1C59" w:rsidRDefault="006D33A6" w:rsidP="00CD6291">
            <w:pPr>
              <w:keepNext/>
              <w:keepLines/>
              <w:rPr>
                <w:rFonts w:ascii="Arial Narrow" w:hAnsi="Arial Narrow"/>
                <w:sz w:val="20"/>
              </w:rPr>
            </w:pPr>
            <w:r w:rsidRPr="004D1C59">
              <w:rPr>
                <w:rFonts w:ascii="Arial Narrow" w:hAnsi="Arial Narrow"/>
                <w:sz w:val="20"/>
              </w:rPr>
              <w:t>(b) a person aged at least 14 years old but less than 19 years old who did not receive the vaccination as part of a school based program</w:t>
            </w:r>
          </w:p>
        </w:tc>
      </w:tr>
    </w:tbl>
    <w:p w14:paraId="5488B610" w14:textId="7049EA10" w:rsidR="004905BE" w:rsidRPr="004D1C59" w:rsidRDefault="004905BE" w:rsidP="00C96DF4">
      <w:pPr>
        <w:pStyle w:val="3-BodyText"/>
        <w:spacing w:before="120"/>
      </w:pPr>
      <w:r w:rsidRPr="004D1C59">
        <w:t xml:space="preserve">The submission claimed that </w:t>
      </w:r>
      <w:r w:rsidR="00B24244" w:rsidRPr="004D1C59">
        <w:t>Menveo</w:t>
      </w:r>
      <w:r w:rsidRPr="004D1C59">
        <w:t xml:space="preserve"> solution for injection contains the same amount of each antigen </w:t>
      </w:r>
      <w:r w:rsidR="00B22AE4" w:rsidRPr="004D1C59">
        <w:t xml:space="preserve">as the solution and powder form </w:t>
      </w:r>
      <w:r w:rsidRPr="004D1C59">
        <w:t xml:space="preserve">and there are no changes to the drug substance manufacturing process. Additionally, </w:t>
      </w:r>
      <w:r w:rsidR="00DD52E5" w:rsidRPr="004D1C59">
        <w:t xml:space="preserve">the submission noted </w:t>
      </w:r>
      <w:r w:rsidRPr="004D1C59">
        <w:t>the main qualitative and quantitative differences between the dosage forms are the absence of sucrose and potassium phosphate in Menveo solution for injection, as these were added to form the lyophilisation matrix of MenA conjugate component.</w:t>
      </w:r>
    </w:p>
    <w:p w14:paraId="08BB1F9B" w14:textId="760DEFDA" w:rsidR="004905BE" w:rsidRPr="004D1C59" w:rsidRDefault="004905BE" w:rsidP="00C96DF4">
      <w:pPr>
        <w:pStyle w:val="3-BodyText"/>
      </w:pPr>
      <w:r w:rsidRPr="004D1C59">
        <w:t xml:space="preserve">The submission claimed the </w:t>
      </w:r>
      <w:r w:rsidR="00B24244" w:rsidRPr="004D1C59">
        <w:t>Menveo</w:t>
      </w:r>
      <w:r w:rsidRPr="004D1C59">
        <w:t xml:space="preserve"> solution for injection will simplify vaccine administration by removing the need for reconstitution and potentially preventing reconstitution errors. </w:t>
      </w:r>
    </w:p>
    <w:p w14:paraId="0FB77C27" w14:textId="52B6DA43" w:rsidR="00230ED4" w:rsidRPr="004D1C59" w:rsidRDefault="00230ED4" w:rsidP="00230ED4">
      <w:pPr>
        <w:pStyle w:val="3-BodyText"/>
        <w:rPr>
          <w:rFonts w:cstheme="minorHAnsi"/>
        </w:rPr>
      </w:pPr>
      <w:r w:rsidRPr="004D1C59">
        <w:rPr>
          <w:rFonts w:cstheme="minorHAnsi"/>
        </w:rPr>
        <w:t xml:space="preserve">The </w:t>
      </w:r>
      <w:r w:rsidR="00B35718" w:rsidRPr="004D1C59">
        <w:rPr>
          <w:rFonts w:cstheme="minorHAnsi"/>
        </w:rPr>
        <w:t xml:space="preserve">sponsor </w:t>
      </w:r>
      <w:r w:rsidR="00392DA1" w:rsidRPr="004D1C59">
        <w:rPr>
          <w:rFonts w:cstheme="minorHAnsi"/>
        </w:rPr>
        <w:t xml:space="preserve">noted </w:t>
      </w:r>
      <w:r w:rsidR="00B35718" w:rsidRPr="004D1C59">
        <w:rPr>
          <w:rFonts w:cstheme="minorHAnsi"/>
        </w:rPr>
        <w:t xml:space="preserve">in the </w:t>
      </w:r>
      <w:r w:rsidRPr="004D1C59">
        <w:rPr>
          <w:rFonts w:cstheme="minorHAnsi"/>
        </w:rPr>
        <w:t xml:space="preserve">pre-PBAC response </w:t>
      </w:r>
      <w:r w:rsidR="00B35718" w:rsidRPr="004D1C59">
        <w:rPr>
          <w:rFonts w:cstheme="minorHAnsi"/>
        </w:rPr>
        <w:t xml:space="preserve">that it </w:t>
      </w:r>
      <w:r w:rsidR="00E02429" w:rsidRPr="004D1C59">
        <w:rPr>
          <w:rFonts w:cstheme="minorHAnsi"/>
        </w:rPr>
        <w:t xml:space="preserve">did </w:t>
      </w:r>
      <w:r w:rsidRPr="004D1C59">
        <w:rPr>
          <w:rFonts w:cstheme="minorHAnsi"/>
        </w:rPr>
        <w:t xml:space="preserve">not intend to delist or discontinue Menveo solution and powder for reconstitution at the time of this consideration. </w:t>
      </w:r>
    </w:p>
    <w:p w14:paraId="29A96004" w14:textId="77777777" w:rsidR="00C27C1C" w:rsidRPr="004D1C59" w:rsidRDefault="00C27C1C" w:rsidP="00C96DF4">
      <w:pPr>
        <w:pStyle w:val="2-SectionHeading"/>
      </w:pPr>
      <w:r w:rsidRPr="004D1C59">
        <w:lastRenderedPageBreak/>
        <w:t xml:space="preserve">Comparator </w:t>
      </w:r>
    </w:p>
    <w:p w14:paraId="1184BA9A" w14:textId="176BB73F" w:rsidR="00C27C1C" w:rsidRPr="004D1C59" w:rsidRDefault="00C27C1C" w:rsidP="00C96DF4">
      <w:pPr>
        <w:pStyle w:val="3-BodyText"/>
        <w:rPr>
          <w:i/>
        </w:rPr>
      </w:pPr>
      <w:r w:rsidRPr="004D1C59">
        <w:t xml:space="preserve">The submission nominated </w:t>
      </w:r>
      <w:r w:rsidR="00B24244" w:rsidRPr="004D1C59">
        <w:t>Menveo</w:t>
      </w:r>
      <w:r w:rsidR="00FA627C" w:rsidRPr="004D1C59">
        <w:t xml:space="preserve"> solution and powder for reconstitution </w:t>
      </w:r>
      <w:r w:rsidRPr="004D1C59">
        <w:t>as the main comparator.</w:t>
      </w:r>
      <w:r w:rsidR="00EB7210" w:rsidRPr="004D1C59">
        <w:t xml:space="preserve"> </w:t>
      </w:r>
    </w:p>
    <w:p w14:paraId="51E488D3" w14:textId="10F8043C" w:rsidR="003F6511" w:rsidRPr="004D1C59" w:rsidRDefault="00FA627C" w:rsidP="00C96DF4">
      <w:pPr>
        <w:pStyle w:val="3-BodyText"/>
      </w:pPr>
      <w:r w:rsidRPr="004D1C59">
        <w:rPr>
          <w:iCs/>
        </w:rPr>
        <w:t xml:space="preserve">The submission also nominated </w:t>
      </w:r>
      <w:r w:rsidR="008459FF" w:rsidRPr="004D1C59">
        <w:t xml:space="preserve">Nimenrix </w:t>
      </w:r>
      <w:r w:rsidR="003F6511" w:rsidRPr="004D1C59">
        <w:t xml:space="preserve">as this </w:t>
      </w:r>
      <w:r w:rsidR="000C78CC" w:rsidRPr="004D1C59">
        <w:t>was</w:t>
      </w:r>
      <w:r w:rsidR="003F6511" w:rsidRPr="004D1C59">
        <w:t xml:space="preserve"> the NIP </w:t>
      </w:r>
      <w:r w:rsidR="00E7255E" w:rsidRPr="004D1C59">
        <w:t xml:space="preserve">funded </w:t>
      </w:r>
      <w:r w:rsidR="003F6511" w:rsidRPr="004D1C59">
        <w:t xml:space="preserve">vaccine </w:t>
      </w:r>
      <w:r w:rsidR="00E7255E" w:rsidRPr="004D1C59">
        <w:t xml:space="preserve">on </w:t>
      </w:r>
      <w:r w:rsidR="003F6511" w:rsidRPr="004D1C59">
        <w:t xml:space="preserve">which the pricing request </w:t>
      </w:r>
      <w:r w:rsidR="000C78CC" w:rsidRPr="004D1C59">
        <w:t>wa</w:t>
      </w:r>
      <w:r w:rsidR="003F6511" w:rsidRPr="004D1C59">
        <w:t xml:space="preserve">s based. It is also the comparator which was </w:t>
      </w:r>
      <w:r w:rsidR="00DD52E5" w:rsidRPr="004D1C59">
        <w:t xml:space="preserve">accepted by PBAC for the </w:t>
      </w:r>
      <w:r w:rsidR="003F6511" w:rsidRPr="004D1C59">
        <w:t>list</w:t>
      </w:r>
      <w:r w:rsidR="00DD52E5" w:rsidRPr="004D1C59">
        <w:t>ing of</w:t>
      </w:r>
      <w:r w:rsidR="003F6511" w:rsidRPr="004D1C59">
        <w:t xml:space="preserve"> the </w:t>
      </w:r>
      <w:r w:rsidR="00B24244" w:rsidRPr="004D1C59">
        <w:t xml:space="preserve">Menveo </w:t>
      </w:r>
      <w:r w:rsidR="003F6511" w:rsidRPr="004D1C59">
        <w:t>solution and powder for reconstitution (</w:t>
      </w:r>
      <w:r w:rsidR="00B24244" w:rsidRPr="004D1C59">
        <w:t>Menveo</w:t>
      </w:r>
      <w:r w:rsidR="003F6511" w:rsidRPr="004D1C59">
        <w:t xml:space="preserve">, Public Summary Document [PSD], </w:t>
      </w:r>
      <w:r w:rsidR="00AC4103" w:rsidRPr="004D1C59">
        <w:t xml:space="preserve">July and </w:t>
      </w:r>
      <w:r w:rsidR="003F6511" w:rsidRPr="004D1C59">
        <w:t xml:space="preserve">August 2018 PBAC Meeting). </w:t>
      </w:r>
      <w:r w:rsidR="00DD52E5" w:rsidRPr="004D1C59">
        <w:t xml:space="preserve">The submission noted that </w:t>
      </w:r>
      <w:r w:rsidR="00B24244" w:rsidRPr="004D1C59">
        <w:t>Menveo</w:t>
      </w:r>
      <w:r w:rsidR="00DD52E5" w:rsidRPr="004D1C59">
        <w:t xml:space="preserve"> solution for injection could be </w:t>
      </w:r>
      <w:r w:rsidR="00E7255E" w:rsidRPr="004D1C59">
        <w:t xml:space="preserve">listed </w:t>
      </w:r>
      <w:r w:rsidR="00DD52E5" w:rsidRPr="004D1C59">
        <w:t xml:space="preserve">as an alternative to Nimenrix on the NIP. </w:t>
      </w:r>
    </w:p>
    <w:p w14:paraId="0436B7D8" w14:textId="77777777" w:rsidR="00C27C1C" w:rsidRPr="004D1C59" w:rsidRDefault="00C27C1C" w:rsidP="00F65C20">
      <w:pPr>
        <w:pStyle w:val="2-SectionHeading"/>
      </w:pPr>
      <w:r w:rsidRPr="004D1C59">
        <w:t>Consideration of the evidence</w:t>
      </w:r>
    </w:p>
    <w:p w14:paraId="14C460C4" w14:textId="77777777" w:rsidR="00C96DF4" w:rsidRPr="004D1C59" w:rsidRDefault="00C96DF4" w:rsidP="00507E80">
      <w:pPr>
        <w:pStyle w:val="4-SubsectionHeading"/>
      </w:pPr>
      <w:bookmarkStart w:id="2" w:name="_Hlk76375935"/>
      <w:r w:rsidRPr="004D1C59">
        <w:t>Sponsor hearing</w:t>
      </w:r>
    </w:p>
    <w:p w14:paraId="4CC0F095" w14:textId="77777777" w:rsidR="00C96DF4" w:rsidRPr="004D1C59" w:rsidRDefault="00C96DF4" w:rsidP="00F65C20">
      <w:pPr>
        <w:pStyle w:val="3-BodyText"/>
        <w:numPr>
          <w:ilvl w:val="1"/>
          <w:numId w:val="2"/>
        </w:numPr>
      </w:pPr>
      <w:r w:rsidRPr="004D1C59">
        <w:t>There was no hearing for this item.</w:t>
      </w:r>
    </w:p>
    <w:p w14:paraId="20DA5282" w14:textId="77777777" w:rsidR="00C96DF4" w:rsidRPr="004D1C59" w:rsidRDefault="00C96DF4" w:rsidP="00507E80">
      <w:pPr>
        <w:pStyle w:val="4-SubsectionHeading"/>
      </w:pPr>
      <w:r w:rsidRPr="004D1C59">
        <w:t>Consumer comments</w:t>
      </w:r>
    </w:p>
    <w:p w14:paraId="2EA6E26C" w14:textId="6FB020A0" w:rsidR="00C96DF4" w:rsidRPr="004D1C59" w:rsidRDefault="00C96DF4" w:rsidP="00F65C20">
      <w:pPr>
        <w:pStyle w:val="3-BodyText"/>
        <w:numPr>
          <w:ilvl w:val="1"/>
          <w:numId w:val="2"/>
        </w:numPr>
      </w:pPr>
      <w:bookmarkStart w:id="3" w:name="_Hlk76382618"/>
      <w:r w:rsidRPr="004D1C59">
        <w:t>The PBAC noted that no consumer comments were received for this item.</w:t>
      </w:r>
      <w:bookmarkEnd w:id="2"/>
      <w:bookmarkEnd w:id="3"/>
    </w:p>
    <w:p w14:paraId="3F679FE9" w14:textId="6DD03DF4" w:rsidR="00C27C1C" w:rsidRPr="004D1C59" w:rsidRDefault="00C27C1C" w:rsidP="001C1FC7">
      <w:pPr>
        <w:pStyle w:val="4-SubsectionHeading"/>
        <w:keepNext w:val="0"/>
        <w:rPr>
          <w:lang w:eastAsia="en-US"/>
        </w:rPr>
      </w:pPr>
      <w:r w:rsidRPr="004D1C59">
        <w:rPr>
          <w:lang w:eastAsia="en-US"/>
        </w:rPr>
        <w:t xml:space="preserve">Clinical trials </w:t>
      </w:r>
    </w:p>
    <w:p w14:paraId="7B8628C2" w14:textId="21923EE6" w:rsidR="007F7735" w:rsidRPr="004D1C59" w:rsidRDefault="007F7735" w:rsidP="007F7735">
      <w:pPr>
        <w:pStyle w:val="3-BodyText"/>
        <w:numPr>
          <w:ilvl w:val="1"/>
          <w:numId w:val="2"/>
        </w:numPr>
      </w:pPr>
      <w:bookmarkStart w:id="4" w:name="_Hlk86163265"/>
      <w:r w:rsidRPr="004D1C59">
        <w:t xml:space="preserve">The submission presented the following clinical studies. As a Committee Secretariat submission, no </w:t>
      </w:r>
      <w:r w:rsidR="00F845F0" w:rsidRPr="004D1C59">
        <w:t xml:space="preserve">independent </w:t>
      </w:r>
      <w:r w:rsidRPr="004D1C59">
        <w:t>evaluation of the clinical evidence was undertaken.</w:t>
      </w:r>
    </w:p>
    <w:p w14:paraId="13177966" w14:textId="0BD22116" w:rsidR="00B6533B" w:rsidRPr="004D1C59" w:rsidRDefault="00B6533B" w:rsidP="005F23E7">
      <w:pPr>
        <w:pStyle w:val="TableFigureHeading"/>
        <w:jc w:val="both"/>
        <w:rPr>
          <w:rStyle w:val="CommentReference"/>
          <w:sz w:val="20"/>
          <w:szCs w:val="24"/>
        </w:rPr>
      </w:pPr>
      <w:bookmarkStart w:id="5" w:name="_Ref104803956"/>
      <w:r w:rsidRPr="004D1C59">
        <w:rPr>
          <w:rStyle w:val="CommentReference"/>
          <w:sz w:val="20"/>
          <w:szCs w:val="24"/>
        </w:rPr>
        <w:t xml:space="preserve">Table </w:t>
      </w:r>
      <w:bookmarkEnd w:id="5"/>
      <w:r w:rsidR="00AD1DA1" w:rsidRPr="004D1C59">
        <w:rPr>
          <w:rStyle w:val="CommentReference"/>
          <w:sz w:val="20"/>
          <w:szCs w:val="24"/>
        </w:rPr>
        <w:t>1</w:t>
      </w:r>
      <w:r w:rsidRPr="004D1C59">
        <w:rPr>
          <w:rStyle w:val="CommentReference"/>
          <w:sz w:val="20"/>
          <w:szCs w:val="24"/>
        </w:rPr>
        <w:t xml:space="preserve">: </w:t>
      </w:r>
      <w:r w:rsidR="00AD1DA1" w:rsidRPr="004D1C59">
        <w:rPr>
          <w:rStyle w:val="CommentReference"/>
          <w:sz w:val="20"/>
          <w:szCs w:val="24"/>
        </w:rPr>
        <w:t>Studies</w:t>
      </w:r>
      <w:r w:rsidRPr="004D1C59">
        <w:rPr>
          <w:rStyle w:val="CommentReference"/>
          <w:sz w:val="20"/>
          <w:szCs w:val="24"/>
        </w:rPr>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 Studies and associated reports presented in the submission"/>
        <w:tblDescription w:val="Table 1: Studies and associated reports presented in the submission"/>
      </w:tblPr>
      <w:tblGrid>
        <w:gridCol w:w="1434"/>
        <w:gridCol w:w="5507"/>
        <w:gridCol w:w="2075"/>
      </w:tblGrid>
      <w:tr w:rsidR="00B6533B" w:rsidRPr="004D1C59" w14:paraId="77468B9B" w14:textId="77777777" w:rsidTr="005F23E7">
        <w:trPr>
          <w:cantSplit/>
          <w:tblHeader/>
        </w:trPr>
        <w:tc>
          <w:tcPr>
            <w:tcW w:w="795" w:type="pct"/>
            <w:shd w:val="clear" w:color="auto" w:fill="D9D9D9" w:themeFill="background1" w:themeFillShade="D9"/>
            <w:vAlign w:val="center"/>
          </w:tcPr>
          <w:p w14:paraId="06990072" w14:textId="77777777" w:rsidR="00B6533B" w:rsidRPr="004D1C59" w:rsidRDefault="00B6533B" w:rsidP="001C1FC7">
            <w:pPr>
              <w:pStyle w:val="In-tableHeading"/>
              <w:jc w:val="center"/>
              <w:rPr>
                <w:lang w:val="en-AU"/>
              </w:rPr>
            </w:pPr>
            <w:r w:rsidRPr="004D1C59">
              <w:rPr>
                <w:lang w:val="en-AU"/>
              </w:rPr>
              <w:t>Trial ID</w:t>
            </w:r>
          </w:p>
        </w:tc>
        <w:tc>
          <w:tcPr>
            <w:tcW w:w="3054" w:type="pct"/>
            <w:shd w:val="clear" w:color="auto" w:fill="D9D9D9" w:themeFill="background1" w:themeFillShade="D9"/>
            <w:vAlign w:val="center"/>
          </w:tcPr>
          <w:p w14:paraId="36B2C658" w14:textId="77777777" w:rsidR="00B6533B" w:rsidRPr="004D1C59" w:rsidRDefault="00B6533B" w:rsidP="005F23E7">
            <w:pPr>
              <w:pStyle w:val="In-tableHeading"/>
              <w:jc w:val="center"/>
              <w:rPr>
                <w:lang w:val="en-AU"/>
              </w:rPr>
            </w:pPr>
            <w:r w:rsidRPr="004D1C59">
              <w:rPr>
                <w:lang w:val="en-AU"/>
              </w:rPr>
              <w:t>Protocol title/ Publication title</w:t>
            </w:r>
          </w:p>
        </w:tc>
        <w:tc>
          <w:tcPr>
            <w:tcW w:w="1151" w:type="pct"/>
            <w:shd w:val="clear" w:color="auto" w:fill="D9D9D9" w:themeFill="background1" w:themeFillShade="D9"/>
            <w:vAlign w:val="center"/>
          </w:tcPr>
          <w:p w14:paraId="036FE8E7" w14:textId="77777777" w:rsidR="00B6533B" w:rsidRPr="004D1C59" w:rsidRDefault="00B6533B" w:rsidP="005F23E7">
            <w:pPr>
              <w:pStyle w:val="In-tableHeading"/>
              <w:jc w:val="center"/>
              <w:rPr>
                <w:lang w:val="en-AU"/>
              </w:rPr>
            </w:pPr>
            <w:r w:rsidRPr="004D1C59">
              <w:rPr>
                <w:lang w:val="en-AU"/>
              </w:rPr>
              <w:t>Publication citation</w:t>
            </w:r>
          </w:p>
        </w:tc>
      </w:tr>
      <w:tr w:rsidR="00B6533B" w:rsidRPr="004D1C59" w14:paraId="071CAD22" w14:textId="77777777" w:rsidTr="005F23E7">
        <w:trPr>
          <w:cantSplit/>
          <w:trHeight w:val="896"/>
        </w:trPr>
        <w:tc>
          <w:tcPr>
            <w:tcW w:w="795" w:type="pct"/>
            <w:vMerge w:val="restart"/>
            <w:vAlign w:val="center"/>
          </w:tcPr>
          <w:p w14:paraId="0DD8E461" w14:textId="31432792" w:rsidR="00AD1DA1" w:rsidRPr="004D1C59" w:rsidRDefault="00BD4FF5" w:rsidP="001C1FC7">
            <w:pPr>
              <w:pStyle w:val="TableText0"/>
              <w:jc w:val="center"/>
              <w:rPr>
                <w:b/>
                <w:bCs w:val="0"/>
              </w:rPr>
            </w:pPr>
            <w:r w:rsidRPr="004D1C59">
              <w:rPr>
                <w:b/>
              </w:rPr>
              <w:t>V59_71</w:t>
            </w:r>
            <w:r w:rsidRPr="004D1C59" w:rsidDel="00BD4FF5">
              <w:rPr>
                <w:b/>
              </w:rPr>
              <w:t xml:space="preserve"> </w:t>
            </w:r>
          </w:p>
          <w:p w14:paraId="4AB7B898" w14:textId="2AAB6F48" w:rsidR="00BD4FF5" w:rsidRPr="004D1C59" w:rsidRDefault="00BD4FF5" w:rsidP="001C1FC7">
            <w:pPr>
              <w:pStyle w:val="TableText0"/>
              <w:jc w:val="center"/>
            </w:pPr>
            <w:r w:rsidRPr="004D1C59">
              <w:t>NCT03652610</w:t>
            </w:r>
          </w:p>
          <w:p w14:paraId="44417271" w14:textId="05317970" w:rsidR="00B6533B" w:rsidRPr="004D1C59" w:rsidRDefault="00BD4FF5" w:rsidP="001C1FC7">
            <w:pPr>
              <w:pStyle w:val="TableText0"/>
              <w:jc w:val="center"/>
              <w:rPr>
                <w:szCs w:val="20"/>
              </w:rPr>
            </w:pPr>
            <w:r w:rsidRPr="004D1C59">
              <w:t>Study 205343</w:t>
            </w:r>
          </w:p>
        </w:tc>
        <w:tc>
          <w:tcPr>
            <w:tcW w:w="3054" w:type="pct"/>
            <w:tcBorders>
              <w:bottom w:val="nil"/>
            </w:tcBorders>
            <w:vAlign w:val="center"/>
          </w:tcPr>
          <w:p w14:paraId="1DD03D02" w14:textId="61F5129A" w:rsidR="00B6533B" w:rsidRPr="004D1C59" w:rsidRDefault="00BD4FF5" w:rsidP="005F23E7">
            <w:pPr>
              <w:pStyle w:val="TableText0"/>
              <w:jc w:val="both"/>
            </w:pPr>
            <w:r w:rsidRPr="004D1C59">
              <w:t xml:space="preserve">A phase 2b, randomized, controlled, observer-blind, </w:t>
            </w:r>
            <w:r w:rsidR="00F172F2" w:rsidRPr="004D1C59">
              <w:t>multicentre</w:t>
            </w:r>
            <w:r w:rsidRPr="004D1C59">
              <w:t>, non-inferiority immunogenicity and safety study of two formulations of GSK Biologicals’ Meningococcal ACWY conjugate vaccine (GSK3536820A and Menveo) administered to healthy adults 18 to 40 years of age</w:t>
            </w:r>
          </w:p>
        </w:tc>
        <w:tc>
          <w:tcPr>
            <w:tcW w:w="1151" w:type="pct"/>
            <w:tcBorders>
              <w:bottom w:val="nil"/>
            </w:tcBorders>
            <w:vAlign w:val="center"/>
          </w:tcPr>
          <w:p w14:paraId="58C1350A" w14:textId="75FB9C4A" w:rsidR="00B6533B" w:rsidRPr="004D1C59" w:rsidRDefault="00133799" w:rsidP="005F23E7">
            <w:pPr>
              <w:pStyle w:val="TableText0"/>
              <w:jc w:val="both"/>
              <w:rPr>
                <w:rFonts w:ascii="Times" w:hAnsi="Times"/>
              </w:rPr>
            </w:pPr>
            <w:r w:rsidRPr="004D1C59">
              <w:t xml:space="preserve">January </w:t>
            </w:r>
            <w:r w:rsidR="00BD4FF5" w:rsidRPr="004D1C59">
              <w:t>2021</w:t>
            </w:r>
          </w:p>
        </w:tc>
      </w:tr>
      <w:tr w:rsidR="00B6533B" w:rsidRPr="004D1C59" w14:paraId="46EC551B" w14:textId="77777777" w:rsidTr="005F23E7">
        <w:trPr>
          <w:cantSplit/>
        </w:trPr>
        <w:tc>
          <w:tcPr>
            <w:tcW w:w="795" w:type="pct"/>
            <w:vMerge/>
            <w:vAlign w:val="center"/>
          </w:tcPr>
          <w:p w14:paraId="722AA56D" w14:textId="77777777" w:rsidR="00B6533B" w:rsidRPr="004D1C59" w:rsidRDefault="00B6533B" w:rsidP="001C1FC7">
            <w:pPr>
              <w:pStyle w:val="TableText0"/>
              <w:jc w:val="center"/>
            </w:pPr>
          </w:p>
        </w:tc>
        <w:tc>
          <w:tcPr>
            <w:tcW w:w="3054" w:type="pct"/>
            <w:tcBorders>
              <w:top w:val="nil"/>
              <w:bottom w:val="nil"/>
            </w:tcBorders>
            <w:vAlign w:val="center"/>
          </w:tcPr>
          <w:p w14:paraId="691929A7" w14:textId="44294D26" w:rsidR="00B6533B" w:rsidRPr="004D1C59" w:rsidRDefault="00BD4FF5" w:rsidP="005F23E7">
            <w:pPr>
              <w:pStyle w:val="TableText0"/>
              <w:jc w:val="both"/>
            </w:pPr>
            <w:r w:rsidRPr="004D1C59">
              <w:t>Singh VP, Tiberi P, Di Domenico GF, Romolini V, Mzolo T, Costantini M, Akhund T, Basile V, Lattanzi M, Pellegrini M. Fully Liquid MenACWY-CRM Vaccine: Results from an Integrated Safety Analysis</w:t>
            </w:r>
            <w:r w:rsidR="00C21CDC">
              <w:t>*</w:t>
            </w:r>
          </w:p>
        </w:tc>
        <w:tc>
          <w:tcPr>
            <w:tcW w:w="1151" w:type="pct"/>
            <w:tcBorders>
              <w:top w:val="nil"/>
              <w:bottom w:val="nil"/>
            </w:tcBorders>
            <w:vAlign w:val="center"/>
          </w:tcPr>
          <w:p w14:paraId="055FCA9B" w14:textId="4AB4F795" w:rsidR="00B6533B" w:rsidRPr="004D1C59" w:rsidRDefault="00BD4FF5" w:rsidP="005F23E7">
            <w:pPr>
              <w:pStyle w:val="TableText0"/>
              <w:jc w:val="both"/>
            </w:pPr>
            <w:r w:rsidRPr="004D1C59">
              <w:rPr>
                <w:i/>
              </w:rPr>
              <w:t xml:space="preserve">Drug Safety. </w:t>
            </w:r>
            <w:r w:rsidRPr="004D1C59">
              <w:rPr>
                <w:iCs/>
              </w:rPr>
              <w:t>2023; 46</w:t>
            </w:r>
            <w:r w:rsidRPr="004D1C59">
              <w:rPr>
                <w:i/>
              </w:rPr>
              <w:t xml:space="preserve">: </w:t>
            </w:r>
            <w:r w:rsidRPr="004D1C59">
              <w:rPr>
                <w:iCs/>
              </w:rPr>
              <w:t>99-108</w:t>
            </w:r>
          </w:p>
        </w:tc>
      </w:tr>
      <w:tr w:rsidR="00B6533B" w:rsidRPr="004D1C59" w14:paraId="4837E5E3" w14:textId="77777777" w:rsidTr="005F23E7">
        <w:trPr>
          <w:cantSplit/>
        </w:trPr>
        <w:tc>
          <w:tcPr>
            <w:tcW w:w="795" w:type="pct"/>
            <w:vMerge w:val="restart"/>
            <w:vAlign w:val="center"/>
          </w:tcPr>
          <w:p w14:paraId="24131486" w14:textId="2E5C2BAE" w:rsidR="00AD1DA1" w:rsidRPr="004D1C59" w:rsidRDefault="00BD4FF5" w:rsidP="001C1FC7">
            <w:pPr>
              <w:pStyle w:val="TableText0"/>
              <w:jc w:val="center"/>
              <w:rPr>
                <w:b/>
                <w:bCs w:val="0"/>
              </w:rPr>
            </w:pPr>
            <w:r w:rsidRPr="004D1C59">
              <w:rPr>
                <w:b/>
                <w:bCs w:val="0"/>
              </w:rPr>
              <w:t>V59_78</w:t>
            </w:r>
          </w:p>
          <w:p w14:paraId="05200672" w14:textId="58C54C75" w:rsidR="00BD4FF5" w:rsidRPr="004D1C59" w:rsidRDefault="00BD4FF5" w:rsidP="001C1FC7">
            <w:pPr>
              <w:pStyle w:val="TableText0"/>
              <w:jc w:val="center"/>
            </w:pPr>
            <w:r w:rsidRPr="004D1C59">
              <w:t>NCT03433482</w:t>
            </w:r>
          </w:p>
          <w:p w14:paraId="68B3FC97" w14:textId="1B8AF2B6" w:rsidR="00B6533B" w:rsidRPr="004D1C59" w:rsidRDefault="00BD4FF5" w:rsidP="001C1FC7">
            <w:pPr>
              <w:pStyle w:val="TableText0"/>
              <w:jc w:val="center"/>
              <w:rPr>
                <w:rFonts w:ascii="Times" w:hAnsi="Times"/>
              </w:rPr>
            </w:pPr>
            <w:r w:rsidRPr="004D1C59">
              <w:t>Study 207467</w:t>
            </w:r>
          </w:p>
        </w:tc>
        <w:tc>
          <w:tcPr>
            <w:tcW w:w="3054" w:type="pct"/>
            <w:tcBorders>
              <w:bottom w:val="nil"/>
            </w:tcBorders>
            <w:vAlign w:val="center"/>
          </w:tcPr>
          <w:p w14:paraId="5BEE2D95" w14:textId="3C8DF2F4" w:rsidR="00B6533B" w:rsidRPr="004D1C59" w:rsidRDefault="00133799" w:rsidP="005F23E7">
            <w:pPr>
              <w:pStyle w:val="TableText0"/>
              <w:jc w:val="both"/>
              <w:rPr>
                <w:rFonts w:ascii="Times" w:hAnsi="Times"/>
              </w:rPr>
            </w:pPr>
            <w:r w:rsidRPr="004D1C59">
              <w:t>A phase 2b, randomized, controlled, observer-blind, multi-center study to evaluate safety and immunogenicity of different formulations of GSK Biologicals’ Meningococcal ACWY conjugate vaccine (GSK3536820A and Menveo) administered to healthy adolescents and young adults 10 to 40 years of age.</w:t>
            </w:r>
          </w:p>
        </w:tc>
        <w:tc>
          <w:tcPr>
            <w:tcW w:w="1151" w:type="pct"/>
            <w:tcBorders>
              <w:bottom w:val="nil"/>
            </w:tcBorders>
            <w:vAlign w:val="center"/>
          </w:tcPr>
          <w:p w14:paraId="5B578937" w14:textId="2CAE5561" w:rsidR="00B6533B" w:rsidRPr="004D1C59" w:rsidRDefault="00133799" w:rsidP="005F23E7">
            <w:pPr>
              <w:pStyle w:val="TableText0"/>
              <w:jc w:val="both"/>
            </w:pPr>
            <w:r w:rsidRPr="004D1C59">
              <w:t>February 2021</w:t>
            </w:r>
          </w:p>
        </w:tc>
      </w:tr>
      <w:tr w:rsidR="00BD4FF5" w:rsidRPr="004D1C59" w14:paraId="650DDFCA" w14:textId="77777777" w:rsidTr="005F23E7">
        <w:trPr>
          <w:cantSplit/>
        </w:trPr>
        <w:tc>
          <w:tcPr>
            <w:tcW w:w="795" w:type="pct"/>
            <w:vMerge/>
            <w:vAlign w:val="center"/>
          </w:tcPr>
          <w:p w14:paraId="237B0651" w14:textId="77777777" w:rsidR="00BD4FF5" w:rsidRPr="004D1C59" w:rsidRDefault="00BD4FF5" w:rsidP="005F23E7">
            <w:pPr>
              <w:pStyle w:val="TableText0"/>
              <w:jc w:val="both"/>
            </w:pPr>
          </w:p>
        </w:tc>
        <w:tc>
          <w:tcPr>
            <w:tcW w:w="3054" w:type="pct"/>
            <w:tcBorders>
              <w:top w:val="nil"/>
              <w:bottom w:val="single" w:sz="4" w:space="0" w:color="auto"/>
            </w:tcBorders>
            <w:vAlign w:val="center"/>
          </w:tcPr>
          <w:p w14:paraId="41AE0487" w14:textId="50C0621D" w:rsidR="00BD4FF5" w:rsidRPr="004D1C59" w:rsidRDefault="00BD4FF5" w:rsidP="005F23E7">
            <w:pPr>
              <w:pStyle w:val="TableText0"/>
              <w:jc w:val="both"/>
            </w:pPr>
            <w:r w:rsidRPr="004D1C59">
              <w:t>Singh VP, Tiberi P, Di Domenico GF, Romolini V, Mzolo T, Costantini M, Akhund T, Basile V, Lattanzi M, Pellegrini M. Fully Liquid MenACWY-CRM Vaccine: Results from an Integrated Safety Analysis</w:t>
            </w:r>
            <w:r w:rsidR="00C21CDC">
              <w:t>*</w:t>
            </w:r>
          </w:p>
        </w:tc>
        <w:tc>
          <w:tcPr>
            <w:tcW w:w="1151" w:type="pct"/>
            <w:tcBorders>
              <w:top w:val="nil"/>
              <w:bottom w:val="single" w:sz="4" w:space="0" w:color="auto"/>
            </w:tcBorders>
            <w:vAlign w:val="center"/>
          </w:tcPr>
          <w:p w14:paraId="4BF0843C" w14:textId="7489BC6F" w:rsidR="00BD4FF5" w:rsidRPr="004D1C59" w:rsidRDefault="00BD4FF5" w:rsidP="005F23E7">
            <w:pPr>
              <w:pStyle w:val="TableText0"/>
              <w:jc w:val="both"/>
              <w:rPr>
                <w:i/>
              </w:rPr>
            </w:pPr>
            <w:r w:rsidRPr="004D1C59">
              <w:rPr>
                <w:i/>
              </w:rPr>
              <w:t>Drug Safety. 2023; 46: 99-108</w:t>
            </w:r>
          </w:p>
        </w:tc>
      </w:tr>
    </w:tbl>
    <w:p w14:paraId="0D78E536" w14:textId="33D19577" w:rsidR="00B6533B" w:rsidRDefault="00B6533B" w:rsidP="001C1FC7">
      <w:pPr>
        <w:pStyle w:val="FooterTableFigure"/>
      </w:pPr>
      <w:r w:rsidRPr="004D1C59">
        <w:t xml:space="preserve">Source: </w:t>
      </w:r>
      <w:r w:rsidR="00AD1DA1" w:rsidRPr="004D1C59">
        <w:t>Table 5</w:t>
      </w:r>
      <w:r w:rsidRPr="004D1C59">
        <w:t>, p</w:t>
      </w:r>
      <w:r w:rsidR="00AD1DA1" w:rsidRPr="004D1C59">
        <w:t xml:space="preserve"> 27</w:t>
      </w:r>
      <w:r w:rsidRPr="004D1C59">
        <w:t xml:space="preserve"> of the submission.</w:t>
      </w:r>
    </w:p>
    <w:p w14:paraId="77A5B2FD" w14:textId="7867A1B9" w:rsidR="00C21CDC" w:rsidRPr="000913B7" w:rsidRDefault="00C21CDC" w:rsidP="001C1FC7">
      <w:pPr>
        <w:pStyle w:val="FooterTableFigure"/>
        <w:rPr>
          <w:i/>
          <w:iCs/>
          <w:sz w:val="20"/>
        </w:rPr>
      </w:pPr>
      <w:r w:rsidRPr="000913B7">
        <w:rPr>
          <w:i/>
          <w:iCs/>
        </w:rPr>
        <w:t>*Note that the results presented in Singh et al 2023 are a pooled, post hoc analysis of two phase 2b clinical studies (V59_71 and V59_78).</w:t>
      </w:r>
    </w:p>
    <w:bookmarkEnd w:id="4"/>
    <w:p w14:paraId="311B45A8" w14:textId="151C7C5B" w:rsidR="007F7735" w:rsidRPr="004D1C59" w:rsidRDefault="007F7735" w:rsidP="00C96DF4">
      <w:pPr>
        <w:pStyle w:val="3-BodyText"/>
      </w:pPr>
      <w:r w:rsidRPr="004D1C59">
        <w:t xml:space="preserve">The submission was based on two Phase 2b clinical studies which evaluated the immunogenicity and safety of the </w:t>
      </w:r>
      <w:r w:rsidR="006F1079" w:rsidRPr="004D1C59">
        <w:t xml:space="preserve">Menveo </w:t>
      </w:r>
      <w:r w:rsidRPr="004D1C59">
        <w:t>solution for injection against the solution and powder, after being aged either artificially for approximately 2</w:t>
      </w:r>
      <w:r w:rsidR="00E7255E" w:rsidRPr="004D1C59">
        <w:t> </w:t>
      </w:r>
      <w:r w:rsidRPr="004D1C59">
        <w:t xml:space="preserve">months or naturally for 24 and 30 months. V59_71 assessed this in adults between 18 and 40 years of age while V59_78 assessed the effects in persons between the ages of 10 and </w:t>
      </w:r>
      <w:r w:rsidRPr="004D1C59">
        <w:lastRenderedPageBreak/>
        <w:t>40 years old. The TGA Delegate’s Overview (p20) noted</w:t>
      </w:r>
      <w:r w:rsidRPr="004D1C59">
        <w:rPr>
          <w:i/>
          <w:iCs/>
        </w:rPr>
        <w:t xml:space="preserve"> </w:t>
      </w:r>
      <w:r w:rsidRPr="004D1C59">
        <w:t>“Overall, based on the data from studies V59_71 (205343) and V59_78 (207467), which showed a very similar immunogenicity and safety profile for MenACWY Liquid when compared to Menveo, in individuals aged 10-40 years inclusive, the benefit-risk profile of the MenACWY liquid vaccine for use in individuals aged 10-40 years appears favourable.”</w:t>
      </w:r>
    </w:p>
    <w:p w14:paraId="402A7776" w14:textId="4D913B33" w:rsidR="00C27C1C" w:rsidRPr="004D1C59" w:rsidRDefault="00C27C1C" w:rsidP="001C1FC7">
      <w:pPr>
        <w:pStyle w:val="4-SubsectionHeading"/>
        <w:rPr>
          <w:lang w:eastAsia="en-US"/>
        </w:rPr>
      </w:pPr>
      <w:r w:rsidRPr="004D1C59">
        <w:rPr>
          <w:lang w:eastAsia="en-US"/>
        </w:rPr>
        <w:t>Comparative effectiveness</w:t>
      </w:r>
    </w:p>
    <w:p w14:paraId="1E516B97" w14:textId="097EC74A" w:rsidR="00EB052E" w:rsidRPr="004D1C59" w:rsidRDefault="00EB052E" w:rsidP="00C96DF4">
      <w:pPr>
        <w:pStyle w:val="3-BodyText"/>
        <w:rPr>
          <w:lang w:eastAsia="en-US"/>
        </w:rPr>
      </w:pPr>
      <w:r w:rsidRPr="004D1C59">
        <w:rPr>
          <w:lang w:eastAsia="en-US"/>
        </w:rPr>
        <w:t xml:space="preserve">The submission </w:t>
      </w:r>
      <w:r w:rsidR="0061506A" w:rsidRPr="004D1C59">
        <w:rPr>
          <w:lang w:eastAsia="en-US"/>
        </w:rPr>
        <w:t xml:space="preserve">noted </w:t>
      </w:r>
      <w:r w:rsidRPr="004D1C59">
        <w:rPr>
          <w:lang w:eastAsia="en-US"/>
        </w:rPr>
        <w:t xml:space="preserve">that “the immunogenicity data from studies V59_71 (205343) and V59_78 (207467) showed a similar immune response […] for all 4 serogroups” for </w:t>
      </w:r>
      <w:r w:rsidR="00DC6095" w:rsidRPr="004D1C59">
        <w:rPr>
          <w:lang w:eastAsia="en-US"/>
        </w:rPr>
        <w:t>Menveo</w:t>
      </w:r>
      <w:r w:rsidRPr="004D1C59">
        <w:rPr>
          <w:lang w:eastAsia="en-US"/>
        </w:rPr>
        <w:t xml:space="preserve"> solution for injection and </w:t>
      </w:r>
      <w:r w:rsidR="00DC6095" w:rsidRPr="004D1C59">
        <w:rPr>
          <w:lang w:eastAsia="en-US"/>
        </w:rPr>
        <w:t xml:space="preserve">Menveo </w:t>
      </w:r>
      <w:r w:rsidR="00DC6095" w:rsidRPr="004D1C59">
        <w:t>solution and powder for reconstitution</w:t>
      </w:r>
      <w:r w:rsidR="00DC6095" w:rsidRPr="004D1C59">
        <w:rPr>
          <w:lang w:eastAsia="en-US"/>
        </w:rPr>
        <w:t xml:space="preserve"> </w:t>
      </w:r>
      <w:r w:rsidRPr="004D1C59">
        <w:rPr>
          <w:lang w:eastAsia="en-US"/>
        </w:rPr>
        <w:t xml:space="preserve">(p35, </w:t>
      </w:r>
      <w:r w:rsidR="0061506A" w:rsidRPr="004D1C59">
        <w:rPr>
          <w:lang w:eastAsia="en-US"/>
        </w:rPr>
        <w:t>s</w:t>
      </w:r>
      <w:r w:rsidRPr="004D1C59">
        <w:rPr>
          <w:lang w:eastAsia="en-US"/>
        </w:rPr>
        <w:t xml:space="preserve">ubmission </w:t>
      </w:r>
      <w:r w:rsidR="0061506A" w:rsidRPr="004D1C59">
        <w:rPr>
          <w:lang w:eastAsia="en-US"/>
        </w:rPr>
        <w:t>m</w:t>
      </w:r>
      <w:r w:rsidRPr="004D1C59">
        <w:rPr>
          <w:lang w:eastAsia="en-US"/>
        </w:rPr>
        <w:t xml:space="preserve">ain </w:t>
      </w:r>
      <w:r w:rsidR="0061506A" w:rsidRPr="004D1C59">
        <w:rPr>
          <w:lang w:eastAsia="en-US"/>
        </w:rPr>
        <w:t>b</w:t>
      </w:r>
      <w:r w:rsidRPr="004D1C59">
        <w:rPr>
          <w:lang w:eastAsia="en-US"/>
        </w:rPr>
        <w:t xml:space="preserve">ody). </w:t>
      </w:r>
    </w:p>
    <w:p w14:paraId="058972E5" w14:textId="12B2BE84" w:rsidR="00C27C1C" w:rsidRPr="004D1C59" w:rsidRDefault="00C27C1C" w:rsidP="001C1FC7">
      <w:pPr>
        <w:pStyle w:val="4-SubsectionHeading"/>
        <w:rPr>
          <w:lang w:eastAsia="en-US"/>
        </w:rPr>
      </w:pPr>
      <w:r w:rsidRPr="004D1C59">
        <w:rPr>
          <w:lang w:eastAsia="en-US"/>
        </w:rPr>
        <w:t>Comparative harms</w:t>
      </w:r>
    </w:p>
    <w:p w14:paraId="6E438B64" w14:textId="03526387" w:rsidR="008D35DF" w:rsidRPr="004D1C59" w:rsidRDefault="001835D2" w:rsidP="00F65C20">
      <w:pPr>
        <w:pStyle w:val="3-BodyText"/>
      </w:pPr>
      <w:r w:rsidRPr="004D1C59">
        <w:t xml:space="preserve">The submission presented safety data pooled from both studies, showing that both the </w:t>
      </w:r>
      <w:r w:rsidR="00B73578" w:rsidRPr="004D1C59">
        <w:t xml:space="preserve">Menveo </w:t>
      </w:r>
      <w:r w:rsidRPr="004D1C59">
        <w:t xml:space="preserve">solution for injection and </w:t>
      </w:r>
      <w:r w:rsidR="00B73578" w:rsidRPr="004D1C59">
        <w:t xml:space="preserve">Menveo </w:t>
      </w:r>
      <w:r w:rsidRPr="004D1C59">
        <w:t xml:space="preserve">solution and powder </w:t>
      </w:r>
      <w:r w:rsidR="00B73578" w:rsidRPr="004D1C59">
        <w:t>for reconstitution</w:t>
      </w:r>
      <w:r w:rsidR="00B73578" w:rsidRPr="004D1C59" w:rsidDel="00B73578">
        <w:t xml:space="preserve"> </w:t>
      </w:r>
      <w:r w:rsidRPr="004D1C59">
        <w:t>had very similar adverse event profiles.</w:t>
      </w:r>
    </w:p>
    <w:p w14:paraId="2CDF3682" w14:textId="77777777" w:rsidR="00C27C1C" w:rsidRPr="004D1C59" w:rsidRDefault="00C27C1C" w:rsidP="001C1FC7">
      <w:pPr>
        <w:pStyle w:val="4-SubsectionHeading"/>
        <w:rPr>
          <w:lang w:eastAsia="en-US"/>
        </w:rPr>
      </w:pPr>
      <w:r w:rsidRPr="004D1C59">
        <w:rPr>
          <w:lang w:eastAsia="en-US"/>
        </w:rPr>
        <w:t>Clinical claim</w:t>
      </w:r>
    </w:p>
    <w:p w14:paraId="0436CFE0" w14:textId="22C50CED" w:rsidR="00C27C1C" w:rsidRPr="004D1C59" w:rsidRDefault="00C27C1C" w:rsidP="00C96DF4">
      <w:pPr>
        <w:pStyle w:val="3-BodyText"/>
      </w:pPr>
      <w:r w:rsidRPr="004D1C59">
        <w:t xml:space="preserve">The submission claimed non-inferior comparative effectiveness and non-inferior comparative safety of </w:t>
      </w:r>
      <w:r w:rsidR="00B24244" w:rsidRPr="004D1C59">
        <w:t>Menveo</w:t>
      </w:r>
      <w:r w:rsidR="0047390E" w:rsidRPr="004D1C59">
        <w:t xml:space="preserve"> solution for injection </w:t>
      </w:r>
      <w:r w:rsidRPr="004D1C59">
        <w:t xml:space="preserve">compared with </w:t>
      </w:r>
      <w:r w:rsidR="00B24244" w:rsidRPr="004D1C59">
        <w:t>Menveo</w:t>
      </w:r>
      <w:r w:rsidR="0047390E" w:rsidRPr="004D1C59">
        <w:t xml:space="preserve"> solution and powder for reconstitution.</w:t>
      </w:r>
    </w:p>
    <w:p w14:paraId="7F8A4A76" w14:textId="15C72B6B" w:rsidR="0047390E" w:rsidRPr="004D1C59" w:rsidRDefault="0047390E" w:rsidP="00C96DF4">
      <w:pPr>
        <w:pStyle w:val="3-BodyText"/>
      </w:pPr>
      <w:r w:rsidRPr="004D1C59">
        <w:t xml:space="preserve">The submission also claimed non-inferior comparative effectiveness and non-inferior comparative safety of </w:t>
      </w:r>
      <w:r w:rsidR="00B24244" w:rsidRPr="004D1C59">
        <w:t>Menveo</w:t>
      </w:r>
      <w:r w:rsidRPr="004D1C59">
        <w:t xml:space="preserve"> solution for injection compared with</w:t>
      </w:r>
      <w:r w:rsidR="00E4439B" w:rsidRPr="004D1C59">
        <w:t xml:space="preserve"> </w:t>
      </w:r>
      <w:r w:rsidRPr="004D1C59">
        <w:t>Nimenrix. This was on the basis that the PBAC had previously found that</w:t>
      </w:r>
      <w:r w:rsidR="00F845F0" w:rsidRPr="004D1C59">
        <w:t xml:space="preserve"> the claim that</w:t>
      </w:r>
      <w:r w:rsidRPr="004D1C59">
        <w:t xml:space="preserve"> </w:t>
      </w:r>
      <w:r w:rsidR="00B24244" w:rsidRPr="004D1C59">
        <w:t>Menveo</w:t>
      </w:r>
      <w:r w:rsidRPr="004D1C59">
        <w:t xml:space="preserve"> solution and powder for reconstitution had non-inferior comparative effectiveness and non-inferior comparative safety to </w:t>
      </w:r>
      <w:r w:rsidR="00B24244" w:rsidRPr="004D1C59">
        <w:t>Nimenrix</w:t>
      </w:r>
      <w:r w:rsidR="00F845F0" w:rsidRPr="004D1C59">
        <w:t xml:space="preserve"> was reasonable</w:t>
      </w:r>
      <w:r w:rsidRPr="004D1C59">
        <w:t xml:space="preserve"> (Men</w:t>
      </w:r>
      <w:r w:rsidR="00B24244" w:rsidRPr="004D1C59">
        <w:t>veo</w:t>
      </w:r>
      <w:r w:rsidRPr="004D1C59">
        <w:t xml:space="preserve"> PSD, </w:t>
      </w:r>
      <w:r w:rsidR="00FB5C14" w:rsidRPr="004D1C59">
        <w:t xml:space="preserve">July </w:t>
      </w:r>
      <w:r w:rsidR="00FE6A7A" w:rsidRPr="004D1C59">
        <w:t xml:space="preserve">and August </w:t>
      </w:r>
      <w:r w:rsidRPr="004D1C59">
        <w:t>2018 PBAC Meeting).</w:t>
      </w:r>
    </w:p>
    <w:p w14:paraId="18295B63" w14:textId="69569ADC" w:rsidR="00C96DF4" w:rsidRPr="004D1C59" w:rsidRDefault="00C96DF4" w:rsidP="00F64028">
      <w:pPr>
        <w:pStyle w:val="3-BodyText"/>
      </w:pPr>
      <w:bookmarkStart w:id="6" w:name="_Hlk76376200"/>
      <w:r w:rsidRPr="004D1C59">
        <w:t>The PBAC considered that</w:t>
      </w:r>
      <w:r w:rsidR="00283E92" w:rsidRPr="004D1C59">
        <w:t>, for the population outlined in the proposed</w:t>
      </w:r>
      <w:r w:rsidR="00F64028" w:rsidRPr="004D1C59">
        <w:t xml:space="preserve"> NIP</w:t>
      </w:r>
      <w:r w:rsidR="00283E92" w:rsidRPr="004D1C59">
        <w:t xml:space="preserve"> listing,</w:t>
      </w:r>
      <w:r w:rsidRPr="004D1C59">
        <w:t xml:space="preserve"> the claim</w:t>
      </w:r>
      <w:r w:rsidR="00E02429" w:rsidRPr="004D1C59">
        <w:t>s</w:t>
      </w:r>
      <w:r w:rsidRPr="004D1C59">
        <w:t xml:space="preserve"> of non-inferior comparative effectiveness</w:t>
      </w:r>
      <w:r w:rsidR="00F64028" w:rsidRPr="004D1C59">
        <w:t xml:space="preserve"> and safety</w:t>
      </w:r>
      <w:r w:rsidRPr="004D1C59">
        <w:t xml:space="preserve"> </w:t>
      </w:r>
      <w:r w:rsidR="00283E92" w:rsidRPr="004D1C59">
        <w:t xml:space="preserve">to both comparators </w:t>
      </w:r>
      <w:r w:rsidR="00E02429" w:rsidRPr="004D1C59">
        <w:t>were</w:t>
      </w:r>
      <w:r w:rsidRPr="004D1C59">
        <w:t xml:space="preserve"> reasonable.</w:t>
      </w:r>
      <w:bookmarkEnd w:id="6"/>
    </w:p>
    <w:p w14:paraId="45D181E4" w14:textId="77777777" w:rsidR="00C27C1C" w:rsidRPr="004D1C59" w:rsidRDefault="00C27C1C" w:rsidP="001C1FC7">
      <w:pPr>
        <w:pStyle w:val="4-SubsectionHeading"/>
        <w:rPr>
          <w:lang w:eastAsia="en-US"/>
        </w:rPr>
      </w:pPr>
      <w:r w:rsidRPr="004D1C59">
        <w:rPr>
          <w:lang w:eastAsia="en-US"/>
        </w:rPr>
        <w:t xml:space="preserve">Economic analysis </w:t>
      </w:r>
    </w:p>
    <w:p w14:paraId="594FCBFC" w14:textId="66306AE8" w:rsidR="00C27C1C" w:rsidRPr="004D1C59" w:rsidRDefault="00C27C1C" w:rsidP="00F4389F">
      <w:pPr>
        <w:pStyle w:val="3-BodyText"/>
        <w:rPr>
          <w:rFonts w:cstheme="minorHAnsi"/>
          <w:szCs w:val="24"/>
        </w:rPr>
      </w:pPr>
      <w:r w:rsidRPr="004D1C59">
        <w:t xml:space="preserve">As a </w:t>
      </w:r>
      <w:r w:rsidR="004C0206" w:rsidRPr="004D1C59">
        <w:t>Committee Secretariat</w:t>
      </w:r>
      <w:r w:rsidRPr="004D1C59">
        <w:t xml:space="preserve"> submission, the economic analysis has not been independently evaluated</w:t>
      </w:r>
      <w:r w:rsidR="001835D2" w:rsidRPr="004D1C59">
        <w:t>.</w:t>
      </w:r>
    </w:p>
    <w:p w14:paraId="3FB6D350" w14:textId="1A0E9332" w:rsidR="005A6FDD" w:rsidRPr="004D1C59" w:rsidRDefault="00621748" w:rsidP="005A6FDD">
      <w:pPr>
        <w:pStyle w:val="3-BodyText"/>
        <w:rPr>
          <w:rFonts w:cstheme="minorHAnsi"/>
          <w:szCs w:val="24"/>
        </w:rPr>
      </w:pPr>
      <w:r w:rsidRPr="004D1C59">
        <w:rPr>
          <w:rFonts w:cstheme="minorHAnsi"/>
          <w:szCs w:val="24"/>
        </w:rPr>
        <w:t xml:space="preserve">The submission applied the assumption of equivalence between </w:t>
      </w:r>
      <w:r w:rsidR="00E4439B" w:rsidRPr="004D1C59">
        <w:rPr>
          <w:rFonts w:cstheme="minorHAnsi"/>
          <w:szCs w:val="24"/>
        </w:rPr>
        <w:t xml:space="preserve">Menveo </w:t>
      </w:r>
      <w:r w:rsidRPr="004D1C59">
        <w:rPr>
          <w:rFonts w:cstheme="minorHAnsi"/>
          <w:szCs w:val="24"/>
        </w:rPr>
        <w:t xml:space="preserve">solution for injection and </w:t>
      </w:r>
      <w:r w:rsidR="00E4439B" w:rsidRPr="004D1C59">
        <w:rPr>
          <w:rFonts w:cstheme="minorHAnsi"/>
          <w:szCs w:val="24"/>
        </w:rPr>
        <w:t xml:space="preserve">Menveo </w:t>
      </w:r>
      <w:r w:rsidR="00E4439B" w:rsidRPr="004D1C59">
        <w:t>solution and powder for reconstitution</w:t>
      </w:r>
      <w:r w:rsidRPr="004D1C59">
        <w:rPr>
          <w:rFonts w:cstheme="minorHAnsi"/>
          <w:szCs w:val="24"/>
        </w:rPr>
        <w:t xml:space="preserve">, with </w:t>
      </w:r>
      <w:r w:rsidR="003142BF" w:rsidRPr="004D1C59">
        <w:rPr>
          <w:rFonts w:cstheme="minorHAnsi"/>
          <w:szCs w:val="24"/>
        </w:rPr>
        <w:t xml:space="preserve">an </w:t>
      </w:r>
      <w:r w:rsidRPr="004D1C59">
        <w:rPr>
          <w:rFonts w:cstheme="minorHAnsi"/>
          <w:szCs w:val="24"/>
        </w:rPr>
        <w:t>equi-effective dose of 0.5</w:t>
      </w:r>
      <w:r w:rsidR="00F845F0" w:rsidRPr="004D1C59">
        <w:rPr>
          <w:rFonts w:cstheme="minorHAnsi"/>
          <w:szCs w:val="24"/>
        </w:rPr>
        <w:t> </w:t>
      </w:r>
      <w:r w:rsidRPr="004D1C59">
        <w:rPr>
          <w:rFonts w:cstheme="minorHAnsi"/>
          <w:szCs w:val="24"/>
        </w:rPr>
        <w:t>mL solution for injection = 0.5</w:t>
      </w:r>
      <w:r w:rsidR="00F845F0" w:rsidRPr="004D1C59">
        <w:rPr>
          <w:rFonts w:cstheme="minorHAnsi"/>
          <w:szCs w:val="24"/>
        </w:rPr>
        <w:t xml:space="preserve"> </w:t>
      </w:r>
      <w:r w:rsidRPr="004D1C59">
        <w:rPr>
          <w:rFonts w:cstheme="minorHAnsi"/>
          <w:szCs w:val="24"/>
        </w:rPr>
        <w:t>mL solution and powder for reconstitution.</w:t>
      </w:r>
      <w:r w:rsidR="005A6FDD" w:rsidRPr="004D1C59">
        <w:rPr>
          <w:rFonts w:cstheme="minorHAnsi"/>
          <w:szCs w:val="24"/>
        </w:rPr>
        <w:t xml:space="preserve"> </w:t>
      </w:r>
      <w:r w:rsidR="004D1C59" w:rsidRPr="004D1C59">
        <w:rPr>
          <w:rFonts w:cstheme="minorHAnsi"/>
          <w:szCs w:val="24"/>
        </w:rPr>
        <w:t>Therefore,</w:t>
      </w:r>
      <w:r w:rsidR="005A6FDD" w:rsidRPr="004D1C59">
        <w:rPr>
          <w:rFonts w:cstheme="minorHAnsi"/>
          <w:szCs w:val="24"/>
        </w:rPr>
        <w:t xml:space="preserve"> the equi-effective dose to the comparator Nimenrix is also </w:t>
      </w:r>
      <w:r w:rsidR="005A6FDD" w:rsidRPr="004D1C59">
        <w:t>0.5</w:t>
      </w:r>
      <w:r w:rsidR="0053208B">
        <w:t> </w:t>
      </w:r>
      <w:r w:rsidR="005A6FDD" w:rsidRPr="004D1C59">
        <w:t>mL Menveo solution for injection = 0.5</w:t>
      </w:r>
      <w:r w:rsidR="0053208B">
        <w:t xml:space="preserve"> </w:t>
      </w:r>
      <w:r w:rsidR="005A6FDD" w:rsidRPr="004D1C59">
        <w:t>mL Nimenrix</w:t>
      </w:r>
      <w:r w:rsidR="00DB0905" w:rsidRPr="004D1C59">
        <w:t>.</w:t>
      </w:r>
    </w:p>
    <w:p w14:paraId="6E6701B2" w14:textId="2CE9C244" w:rsidR="00BD0F0D" w:rsidRPr="004D1C59" w:rsidRDefault="0061506A" w:rsidP="00F4389F">
      <w:pPr>
        <w:pStyle w:val="3-BodyText"/>
      </w:pPr>
      <w:r w:rsidRPr="004D1C59">
        <w:t xml:space="preserve">The submission requested the price for </w:t>
      </w:r>
      <w:r w:rsidR="00B24244" w:rsidRPr="004D1C59">
        <w:t>Menveo</w:t>
      </w:r>
      <w:r w:rsidRPr="004D1C59">
        <w:t xml:space="preserve"> solution for injection to be</w:t>
      </w:r>
      <w:r w:rsidR="000913B7">
        <w:t xml:space="preserve"> $</w:t>
      </w:r>
      <w:r w:rsidR="0062776B" w:rsidRPr="00633555">
        <w:rPr>
          <w:color w:val="000000"/>
          <w:w w:val="62"/>
          <w:shd w:val="solid" w:color="000000" w:fill="000000"/>
          <w:fitText w:val="480" w:id="-1032586496"/>
          <w14:textFill>
            <w14:solidFill>
              <w14:srgbClr w14:val="000000">
                <w14:alpha w14:val="100000"/>
              </w14:srgbClr>
            </w14:solidFill>
          </w14:textFill>
        </w:rPr>
        <w:t>|||  |||</w:t>
      </w:r>
      <w:r w:rsidRPr="004D1C59">
        <w:t xml:space="preserve"> per dose</w:t>
      </w:r>
      <w:r w:rsidR="00AA01C7" w:rsidRPr="004D1C59">
        <w:t xml:space="preserve"> as this is the existing nationally negotiated price for MenACWY vaccine</w:t>
      </w:r>
      <w:r w:rsidR="00DB0905" w:rsidRPr="004D1C59">
        <w:t xml:space="preserve"> for the requested population</w:t>
      </w:r>
      <w:r w:rsidRPr="004D1C59">
        <w:t>.</w:t>
      </w:r>
    </w:p>
    <w:p w14:paraId="5EB16602" w14:textId="44B56EE8" w:rsidR="00D70349" w:rsidRPr="004D1C59" w:rsidRDefault="00D70349" w:rsidP="001C1FC7">
      <w:pPr>
        <w:pStyle w:val="4-SubsectionHeading"/>
        <w:rPr>
          <w:lang w:eastAsia="en-US"/>
        </w:rPr>
      </w:pPr>
      <w:r w:rsidRPr="004D1C59">
        <w:rPr>
          <w:lang w:eastAsia="en-US"/>
        </w:rPr>
        <w:lastRenderedPageBreak/>
        <w:t xml:space="preserve">Estimated PBS </w:t>
      </w:r>
      <w:r w:rsidR="00276BE3" w:rsidRPr="004D1C59">
        <w:rPr>
          <w:lang w:eastAsia="en-US"/>
        </w:rPr>
        <w:t>usage</w:t>
      </w:r>
      <w:r w:rsidRPr="004D1C59">
        <w:rPr>
          <w:lang w:eastAsia="en-US"/>
        </w:rPr>
        <w:t xml:space="preserve"> and financial implications</w:t>
      </w:r>
    </w:p>
    <w:p w14:paraId="364F91B9" w14:textId="3566AC45" w:rsidR="00FC2FB3" w:rsidRPr="004D1C59" w:rsidRDefault="00FC2FB3" w:rsidP="00F4389F">
      <w:pPr>
        <w:pStyle w:val="3-BodyText"/>
      </w:pPr>
      <w:r w:rsidRPr="004D1C59">
        <w:t xml:space="preserve">The submission assumed that </w:t>
      </w:r>
      <w:r w:rsidR="00183085" w:rsidRPr="004D1C59">
        <w:t xml:space="preserve">Menveo </w:t>
      </w:r>
      <w:r w:rsidR="0001443B" w:rsidRPr="004D1C59">
        <w:t xml:space="preserve">solution for injection would replace </w:t>
      </w:r>
      <w:r w:rsidR="00183085" w:rsidRPr="004D1C59">
        <w:t xml:space="preserve">Menveo </w:t>
      </w:r>
      <w:r w:rsidR="00E4439B" w:rsidRPr="004D1C59">
        <w:t>solution and powder for reconstitution</w:t>
      </w:r>
      <w:r w:rsidR="0001443B" w:rsidRPr="004D1C59">
        <w:t>.</w:t>
      </w:r>
      <w:r w:rsidRPr="004D1C59">
        <w:t xml:space="preserve"> </w:t>
      </w:r>
      <w:r w:rsidR="00E4439B" w:rsidRPr="004D1C59">
        <w:t>The submission also noted that the financial impact to the NIP would be nil a</w:t>
      </w:r>
      <w:r w:rsidRPr="004D1C59">
        <w:t xml:space="preserve">s the dosage </w:t>
      </w:r>
      <w:r w:rsidR="00E4439B" w:rsidRPr="004D1C59">
        <w:t xml:space="preserve">was assumed to be </w:t>
      </w:r>
      <w:r w:rsidR="00042506" w:rsidRPr="004D1C59">
        <w:t xml:space="preserve">equivalent </w:t>
      </w:r>
      <w:r w:rsidR="00E4439B" w:rsidRPr="004D1C59">
        <w:t xml:space="preserve">where a </w:t>
      </w:r>
      <w:r w:rsidRPr="004D1C59">
        <w:t xml:space="preserve">single dose vial of </w:t>
      </w:r>
      <w:r w:rsidR="00E4439B" w:rsidRPr="004D1C59">
        <w:t xml:space="preserve">Menveo </w:t>
      </w:r>
      <w:r w:rsidRPr="004D1C59">
        <w:t xml:space="preserve">solution for injection = single dose vial of </w:t>
      </w:r>
      <w:r w:rsidR="00E4439B" w:rsidRPr="004D1C59">
        <w:t xml:space="preserve">Menveo </w:t>
      </w:r>
      <w:r w:rsidRPr="004D1C59">
        <w:t>solution and powder for reconstitution.</w:t>
      </w:r>
    </w:p>
    <w:p w14:paraId="6713BE44" w14:textId="77777777" w:rsidR="006F60DA" w:rsidRPr="004D1C59" w:rsidRDefault="006F60DA" w:rsidP="00F65C20">
      <w:pPr>
        <w:pStyle w:val="2-SectionHeading"/>
      </w:pPr>
      <w:bookmarkStart w:id="7" w:name="_Hlk76381249"/>
      <w:bookmarkStart w:id="8" w:name="_Hlk76377955"/>
      <w:r w:rsidRPr="004D1C59">
        <w:t>PBAC Outcome</w:t>
      </w:r>
    </w:p>
    <w:p w14:paraId="68963816" w14:textId="35FB4E83" w:rsidR="006F60DA" w:rsidRPr="000E788E" w:rsidRDefault="006F60DA" w:rsidP="00F65C20">
      <w:pPr>
        <w:pStyle w:val="3-BodyText"/>
        <w:widowControl w:val="0"/>
        <w:numPr>
          <w:ilvl w:val="1"/>
          <w:numId w:val="51"/>
        </w:numPr>
        <w:rPr>
          <w:rFonts w:cs="Arial"/>
          <w:snapToGrid w:val="0"/>
        </w:rPr>
      </w:pPr>
      <w:bookmarkStart w:id="9" w:name="_Hlk150504853"/>
      <w:r w:rsidRPr="000E788E">
        <w:rPr>
          <w:rFonts w:cs="Arial"/>
          <w:snapToGrid w:val="0"/>
        </w:rPr>
        <w:t>The PBAC recommended the listing of</w:t>
      </w:r>
      <w:r w:rsidR="003142BF" w:rsidRPr="000E788E">
        <w:rPr>
          <w:rFonts w:cs="Arial"/>
          <w:snapToGrid w:val="0"/>
        </w:rPr>
        <w:t xml:space="preserve"> </w:t>
      </w:r>
      <w:r w:rsidR="003142BF" w:rsidRPr="004D1C59">
        <w:t>meningococcal serogroup A, C, W-135 and Y oligosaccharides conjugated individually to Corynebacterium diphtheriae CRM197 protein (MenACWY</w:t>
      </w:r>
      <w:r w:rsidR="003142BF" w:rsidRPr="004D1C59">
        <w:noBreakHyphen/>
        <w:t>CRM) vaccine (Menveo® solution for injection)</w:t>
      </w:r>
      <w:r w:rsidR="003142BF" w:rsidRPr="000E788E">
        <w:rPr>
          <w:rFonts w:cs="Arial"/>
          <w:snapToGrid w:val="0"/>
        </w:rPr>
        <w:t xml:space="preserve"> as a designated vaccine </w:t>
      </w:r>
      <w:r w:rsidR="003142BF" w:rsidRPr="004D1C59">
        <w:rPr>
          <w:rFonts w:cstheme="minorHAnsi"/>
        </w:rPr>
        <w:t xml:space="preserve">on the </w:t>
      </w:r>
      <w:r w:rsidR="003142BF" w:rsidRPr="004D1C59">
        <w:rPr>
          <w:rFonts w:cstheme="minorHAnsi"/>
          <w:i/>
          <w:iCs/>
        </w:rPr>
        <w:t>National Health (Immunisation Program — Designated Vaccines) Determination 2014 (No. 1)</w:t>
      </w:r>
      <w:r w:rsidR="003142BF" w:rsidRPr="004D1C59">
        <w:rPr>
          <w:rFonts w:cstheme="minorHAnsi"/>
        </w:rPr>
        <w:t xml:space="preserve"> for adolescents for the prevention of invasive meningococcal diseases (IMDs) caused by Neisseria meningitidis serogroups A, C, W-135 and Y under the same circumstances as MenACWY-CRM Menveo solution and powder for reconstitution.</w:t>
      </w:r>
    </w:p>
    <w:p w14:paraId="0037349F" w14:textId="77777777" w:rsidR="006258AA" w:rsidRPr="004D1C59" w:rsidRDefault="006258AA" w:rsidP="006258AA">
      <w:pPr>
        <w:pStyle w:val="3-BodyText"/>
      </w:pPr>
      <w:r w:rsidRPr="004D1C59">
        <w:t xml:space="preserve">The PBAC considered that nomination of </w:t>
      </w:r>
      <w:r w:rsidRPr="00C72228">
        <w:rPr>
          <w:rFonts w:cs="Arial"/>
          <w:snapToGrid w:val="0"/>
        </w:rPr>
        <w:t xml:space="preserve">Menveo solution and powder for reconstitution and secondary </w:t>
      </w:r>
      <w:r w:rsidRPr="00C72228">
        <w:rPr>
          <w:rFonts w:cstheme="minorHAnsi"/>
        </w:rPr>
        <w:t>comparator Nimenrix were</w:t>
      </w:r>
      <w:r w:rsidRPr="004D1C59">
        <w:t xml:space="preserve"> appropriate</w:t>
      </w:r>
      <w:r w:rsidRPr="00C72228">
        <w:t xml:space="preserve">. </w:t>
      </w:r>
    </w:p>
    <w:p w14:paraId="0C4E1734" w14:textId="40BD15F2" w:rsidR="0063739E" w:rsidRPr="000E788E" w:rsidRDefault="0063739E" w:rsidP="00F65C20">
      <w:pPr>
        <w:pStyle w:val="3-BodyText"/>
        <w:rPr>
          <w:rFonts w:cs="Arial"/>
          <w:snapToGrid w:val="0"/>
        </w:rPr>
      </w:pPr>
      <w:r w:rsidRPr="000E788E">
        <w:rPr>
          <w:rFonts w:cs="Arial"/>
          <w:snapToGrid w:val="0"/>
        </w:rPr>
        <w:t xml:space="preserve">The PBAC’s recommendation for listing was based on, among other matters, its assessment that the cost-effectiveness of </w:t>
      </w:r>
      <w:r w:rsidRPr="004D1C59">
        <w:t>Menveo solution for injection</w:t>
      </w:r>
      <w:r w:rsidRPr="000E788E">
        <w:rPr>
          <w:rFonts w:cs="Arial"/>
          <w:snapToGrid w:val="0"/>
        </w:rPr>
        <w:t xml:space="preserve"> would be acceptable if it were cost-minimised against the nominated comparator</w:t>
      </w:r>
      <w:r w:rsidR="006258AA">
        <w:rPr>
          <w:rFonts w:cs="Arial"/>
          <w:snapToGrid w:val="0"/>
        </w:rPr>
        <w:t>s</w:t>
      </w:r>
      <w:r w:rsidRPr="000E788E">
        <w:rPr>
          <w:rFonts w:cs="Arial"/>
          <w:snapToGrid w:val="0"/>
        </w:rPr>
        <w:t xml:space="preserve">, Menveo solution and powder for reconstitution and </w:t>
      </w:r>
      <w:r w:rsidR="006258AA" w:rsidRPr="00C72228">
        <w:rPr>
          <w:rFonts w:cstheme="minorHAnsi"/>
        </w:rPr>
        <w:t>Nimenrix</w:t>
      </w:r>
      <w:r w:rsidR="006258AA" w:rsidRPr="006258AA">
        <w:rPr>
          <w:rFonts w:cs="Arial"/>
          <w:snapToGrid w:val="0"/>
        </w:rPr>
        <w:t xml:space="preserve"> </w:t>
      </w:r>
      <w:r w:rsidRPr="000E788E">
        <w:rPr>
          <w:rFonts w:cs="Arial"/>
          <w:snapToGrid w:val="0"/>
        </w:rPr>
        <w:t>.</w:t>
      </w:r>
    </w:p>
    <w:p w14:paraId="68701FD4" w14:textId="25042241" w:rsidR="006F60DA" w:rsidRPr="000E788E" w:rsidRDefault="003142BF" w:rsidP="00F65C20">
      <w:pPr>
        <w:pStyle w:val="3-BodyText"/>
        <w:rPr>
          <w:rFonts w:cs="Arial"/>
          <w:snapToGrid w:val="0"/>
        </w:rPr>
      </w:pPr>
      <w:r w:rsidRPr="000E788E">
        <w:rPr>
          <w:rFonts w:cs="Arial"/>
          <w:snapToGrid w:val="0"/>
        </w:rPr>
        <w:t xml:space="preserve">The PBAC </w:t>
      </w:r>
      <w:r w:rsidR="0063739E" w:rsidRPr="000E788E">
        <w:rPr>
          <w:rFonts w:cs="Arial"/>
          <w:snapToGrid w:val="0"/>
        </w:rPr>
        <w:t xml:space="preserve">advised the </w:t>
      </w:r>
      <w:r w:rsidRPr="004D1C59">
        <w:rPr>
          <w:rFonts w:cstheme="minorHAnsi"/>
          <w:szCs w:val="24"/>
        </w:rPr>
        <w:t>equi-effective dose</w:t>
      </w:r>
      <w:r w:rsidR="002C3823" w:rsidRPr="004D1C59">
        <w:rPr>
          <w:rFonts w:cstheme="minorHAnsi"/>
          <w:szCs w:val="24"/>
        </w:rPr>
        <w:t>s to be</w:t>
      </w:r>
      <w:r w:rsidRPr="004D1C59">
        <w:rPr>
          <w:rFonts w:cstheme="minorHAnsi"/>
          <w:szCs w:val="24"/>
        </w:rPr>
        <w:t xml:space="preserve"> 0.5 mL </w:t>
      </w:r>
      <w:r w:rsidR="002C3823" w:rsidRPr="004D1C59">
        <w:rPr>
          <w:rFonts w:cstheme="minorHAnsi"/>
          <w:szCs w:val="24"/>
        </w:rPr>
        <w:t xml:space="preserve">Menveo </w:t>
      </w:r>
      <w:r w:rsidRPr="004D1C59">
        <w:rPr>
          <w:rFonts w:cstheme="minorHAnsi"/>
          <w:szCs w:val="24"/>
        </w:rPr>
        <w:t xml:space="preserve">solution for injection = 0.5 mL </w:t>
      </w:r>
      <w:r w:rsidR="002C3823" w:rsidRPr="004D1C59">
        <w:rPr>
          <w:rFonts w:cstheme="minorHAnsi"/>
          <w:szCs w:val="24"/>
        </w:rPr>
        <w:t xml:space="preserve">Menveo </w:t>
      </w:r>
      <w:r w:rsidRPr="004D1C59">
        <w:rPr>
          <w:rFonts w:cstheme="minorHAnsi"/>
          <w:szCs w:val="24"/>
        </w:rPr>
        <w:t>solution and powder for reconstitution</w:t>
      </w:r>
      <w:r w:rsidR="002C3823" w:rsidRPr="004D1C59">
        <w:t xml:space="preserve"> = </w:t>
      </w:r>
      <w:r w:rsidR="00DB0905" w:rsidRPr="004D1C59">
        <w:t>0.5</w:t>
      </w:r>
      <w:r w:rsidR="006258AA">
        <w:t xml:space="preserve"> </w:t>
      </w:r>
      <w:r w:rsidR="00DB0905" w:rsidRPr="004D1C59">
        <w:t>mL Nimenrix.</w:t>
      </w:r>
    </w:p>
    <w:bookmarkEnd w:id="9"/>
    <w:p w14:paraId="1ADE7887" w14:textId="5C2238C6" w:rsidR="002E09F3" w:rsidRDefault="00AF2697" w:rsidP="00283E92">
      <w:pPr>
        <w:pStyle w:val="3-BodyText"/>
      </w:pPr>
      <w:r w:rsidRPr="004D1C59">
        <w:t xml:space="preserve">The </w:t>
      </w:r>
      <w:r w:rsidR="006258AA">
        <w:t xml:space="preserve">PBAC noted that the </w:t>
      </w:r>
      <w:r w:rsidRPr="004D1C59">
        <w:t xml:space="preserve">submission was based on two Phase 2b clinical studies which evaluated the immunogenicity and safety of the Menveo solution for injection against the solution and powder. </w:t>
      </w:r>
      <w:r w:rsidR="002E09F3">
        <w:t xml:space="preserve">The PBAC noted that the TGA Delegate found that the immunogenicity and safety of Menveo </w:t>
      </w:r>
      <w:r w:rsidR="002E09F3" w:rsidRPr="004D1C59">
        <w:t>solution for injection</w:t>
      </w:r>
      <w:r w:rsidR="002E09F3">
        <w:t xml:space="preserve"> were very similar to Menveo </w:t>
      </w:r>
      <w:r w:rsidR="002E09F3" w:rsidRPr="004D1C59">
        <w:t>solution and powder for reconstitution</w:t>
      </w:r>
      <w:r w:rsidR="002E09F3">
        <w:t>.</w:t>
      </w:r>
    </w:p>
    <w:p w14:paraId="3563FE72" w14:textId="7A37244B" w:rsidR="00F44578" w:rsidRPr="004D1C59" w:rsidRDefault="00283E92" w:rsidP="00283E92">
      <w:pPr>
        <w:pStyle w:val="3-BodyText"/>
      </w:pPr>
      <w:r w:rsidRPr="004D1C59">
        <w:t xml:space="preserve">The PBAC considered that the claim of non-inferior comparative effectiveness and non-inferior comparative safety </w:t>
      </w:r>
      <w:r w:rsidR="00DB0905" w:rsidRPr="004D1C59">
        <w:t xml:space="preserve">of Menveo solution for injection </w:t>
      </w:r>
      <w:r w:rsidRPr="004D1C59">
        <w:t xml:space="preserve">to both Menveo solution and powder for reconstitution and Nimenrix </w:t>
      </w:r>
      <w:r w:rsidR="00AF2697" w:rsidRPr="004D1C59">
        <w:t xml:space="preserve">for the proposed population </w:t>
      </w:r>
      <w:r w:rsidRPr="004D1C59">
        <w:t>w</w:t>
      </w:r>
      <w:r w:rsidR="006258AA">
        <w:t>as</w:t>
      </w:r>
      <w:r w:rsidRPr="004D1C59">
        <w:t xml:space="preserve"> reasonable</w:t>
      </w:r>
      <w:r w:rsidR="004513DF" w:rsidRPr="004D1C59">
        <w:t>.</w:t>
      </w:r>
      <w:r w:rsidR="00F44578" w:rsidRPr="004D1C59">
        <w:t xml:space="preserve"> </w:t>
      </w:r>
    </w:p>
    <w:p w14:paraId="12022A01" w14:textId="67CA40A1" w:rsidR="00283E92" w:rsidRPr="004D1C59" w:rsidRDefault="00283E92" w:rsidP="00283E92">
      <w:pPr>
        <w:pStyle w:val="3-BodyText"/>
      </w:pPr>
      <w:r w:rsidRPr="004D1C59">
        <w:t xml:space="preserve">The PBAC noted that Menveo solution for injection was not TGA approved for use in </w:t>
      </w:r>
      <w:r w:rsidR="00DB0905" w:rsidRPr="004D1C59">
        <w:t>persons</w:t>
      </w:r>
      <w:r w:rsidRPr="004D1C59">
        <w:t xml:space="preserve"> under the age of 2 years, whereas the comparator</w:t>
      </w:r>
      <w:r w:rsidR="00F44578" w:rsidRPr="004D1C59">
        <w:t xml:space="preserve">s can be administered from 2 months (Menveo solution and powder for reconstitution) and 6 weeks (Nimenrix). </w:t>
      </w:r>
      <w:r w:rsidR="00752EFC" w:rsidRPr="004D1C59">
        <w:t>The PBAC noted this difference would not impact the request for the solution for injection to be used under the NIP for prevention of IMDs in adolescents.</w:t>
      </w:r>
    </w:p>
    <w:p w14:paraId="6898C7F4" w14:textId="481D501D" w:rsidR="004114F9" w:rsidRPr="004D1C59" w:rsidRDefault="00F63B70" w:rsidP="004114F9">
      <w:pPr>
        <w:pStyle w:val="3-BodyText"/>
        <w:rPr>
          <w:rFonts w:ascii="Times New Roman" w:hAnsi="Times New Roman" w:cs="Times New Roman"/>
        </w:rPr>
      </w:pPr>
      <w:r w:rsidRPr="000E788E">
        <w:rPr>
          <w:rFonts w:cs="Arial"/>
          <w:snapToGrid w:val="0"/>
        </w:rPr>
        <w:lastRenderedPageBreak/>
        <w:t xml:space="preserve">The PBAC considered there would be no net cost to government as the submission requested a cost-minimisation to the nationally negotiated price for </w:t>
      </w:r>
      <w:r w:rsidRPr="004D1C59">
        <w:t xml:space="preserve">MenACWY vaccine for the requested population and the </w:t>
      </w:r>
      <w:r w:rsidR="002F42DA" w:rsidRPr="004D1C59">
        <w:t xml:space="preserve">dosage for Menveo </w:t>
      </w:r>
      <w:r w:rsidR="002F42DA" w:rsidRPr="000E788E">
        <w:rPr>
          <w:rFonts w:cs="Arial"/>
          <w:snapToGrid w:val="0"/>
        </w:rPr>
        <w:t>solution for injection, Menveo solution and powder for reconstitution and Nimenrix were accepted to be equivalent</w:t>
      </w:r>
      <w:r w:rsidR="00752EFC" w:rsidRPr="000E788E">
        <w:rPr>
          <w:rFonts w:cs="Arial"/>
          <w:snapToGrid w:val="0"/>
        </w:rPr>
        <w:t xml:space="preserve">. </w:t>
      </w:r>
      <w:r w:rsidR="004114F9" w:rsidRPr="000E788E">
        <w:rPr>
          <w:rFonts w:cs="Arial"/>
          <w:snapToGrid w:val="0"/>
        </w:rPr>
        <w:t>Additionally, the PBAC noted that Menveo solution for injection would likely replace Menveo solution and powder for reconstitution given the solution for injection would not need to be reconstituted. The PBAC also noted that Menveo solution for injection could also be used as an alternative to Nimenrix.</w:t>
      </w:r>
    </w:p>
    <w:p w14:paraId="387F7098" w14:textId="3F899076" w:rsidR="006F60DA" w:rsidRPr="000E788E" w:rsidRDefault="006F60DA" w:rsidP="002F42DA">
      <w:pPr>
        <w:pStyle w:val="3-BodyText"/>
        <w:rPr>
          <w:bCs/>
        </w:rPr>
      </w:pPr>
      <w:r w:rsidRPr="000E788E">
        <w:rPr>
          <w:rFonts w:cs="Arial"/>
          <w:bCs/>
          <w:snapToGrid w:val="0"/>
        </w:rPr>
        <w:t>The PBAC noted that this submission is not eligible for an Independent Review</w:t>
      </w:r>
      <w:r w:rsidR="002E4A14" w:rsidRPr="000E788E">
        <w:rPr>
          <w:rFonts w:cs="Arial"/>
          <w:bCs/>
          <w:snapToGrid w:val="0"/>
        </w:rPr>
        <w:t xml:space="preserve"> as </w:t>
      </w:r>
      <w:r w:rsidR="00F63B70" w:rsidRPr="004D1C59">
        <w:t>independent review is only relevant to requests for PBS listing.</w:t>
      </w:r>
      <w:r w:rsidR="00F63B70" w:rsidRPr="000E788E" w:rsidDel="00F63B70">
        <w:rPr>
          <w:rFonts w:cs="Arial"/>
          <w:bCs/>
          <w:snapToGrid w:val="0"/>
        </w:rPr>
        <w:t xml:space="preserve"> </w:t>
      </w:r>
    </w:p>
    <w:p w14:paraId="52693D96" w14:textId="77777777" w:rsidR="006F60DA" w:rsidRPr="000E788E" w:rsidRDefault="006F60DA" w:rsidP="006F60DA">
      <w:pPr>
        <w:spacing w:before="240"/>
        <w:rPr>
          <w:rFonts w:asciiTheme="minorHAnsi" w:hAnsiTheme="minorHAnsi" w:cs="Arial"/>
          <w:b/>
          <w:bCs/>
          <w:snapToGrid w:val="0"/>
        </w:rPr>
      </w:pPr>
      <w:r w:rsidRPr="000E788E">
        <w:rPr>
          <w:rFonts w:asciiTheme="minorHAnsi" w:hAnsiTheme="minorHAnsi" w:cs="Arial"/>
          <w:b/>
          <w:bCs/>
          <w:snapToGrid w:val="0"/>
        </w:rPr>
        <w:t>Outcome:</w:t>
      </w:r>
    </w:p>
    <w:p w14:paraId="1DBDC6D0" w14:textId="6FE40FF5" w:rsidR="006F60DA" w:rsidRPr="004D1C59" w:rsidRDefault="006F60DA" w:rsidP="007B5061">
      <w:pPr>
        <w:rPr>
          <w:rFonts w:asciiTheme="minorHAnsi" w:hAnsiTheme="minorHAnsi" w:cs="Arial"/>
          <w:b/>
          <w:bCs/>
          <w:snapToGrid w:val="0"/>
        </w:rPr>
      </w:pPr>
      <w:r w:rsidRPr="000E788E">
        <w:rPr>
          <w:rFonts w:asciiTheme="minorHAnsi" w:hAnsiTheme="minorHAnsi" w:cs="Arial"/>
          <w:bCs/>
          <w:snapToGrid w:val="0"/>
        </w:rPr>
        <w:t xml:space="preserve">Recommended </w:t>
      </w:r>
    </w:p>
    <w:bookmarkEnd w:id="7"/>
    <w:p w14:paraId="2AC3B0B4" w14:textId="77777777" w:rsidR="006F60DA" w:rsidRPr="004D1C59" w:rsidRDefault="006F60DA" w:rsidP="00F65C20">
      <w:pPr>
        <w:pStyle w:val="2-SectionHeading"/>
      </w:pPr>
      <w:r w:rsidRPr="004D1C59">
        <w:t>Recommended listing</w:t>
      </w:r>
    </w:p>
    <w:p w14:paraId="3D8E8A74" w14:textId="77777777" w:rsidR="006F60DA" w:rsidRPr="004D1C59" w:rsidRDefault="006F60DA" w:rsidP="00F65C20">
      <w:pPr>
        <w:pStyle w:val="3-BodyText"/>
        <w:numPr>
          <w:ilvl w:val="1"/>
          <w:numId w:val="50"/>
        </w:numPr>
        <w:rPr>
          <w:snapToGrid w:val="0"/>
        </w:rPr>
      </w:pPr>
      <w:r w:rsidRPr="004D1C59">
        <w:rPr>
          <w:snapToGrid w:val="0"/>
        </w:rPr>
        <w:t>Add new item:</w:t>
      </w:r>
    </w:p>
    <w:tbl>
      <w:tblPr>
        <w:tblW w:w="5001" w:type="pct"/>
        <w:tblInd w:w="28" w:type="dxa"/>
        <w:tblCellMar>
          <w:left w:w="28" w:type="dxa"/>
          <w:right w:w="28" w:type="dxa"/>
        </w:tblCellMar>
        <w:tblLook w:val="0000" w:firstRow="0" w:lastRow="0" w:firstColumn="0" w:lastColumn="0" w:noHBand="0" w:noVBand="0"/>
      </w:tblPr>
      <w:tblGrid>
        <w:gridCol w:w="2085"/>
        <w:gridCol w:w="1053"/>
        <w:gridCol w:w="1225"/>
        <w:gridCol w:w="2833"/>
        <w:gridCol w:w="1822"/>
      </w:tblGrid>
      <w:tr w:rsidR="008C6A71" w:rsidRPr="004D1C59" w14:paraId="539382BB" w14:textId="77777777" w:rsidTr="007B5061">
        <w:trPr>
          <w:trHeight w:val="463"/>
        </w:trPr>
        <w:tc>
          <w:tcPr>
            <w:tcW w:w="1156" w:type="pct"/>
            <w:tcBorders>
              <w:top w:val="single" w:sz="4" w:space="0" w:color="auto"/>
              <w:left w:val="single" w:sz="4" w:space="0" w:color="auto"/>
              <w:bottom w:val="single" w:sz="4" w:space="0" w:color="auto"/>
              <w:right w:val="single" w:sz="4" w:space="0" w:color="auto"/>
            </w:tcBorders>
            <w:vAlign w:val="center"/>
          </w:tcPr>
          <w:p w14:paraId="5FDA5B9E" w14:textId="77777777" w:rsidR="008C6A71" w:rsidRPr="004D1C59" w:rsidRDefault="008C6A71" w:rsidP="007B5061">
            <w:pPr>
              <w:jc w:val="center"/>
              <w:rPr>
                <w:rFonts w:ascii="Arial Narrow" w:hAnsi="Arial Narrow"/>
                <w:b/>
                <w:sz w:val="20"/>
              </w:rPr>
            </w:pPr>
            <w:r w:rsidRPr="004D1C59">
              <w:rPr>
                <w:rFonts w:ascii="Arial Narrow" w:hAnsi="Arial Narrow"/>
                <w:b/>
                <w:sz w:val="20"/>
              </w:rPr>
              <w:t>Vaccine</w:t>
            </w:r>
          </w:p>
        </w:tc>
        <w:tc>
          <w:tcPr>
            <w:tcW w:w="584" w:type="pct"/>
            <w:tcBorders>
              <w:top w:val="single" w:sz="4" w:space="0" w:color="auto"/>
              <w:left w:val="single" w:sz="4" w:space="0" w:color="auto"/>
              <w:bottom w:val="single" w:sz="4" w:space="0" w:color="auto"/>
              <w:right w:val="single" w:sz="4" w:space="0" w:color="auto"/>
            </w:tcBorders>
            <w:vAlign w:val="center"/>
          </w:tcPr>
          <w:p w14:paraId="56F9ADD7" w14:textId="77777777" w:rsidR="008C6A71" w:rsidRPr="004D1C59" w:rsidRDefault="008C6A71" w:rsidP="007B5061">
            <w:pPr>
              <w:jc w:val="center"/>
              <w:rPr>
                <w:rFonts w:ascii="Arial Narrow" w:hAnsi="Arial Narrow"/>
                <w:b/>
                <w:sz w:val="20"/>
              </w:rPr>
            </w:pPr>
            <w:r w:rsidRPr="004D1C59">
              <w:rPr>
                <w:rFonts w:ascii="Arial Narrow" w:hAnsi="Arial Narrow"/>
                <w:b/>
                <w:sz w:val="20"/>
              </w:rPr>
              <w:t>Brand</w:t>
            </w:r>
          </w:p>
        </w:tc>
        <w:tc>
          <w:tcPr>
            <w:tcW w:w="679" w:type="pct"/>
            <w:tcBorders>
              <w:top w:val="single" w:sz="4" w:space="0" w:color="auto"/>
              <w:left w:val="single" w:sz="4" w:space="0" w:color="auto"/>
              <w:bottom w:val="single" w:sz="4" w:space="0" w:color="auto"/>
              <w:right w:val="single" w:sz="4" w:space="0" w:color="auto"/>
            </w:tcBorders>
            <w:vAlign w:val="center"/>
          </w:tcPr>
          <w:p w14:paraId="438EEB18" w14:textId="77777777" w:rsidR="008C6A71" w:rsidRPr="004D1C59" w:rsidRDefault="008C6A71" w:rsidP="007B5061">
            <w:pPr>
              <w:jc w:val="center"/>
              <w:rPr>
                <w:rFonts w:ascii="Arial Narrow" w:hAnsi="Arial Narrow"/>
                <w:b/>
                <w:sz w:val="20"/>
              </w:rPr>
            </w:pPr>
            <w:r w:rsidRPr="004D1C59">
              <w:rPr>
                <w:rFonts w:ascii="Arial Narrow" w:hAnsi="Arial Narrow"/>
                <w:b/>
                <w:sz w:val="20"/>
              </w:rPr>
              <w:t>Formulation</w:t>
            </w:r>
          </w:p>
        </w:tc>
        <w:tc>
          <w:tcPr>
            <w:tcW w:w="1571" w:type="pct"/>
            <w:tcBorders>
              <w:top w:val="single" w:sz="4" w:space="0" w:color="auto"/>
              <w:left w:val="single" w:sz="4" w:space="0" w:color="auto"/>
              <w:bottom w:val="single" w:sz="4" w:space="0" w:color="auto"/>
              <w:right w:val="single" w:sz="4" w:space="0" w:color="auto"/>
            </w:tcBorders>
            <w:vAlign w:val="center"/>
          </w:tcPr>
          <w:p w14:paraId="5CDDD753" w14:textId="77777777" w:rsidR="008C6A71" w:rsidRPr="004D1C59" w:rsidRDefault="008C6A71" w:rsidP="007B5061">
            <w:pPr>
              <w:jc w:val="center"/>
              <w:rPr>
                <w:rFonts w:ascii="Arial Narrow" w:hAnsi="Arial Narrow"/>
                <w:b/>
                <w:sz w:val="20"/>
              </w:rPr>
            </w:pPr>
            <w:r w:rsidRPr="004D1C59">
              <w:rPr>
                <w:rFonts w:ascii="Arial Narrow" w:hAnsi="Arial Narrow"/>
                <w:b/>
                <w:sz w:val="20"/>
              </w:rPr>
              <w:t>Active ingredient and strength</w:t>
            </w:r>
          </w:p>
        </w:tc>
        <w:tc>
          <w:tcPr>
            <w:tcW w:w="1010" w:type="pct"/>
            <w:tcBorders>
              <w:top w:val="single" w:sz="4" w:space="0" w:color="auto"/>
              <w:left w:val="single" w:sz="4" w:space="0" w:color="auto"/>
              <w:bottom w:val="single" w:sz="4" w:space="0" w:color="auto"/>
              <w:right w:val="single" w:sz="4" w:space="0" w:color="auto"/>
            </w:tcBorders>
            <w:vAlign w:val="center"/>
          </w:tcPr>
          <w:p w14:paraId="459A82AA" w14:textId="77777777" w:rsidR="008C6A71" w:rsidRPr="000E788E" w:rsidRDefault="008C6A71" w:rsidP="007B5061">
            <w:pPr>
              <w:jc w:val="left"/>
              <w:rPr>
                <w:rFonts w:ascii="Arial Narrow" w:hAnsi="Arial Narrow"/>
                <w:b/>
                <w:sz w:val="20"/>
              </w:rPr>
            </w:pPr>
            <w:r w:rsidRPr="000E788E">
              <w:rPr>
                <w:rFonts w:ascii="Arial Narrow" w:hAnsi="Arial Narrow"/>
                <w:b/>
                <w:sz w:val="20"/>
              </w:rPr>
              <w:t>Number and timing of doses</w:t>
            </w:r>
          </w:p>
        </w:tc>
      </w:tr>
      <w:tr w:rsidR="008C6A71" w:rsidRPr="004D1C59" w14:paraId="69C861DE" w14:textId="77777777" w:rsidTr="007B5061">
        <w:trPr>
          <w:trHeight w:val="5159"/>
        </w:trPr>
        <w:tc>
          <w:tcPr>
            <w:tcW w:w="1156" w:type="pct"/>
            <w:tcBorders>
              <w:top w:val="single" w:sz="4" w:space="0" w:color="auto"/>
              <w:left w:val="single" w:sz="4" w:space="0" w:color="auto"/>
              <w:bottom w:val="single" w:sz="4" w:space="0" w:color="auto"/>
              <w:right w:val="single" w:sz="4" w:space="0" w:color="auto"/>
            </w:tcBorders>
            <w:vAlign w:val="center"/>
          </w:tcPr>
          <w:p w14:paraId="5D0B2B01" w14:textId="77777777" w:rsidR="008C6A71" w:rsidRPr="004D1C59" w:rsidRDefault="008C6A71" w:rsidP="007B5061">
            <w:pPr>
              <w:jc w:val="left"/>
              <w:rPr>
                <w:rFonts w:ascii="Arial Narrow" w:hAnsi="Arial Narrow"/>
                <w:bCs/>
                <w:sz w:val="20"/>
              </w:rPr>
            </w:pPr>
            <w:r w:rsidRPr="004D1C59">
              <w:rPr>
                <w:rFonts w:ascii="Arial Narrow" w:hAnsi="Arial Narrow"/>
                <w:bCs/>
                <w:sz w:val="20"/>
              </w:rPr>
              <w:t>Meningococcal (Groups A,C,W</w:t>
            </w:r>
            <w:r w:rsidRPr="004D1C59">
              <w:rPr>
                <w:rFonts w:ascii="Cambria Math" w:hAnsi="Cambria Math" w:cs="Cambria Math"/>
                <w:bCs/>
                <w:sz w:val="20"/>
              </w:rPr>
              <w:t>‑</w:t>
            </w:r>
            <w:r w:rsidRPr="004D1C59">
              <w:rPr>
                <w:rFonts w:ascii="Arial Narrow" w:hAnsi="Arial Narrow"/>
                <w:bCs/>
                <w:sz w:val="20"/>
              </w:rPr>
              <w:t>135 and Y) Oligosaccharide CRM197 Conjugate Vaccine (Men ACWY</w:t>
            </w:r>
            <w:r w:rsidRPr="004D1C59">
              <w:rPr>
                <w:rFonts w:ascii="Cambria Math" w:hAnsi="Cambria Math" w:cs="Cambria Math"/>
                <w:bCs/>
                <w:sz w:val="20"/>
              </w:rPr>
              <w:t>‑</w:t>
            </w:r>
            <w:r w:rsidRPr="004D1C59">
              <w:rPr>
                <w:rFonts w:ascii="Arial Narrow" w:hAnsi="Arial Narrow"/>
                <w:bCs/>
                <w:sz w:val="20"/>
              </w:rPr>
              <w:t>CRM)</w:t>
            </w:r>
          </w:p>
        </w:tc>
        <w:tc>
          <w:tcPr>
            <w:tcW w:w="584" w:type="pct"/>
            <w:tcBorders>
              <w:top w:val="single" w:sz="4" w:space="0" w:color="auto"/>
              <w:left w:val="single" w:sz="4" w:space="0" w:color="auto"/>
              <w:bottom w:val="single" w:sz="4" w:space="0" w:color="auto"/>
              <w:right w:val="single" w:sz="4" w:space="0" w:color="auto"/>
            </w:tcBorders>
            <w:vAlign w:val="center"/>
          </w:tcPr>
          <w:p w14:paraId="107DB4DC" w14:textId="77777777" w:rsidR="008C6A71" w:rsidRPr="004D1C59" w:rsidRDefault="008C6A71" w:rsidP="007B5061">
            <w:pPr>
              <w:jc w:val="center"/>
              <w:rPr>
                <w:rFonts w:ascii="Arial Narrow" w:hAnsi="Arial Narrow"/>
                <w:bCs/>
                <w:sz w:val="20"/>
              </w:rPr>
            </w:pPr>
            <w:r w:rsidRPr="004D1C59">
              <w:rPr>
                <w:rFonts w:ascii="Arial Narrow" w:hAnsi="Arial Narrow"/>
                <w:bCs/>
                <w:sz w:val="20"/>
              </w:rPr>
              <w:t>Menveo</w:t>
            </w:r>
          </w:p>
        </w:tc>
        <w:tc>
          <w:tcPr>
            <w:tcW w:w="679" w:type="pct"/>
            <w:tcBorders>
              <w:top w:val="single" w:sz="4" w:space="0" w:color="auto"/>
              <w:left w:val="single" w:sz="4" w:space="0" w:color="auto"/>
              <w:bottom w:val="single" w:sz="4" w:space="0" w:color="auto"/>
              <w:right w:val="single" w:sz="4" w:space="0" w:color="auto"/>
            </w:tcBorders>
            <w:vAlign w:val="center"/>
          </w:tcPr>
          <w:p w14:paraId="41901A30" w14:textId="77777777" w:rsidR="008C6A71" w:rsidRPr="004D1C59" w:rsidRDefault="008C6A71" w:rsidP="007B5061">
            <w:pPr>
              <w:jc w:val="center"/>
              <w:rPr>
                <w:rFonts w:ascii="Arial Narrow" w:hAnsi="Arial Narrow"/>
                <w:bCs/>
                <w:sz w:val="20"/>
              </w:rPr>
            </w:pPr>
            <w:r w:rsidRPr="004D1C59">
              <w:rPr>
                <w:rFonts w:ascii="Arial Narrow" w:hAnsi="Arial Narrow"/>
                <w:bCs/>
                <w:sz w:val="20"/>
              </w:rPr>
              <w:t>Injection (0.5mL)</w:t>
            </w:r>
          </w:p>
        </w:tc>
        <w:tc>
          <w:tcPr>
            <w:tcW w:w="1571" w:type="pct"/>
            <w:tcBorders>
              <w:top w:val="single" w:sz="4" w:space="0" w:color="auto"/>
              <w:left w:val="single" w:sz="4" w:space="0" w:color="auto"/>
              <w:bottom w:val="single" w:sz="4" w:space="0" w:color="auto"/>
              <w:right w:val="single" w:sz="4" w:space="0" w:color="auto"/>
            </w:tcBorders>
            <w:vAlign w:val="center"/>
          </w:tcPr>
          <w:p w14:paraId="50497B1A" w14:textId="77777777" w:rsidR="008C6A71" w:rsidRPr="004D1C59" w:rsidRDefault="008C6A71" w:rsidP="007B5061">
            <w:pPr>
              <w:rPr>
                <w:rFonts w:ascii="Arial Narrow" w:hAnsi="Arial Narrow"/>
                <w:bCs/>
                <w:sz w:val="20"/>
              </w:rPr>
            </w:pPr>
            <w:r w:rsidRPr="004D1C59">
              <w:rPr>
                <w:rFonts w:ascii="Arial Narrow" w:hAnsi="Arial Narrow"/>
                <w:bCs/>
                <w:sz w:val="20"/>
              </w:rPr>
              <w:t>Each 0.5 mL dose contains:</w:t>
            </w:r>
          </w:p>
          <w:p w14:paraId="2E048237" w14:textId="77777777" w:rsidR="008C6A71" w:rsidRPr="004D1C59" w:rsidRDefault="008C6A71" w:rsidP="009D58DD">
            <w:pPr>
              <w:pStyle w:val="ListParagraph"/>
              <w:numPr>
                <w:ilvl w:val="0"/>
                <w:numId w:val="58"/>
              </w:numPr>
              <w:spacing w:after="0"/>
              <w:rPr>
                <w:rFonts w:ascii="Arial Narrow" w:hAnsi="Arial Narrow"/>
                <w:bCs/>
                <w:sz w:val="20"/>
              </w:rPr>
            </w:pPr>
            <w:r w:rsidRPr="004D1C59">
              <w:rPr>
                <w:rFonts w:ascii="Arial Narrow" w:hAnsi="Arial Narrow"/>
                <w:bCs/>
                <w:sz w:val="20"/>
              </w:rPr>
              <w:t>10 µg Meningococcal polysaccharide serogroup A conjugated to 16.7–33.3 µg Corynebacterium diphtheriae CRM197 protein</w:t>
            </w:r>
          </w:p>
          <w:p w14:paraId="7E0455CA" w14:textId="77777777" w:rsidR="008C6A71" w:rsidRPr="004D1C59" w:rsidRDefault="008C6A71" w:rsidP="007B5061">
            <w:pPr>
              <w:jc w:val="center"/>
              <w:rPr>
                <w:rFonts w:ascii="Arial Narrow" w:hAnsi="Arial Narrow"/>
                <w:bCs/>
                <w:sz w:val="20"/>
              </w:rPr>
            </w:pPr>
          </w:p>
          <w:p w14:paraId="075C101C" w14:textId="77777777" w:rsidR="008C6A71" w:rsidRPr="004D1C59" w:rsidRDefault="008C6A71" w:rsidP="009D58DD">
            <w:pPr>
              <w:pStyle w:val="ListParagraph"/>
              <w:numPr>
                <w:ilvl w:val="0"/>
                <w:numId w:val="58"/>
              </w:numPr>
              <w:spacing w:after="0"/>
              <w:rPr>
                <w:rFonts w:ascii="Arial Narrow" w:hAnsi="Arial Narrow"/>
                <w:bCs/>
                <w:sz w:val="20"/>
              </w:rPr>
            </w:pPr>
            <w:r w:rsidRPr="004D1C59">
              <w:rPr>
                <w:rFonts w:ascii="Arial Narrow" w:hAnsi="Arial Narrow"/>
                <w:bCs/>
                <w:sz w:val="20"/>
              </w:rPr>
              <w:t>5 µg Meningococcal polysaccharide serogroup C conjugated to 7.1–12.5 µg C. diphtheriae CRM197 protein</w:t>
            </w:r>
          </w:p>
          <w:p w14:paraId="71E2C109" w14:textId="77777777" w:rsidR="008C6A71" w:rsidRPr="004D1C59" w:rsidRDefault="008C6A71" w:rsidP="007B5061">
            <w:pPr>
              <w:jc w:val="center"/>
              <w:rPr>
                <w:rFonts w:ascii="Arial Narrow" w:hAnsi="Arial Narrow"/>
                <w:bCs/>
                <w:sz w:val="20"/>
              </w:rPr>
            </w:pPr>
          </w:p>
          <w:p w14:paraId="23145F52" w14:textId="77777777" w:rsidR="008C6A71" w:rsidRPr="004D1C59" w:rsidRDefault="008C6A71" w:rsidP="009D58DD">
            <w:pPr>
              <w:pStyle w:val="ListParagraph"/>
              <w:numPr>
                <w:ilvl w:val="0"/>
                <w:numId w:val="58"/>
              </w:numPr>
              <w:spacing w:after="0"/>
              <w:rPr>
                <w:rFonts w:ascii="Arial Narrow" w:hAnsi="Arial Narrow"/>
                <w:bCs/>
                <w:sz w:val="20"/>
              </w:rPr>
            </w:pPr>
            <w:r w:rsidRPr="004D1C59">
              <w:rPr>
                <w:rFonts w:ascii="Arial Narrow" w:hAnsi="Arial Narrow"/>
                <w:bCs/>
                <w:sz w:val="20"/>
              </w:rPr>
              <w:t>5 µg Meningococcal polysaccharide serogroup W</w:t>
            </w:r>
            <w:r w:rsidRPr="004D1C59">
              <w:rPr>
                <w:rFonts w:ascii="Cambria Math" w:hAnsi="Cambria Math" w:cs="Cambria Math"/>
                <w:bCs/>
                <w:sz w:val="20"/>
              </w:rPr>
              <w:t>‑</w:t>
            </w:r>
            <w:r w:rsidRPr="004D1C59">
              <w:rPr>
                <w:rFonts w:ascii="Arial Narrow" w:hAnsi="Arial Narrow"/>
                <w:bCs/>
                <w:sz w:val="20"/>
              </w:rPr>
              <w:t>135 conjugated to 3.3</w:t>
            </w:r>
            <w:r w:rsidRPr="004D1C59">
              <w:rPr>
                <w:rFonts w:ascii="Arial Narrow" w:hAnsi="Arial Narrow" w:cs="Arial Narrow"/>
                <w:bCs/>
                <w:sz w:val="20"/>
              </w:rPr>
              <w:t>–</w:t>
            </w:r>
            <w:r w:rsidRPr="004D1C59">
              <w:rPr>
                <w:rFonts w:ascii="Arial Narrow" w:hAnsi="Arial Narrow"/>
                <w:bCs/>
                <w:sz w:val="20"/>
              </w:rPr>
              <w:t xml:space="preserve">8.3 </w:t>
            </w:r>
            <w:r w:rsidRPr="004D1C59">
              <w:rPr>
                <w:rFonts w:ascii="Arial Narrow" w:hAnsi="Arial Narrow" w:cs="Arial Narrow"/>
                <w:bCs/>
                <w:sz w:val="20"/>
              </w:rPr>
              <w:t>µ</w:t>
            </w:r>
            <w:r w:rsidRPr="004D1C59">
              <w:rPr>
                <w:rFonts w:ascii="Arial Narrow" w:hAnsi="Arial Narrow"/>
                <w:bCs/>
                <w:sz w:val="20"/>
              </w:rPr>
              <w:t>g C. diphtheriae CRM197 protein</w:t>
            </w:r>
          </w:p>
          <w:p w14:paraId="5F9999BD" w14:textId="77777777" w:rsidR="008C6A71" w:rsidRPr="004D1C59" w:rsidRDefault="008C6A71" w:rsidP="007B5061">
            <w:pPr>
              <w:jc w:val="center"/>
              <w:rPr>
                <w:rFonts w:ascii="Arial Narrow" w:hAnsi="Arial Narrow"/>
                <w:bCs/>
                <w:sz w:val="20"/>
              </w:rPr>
            </w:pPr>
          </w:p>
          <w:p w14:paraId="22ABD668" w14:textId="77777777" w:rsidR="008C6A71" w:rsidRPr="004D1C59" w:rsidRDefault="008C6A71" w:rsidP="009D58DD">
            <w:pPr>
              <w:pStyle w:val="ListParagraph"/>
              <w:numPr>
                <w:ilvl w:val="0"/>
                <w:numId w:val="58"/>
              </w:numPr>
              <w:spacing w:after="0"/>
              <w:rPr>
                <w:rFonts w:ascii="Arial Narrow" w:hAnsi="Arial Narrow"/>
                <w:bCs/>
                <w:sz w:val="20"/>
              </w:rPr>
            </w:pPr>
            <w:r w:rsidRPr="004D1C59">
              <w:rPr>
                <w:rFonts w:ascii="Arial Narrow" w:hAnsi="Arial Narrow"/>
                <w:bCs/>
                <w:sz w:val="20"/>
              </w:rPr>
              <w:t>(d) 5 µg Meningococcal polysaccharide serogroup Y conjugated to 5.6–10 µg C. diphtheriae CRM197 protein</w:t>
            </w:r>
          </w:p>
        </w:tc>
        <w:tc>
          <w:tcPr>
            <w:tcW w:w="1010" w:type="pct"/>
            <w:tcBorders>
              <w:top w:val="single" w:sz="4" w:space="0" w:color="auto"/>
              <w:left w:val="single" w:sz="4" w:space="0" w:color="auto"/>
              <w:bottom w:val="single" w:sz="4" w:space="0" w:color="auto"/>
              <w:right w:val="single" w:sz="4" w:space="0" w:color="auto"/>
            </w:tcBorders>
            <w:vAlign w:val="center"/>
          </w:tcPr>
          <w:p w14:paraId="354D1917" w14:textId="77777777" w:rsidR="008C6A71" w:rsidRPr="000E788E" w:rsidRDefault="008C6A71" w:rsidP="007B5061">
            <w:pPr>
              <w:jc w:val="center"/>
              <w:rPr>
                <w:rFonts w:ascii="Arial Narrow" w:hAnsi="Arial Narrow"/>
                <w:bCs/>
                <w:sz w:val="20"/>
              </w:rPr>
            </w:pPr>
            <w:r w:rsidRPr="000E788E">
              <w:rPr>
                <w:rFonts w:ascii="Arial Narrow" w:hAnsi="Arial Narrow"/>
                <w:bCs/>
                <w:sz w:val="20"/>
              </w:rPr>
              <w:t>1 dose</w:t>
            </w:r>
          </w:p>
        </w:tc>
      </w:tr>
      <w:tr w:rsidR="008C6A71" w:rsidRPr="004D1C59" w14:paraId="1BEBA8D1" w14:textId="77777777" w:rsidTr="007B5061">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75F6BAC" w14:textId="77777777" w:rsidR="008C6A71" w:rsidRPr="004D1C59" w:rsidRDefault="008C6A71" w:rsidP="007B5061">
            <w:pPr>
              <w:rPr>
                <w:rFonts w:ascii="Arial Narrow" w:hAnsi="Arial Narrow"/>
                <w:sz w:val="20"/>
              </w:rPr>
            </w:pPr>
            <w:r w:rsidRPr="004D1C59">
              <w:rPr>
                <w:rFonts w:ascii="Arial Narrow" w:hAnsi="Arial Narrow"/>
                <w:sz w:val="20"/>
              </w:rPr>
              <w:t>Circumstances</w:t>
            </w:r>
          </w:p>
          <w:p w14:paraId="32B28026" w14:textId="77777777" w:rsidR="008C6A71" w:rsidRPr="004D1C59" w:rsidRDefault="008C6A71" w:rsidP="007B5061">
            <w:pPr>
              <w:rPr>
                <w:rFonts w:ascii="Arial Narrow" w:hAnsi="Arial Narrow"/>
                <w:sz w:val="20"/>
              </w:rPr>
            </w:pPr>
            <w:r w:rsidRPr="004D1C59">
              <w:rPr>
                <w:rFonts w:ascii="Arial Narrow" w:hAnsi="Arial Narrow"/>
                <w:sz w:val="20"/>
              </w:rPr>
              <w:t>Vaccine may be provided to:</w:t>
            </w:r>
          </w:p>
          <w:p w14:paraId="04EB0368" w14:textId="77777777" w:rsidR="008C6A71" w:rsidRPr="004D1C59" w:rsidRDefault="008C6A71" w:rsidP="007B5061">
            <w:pPr>
              <w:rPr>
                <w:rFonts w:ascii="Arial Narrow" w:hAnsi="Arial Narrow"/>
                <w:sz w:val="20"/>
              </w:rPr>
            </w:pPr>
          </w:p>
          <w:p w14:paraId="46EE58D7" w14:textId="77777777" w:rsidR="008C6A71" w:rsidRPr="004D1C59" w:rsidRDefault="008C6A71" w:rsidP="007B5061">
            <w:pPr>
              <w:rPr>
                <w:rFonts w:ascii="Arial Narrow" w:hAnsi="Arial Narrow"/>
                <w:sz w:val="20"/>
              </w:rPr>
            </w:pPr>
            <w:r w:rsidRPr="004D1C59">
              <w:rPr>
                <w:rFonts w:ascii="Arial Narrow" w:hAnsi="Arial Narrow"/>
                <w:sz w:val="20"/>
              </w:rPr>
              <w:t>(a) a person aged at least 14 years old but less than 17 years old as part of a school based program; or</w:t>
            </w:r>
          </w:p>
          <w:p w14:paraId="40D30274" w14:textId="77777777" w:rsidR="008C6A71" w:rsidRPr="004D1C59" w:rsidRDefault="008C6A71" w:rsidP="007B5061">
            <w:pPr>
              <w:rPr>
                <w:rFonts w:ascii="Arial Narrow" w:hAnsi="Arial Narrow"/>
                <w:sz w:val="20"/>
              </w:rPr>
            </w:pPr>
          </w:p>
          <w:p w14:paraId="7A11E784" w14:textId="77777777" w:rsidR="008C6A71" w:rsidRPr="004D1C59" w:rsidRDefault="008C6A71" w:rsidP="007B5061">
            <w:pPr>
              <w:rPr>
                <w:rFonts w:ascii="Arial Narrow" w:hAnsi="Arial Narrow"/>
                <w:sz w:val="20"/>
              </w:rPr>
            </w:pPr>
            <w:r w:rsidRPr="004D1C59">
              <w:rPr>
                <w:rFonts w:ascii="Arial Narrow" w:hAnsi="Arial Narrow"/>
                <w:sz w:val="20"/>
              </w:rPr>
              <w:t>(b) a person aged at least 14 years old but less than 19 years old who did not receive the vaccination as part of a school based program</w:t>
            </w:r>
          </w:p>
        </w:tc>
      </w:tr>
    </w:tbl>
    <w:p w14:paraId="7E370B4B" w14:textId="7A7C889E" w:rsidR="008C6A71" w:rsidRDefault="008C6A71" w:rsidP="006F60DA">
      <w:pPr>
        <w:widowControl w:val="0"/>
        <w:rPr>
          <w:rFonts w:asciiTheme="minorHAnsi" w:hAnsiTheme="minorHAnsi" w:cs="Arial"/>
          <w:bCs/>
          <w:snapToGrid w:val="0"/>
        </w:rPr>
      </w:pPr>
    </w:p>
    <w:p w14:paraId="769DCB40" w14:textId="77777777" w:rsidR="004720BF" w:rsidRPr="004720BF" w:rsidRDefault="004720BF" w:rsidP="004720BF">
      <w:pPr>
        <w:pStyle w:val="2-SectionHeading"/>
      </w:pPr>
      <w:r w:rsidRPr="004720BF">
        <w:lastRenderedPageBreak/>
        <w:t>Context for Decision</w:t>
      </w:r>
    </w:p>
    <w:p w14:paraId="1E8B5DB9" w14:textId="77777777" w:rsidR="004720BF" w:rsidRPr="004720BF" w:rsidRDefault="004720BF" w:rsidP="004720BF">
      <w:pPr>
        <w:spacing w:after="120"/>
        <w:ind w:left="720"/>
        <w:rPr>
          <w:rFonts w:asciiTheme="minorHAnsi" w:hAnsiTheme="minorHAnsi" w:cs="Arial"/>
          <w:bCs/>
          <w:lang w:val="en-GB"/>
        </w:rPr>
      </w:pPr>
      <w:r w:rsidRPr="004720BF">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3974544" w14:textId="418CBE51" w:rsidR="004720BF" w:rsidRPr="004720BF" w:rsidRDefault="004720BF" w:rsidP="004720BF">
      <w:pPr>
        <w:pStyle w:val="2-SectionHeading"/>
      </w:pPr>
      <w:r w:rsidRPr="004720BF">
        <w:t>Sponsor’s Comment</w:t>
      </w:r>
    </w:p>
    <w:p w14:paraId="463975EE" w14:textId="7BDD9E52" w:rsidR="00D22A5E" w:rsidRPr="00D22A5E" w:rsidRDefault="00D22A5E" w:rsidP="00D22A5E">
      <w:pPr>
        <w:spacing w:after="120" w:line="276" w:lineRule="auto"/>
        <w:ind w:left="720"/>
        <w:rPr>
          <w:rFonts w:asciiTheme="minorHAnsi" w:eastAsiaTheme="minorHAnsi" w:hAnsiTheme="minorHAnsi" w:cs="Arial"/>
          <w:bCs/>
          <w:szCs w:val="22"/>
          <w:lang w:eastAsia="en-US"/>
        </w:rPr>
      </w:pPr>
      <w:bookmarkStart w:id="10" w:name="_Hlk156490018"/>
      <w:r w:rsidRPr="00D22A5E">
        <w:rPr>
          <w:rFonts w:asciiTheme="minorHAnsi" w:eastAsiaTheme="minorHAnsi" w:hAnsiTheme="minorHAnsi" w:cs="Arial"/>
          <w:bCs/>
          <w:szCs w:val="22"/>
          <w:lang w:eastAsia="en-US"/>
        </w:rPr>
        <w:t>GSK welcomes the PBAC’s recommendation of Menveo® solution for injection for the prevention of invasive meningococcal diseases (IMDs) caused by Neisseria meningitidis serogroups A, C, W-135 and Y in adolescents.</w:t>
      </w:r>
    </w:p>
    <w:bookmarkEnd w:id="8"/>
    <w:bookmarkEnd w:id="10"/>
    <w:p w14:paraId="16920917" w14:textId="77777777" w:rsidR="004720BF" w:rsidRPr="004D1C59" w:rsidRDefault="004720BF" w:rsidP="006F60DA">
      <w:pPr>
        <w:widowControl w:val="0"/>
        <w:rPr>
          <w:rFonts w:asciiTheme="minorHAnsi" w:hAnsiTheme="minorHAnsi" w:cs="Arial"/>
          <w:bCs/>
          <w:snapToGrid w:val="0"/>
        </w:rPr>
      </w:pPr>
    </w:p>
    <w:sectPr w:rsidR="004720BF" w:rsidRPr="004D1C59"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A4D6" w14:textId="77777777" w:rsidR="008B36AD" w:rsidRDefault="008B36AD">
      <w:r>
        <w:separator/>
      </w:r>
    </w:p>
    <w:p w14:paraId="6C4A85B9" w14:textId="77777777" w:rsidR="008B36AD" w:rsidRDefault="008B36AD"/>
  </w:endnote>
  <w:endnote w:type="continuationSeparator" w:id="0">
    <w:p w14:paraId="483CA4E5" w14:textId="77777777" w:rsidR="008B36AD" w:rsidRDefault="008B36AD">
      <w:r>
        <w:continuationSeparator/>
      </w:r>
    </w:p>
    <w:p w14:paraId="598ED223" w14:textId="77777777" w:rsidR="008B36AD" w:rsidRDefault="008B36AD"/>
  </w:endnote>
  <w:endnote w:type="continuationNotice" w:id="1">
    <w:p w14:paraId="147F6493" w14:textId="77777777" w:rsidR="008B36AD" w:rsidRDefault="008B3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altName w:val="Arial"/>
    <w:panose1 w:val="020B07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004744"/>
      <w:docPartObj>
        <w:docPartGallery w:val="Page Numbers (Bottom of Page)"/>
        <w:docPartUnique/>
      </w:docPartObj>
    </w:sdtPr>
    <w:sdtEndPr>
      <w:rPr>
        <w:noProof/>
      </w:rPr>
    </w:sdtEndPr>
    <w:sdtContent>
      <w:p w14:paraId="118E5D2C" w14:textId="77777777" w:rsidR="00EC43ED" w:rsidRDefault="00EC43ED">
        <w:pPr>
          <w:pStyle w:val="Footer"/>
          <w:jc w:val="center"/>
        </w:pPr>
      </w:p>
      <w:p w14:paraId="4F1A0C56" w14:textId="1641145F" w:rsidR="009C26AA" w:rsidRPr="00D429EC" w:rsidRDefault="004720BF" w:rsidP="007B5061">
        <w:pPr>
          <w:pStyle w:val="Footer"/>
          <w:jc w:val="center"/>
        </w:pPr>
        <w:r w:rsidRPr="007B5061">
          <w:rPr>
            <w:b/>
            <w:bCs/>
          </w:rPr>
          <w:fldChar w:fldCharType="begin"/>
        </w:r>
        <w:r w:rsidRPr="007B5061">
          <w:rPr>
            <w:b/>
            <w:bCs/>
          </w:rPr>
          <w:instrText xml:space="preserve"> PAGE   \* MERGEFORMAT </w:instrText>
        </w:r>
        <w:r w:rsidRPr="007B5061">
          <w:rPr>
            <w:b/>
            <w:bCs/>
          </w:rPr>
          <w:fldChar w:fldCharType="separate"/>
        </w:r>
        <w:r w:rsidRPr="007B5061">
          <w:rPr>
            <w:b/>
            <w:bCs/>
            <w:noProof/>
          </w:rPr>
          <w:t>2</w:t>
        </w:r>
        <w:r w:rsidRPr="007B5061">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AE5FC" w14:textId="77777777" w:rsidR="008B36AD" w:rsidRDefault="008B36AD">
      <w:r>
        <w:separator/>
      </w:r>
    </w:p>
    <w:p w14:paraId="6E35D3EE" w14:textId="77777777" w:rsidR="008B36AD" w:rsidRDefault="008B36AD"/>
  </w:footnote>
  <w:footnote w:type="continuationSeparator" w:id="0">
    <w:p w14:paraId="62AA4B83" w14:textId="77777777" w:rsidR="008B36AD" w:rsidRDefault="008B36AD">
      <w:r>
        <w:continuationSeparator/>
      </w:r>
    </w:p>
    <w:p w14:paraId="3A1FCA8A" w14:textId="77777777" w:rsidR="008B36AD" w:rsidRDefault="008B36AD"/>
  </w:footnote>
  <w:footnote w:type="continuationNotice" w:id="1">
    <w:p w14:paraId="409611BC" w14:textId="77777777" w:rsidR="008B36AD" w:rsidRDefault="008B3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B9F5" w14:textId="5A954EB9" w:rsidR="009C26AA" w:rsidRPr="00C56D78" w:rsidRDefault="004720BF" w:rsidP="004720BF">
    <w:pPr>
      <w:keepNext/>
      <w:tabs>
        <w:tab w:val="center" w:pos="4513"/>
        <w:tab w:val="right" w:pos="9026"/>
      </w:tabs>
      <w:jc w:val="center"/>
      <w:rPr>
        <w:rFonts w:asciiTheme="minorHAnsi" w:hAnsiTheme="minorHAnsi" w:cstheme="minorHAnsi"/>
      </w:rPr>
    </w:pPr>
    <w:r>
      <w:rPr>
        <w:rFonts w:asciiTheme="minorHAnsi" w:hAnsiTheme="minorHAnsi"/>
        <w:i/>
        <w:color w:val="808080"/>
      </w:rPr>
      <w:t>Public Summary Document</w:t>
    </w:r>
    <w:r w:rsidR="009B6B3E" w:rsidRPr="00865E80">
      <w:rPr>
        <w:rFonts w:asciiTheme="minorHAnsi" w:eastAsiaTheme="minorEastAsia" w:hAnsiTheme="minorHAnsi" w:cstheme="minorHAnsi"/>
        <w:i/>
        <w:color w:val="808080"/>
      </w:rPr>
      <w:t xml:space="preserve"> –</w:t>
    </w:r>
    <w:r w:rsidR="009B6B3E" w:rsidRPr="00A217E0">
      <w:rPr>
        <w:rFonts w:asciiTheme="minorHAnsi" w:hAnsiTheme="minorHAnsi" w:cs="Arial"/>
        <w:i/>
      </w:rPr>
      <w:t xml:space="preserve"> </w:t>
    </w:r>
    <w:r w:rsidR="008615AD">
      <w:rPr>
        <w:rFonts w:asciiTheme="minorHAnsi" w:eastAsiaTheme="minorEastAsia" w:hAnsiTheme="minorHAnsi" w:cstheme="minorHAnsi"/>
        <w:i/>
        <w:color w:val="808080"/>
      </w:rPr>
      <w:t>November 2023</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ED6B" w14:textId="77777777" w:rsidR="00602BBD" w:rsidRDefault="00602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543AE5"/>
    <w:multiLevelType w:val="hybridMultilevel"/>
    <w:tmpl w:val="087E2754"/>
    <w:lvl w:ilvl="0" w:tplc="7CA06DB8">
      <w:start w:val="1"/>
      <w:numFmt w:val="lowerLetter"/>
      <w:lvlText w:val="(%1)"/>
      <w:lvlJc w:val="left"/>
      <w:pPr>
        <w:ind w:left="720" w:hanging="360"/>
      </w:pPr>
      <w:rPr>
        <w:rFonts w:asciiTheme="minorHAnsi" w:eastAsia="Times New Roman" w:hAnsiTheme="minorHAnsi"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ED4098"/>
    <w:multiLevelType w:val="hybridMultilevel"/>
    <w:tmpl w:val="AD0AE4F6"/>
    <w:lvl w:ilvl="0" w:tplc="97AACD0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6" w15:restartNumberingAfterBreak="0">
    <w:nsid w:val="03FF0641"/>
    <w:multiLevelType w:val="hybridMultilevel"/>
    <w:tmpl w:val="1EBED2FC"/>
    <w:lvl w:ilvl="0" w:tplc="5F1654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AF0EBA"/>
    <w:multiLevelType w:val="multilevel"/>
    <w:tmpl w:val="642C45D8"/>
    <w:lvl w:ilvl="0">
      <w:start w:val="1"/>
      <w:numFmt w:val="decimal"/>
      <w:lvlText w:val="%1"/>
      <w:lvlJc w:val="left"/>
      <w:pPr>
        <w:ind w:left="720" w:hanging="720"/>
      </w:pPr>
      <w:rPr>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C61637"/>
    <w:multiLevelType w:val="hybridMultilevel"/>
    <w:tmpl w:val="5A2A97F6"/>
    <w:lvl w:ilvl="0" w:tplc="7CA06DB8">
      <w:start w:val="1"/>
      <w:numFmt w:val="lowerLetter"/>
      <w:lvlText w:val="(%1)"/>
      <w:lvlJc w:val="left"/>
      <w:pPr>
        <w:ind w:left="720" w:hanging="360"/>
      </w:pPr>
      <w:rPr>
        <w:rFonts w:asciiTheme="minorHAnsi" w:eastAsia="Times New Roman" w:hAnsiTheme="minorHAnsi"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D35F44"/>
    <w:multiLevelType w:val="hybridMultilevel"/>
    <w:tmpl w:val="0AE8A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6C501F"/>
    <w:multiLevelType w:val="hybridMultilevel"/>
    <w:tmpl w:val="F28211D4"/>
    <w:lvl w:ilvl="0" w:tplc="1F7E83C8">
      <w:start w:val="1"/>
      <w:numFmt w:val="lowerLetter"/>
      <w:lvlText w:val="(%1)"/>
      <w:lvlJc w:val="left"/>
      <w:pPr>
        <w:ind w:left="900"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0346AD7"/>
    <w:multiLevelType w:val="hybridMultilevel"/>
    <w:tmpl w:val="432A33A4"/>
    <w:lvl w:ilvl="0" w:tplc="A22E5F3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2"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5"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7"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6EC5B9E"/>
    <w:multiLevelType w:val="hybridMultilevel"/>
    <w:tmpl w:val="CCDEEF74"/>
    <w:lvl w:ilvl="0" w:tplc="855CB150">
      <w:start w:val="29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CC369D3"/>
    <w:multiLevelType w:val="hybridMultilevel"/>
    <w:tmpl w:val="56E6263E"/>
    <w:lvl w:ilvl="0" w:tplc="49CEF64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1BD3BEF"/>
    <w:multiLevelType w:val="hybridMultilevel"/>
    <w:tmpl w:val="A0987D6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0" w15:restartNumberingAfterBreak="0">
    <w:nsid w:val="784D033C"/>
    <w:multiLevelType w:val="multilevel"/>
    <w:tmpl w:val="B13E0F9E"/>
    <w:lvl w:ilvl="0">
      <w:start w:val="1"/>
      <w:numFmt w:val="decimal"/>
      <w:pStyle w:val="2-SectionHeading"/>
      <w:lvlText w:val="%1"/>
      <w:lvlJc w:val="left"/>
      <w:pPr>
        <w:ind w:left="720" w:hanging="720"/>
      </w:p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3498588">
    <w:abstractNumId w:val="21"/>
  </w:num>
  <w:num w:numId="2" w16cid:durableId="957570559">
    <w:abstractNumId w:val="40"/>
  </w:num>
  <w:num w:numId="3" w16cid:durableId="536628895">
    <w:abstractNumId w:val="0"/>
  </w:num>
  <w:num w:numId="4" w16cid:durableId="1159004663">
    <w:abstractNumId w:val="32"/>
  </w:num>
  <w:num w:numId="5" w16cid:durableId="418600173">
    <w:abstractNumId w:val="42"/>
  </w:num>
  <w:num w:numId="6" w16cid:durableId="34236669">
    <w:abstractNumId w:val="38"/>
  </w:num>
  <w:num w:numId="7" w16cid:durableId="1279799443">
    <w:abstractNumId w:val="27"/>
  </w:num>
  <w:num w:numId="8" w16cid:durableId="495537779">
    <w:abstractNumId w:val="24"/>
  </w:num>
  <w:num w:numId="9" w16cid:durableId="1468400811">
    <w:abstractNumId w:val="1"/>
  </w:num>
  <w:num w:numId="10" w16cid:durableId="132985464">
    <w:abstractNumId w:val="40"/>
  </w:num>
  <w:num w:numId="11" w16cid:durableId="1915313393">
    <w:abstractNumId w:val="36"/>
  </w:num>
  <w:num w:numId="12" w16cid:durableId="473567604">
    <w:abstractNumId w:val="39"/>
  </w:num>
  <w:num w:numId="13" w16cid:durableId="315574325">
    <w:abstractNumId w:val="19"/>
  </w:num>
  <w:num w:numId="14" w16cid:durableId="1841651190">
    <w:abstractNumId w:val="13"/>
  </w:num>
  <w:num w:numId="15" w16cid:durableId="1743868723">
    <w:abstractNumId w:val="34"/>
  </w:num>
  <w:num w:numId="16" w16cid:durableId="1751541441">
    <w:abstractNumId w:val="5"/>
  </w:num>
  <w:num w:numId="17" w16cid:durableId="9394593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7701227">
    <w:abstractNumId w:val="41"/>
  </w:num>
  <w:num w:numId="19" w16cid:durableId="957954296">
    <w:abstractNumId w:val="31"/>
  </w:num>
  <w:num w:numId="20" w16cid:durableId="1630238752">
    <w:abstractNumId w:val="11"/>
  </w:num>
  <w:num w:numId="21" w16cid:durableId="432090342">
    <w:abstractNumId w:val="10"/>
  </w:num>
  <w:num w:numId="22" w16cid:durableId="1662348298">
    <w:abstractNumId w:val="26"/>
  </w:num>
  <w:num w:numId="23" w16cid:durableId="2082019313">
    <w:abstractNumId w:val="12"/>
  </w:num>
  <w:num w:numId="24" w16cid:durableId="1752043239">
    <w:abstractNumId w:val="8"/>
  </w:num>
  <w:num w:numId="25" w16cid:durableId="18237940">
    <w:abstractNumId w:val="22"/>
  </w:num>
  <w:num w:numId="26" w16cid:durableId="888148472">
    <w:abstractNumId w:val="29"/>
  </w:num>
  <w:num w:numId="27" w16cid:durableId="216868142">
    <w:abstractNumId w:val="23"/>
  </w:num>
  <w:num w:numId="28" w16cid:durableId="1438676556">
    <w:abstractNumId w:val="40"/>
  </w:num>
  <w:num w:numId="29" w16cid:durableId="1186290649">
    <w:abstractNumId w:val="25"/>
  </w:num>
  <w:num w:numId="30" w16cid:durableId="1451315060">
    <w:abstractNumId w:val="6"/>
  </w:num>
  <w:num w:numId="31" w16cid:durableId="1505700646">
    <w:abstractNumId w:val="30"/>
  </w:num>
  <w:num w:numId="32" w16cid:durableId="130482875">
    <w:abstractNumId w:val="4"/>
  </w:num>
  <w:num w:numId="33" w16cid:durableId="538277736">
    <w:abstractNumId w:val="16"/>
  </w:num>
  <w:num w:numId="34" w16cid:durableId="1118376220">
    <w:abstractNumId w:val="17"/>
  </w:num>
  <w:num w:numId="35" w16cid:durableId="1882472024">
    <w:abstractNumId w:val="40"/>
  </w:num>
  <w:num w:numId="36" w16cid:durableId="45416941">
    <w:abstractNumId w:val="40"/>
  </w:num>
  <w:num w:numId="37" w16cid:durableId="1619071156">
    <w:abstractNumId w:val="20"/>
  </w:num>
  <w:num w:numId="38" w16cid:durableId="2015497800">
    <w:abstractNumId w:val="40"/>
  </w:num>
  <w:num w:numId="39" w16cid:durableId="152258132">
    <w:abstractNumId w:val="40"/>
  </w:num>
  <w:num w:numId="40" w16cid:durableId="3157697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91036841">
    <w:abstractNumId w:val="4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45184204">
    <w:abstractNumId w:val="18"/>
  </w:num>
  <w:num w:numId="43" w16cid:durableId="534470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59589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64294080">
    <w:abstractNumId w:val="14"/>
  </w:num>
  <w:num w:numId="46" w16cid:durableId="19194370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201723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52265329">
    <w:abstractNumId w:val="28"/>
  </w:num>
  <w:num w:numId="49" w16cid:durableId="10584947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302709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67744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00860710">
    <w:abstractNumId w:val="40"/>
  </w:num>
  <w:num w:numId="53" w16cid:durableId="1465805805">
    <w:abstractNumId w:val="40"/>
  </w:num>
  <w:num w:numId="54" w16cid:durableId="1390611229">
    <w:abstractNumId w:val="40"/>
  </w:num>
  <w:num w:numId="55" w16cid:durableId="1608466948">
    <w:abstractNumId w:val="40"/>
  </w:num>
  <w:num w:numId="56" w16cid:durableId="1902017158">
    <w:abstractNumId w:val="40"/>
  </w:num>
  <w:num w:numId="57" w16cid:durableId="131794155">
    <w:abstractNumId w:val="35"/>
  </w:num>
  <w:num w:numId="58" w16cid:durableId="904488352">
    <w:abstractNumId w:val="2"/>
  </w:num>
  <w:num w:numId="59" w16cid:durableId="1749840320">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070"/>
    <w:rsid w:val="0000335D"/>
    <w:rsid w:val="00003EC5"/>
    <w:rsid w:val="00006782"/>
    <w:rsid w:val="0000729D"/>
    <w:rsid w:val="0001179A"/>
    <w:rsid w:val="00011A59"/>
    <w:rsid w:val="0001443B"/>
    <w:rsid w:val="00014D69"/>
    <w:rsid w:val="00016A41"/>
    <w:rsid w:val="000214D1"/>
    <w:rsid w:val="00021F20"/>
    <w:rsid w:val="0002464A"/>
    <w:rsid w:val="00025A04"/>
    <w:rsid w:val="0002693D"/>
    <w:rsid w:val="0003050E"/>
    <w:rsid w:val="0003106B"/>
    <w:rsid w:val="000335B9"/>
    <w:rsid w:val="00034905"/>
    <w:rsid w:val="00037906"/>
    <w:rsid w:val="00040A30"/>
    <w:rsid w:val="000421A1"/>
    <w:rsid w:val="0004240E"/>
    <w:rsid w:val="00042506"/>
    <w:rsid w:val="000425A2"/>
    <w:rsid w:val="00044E52"/>
    <w:rsid w:val="00044EC4"/>
    <w:rsid w:val="00045E26"/>
    <w:rsid w:val="00046903"/>
    <w:rsid w:val="000514B5"/>
    <w:rsid w:val="000521ED"/>
    <w:rsid w:val="0005322E"/>
    <w:rsid w:val="00054E2B"/>
    <w:rsid w:val="00060E64"/>
    <w:rsid w:val="000621AB"/>
    <w:rsid w:val="00062C03"/>
    <w:rsid w:val="00062E88"/>
    <w:rsid w:val="00066193"/>
    <w:rsid w:val="00066755"/>
    <w:rsid w:val="00071A5B"/>
    <w:rsid w:val="00072730"/>
    <w:rsid w:val="0007337F"/>
    <w:rsid w:val="00074320"/>
    <w:rsid w:val="000763D5"/>
    <w:rsid w:val="00076C38"/>
    <w:rsid w:val="00077143"/>
    <w:rsid w:val="00077DF7"/>
    <w:rsid w:val="0008050C"/>
    <w:rsid w:val="00082169"/>
    <w:rsid w:val="000834BE"/>
    <w:rsid w:val="00083F01"/>
    <w:rsid w:val="00087C4C"/>
    <w:rsid w:val="000913B7"/>
    <w:rsid w:val="000918CB"/>
    <w:rsid w:val="00091B06"/>
    <w:rsid w:val="00093070"/>
    <w:rsid w:val="000951C4"/>
    <w:rsid w:val="00095955"/>
    <w:rsid w:val="00095ADA"/>
    <w:rsid w:val="00095F3A"/>
    <w:rsid w:val="000969AD"/>
    <w:rsid w:val="000975FB"/>
    <w:rsid w:val="000A02F8"/>
    <w:rsid w:val="000A1C7E"/>
    <w:rsid w:val="000A3AA2"/>
    <w:rsid w:val="000A42EF"/>
    <w:rsid w:val="000A44B2"/>
    <w:rsid w:val="000A52F6"/>
    <w:rsid w:val="000A58B8"/>
    <w:rsid w:val="000A7E9F"/>
    <w:rsid w:val="000B44C3"/>
    <w:rsid w:val="000B558D"/>
    <w:rsid w:val="000B5A89"/>
    <w:rsid w:val="000B5AD8"/>
    <w:rsid w:val="000B65F6"/>
    <w:rsid w:val="000B7767"/>
    <w:rsid w:val="000C1AFF"/>
    <w:rsid w:val="000C5740"/>
    <w:rsid w:val="000C5F95"/>
    <w:rsid w:val="000C6996"/>
    <w:rsid w:val="000C78CC"/>
    <w:rsid w:val="000C7C46"/>
    <w:rsid w:val="000D09E9"/>
    <w:rsid w:val="000D113F"/>
    <w:rsid w:val="000D23BA"/>
    <w:rsid w:val="000E19B7"/>
    <w:rsid w:val="000E20FC"/>
    <w:rsid w:val="000E3C1D"/>
    <w:rsid w:val="000E3DFB"/>
    <w:rsid w:val="000E5EA1"/>
    <w:rsid w:val="000E681E"/>
    <w:rsid w:val="000E696B"/>
    <w:rsid w:val="000E788E"/>
    <w:rsid w:val="000E7E52"/>
    <w:rsid w:val="000E7E90"/>
    <w:rsid w:val="000EE1C7"/>
    <w:rsid w:val="000F0003"/>
    <w:rsid w:val="000F3384"/>
    <w:rsid w:val="000F4E6A"/>
    <w:rsid w:val="000F6ABB"/>
    <w:rsid w:val="000F7354"/>
    <w:rsid w:val="000F7C27"/>
    <w:rsid w:val="00101ABE"/>
    <w:rsid w:val="00102202"/>
    <w:rsid w:val="00102700"/>
    <w:rsid w:val="00102A78"/>
    <w:rsid w:val="00103118"/>
    <w:rsid w:val="00103F1B"/>
    <w:rsid w:val="00104227"/>
    <w:rsid w:val="001053D5"/>
    <w:rsid w:val="00107409"/>
    <w:rsid w:val="001107BF"/>
    <w:rsid w:val="0011326B"/>
    <w:rsid w:val="00113649"/>
    <w:rsid w:val="00113D5C"/>
    <w:rsid w:val="00116B03"/>
    <w:rsid w:val="00120AA6"/>
    <w:rsid w:val="001239DB"/>
    <w:rsid w:val="0012417C"/>
    <w:rsid w:val="00124BF2"/>
    <w:rsid w:val="00125837"/>
    <w:rsid w:val="0012597F"/>
    <w:rsid w:val="00126B19"/>
    <w:rsid w:val="00126D3A"/>
    <w:rsid w:val="0012749D"/>
    <w:rsid w:val="00127A23"/>
    <w:rsid w:val="001306A5"/>
    <w:rsid w:val="00130918"/>
    <w:rsid w:val="001311AE"/>
    <w:rsid w:val="00133799"/>
    <w:rsid w:val="00134994"/>
    <w:rsid w:val="001366C2"/>
    <w:rsid w:val="00136C17"/>
    <w:rsid w:val="00140B74"/>
    <w:rsid w:val="00140D94"/>
    <w:rsid w:val="00142395"/>
    <w:rsid w:val="0014250D"/>
    <w:rsid w:val="00142714"/>
    <w:rsid w:val="00144D09"/>
    <w:rsid w:val="00144E06"/>
    <w:rsid w:val="001452ED"/>
    <w:rsid w:val="00147D84"/>
    <w:rsid w:val="00151CBD"/>
    <w:rsid w:val="001533C3"/>
    <w:rsid w:val="001549C1"/>
    <w:rsid w:val="0015558F"/>
    <w:rsid w:val="00156C8D"/>
    <w:rsid w:val="00160F4D"/>
    <w:rsid w:val="00162BDD"/>
    <w:rsid w:val="00162D4E"/>
    <w:rsid w:val="00163329"/>
    <w:rsid w:val="00164623"/>
    <w:rsid w:val="001652DE"/>
    <w:rsid w:val="001653EC"/>
    <w:rsid w:val="00165B64"/>
    <w:rsid w:val="00167C39"/>
    <w:rsid w:val="00176B9D"/>
    <w:rsid w:val="00180713"/>
    <w:rsid w:val="00180720"/>
    <w:rsid w:val="00180F8C"/>
    <w:rsid w:val="001813CB"/>
    <w:rsid w:val="00183085"/>
    <w:rsid w:val="001830CE"/>
    <w:rsid w:val="001835D2"/>
    <w:rsid w:val="001836E3"/>
    <w:rsid w:val="00184659"/>
    <w:rsid w:val="001860E5"/>
    <w:rsid w:val="0018643B"/>
    <w:rsid w:val="00190E66"/>
    <w:rsid w:val="00196307"/>
    <w:rsid w:val="00197C70"/>
    <w:rsid w:val="00197F03"/>
    <w:rsid w:val="001A0D10"/>
    <w:rsid w:val="001A33EA"/>
    <w:rsid w:val="001A3615"/>
    <w:rsid w:val="001A4413"/>
    <w:rsid w:val="001A4C4F"/>
    <w:rsid w:val="001A5A2B"/>
    <w:rsid w:val="001A76FB"/>
    <w:rsid w:val="001B017F"/>
    <w:rsid w:val="001B0B79"/>
    <w:rsid w:val="001B19EA"/>
    <w:rsid w:val="001B2BBC"/>
    <w:rsid w:val="001B2BCD"/>
    <w:rsid w:val="001B3A40"/>
    <w:rsid w:val="001B3FFE"/>
    <w:rsid w:val="001B5129"/>
    <w:rsid w:val="001C0B4C"/>
    <w:rsid w:val="001C0EC4"/>
    <w:rsid w:val="001C1195"/>
    <w:rsid w:val="001C12AE"/>
    <w:rsid w:val="001C1E84"/>
    <w:rsid w:val="001C1FC7"/>
    <w:rsid w:val="001C20E1"/>
    <w:rsid w:val="001C2A0F"/>
    <w:rsid w:val="001C2E42"/>
    <w:rsid w:val="001C452A"/>
    <w:rsid w:val="001D1F5F"/>
    <w:rsid w:val="001E06D2"/>
    <w:rsid w:val="001E17C4"/>
    <w:rsid w:val="001E2A47"/>
    <w:rsid w:val="001E2D65"/>
    <w:rsid w:val="001F005B"/>
    <w:rsid w:val="001F1850"/>
    <w:rsid w:val="001F1FBF"/>
    <w:rsid w:val="001F2311"/>
    <w:rsid w:val="001F2B80"/>
    <w:rsid w:val="001F2F1C"/>
    <w:rsid w:val="001F3189"/>
    <w:rsid w:val="00200BEA"/>
    <w:rsid w:val="00201FB8"/>
    <w:rsid w:val="00203FAC"/>
    <w:rsid w:val="002133FB"/>
    <w:rsid w:val="00213CFB"/>
    <w:rsid w:val="0021553C"/>
    <w:rsid w:val="0021557B"/>
    <w:rsid w:val="00216B87"/>
    <w:rsid w:val="002174FD"/>
    <w:rsid w:val="00217BE1"/>
    <w:rsid w:val="002206D5"/>
    <w:rsid w:val="00221361"/>
    <w:rsid w:val="002214B9"/>
    <w:rsid w:val="00222680"/>
    <w:rsid w:val="00223370"/>
    <w:rsid w:val="00224D1E"/>
    <w:rsid w:val="00226611"/>
    <w:rsid w:val="00227BC5"/>
    <w:rsid w:val="00230ED4"/>
    <w:rsid w:val="00230F63"/>
    <w:rsid w:val="00233B8B"/>
    <w:rsid w:val="00234252"/>
    <w:rsid w:val="0023466E"/>
    <w:rsid w:val="002356DF"/>
    <w:rsid w:val="00237AC6"/>
    <w:rsid w:val="00242B64"/>
    <w:rsid w:val="00242BFD"/>
    <w:rsid w:val="00244139"/>
    <w:rsid w:val="00244490"/>
    <w:rsid w:val="00244BEC"/>
    <w:rsid w:val="00245B9C"/>
    <w:rsid w:val="00252587"/>
    <w:rsid w:val="00253499"/>
    <w:rsid w:val="002551A4"/>
    <w:rsid w:val="00257664"/>
    <w:rsid w:val="00260165"/>
    <w:rsid w:val="0026460E"/>
    <w:rsid w:val="00265151"/>
    <w:rsid w:val="00265C2C"/>
    <w:rsid w:val="00266509"/>
    <w:rsid w:val="00267737"/>
    <w:rsid w:val="002706CF"/>
    <w:rsid w:val="0027172F"/>
    <w:rsid w:val="00271BA1"/>
    <w:rsid w:val="00272BEA"/>
    <w:rsid w:val="00273AC5"/>
    <w:rsid w:val="002762FA"/>
    <w:rsid w:val="00276BE3"/>
    <w:rsid w:val="00277505"/>
    <w:rsid w:val="00277873"/>
    <w:rsid w:val="0028158C"/>
    <w:rsid w:val="002823B6"/>
    <w:rsid w:val="00283E92"/>
    <w:rsid w:val="00287A2F"/>
    <w:rsid w:val="00290C03"/>
    <w:rsid w:val="00292392"/>
    <w:rsid w:val="00292E3B"/>
    <w:rsid w:val="002933A8"/>
    <w:rsid w:val="00294274"/>
    <w:rsid w:val="0029458F"/>
    <w:rsid w:val="00297A63"/>
    <w:rsid w:val="002A018F"/>
    <w:rsid w:val="002A0E04"/>
    <w:rsid w:val="002A104C"/>
    <w:rsid w:val="002A1EF7"/>
    <w:rsid w:val="002A2B7B"/>
    <w:rsid w:val="002A494D"/>
    <w:rsid w:val="002A4960"/>
    <w:rsid w:val="002A636A"/>
    <w:rsid w:val="002A755F"/>
    <w:rsid w:val="002B0AE0"/>
    <w:rsid w:val="002B1AE6"/>
    <w:rsid w:val="002B1D51"/>
    <w:rsid w:val="002B2DE8"/>
    <w:rsid w:val="002B30F8"/>
    <w:rsid w:val="002B388A"/>
    <w:rsid w:val="002B3BFE"/>
    <w:rsid w:val="002B3C1A"/>
    <w:rsid w:val="002B4C2A"/>
    <w:rsid w:val="002B5596"/>
    <w:rsid w:val="002B77D7"/>
    <w:rsid w:val="002C0763"/>
    <w:rsid w:val="002C212F"/>
    <w:rsid w:val="002C2F35"/>
    <w:rsid w:val="002C3823"/>
    <w:rsid w:val="002C6AA9"/>
    <w:rsid w:val="002C7485"/>
    <w:rsid w:val="002D1BC4"/>
    <w:rsid w:val="002D2641"/>
    <w:rsid w:val="002D283A"/>
    <w:rsid w:val="002D4543"/>
    <w:rsid w:val="002D715F"/>
    <w:rsid w:val="002E022A"/>
    <w:rsid w:val="002E09F3"/>
    <w:rsid w:val="002E3153"/>
    <w:rsid w:val="002E4A02"/>
    <w:rsid w:val="002E4A14"/>
    <w:rsid w:val="002E4F19"/>
    <w:rsid w:val="002E5292"/>
    <w:rsid w:val="002E72CA"/>
    <w:rsid w:val="002E75DD"/>
    <w:rsid w:val="002F1D07"/>
    <w:rsid w:val="002F42DA"/>
    <w:rsid w:val="002F5C5B"/>
    <w:rsid w:val="002F600D"/>
    <w:rsid w:val="002F6F0F"/>
    <w:rsid w:val="002F7E47"/>
    <w:rsid w:val="00300AD6"/>
    <w:rsid w:val="00300B1B"/>
    <w:rsid w:val="003019D0"/>
    <w:rsid w:val="003019DE"/>
    <w:rsid w:val="0030311E"/>
    <w:rsid w:val="003064AF"/>
    <w:rsid w:val="00307DC6"/>
    <w:rsid w:val="00310A8B"/>
    <w:rsid w:val="00310B68"/>
    <w:rsid w:val="00312A03"/>
    <w:rsid w:val="003142BF"/>
    <w:rsid w:val="003160D2"/>
    <w:rsid w:val="003173FC"/>
    <w:rsid w:val="00317C6C"/>
    <w:rsid w:val="00320B80"/>
    <w:rsid w:val="00320CD3"/>
    <w:rsid w:val="003215FF"/>
    <w:rsid w:val="00322667"/>
    <w:rsid w:val="0032607C"/>
    <w:rsid w:val="00326E79"/>
    <w:rsid w:val="0032748A"/>
    <w:rsid w:val="003301B1"/>
    <w:rsid w:val="00331115"/>
    <w:rsid w:val="00331189"/>
    <w:rsid w:val="00331F6C"/>
    <w:rsid w:val="0033263D"/>
    <w:rsid w:val="00334E69"/>
    <w:rsid w:val="0033518A"/>
    <w:rsid w:val="00335535"/>
    <w:rsid w:val="003367EF"/>
    <w:rsid w:val="00341AE4"/>
    <w:rsid w:val="003425CA"/>
    <w:rsid w:val="00343FB7"/>
    <w:rsid w:val="003476EE"/>
    <w:rsid w:val="003541DD"/>
    <w:rsid w:val="00356E5B"/>
    <w:rsid w:val="00360887"/>
    <w:rsid w:val="003613FB"/>
    <w:rsid w:val="0036249F"/>
    <w:rsid w:val="00371246"/>
    <w:rsid w:val="003736C9"/>
    <w:rsid w:val="00382C05"/>
    <w:rsid w:val="00383B77"/>
    <w:rsid w:val="003841AC"/>
    <w:rsid w:val="00384988"/>
    <w:rsid w:val="003872CF"/>
    <w:rsid w:val="0038730D"/>
    <w:rsid w:val="003874CB"/>
    <w:rsid w:val="00392DA1"/>
    <w:rsid w:val="00396E08"/>
    <w:rsid w:val="003970DD"/>
    <w:rsid w:val="0039782C"/>
    <w:rsid w:val="003A13A6"/>
    <w:rsid w:val="003A1AE5"/>
    <w:rsid w:val="003A2165"/>
    <w:rsid w:val="003A3AF3"/>
    <w:rsid w:val="003A3FD4"/>
    <w:rsid w:val="003A5B4A"/>
    <w:rsid w:val="003A5D95"/>
    <w:rsid w:val="003A6510"/>
    <w:rsid w:val="003A74E2"/>
    <w:rsid w:val="003B0D3A"/>
    <w:rsid w:val="003B2302"/>
    <w:rsid w:val="003B23C5"/>
    <w:rsid w:val="003B2A75"/>
    <w:rsid w:val="003B49B2"/>
    <w:rsid w:val="003B5138"/>
    <w:rsid w:val="003B6124"/>
    <w:rsid w:val="003B7960"/>
    <w:rsid w:val="003C0908"/>
    <w:rsid w:val="003C093A"/>
    <w:rsid w:val="003C1ECF"/>
    <w:rsid w:val="003C2FB5"/>
    <w:rsid w:val="003C764D"/>
    <w:rsid w:val="003D24C5"/>
    <w:rsid w:val="003D4594"/>
    <w:rsid w:val="003D4AC4"/>
    <w:rsid w:val="003D5433"/>
    <w:rsid w:val="003D63B7"/>
    <w:rsid w:val="003D74C5"/>
    <w:rsid w:val="003E0CE7"/>
    <w:rsid w:val="003E4374"/>
    <w:rsid w:val="003E468B"/>
    <w:rsid w:val="003E62BD"/>
    <w:rsid w:val="003E658D"/>
    <w:rsid w:val="003F044F"/>
    <w:rsid w:val="003F0C3A"/>
    <w:rsid w:val="003F15F0"/>
    <w:rsid w:val="003F2AD9"/>
    <w:rsid w:val="003F3228"/>
    <w:rsid w:val="003F5C8C"/>
    <w:rsid w:val="003F63CE"/>
    <w:rsid w:val="003F6511"/>
    <w:rsid w:val="003F775A"/>
    <w:rsid w:val="00400E55"/>
    <w:rsid w:val="0040128E"/>
    <w:rsid w:val="00401640"/>
    <w:rsid w:val="0040216B"/>
    <w:rsid w:val="00404852"/>
    <w:rsid w:val="0040590E"/>
    <w:rsid w:val="00407CC8"/>
    <w:rsid w:val="00410B89"/>
    <w:rsid w:val="004114F9"/>
    <w:rsid w:val="0041235E"/>
    <w:rsid w:val="00414F0C"/>
    <w:rsid w:val="00420400"/>
    <w:rsid w:val="00423E78"/>
    <w:rsid w:val="004252EC"/>
    <w:rsid w:val="00430D39"/>
    <w:rsid w:val="004336DD"/>
    <w:rsid w:val="00442C91"/>
    <w:rsid w:val="004438B7"/>
    <w:rsid w:val="00444E9D"/>
    <w:rsid w:val="00445437"/>
    <w:rsid w:val="004465BD"/>
    <w:rsid w:val="00446938"/>
    <w:rsid w:val="004513DF"/>
    <w:rsid w:val="004528FA"/>
    <w:rsid w:val="00452A6C"/>
    <w:rsid w:val="0046005B"/>
    <w:rsid w:val="00461A44"/>
    <w:rsid w:val="00462D26"/>
    <w:rsid w:val="00462F79"/>
    <w:rsid w:val="0046368B"/>
    <w:rsid w:val="0046385A"/>
    <w:rsid w:val="00464039"/>
    <w:rsid w:val="00466ADA"/>
    <w:rsid w:val="004702BB"/>
    <w:rsid w:val="004720BF"/>
    <w:rsid w:val="0047390E"/>
    <w:rsid w:val="0047494B"/>
    <w:rsid w:val="00476245"/>
    <w:rsid w:val="00477A9B"/>
    <w:rsid w:val="00482AE4"/>
    <w:rsid w:val="00483035"/>
    <w:rsid w:val="00485940"/>
    <w:rsid w:val="00486C95"/>
    <w:rsid w:val="004877C2"/>
    <w:rsid w:val="004904B9"/>
    <w:rsid w:val="004905BE"/>
    <w:rsid w:val="00491EDC"/>
    <w:rsid w:val="004928E1"/>
    <w:rsid w:val="00492D8D"/>
    <w:rsid w:val="00494663"/>
    <w:rsid w:val="00496662"/>
    <w:rsid w:val="00497531"/>
    <w:rsid w:val="004A1431"/>
    <w:rsid w:val="004A2484"/>
    <w:rsid w:val="004A5A85"/>
    <w:rsid w:val="004A677F"/>
    <w:rsid w:val="004A71D1"/>
    <w:rsid w:val="004A7C5B"/>
    <w:rsid w:val="004B1845"/>
    <w:rsid w:val="004B2348"/>
    <w:rsid w:val="004B2E01"/>
    <w:rsid w:val="004B2E98"/>
    <w:rsid w:val="004B5640"/>
    <w:rsid w:val="004B6084"/>
    <w:rsid w:val="004BCF29"/>
    <w:rsid w:val="004C0206"/>
    <w:rsid w:val="004C03D0"/>
    <w:rsid w:val="004C1BD7"/>
    <w:rsid w:val="004C1BF2"/>
    <w:rsid w:val="004C239C"/>
    <w:rsid w:val="004C31FE"/>
    <w:rsid w:val="004C524C"/>
    <w:rsid w:val="004C5EDD"/>
    <w:rsid w:val="004C5FFA"/>
    <w:rsid w:val="004C691D"/>
    <w:rsid w:val="004C6C07"/>
    <w:rsid w:val="004C7E15"/>
    <w:rsid w:val="004C7EC6"/>
    <w:rsid w:val="004D1C59"/>
    <w:rsid w:val="004D2CD1"/>
    <w:rsid w:val="004D365C"/>
    <w:rsid w:val="004D4FF6"/>
    <w:rsid w:val="004D5ADD"/>
    <w:rsid w:val="004E0CC3"/>
    <w:rsid w:val="004E3F5A"/>
    <w:rsid w:val="004E692D"/>
    <w:rsid w:val="004E7230"/>
    <w:rsid w:val="004E7D87"/>
    <w:rsid w:val="004F2553"/>
    <w:rsid w:val="004F306A"/>
    <w:rsid w:val="00500F3F"/>
    <w:rsid w:val="00501554"/>
    <w:rsid w:val="00502AFE"/>
    <w:rsid w:val="00502E64"/>
    <w:rsid w:val="00503AD7"/>
    <w:rsid w:val="00503E89"/>
    <w:rsid w:val="00504E0C"/>
    <w:rsid w:val="00504E13"/>
    <w:rsid w:val="00507E80"/>
    <w:rsid w:val="005109D4"/>
    <w:rsid w:val="0051230A"/>
    <w:rsid w:val="00512D5C"/>
    <w:rsid w:val="00514CD7"/>
    <w:rsid w:val="005167EC"/>
    <w:rsid w:val="00516BCA"/>
    <w:rsid w:val="005170DA"/>
    <w:rsid w:val="00520D6A"/>
    <w:rsid w:val="00522DB6"/>
    <w:rsid w:val="005264A7"/>
    <w:rsid w:val="0052792D"/>
    <w:rsid w:val="005319B2"/>
    <w:rsid w:val="0053208B"/>
    <w:rsid w:val="00532402"/>
    <w:rsid w:val="00532C74"/>
    <w:rsid w:val="00533239"/>
    <w:rsid w:val="005332E2"/>
    <w:rsid w:val="00534E2E"/>
    <w:rsid w:val="00535133"/>
    <w:rsid w:val="0054064C"/>
    <w:rsid w:val="00544552"/>
    <w:rsid w:val="00545130"/>
    <w:rsid w:val="00545B2C"/>
    <w:rsid w:val="00546B36"/>
    <w:rsid w:val="0055286A"/>
    <w:rsid w:val="00555745"/>
    <w:rsid w:val="00557D4F"/>
    <w:rsid w:val="005601E8"/>
    <w:rsid w:val="0056122E"/>
    <w:rsid w:val="0056484E"/>
    <w:rsid w:val="00565999"/>
    <w:rsid w:val="00567D8A"/>
    <w:rsid w:val="00570231"/>
    <w:rsid w:val="005714B7"/>
    <w:rsid w:val="005764CD"/>
    <w:rsid w:val="00577C4D"/>
    <w:rsid w:val="00580532"/>
    <w:rsid w:val="00581932"/>
    <w:rsid w:val="00583002"/>
    <w:rsid w:val="005903BB"/>
    <w:rsid w:val="00593893"/>
    <w:rsid w:val="005963BB"/>
    <w:rsid w:val="0059645C"/>
    <w:rsid w:val="00596D37"/>
    <w:rsid w:val="005A15D2"/>
    <w:rsid w:val="005A3173"/>
    <w:rsid w:val="005A3223"/>
    <w:rsid w:val="005A3DA3"/>
    <w:rsid w:val="005A52C4"/>
    <w:rsid w:val="005A63A1"/>
    <w:rsid w:val="005A6FDD"/>
    <w:rsid w:val="005B0486"/>
    <w:rsid w:val="005B1032"/>
    <w:rsid w:val="005B1473"/>
    <w:rsid w:val="005B2E38"/>
    <w:rsid w:val="005B36FA"/>
    <w:rsid w:val="005B38E8"/>
    <w:rsid w:val="005C4F73"/>
    <w:rsid w:val="005D03AB"/>
    <w:rsid w:val="005D401D"/>
    <w:rsid w:val="005D5017"/>
    <w:rsid w:val="005D5708"/>
    <w:rsid w:val="005D63FA"/>
    <w:rsid w:val="005D643D"/>
    <w:rsid w:val="005D73C7"/>
    <w:rsid w:val="005E0C2D"/>
    <w:rsid w:val="005E0D82"/>
    <w:rsid w:val="005E0F59"/>
    <w:rsid w:val="005E1333"/>
    <w:rsid w:val="005E3136"/>
    <w:rsid w:val="005E507D"/>
    <w:rsid w:val="005F0AD0"/>
    <w:rsid w:val="005F0C3F"/>
    <w:rsid w:val="005F23E7"/>
    <w:rsid w:val="00601A91"/>
    <w:rsid w:val="0060226A"/>
    <w:rsid w:val="00602BA3"/>
    <w:rsid w:val="00602BBD"/>
    <w:rsid w:val="006055C7"/>
    <w:rsid w:val="00605B63"/>
    <w:rsid w:val="00605F9A"/>
    <w:rsid w:val="00606442"/>
    <w:rsid w:val="00606EED"/>
    <w:rsid w:val="00607DDB"/>
    <w:rsid w:val="00612A95"/>
    <w:rsid w:val="00612E34"/>
    <w:rsid w:val="00614159"/>
    <w:rsid w:val="0061506A"/>
    <w:rsid w:val="006158A3"/>
    <w:rsid w:val="00616C5F"/>
    <w:rsid w:val="00616DAC"/>
    <w:rsid w:val="00617725"/>
    <w:rsid w:val="00617C00"/>
    <w:rsid w:val="00621646"/>
    <w:rsid w:val="00621748"/>
    <w:rsid w:val="006258AA"/>
    <w:rsid w:val="006263BF"/>
    <w:rsid w:val="00626F23"/>
    <w:rsid w:val="0062748A"/>
    <w:rsid w:val="0062776B"/>
    <w:rsid w:val="00630546"/>
    <w:rsid w:val="00630A2C"/>
    <w:rsid w:val="00633555"/>
    <w:rsid w:val="00634A75"/>
    <w:rsid w:val="0063682E"/>
    <w:rsid w:val="0063739E"/>
    <w:rsid w:val="00640088"/>
    <w:rsid w:val="0064242F"/>
    <w:rsid w:val="00642672"/>
    <w:rsid w:val="00642DA8"/>
    <w:rsid w:val="006436CD"/>
    <w:rsid w:val="00646DCB"/>
    <w:rsid w:val="00650976"/>
    <w:rsid w:val="00651169"/>
    <w:rsid w:val="00653D69"/>
    <w:rsid w:val="006552E6"/>
    <w:rsid w:val="00655794"/>
    <w:rsid w:val="00656F2F"/>
    <w:rsid w:val="00657C63"/>
    <w:rsid w:val="00661CBC"/>
    <w:rsid w:val="00662B85"/>
    <w:rsid w:val="006670B3"/>
    <w:rsid w:val="006670BE"/>
    <w:rsid w:val="00670A76"/>
    <w:rsid w:val="006711AA"/>
    <w:rsid w:val="00672B57"/>
    <w:rsid w:val="00673F1F"/>
    <w:rsid w:val="00675622"/>
    <w:rsid w:val="00675DEB"/>
    <w:rsid w:val="0067747D"/>
    <w:rsid w:val="00677D54"/>
    <w:rsid w:val="006818D5"/>
    <w:rsid w:val="00681CA4"/>
    <w:rsid w:val="00686457"/>
    <w:rsid w:val="00686559"/>
    <w:rsid w:val="0069039D"/>
    <w:rsid w:val="006906DB"/>
    <w:rsid w:val="00691900"/>
    <w:rsid w:val="00691E6C"/>
    <w:rsid w:val="00693425"/>
    <w:rsid w:val="0069342D"/>
    <w:rsid w:val="00693DFB"/>
    <w:rsid w:val="006940E1"/>
    <w:rsid w:val="00694FD5"/>
    <w:rsid w:val="0069501D"/>
    <w:rsid w:val="00696129"/>
    <w:rsid w:val="00697CF2"/>
    <w:rsid w:val="006A12A5"/>
    <w:rsid w:val="006A2515"/>
    <w:rsid w:val="006A572D"/>
    <w:rsid w:val="006A5E20"/>
    <w:rsid w:val="006B0D94"/>
    <w:rsid w:val="006B16B6"/>
    <w:rsid w:val="006B485D"/>
    <w:rsid w:val="006B7DDA"/>
    <w:rsid w:val="006C0C45"/>
    <w:rsid w:val="006C1DD4"/>
    <w:rsid w:val="006C2806"/>
    <w:rsid w:val="006C334C"/>
    <w:rsid w:val="006C6C10"/>
    <w:rsid w:val="006C708E"/>
    <w:rsid w:val="006D14E7"/>
    <w:rsid w:val="006D33A6"/>
    <w:rsid w:val="006D4444"/>
    <w:rsid w:val="006D4D53"/>
    <w:rsid w:val="006D6493"/>
    <w:rsid w:val="006D6EC7"/>
    <w:rsid w:val="006D7B05"/>
    <w:rsid w:val="006D7E45"/>
    <w:rsid w:val="006E1143"/>
    <w:rsid w:val="006E1BCD"/>
    <w:rsid w:val="006E2732"/>
    <w:rsid w:val="006E59CD"/>
    <w:rsid w:val="006F00ED"/>
    <w:rsid w:val="006F026F"/>
    <w:rsid w:val="006F0A71"/>
    <w:rsid w:val="006F1079"/>
    <w:rsid w:val="006F1C6B"/>
    <w:rsid w:val="006F40C2"/>
    <w:rsid w:val="006F5125"/>
    <w:rsid w:val="006F60DA"/>
    <w:rsid w:val="006F688B"/>
    <w:rsid w:val="006F733D"/>
    <w:rsid w:val="00700765"/>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A55"/>
    <w:rsid w:val="00715BBB"/>
    <w:rsid w:val="007174BB"/>
    <w:rsid w:val="0072025D"/>
    <w:rsid w:val="00721E40"/>
    <w:rsid w:val="00723328"/>
    <w:rsid w:val="007237DE"/>
    <w:rsid w:val="0072502E"/>
    <w:rsid w:val="0073137C"/>
    <w:rsid w:val="007340B9"/>
    <w:rsid w:val="007353D3"/>
    <w:rsid w:val="0073736F"/>
    <w:rsid w:val="00740CB1"/>
    <w:rsid w:val="0074156B"/>
    <w:rsid w:val="00741619"/>
    <w:rsid w:val="00742885"/>
    <w:rsid w:val="00747092"/>
    <w:rsid w:val="007477FF"/>
    <w:rsid w:val="007526E6"/>
    <w:rsid w:val="00752EFC"/>
    <w:rsid w:val="00754DF9"/>
    <w:rsid w:val="007555E8"/>
    <w:rsid w:val="00755CC5"/>
    <w:rsid w:val="00762862"/>
    <w:rsid w:val="0076420C"/>
    <w:rsid w:val="0077096E"/>
    <w:rsid w:val="00771D07"/>
    <w:rsid w:val="00772649"/>
    <w:rsid w:val="00773BE3"/>
    <w:rsid w:val="007743DD"/>
    <w:rsid w:val="00774E2C"/>
    <w:rsid w:val="0077503C"/>
    <w:rsid w:val="0077518D"/>
    <w:rsid w:val="007753C2"/>
    <w:rsid w:val="00776068"/>
    <w:rsid w:val="007838B8"/>
    <w:rsid w:val="00785779"/>
    <w:rsid w:val="00787FD8"/>
    <w:rsid w:val="007915BA"/>
    <w:rsid w:val="00791844"/>
    <w:rsid w:val="00793CE9"/>
    <w:rsid w:val="00796667"/>
    <w:rsid w:val="00797068"/>
    <w:rsid w:val="007979BD"/>
    <w:rsid w:val="007A3D8E"/>
    <w:rsid w:val="007A5C88"/>
    <w:rsid w:val="007A6A2F"/>
    <w:rsid w:val="007B024E"/>
    <w:rsid w:val="007B3941"/>
    <w:rsid w:val="007B3BAF"/>
    <w:rsid w:val="007B3DDC"/>
    <w:rsid w:val="007B5061"/>
    <w:rsid w:val="007B72A6"/>
    <w:rsid w:val="007C06D2"/>
    <w:rsid w:val="007C08E0"/>
    <w:rsid w:val="007C0F57"/>
    <w:rsid w:val="007C2F4B"/>
    <w:rsid w:val="007C31F6"/>
    <w:rsid w:val="007C40B6"/>
    <w:rsid w:val="007C4513"/>
    <w:rsid w:val="007C4BE6"/>
    <w:rsid w:val="007C5975"/>
    <w:rsid w:val="007C729F"/>
    <w:rsid w:val="007C72AD"/>
    <w:rsid w:val="007D503D"/>
    <w:rsid w:val="007D59E7"/>
    <w:rsid w:val="007D5F2A"/>
    <w:rsid w:val="007E07AC"/>
    <w:rsid w:val="007E1014"/>
    <w:rsid w:val="007E12F8"/>
    <w:rsid w:val="007E1D28"/>
    <w:rsid w:val="007E4564"/>
    <w:rsid w:val="007E490F"/>
    <w:rsid w:val="007E6533"/>
    <w:rsid w:val="007F0021"/>
    <w:rsid w:val="007F2641"/>
    <w:rsid w:val="007F7615"/>
    <w:rsid w:val="007F7735"/>
    <w:rsid w:val="007F7C36"/>
    <w:rsid w:val="007F7F45"/>
    <w:rsid w:val="0080001F"/>
    <w:rsid w:val="00800BF9"/>
    <w:rsid w:val="00801958"/>
    <w:rsid w:val="008055AF"/>
    <w:rsid w:val="008057CD"/>
    <w:rsid w:val="008066B8"/>
    <w:rsid w:val="00806796"/>
    <w:rsid w:val="00810167"/>
    <w:rsid w:val="00810285"/>
    <w:rsid w:val="008104D0"/>
    <w:rsid w:val="00811CC0"/>
    <w:rsid w:val="00814276"/>
    <w:rsid w:val="008151D6"/>
    <w:rsid w:val="00820803"/>
    <w:rsid w:val="00820C83"/>
    <w:rsid w:val="00821527"/>
    <w:rsid w:val="008225CE"/>
    <w:rsid w:val="00822696"/>
    <w:rsid w:val="00825A6C"/>
    <w:rsid w:val="0082617E"/>
    <w:rsid w:val="008268BB"/>
    <w:rsid w:val="00826F6D"/>
    <w:rsid w:val="008306F3"/>
    <w:rsid w:val="00830E40"/>
    <w:rsid w:val="00832D9A"/>
    <w:rsid w:val="00835106"/>
    <w:rsid w:val="00835C62"/>
    <w:rsid w:val="008368A1"/>
    <w:rsid w:val="00840EF7"/>
    <w:rsid w:val="00844C0A"/>
    <w:rsid w:val="008459FF"/>
    <w:rsid w:val="00846056"/>
    <w:rsid w:val="0084681F"/>
    <w:rsid w:val="00847D08"/>
    <w:rsid w:val="00847EC0"/>
    <w:rsid w:val="00854506"/>
    <w:rsid w:val="00855FD6"/>
    <w:rsid w:val="00856DDD"/>
    <w:rsid w:val="00860233"/>
    <w:rsid w:val="008615AD"/>
    <w:rsid w:val="00863E68"/>
    <w:rsid w:val="008647B5"/>
    <w:rsid w:val="00867D64"/>
    <w:rsid w:val="00872E8F"/>
    <w:rsid w:val="00875DCB"/>
    <w:rsid w:val="00876FBF"/>
    <w:rsid w:val="0087755A"/>
    <w:rsid w:val="00882085"/>
    <w:rsid w:val="00883188"/>
    <w:rsid w:val="00884A0C"/>
    <w:rsid w:val="00886ACA"/>
    <w:rsid w:val="00886B01"/>
    <w:rsid w:val="0089031E"/>
    <w:rsid w:val="0089109A"/>
    <w:rsid w:val="008911E9"/>
    <w:rsid w:val="00893D5C"/>
    <w:rsid w:val="0089460B"/>
    <w:rsid w:val="00897D58"/>
    <w:rsid w:val="00897F22"/>
    <w:rsid w:val="008A0B39"/>
    <w:rsid w:val="008A17A3"/>
    <w:rsid w:val="008A1956"/>
    <w:rsid w:val="008A1E85"/>
    <w:rsid w:val="008A2419"/>
    <w:rsid w:val="008A2E2A"/>
    <w:rsid w:val="008A4937"/>
    <w:rsid w:val="008A50F1"/>
    <w:rsid w:val="008A59D9"/>
    <w:rsid w:val="008A643E"/>
    <w:rsid w:val="008A6819"/>
    <w:rsid w:val="008B007A"/>
    <w:rsid w:val="008B2EC0"/>
    <w:rsid w:val="008B36AD"/>
    <w:rsid w:val="008B6DCF"/>
    <w:rsid w:val="008C4D49"/>
    <w:rsid w:val="008C575A"/>
    <w:rsid w:val="008C6A71"/>
    <w:rsid w:val="008D0945"/>
    <w:rsid w:val="008D1409"/>
    <w:rsid w:val="008D15CC"/>
    <w:rsid w:val="008D1729"/>
    <w:rsid w:val="008D1B5C"/>
    <w:rsid w:val="008D35DF"/>
    <w:rsid w:val="008D3C82"/>
    <w:rsid w:val="008D447E"/>
    <w:rsid w:val="008D6ACF"/>
    <w:rsid w:val="008D7A41"/>
    <w:rsid w:val="008E2C72"/>
    <w:rsid w:val="008E3680"/>
    <w:rsid w:val="008E4F87"/>
    <w:rsid w:val="008E5870"/>
    <w:rsid w:val="008E77E4"/>
    <w:rsid w:val="008F0213"/>
    <w:rsid w:val="008F07ED"/>
    <w:rsid w:val="008F11F8"/>
    <w:rsid w:val="008F1434"/>
    <w:rsid w:val="008F2BB9"/>
    <w:rsid w:val="008F3D6A"/>
    <w:rsid w:val="008F54C3"/>
    <w:rsid w:val="008F6441"/>
    <w:rsid w:val="008F67B7"/>
    <w:rsid w:val="008F7355"/>
    <w:rsid w:val="009023DC"/>
    <w:rsid w:val="009027C5"/>
    <w:rsid w:val="00904413"/>
    <w:rsid w:val="00906114"/>
    <w:rsid w:val="009067B7"/>
    <w:rsid w:val="00906E7A"/>
    <w:rsid w:val="00906E7F"/>
    <w:rsid w:val="0090775A"/>
    <w:rsid w:val="00907DFD"/>
    <w:rsid w:val="00913C99"/>
    <w:rsid w:val="00917D69"/>
    <w:rsid w:val="00920B6D"/>
    <w:rsid w:val="00926560"/>
    <w:rsid w:val="00926B15"/>
    <w:rsid w:val="00930291"/>
    <w:rsid w:val="00930937"/>
    <w:rsid w:val="00931096"/>
    <w:rsid w:val="009324A6"/>
    <w:rsid w:val="009328E0"/>
    <w:rsid w:val="00933B7D"/>
    <w:rsid w:val="00933E6C"/>
    <w:rsid w:val="00935A6E"/>
    <w:rsid w:val="00937958"/>
    <w:rsid w:val="00940202"/>
    <w:rsid w:val="009406E5"/>
    <w:rsid w:val="00941602"/>
    <w:rsid w:val="00942160"/>
    <w:rsid w:val="00946921"/>
    <w:rsid w:val="00946D30"/>
    <w:rsid w:val="00947343"/>
    <w:rsid w:val="0095146F"/>
    <w:rsid w:val="00951F2D"/>
    <w:rsid w:val="00952839"/>
    <w:rsid w:val="0095344C"/>
    <w:rsid w:val="009534C7"/>
    <w:rsid w:val="00957944"/>
    <w:rsid w:val="009602C5"/>
    <w:rsid w:val="0096103A"/>
    <w:rsid w:val="00962223"/>
    <w:rsid w:val="0096252B"/>
    <w:rsid w:val="009644D9"/>
    <w:rsid w:val="00964A9F"/>
    <w:rsid w:val="00966D0D"/>
    <w:rsid w:val="00967732"/>
    <w:rsid w:val="0096783C"/>
    <w:rsid w:val="00970023"/>
    <w:rsid w:val="009722B3"/>
    <w:rsid w:val="0097399F"/>
    <w:rsid w:val="00973E24"/>
    <w:rsid w:val="00974C21"/>
    <w:rsid w:val="00974D5F"/>
    <w:rsid w:val="00975948"/>
    <w:rsid w:val="009772FD"/>
    <w:rsid w:val="00977BF3"/>
    <w:rsid w:val="009803E4"/>
    <w:rsid w:val="00980B0E"/>
    <w:rsid w:val="00982B39"/>
    <w:rsid w:val="009836A3"/>
    <w:rsid w:val="00984C58"/>
    <w:rsid w:val="009855A8"/>
    <w:rsid w:val="00985CBE"/>
    <w:rsid w:val="00985D1A"/>
    <w:rsid w:val="00987181"/>
    <w:rsid w:val="00987D68"/>
    <w:rsid w:val="00990CF8"/>
    <w:rsid w:val="009913F4"/>
    <w:rsid w:val="00991782"/>
    <w:rsid w:val="009937F7"/>
    <w:rsid w:val="0099465B"/>
    <w:rsid w:val="009951A1"/>
    <w:rsid w:val="00996FEC"/>
    <w:rsid w:val="00997A44"/>
    <w:rsid w:val="009A0CDD"/>
    <w:rsid w:val="009A3168"/>
    <w:rsid w:val="009A4621"/>
    <w:rsid w:val="009A4BDF"/>
    <w:rsid w:val="009A5D04"/>
    <w:rsid w:val="009A61CA"/>
    <w:rsid w:val="009B0062"/>
    <w:rsid w:val="009B0A58"/>
    <w:rsid w:val="009B0C64"/>
    <w:rsid w:val="009B0F67"/>
    <w:rsid w:val="009B208A"/>
    <w:rsid w:val="009B2756"/>
    <w:rsid w:val="009B3D56"/>
    <w:rsid w:val="009B3F8C"/>
    <w:rsid w:val="009B533B"/>
    <w:rsid w:val="009B546B"/>
    <w:rsid w:val="009B5706"/>
    <w:rsid w:val="009B5738"/>
    <w:rsid w:val="009B6B3E"/>
    <w:rsid w:val="009C26AA"/>
    <w:rsid w:val="009C703C"/>
    <w:rsid w:val="009D0C29"/>
    <w:rsid w:val="009D206E"/>
    <w:rsid w:val="009D3CAA"/>
    <w:rsid w:val="009D507A"/>
    <w:rsid w:val="009D58DD"/>
    <w:rsid w:val="009D6532"/>
    <w:rsid w:val="009D71FD"/>
    <w:rsid w:val="009E06F0"/>
    <w:rsid w:val="009E0755"/>
    <w:rsid w:val="009E10AD"/>
    <w:rsid w:val="009E2588"/>
    <w:rsid w:val="009E2E8E"/>
    <w:rsid w:val="009E40E1"/>
    <w:rsid w:val="009E5201"/>
    <w:rsid w:val="009F0EFA"/>
    <w:rsid w:val="009F4E46"/>
    <w:rsid w:val="009F5B65"/>
    <w:rsid w:val="009F5F2E"/>
    <w:rsid w:val="00A01432"/>
    <w:rsid w:val="00A06225"/>
    <w:rsid w:val="00A066E6"/>
    <w:rsid w:val="00A110D1"/>
    <w:rsid w:val="00A12587"/>
    <w:rsid w:val="00A128E6"/>
    <w:rsid w:val="00A144D3"/>
    <w:rsid w:val="00A17EA7"/>
    <w:rsid w:val="00A21D7D"/>
    <w:rsid w:val="00A22AC3"/>
    <w:rsid w:val="00A2351E"/>
    <w:rsid w:val="00A23F3F"/>
    <w:rsid w:val="00A24067"/>
    <w:rsid w:val="00A24A4B"/>
    <w:rsid w:val="00A2744D"/>
    <w:rsid w:val="00A30D16"/>
    <w:rsid w:val="00A33EB7"/>
    <w:rsid w:val="00A34E6C"/>
    <w:rsid w:val="00A34FD0"/>
    <w:rsid w:val="00A36398"/>
    <w:rsid w:val="00A36F00"/>
    <w:rsid w:val="00A37C8D"/>
    <w:rsid w:val="00A4020E"/>
    <w:rsid w:val="00A40493"/>
    <w:rsid w:val="00A408E8"/>
    <w:rsid w:val="00A40FB5"/>
    <w:rsid w:val="00A42826"/>
    <w:rsid w:val="00A429B3"/>
    <w:rsid w:val="00A44EC1"/>
    <w:rsid w:val="00A510E4"/>
    <w:rsid w:val="00A51F8C"/>
    <w:rsid w:val="00A526F7"/>
    <w:rsid w:val="00A5273B"/>
    <w:rsid w:val="00A53A9D"/>
    <w:rsid w:val="00A55FEE"/>
    <w:rsid w:val="00A57422"/>
    <w:rsid w:val="00A62C1A"/>
    <w:rsid w:val="00A63CA2"/>
    <w:rsid w:val="00A6426D"/>
    <w:rsid w:val="00A665C1"/>
    <w:rsid w:val="00A673A4"/>
    <w:rsid w:val="00A7001A"/>
    <w:rsid w:val="00A70622"/>
    <w:rsid w:val="00A70759"/>
    <w:rsid w:val="00A70977"/>
    <w:rsid w:val="00A70D58"/>
    <w:rsid w:val="00A744F9"/>
    <w:rsid w:val="00A753A1"/>
    <w:rsid w:val="00A77613"/>
    <w:rsid w:val="00A77B87"/>
    <w:rsid w:val="00A77E01"/>
    <w:rsid w:val="00A801AD"/>
    <w:rsid w:val="00A81851"/>
    <w:rsid w:val="00A8390C"/>
    <w:rsid w:val="00A86AE0"/>
    <w:rsid w:val="00A912B0"/>
    <w:rsid w:val="00A91362"/>
    <w:rsid w:val="00A9151C"/>
    <w:rsid w:val="00A919C6"/>
    <w:rsid w:val="00A928BD"/>
    <w:rsid w:val="00A92D61"/>
    <w:rsid w:val="00A97DE9"/>
    <w:rsid w:val="00AA01C7"/>
    <w:rsid w:val="00AA12CD"/>
    <w:rsid w:val="00AA4D1C"/>
    <w:rsid w:val="00AA52FD"/>
    <w:rsid w:val="00AA7006"/>
    <w:rsid w:val="00AA7EBC"/>
    <w:rsid w:val="00AB3138"/>
    <w:rsid w:val="00AB4684"/>
    <w:rsid w:val="00AB5856"/>
    <w:rsid w:val="00AB6AFA"/>
    <w:rsid w:val="00AC081D"/>
    <w:rsid w:val="00AC0C6F"/>
    <w:rsid w:val="00AC1266"/>
    <w:rsid w:val="00AC193C"/>
    <w:rsid w:val="00AC30C1"/>
    <w:rsid w:val="00AC4103"/>
    <w:rsid w:val="00AC4DE5"/>
    <w:rsid w:val="00AC5206"/>
    <w:rsid w:val="00AD095B"/>
    <w:rsid w:val="00AD1DA1"/>
    <w:rsid w:val="00AD3106"/>
    <w:rsid w:val="00AD4322"/>
    <w:rsid w:val="00AE11A5"/>
    <w:rsid w:val="00AE13E2"/>
    <w:rsid w:val="00AE22D3"/>
    <w:rsid w:val="00AE4514"/>
    <w:rsid w:val="00AE5A49"/>
    <w:rsid w:val="00AF03E6"/>
    <w:rsid w:val="00AF11D8"/>
    <w:rsid w:val="00AF2697"/>
    <w:rsid w:val="00AF5867"/>
    <w:rsid w:val="00AF600A"/>
    <w:rsid w:val="00AF62DF"/>
    <w:rsid w:val="00AF68CC"/>
    <w:rsid w:val="00AF70D7"/>
    <w:rsid w:val="00B00086"/>
    <w:rsid w:val="00B00CD0"/>
    <w:rsid w:val="00B00E7F"/>
    <w:rsid w:val="00B01D5B"/>
    <w:rsid w:val="00B01FF4"/>
    <w:rsid w:val="00B0326D"/>
    <w:rsid w:val="00B06037"/>
    <w:rsid w:val="00B06478"/>
    <w:rsid w:val="00B07533"/>
    <w:rsid w:val="00B07CFB"/>
    <w:rsid w:val="00B1059E"/>
    <w:rsid w:val="00B14A36"/>
    <w:rsid w:val="00B16273"/>
    <w:rsid w:val="00B170A5"/>
    <w:rsid w:val="00B1725F"/>
    <w:rsid w:val="00B176C8"/>
    <w:rsid w:val="00B17EE5"/>
    <w:rsid w:val="00B205AA"/>
    <w:rsid w:val="00B2100A"/>
    <w:rsid w:val="00B21788"/>
    <w:rsid w:val="00B21A91"/>
    <w:rsid w:val="00B22AE4"/>
    <w:rsid w:val="00B22E84"/>
    <w:rsid w:val="00B233AD"/>
    <w:rsid w:val="00B23E25"/>
    <w:rsid w:val="00B24244"/>
    <w:rsid w:val="00B25F75"/>
    <w:rsid w:val="00B26B3F"/>
    <w:rsid w:val="00B272FA"/>
    <w:rsid w:val="00B2778F"/>
    <w:rsid w:val="00B327E2"/>
    <w:rsid w:val="00B33635"/>
    <w:rsid w:val="00B35718"/>
    <w:rsid w:val="00B37A23"/>
    <w:rsid w:val="00B37CF8"/>
    <w:rsid w:val="00B42AF4"/>
    <w:rsid w:val="00B43E90"/>
    <w:rsid w:val="00B44308"/>
    <w:rsid w:val="00B45722"/>
    <w:rsid w:val="00B460F4"/>
    <w:rsid w:val="00B467DC"/>
    <w:rsid w:val="00B47A88"/>
    <w:rsid w:val="00B52303"/>
    <w:rsid w:val="00B5392A"/>
    <w:rsid w:val="00B539EF"/>
    <w:rsid w:val="00B56118"/>
    <w:rsid w:val="00B566E1"/>
    <w:rsid w:val="00B56AFB"/>
    <w:rsid w:val="00B602F6"/>
    <w:rsid w:val="00B62EC1"/>
    <w:rsid w:val="00B64A96"/>
    <w:rsid w:val="00B6533B"/>
    <w:rsid w:val="00B6773F"/>
    <w:rsid w:val="00B70EB3"/>
    <w:rsid w:val="00B72906"/>
    <w:rsid w:val="00B73578"/>
    <w:rsid w:val="00B74F48"/>
    <w:rsid w:val="00B7525E"/>
    <w:rsid w:val="00B75433"/>
    <w:rsid w:val="00B75F70"/>
    <w:rsid w:val="00B760FB"/>
    <w:rsid w:val="00B76765"/>
    <w:rsid w:val="00B767AB"/>
    <w:rsid w:val="00B801BA"/>
    <w:rsid w:val="00B812D6"/>
    <w:rsid w:val="00B846E6"/>
    <w:rsid w:val="00B84D5C"/>
    <w:rsid w:val="00B85AF6"/>
    <w:rsid w:val="00B92E46"/>
    <w:rsid w:val="00B941ED"/>
    <w:rsid w:val="00B956ED"/>
    <w:rsid w:val="00BA2DA8"/>
    <w:rsid w:val="00BA347C"/>
    <w:rsid w:val="00BA4C79"/>
    <w:rsid w:val="00BB298A"/>
    <w:rsid w:val="00BB3469"/>
    <w:rsid w:val="00BB5C49"/>
    <w:rsid w:val="00BB6240"/>
    <w:rsid w:val="00BB6285"/>
    <w:rsid w:val="00BB69F5"/>
    <w:rsid w:val="00BB6E48"/>
    <w:rsid w:val="00BB7EC3"/>
    <w:rsid w:val="00BC04B1"/>
    <w:rsid w:val="00BC470E"/>
    <w:rsid w:val="00BC4B9A"/>
    <w:rsid w:val="00BD02C3"/>
    <w:rsid w:val="00BD07DB"/>
    <w:rsid w:val="00BD0F0D"/>
    <w:rsid w:val="00BD4FF5"/>
    <w:rsid w:val="00BD5976"/>
    <w:rsid w:val="00BD7483"/>
    <w:rsid w:val="00BD784C"/>
    <w:rsid w:val="00BE020A"/>
    <w:rsid w:val="00BE13DF"/>
    <w:rsid w:val="00BE1EF0"/>
    <w:rsid w:val="00BE25D7"/>
    <w:rsid w:val="00BE53EA"/>
    <w:rsid w:val="00BF092C"/>
    <w:rsid w:val="00BF27A0"/>
    <w:rsid w:val="00BF4CB6"/>
    <w:rsid w:val="00BF51E1"/>
    <w:rsid w:val="00BF5D23"/>
    <w:rsid w:val="00BF6CBD"/>
    <w:rsid w:val="00C00DA7"/>
    <w:rsid w:val="00C034FB"/>
    <w:rsid w:val="00C047DB"/>
    <w:rsid w:val="00C04CDE"/>
    <w:rsid w:val="00C059D5"/>
    <w:rsid w:val="00C068A6"/>
    <w:rsid w:val="00C077C4"/>
    <w:rsid w:val="00C1211E"/>
    <w:rsid w:val="00C12768"/>
    <w:rsid w:val="00C12D70"/>
    <w:rsid w:val="00C16724"/>
    <w:rsid w:val="00C218CB"/>
    <w:rsid w:val="00C21B09"/>
    <w:rsid w:val="00C21CDC"/>
    <w:rsid w:val="00C24467"/>
    <w:rsid w:val="00C25EFF"/>
    <w:rsid w:val="00C2673A"/>
    <w:rsid w:val="00C278CD"/>
    <w:rsid w:val="00C27B58"/>
    <w:rsid w:val="00C27C1C"/>
    <w:rsid w:val="00C3166C"/>
    <w:rsid w:val="00C33186"/>
    <w:rsid w:val="00C3550B"/>
    <w:rsid w:val="00C35996"/>
    <w:rsid w:val="00C42BCD"/>
    <w:rsid w:val="00C4485F"/>
    <w:rsid w:val="00C46C13"/>
    <w:rsid w:val="00C4747E"/>
    <w:rsid w:val="00C5151E"/>
    <w:rsid w:val="00C51FA3"/>
    <w:rsid w:val="00C52256"/>
    <w:rsid w:val="00C5342C"/>
    <w:rsid w:val="00C53B2B"/>
    <w:rsid w:val="00C56D78"/>
    <w:rsid w:val="00C57465"/>
    <w:rsid w:val="00C60272"/>
    <w:rsid w:val="00C603D4"/>
    <w:rsid w:val="00C6256A"/>
    <w:rsid w:val="00C63FDA"/>
    <w:rsid w:val="00C64EBC"/>
    <w:rsid w:val="00C664D2"/>
    <w:rsid w:val="00C677E1"/>
    <w:rsid w:val="00C70E6E"/>
    <w:rsid w:val="00C710E2"/>
    <w:rsid w:val="00C71C3F"/>
    <w:rsid w:val="00C7409E"/>
    <w:rsid w:val="00C74D6D"/>
    <w:rsid w:val="00C76E76"/>
    <w:rsid w:val="00C77891"/>
    <w:rsid w:val="00C77B74"/>
    <w:rsid w:val="00C82062"/>
    <w:rsid w:val="00C829A9"/>
    <w:rsid w:val="00C87B80"/>
    <w:rsid w:val="00C90330"/>
    <w:rsid w:val="00C9080D"/>
    <w:rsid w:val="00C91449"/>
    <w:rsid w:val="00C92D10"/>
    <w:rsid w:val="00C92F79"/>
    <w:rsid w:val="00C95200"/>
    <w:rsid w:val="00C96DF4"/>
    <w:rsid w:val="00C96EC0"/>
    <w:rsid w:val="00CA06F9"/>
    <w:rsid w:val="00CA14BB"/>
    <w:rsid w:val="00CA230C"/>
    <w:rsid w:val="00CA48D9"/>
    <w:rsid w:val="00CB1193"/>
    <w:rsid w:val="00CB4767"/>
    <w:rsid w:val="00CB493D"/>
    <w:rsid w:val="00CC3B97"/>
    <w:rsid w:val="00CD6257"/>
    <w:rsid w:val="00CD6291"/>
    <w:rsid w:val="00CD7C0B"/>
    <w:rsid w:val="00CE10C4"/>
    <w:rsid w:val="00CE2343"/>
    <w:rsid w:val="00CE27B5"/>
    <w:rsid w:val="00CE2BDF"/>
    <w:rsid w:val="00CE6D24"/>
    <w:rsid w:val="00CE6DAF"/>
    <w:rsid w:val="00CF410A"/>
    <w:rsid w:val="00CF60A7"/>
    <w:rsid w:val="00CF7528"/>
    <w:rsid w:val="00CF7FDE"/>
    <w:rsid w:val="00D012AF"/>
    <w:rsid w:val="00D0321E"/>
    <w:rsid w:val="00D05457"/>
    <w:rsid w:val="00D069EB"/>
    <w:rsid w:val="00D07A8A"/>
    <w:rsid w:val="00D10E31"/>
    <w:rsid w:val="00D10FA3"/>
    <w:rsid w:val="00D11199"/>
    <w:rsid w:val="00D1455A"/>
    <w:rsid w:val="00D14573"/>
    <w:rsid w:val="00D145CE"/>
    <w:rsid w:val="00D14A70"/>
    <w:rsid w:val="00D207EA"/>
    <w:rsid w:val="00D211FB"/>
    <w:rsid w:val="00D22093"/>
    <w:rsid w:val="00D2254E"/>
    <w:rsid w:val="00D22A5E"/>
    <w:rsid w:val="00D22F6C"/>
    <w:rsid w:val="00D31150"/>
    <w:rsid w:val="00D3138B"/>
    <w:rsid w:val="00D31FCE"/>
    <w:rsid w:val="00D3280C"/>
    <w:rsid w:val="00D3406A"/>
    <w:rsid w:val="00D34D24"/>
    <w:rsid w:val="00D369D1"/>
    <w:rsid w:val="00D40B11"/>
    <w:rsid w:val="00D42864"/>
    <w:rsid w:val="00D429EC"/>
    <w:rsid w:val="00D441F1"/>
    <w:rsid w:val="00D4572C"/>
    <w:rsid w:val="00D469B2"/>
    <w:rsid w:val="00D52B24"/>
    <w:rsid w:val="00D52EAA"/>
    <w:rsid w:val="00D52ECF"/>
    <w:rsid w:val="00D54B09"/>
    <w:rsid w:val="00D6243E"/>
    <w:rsid w:val="00D63AAD"/>
    <w:rsid w:val="00D63C61"/>
    <w:rsid w:val="00D65658"/>
    <w:rsid w:val="00D67EB2"/>
    <w:rsid w:val="00D70349"/>
    <w:rsid w:val="00D72B6F"/>
    <w:rsid w:val="00D741EB"/>
    <w:rsid w:val="00D74CEA"/>
    <w:rsid w:val="00D7679C"/>
    <w:rsid w:val="00D817A9"/>
    <w:rsid w:val="00D820F3"/>
    <w:rsid w:val="00D83605"/>
    <w:rsid w:val="00D84934"/>
    <w:rsid w:val="00D866EB"/>
    <w:rsid w:val="00D87D1A"/>
    <w:rsid w:val="00D90133"/>
    <w:rsid w:val="00D906DA"/>
    <w:rsid w:val="00D91271"/>
    <w:rsid w:val="00D919F5"/>
    <w:rsid w:val="00D945F6"/>
    <w:rsid w:val="00D94F03"/>
    <w:rsid w:val="00D95161"/>
    <w:rsid w:val="00D95C23"/>
    <w:rsid w:val="00DA0A82"/>
    <w:rsid w:val="00DA0D14"/>
    <w:rsid w:val="00DA1FC9"/>
    <w:rsid w:val="00DA2CB5"/>
    <w:rsid w:val="00DA358F"/>
    <w:rsid w:val="00DA383E"/>
    <w:rsid w:val="00DA4BAC"/>
    <w:rsid w:val="00DA722E"/>
    <w:rsid w:val="00DA751A"/>
    <w:rsid w:val="00DA792A"/>
    <w:rsid w:val="00DB0151"/>
    <w:rsid w:val="00DB0160"/>
    <w:rsid w:val="00DB04D7"/>
    <w:rsid w:val="00DB0905"/>
    <w:rsid w:val="00DB50E1"/>
    <w:rsid w:val="00DC0566"/>
    <w:rsid w:val="00DC05E1"/>
    <w:rsid w:val="00DC1499"/>
    <w:rsid w:val="00DC16CF"/>
    <w:rsid w:val="00DC2B55"/>
    <w:rsid w:val="00DC2C3E"/>
    <w:rsid w:val="00DC3137"/>
    <w:rsid w:val="00DC3A71"/>
    <w:rsid w:val="00DC4880"/>
    <w:rsid w:val="00DC5E90"/>
    <w:rsid w:val="00DC6095"/>
    <w:rsid w:val="00DD0BE9"/>
    <w:rsid w:val="00DD15BF"/>
    <w:rsid w:val="00DD26F9"/>
    <w:rsid w:val="00DD350E"/>
    <w:rsid w:val="00DD42AB"/>
    <w:rsid w:val="00DD52E5"/>
    <w:rsid w:val="00DE06AF"/>
    <w:rsid w:val="00DE6D27"/>
    <w:rsid w:val="00DE76EA"/>
    <w:rsid w:val="00DF01F8"/>
    <w:rsid w:val="00DF021D"/>
    <w:rsid w:val="00DF14EE"/>
    <w:rsid w:val="00DF217D"/>
    <w:rsid w:val="00DF26A7"/>
    <w:rsid w:val="00DF3277"/>
    <w:rsid w:val="00DF6A31"/>
    <w:rsid w:val="00DF77A1"/>
    <w:rsid w:val="00DF7919"/>
    <w:rsid w:val="00E0207E"/>
    <w:rsid w:val="00E02429"/>
    <w:rsid w:val="00E02AE6"/>
    <w:rsid w:val="00E03912"/>
    <w:rsid w:val="00E04748"/>
    <w:rsid w:val="00E060AF"/>
    <w:rsid w:val="00E078D9"/>
    <w:rsid w:val="00E10293"/>
    <w:rsid w:val="00E103A0"/>
    <w:rsid w:val="00E1043F"/>
    <w:rsid w:val="00E1157E"/>
    <w:rsid w:val="00E11F44"/>
    <w:rsid w:val="00E13389"/>
    <w:rsid w:val="00E13E60"/>
    <w:rsid w:val="00E15627"/>
    <w:rsid w:val="00E164B3"/>
    <w:rsid w:val="00E16910"/>
    <w:rsid w:val="00E21164"/>
    <w:rsid w:val="00E239E2"/>
    <w:rsid w:val="00E24E09"/>
    <w:rsid w:val="00E27234"/>
    <w:rsid w:val="00E3495C"/>
    <w:rsid w:val="00E407A2"/>
    <w:rsid w:val="00E42BDB"/>
    <w:rsid w:val="00E4439B"/>
    <w:rsid w:val="00E47A9C"/>
    <w:rsid w:val="00E524A9"/>
    <w:rsid w:val="00E53F1A"/>
    <w:rsid w:val="00E5726D"/>
    <w:rsid w:val="00E57EEB"/>
    <w:rsid w:val="00E62D94"/>
    <w:rsid w:val="00E62ECC"/>
    <w:rsid w:val="00E64F37"/>
    <w:rsid w:val="00E65091"/>
    <w:rsid w:val="00E65393"/>
    <w:rsid w:val="00E65E54"/>
    <w:rsid w:val="00E661C7"/>
    <w:rsid w:val="00E66679"/>
    <w:rsid w:val="00E7255E"/>
    <w:rsid w:val="00E732C4"/>
    <w:rsid w:val="00E74E41"/>
    <w:rsid w:val="00E80155"/>
    <w:rsid w:val="00E8134B"/>
    <w:rsid w:val="00E81E0D"/>
    <w:rsid w:val="00E81F28"/>
    <w:rsid w:val="00E848C0"/>
    <w:rsid w:val="00E84BB8"/>
    <w:rsid w:val="00E86F92"/>
    <w:rsid w:val="00E91B96"/>
    <w:rsid w:val="00E92F2E"/>
    <w:rsid w:val="00E935DA"/>
    <w:rsid w:val="00E93D1E"/>
    <w:rsid w:val="00E941A1"/>
    <w:rsid w:val="00E95CE3"/>
    <w:rsid w:val="00E95F9A"/>
    <w:rsid w:val="00EA0856"/>
    <w:rsid w:val="00EA1DC4"/>
    <w:rsid w:val="00EA252F"/>
    <w:rsid w:val="00EA2825"/>
    <w:rsid w:val="00EA491F"/>
    <w:rsid w:val="00EA5027"/>
    <w:rsid w:val="00EA64C2"/>
    <w:rsid w:val="00EA6518"/>
    <w:rsid w:val="00EA71A2"/>
    <w:rsid w:val="00EA7466"/>
    <w:rsid w:val="00EA7EDE"/>
    <w:rsid w:val="00EB052E"/>
    <w:rsid w:val="00EB0B63"/>
    <w:rsid w:val="00EB1936"/>
    <w:rsid w:val="00EB3545"/>
    <w:rsid w:val="00EB37BE"/>
    <w:rsid w:val="00EB4BAE"/>
    <w:rsid w:val="00EB5088"/>
    <w:rsid w:val="00EB6801"/>
    <w:rsid w:val="00EB7210"/>
    <w:rsid w:val="00EC2726"/>
    <w:rsid w:val="00EC43ED"/>
    <w:rsid w:val="00EC575E"/>
    <w:rsid w:val="00EC681C"/>
    <w:rsid w:val="00EC7B87"/>
    <w:rsid w:val="00ED1644"/>
    <w:rsid w:val="00ED2593"/>
    <w:rsid w:val="00ED3709"/>
    <w:rsid w:val="00ED722E"/>
    <w:rsid w:val="00ED7D55"/>
    <w:rsid w:val="00ED7D9C"/>
    <w:rsid w:val="00EE00A7"/>
    <w:rsid w:val="00EE2F77"/>
    <w:rsid w:val="00EE3158"/>
    <w:rsid w:val="00EE31A2"/>
    <w:rsid w:val="00EE4329"/>
    <w:rsid w:val="00EE6203"/>
    <w:rsid w:val="00EF0069"/>
    <w:rsid w:val="00EF3C52"/>
    <w:rsid w:val="00EF44A0"/>
    <w:rsid w:val="00EF4580"/>
    <w:rsid w:val="00EF45E1"/>
    <w:rsid w:val="00EF4FED"/>
    <w:rsid w:val="00EF5F45"/>
    <w:rsid w:val="00EF6843"/>
    <w:rsid w:val="00EF6941"/>
    <w:rsid w:val="00EF6FB3"/>
    <w:rsid w:val="00EF7BD0"/>
    <w:rsid w:val="00F0068B"/>
    <w:rsid w:val="00F007C6"/>
    <w:rsid w:val="00F0172E"/>
    <w:rsid w:val="00F050BD"/>
    <w:rsid w:val="00F05657"/>
    <w:rsid w:val="00F05AB0"/>
    <w:rsid w:val="00F07530"/>
    <w:rsid w:val="00F12C74"/>
    <w:rsid w:val="00F13214"/>
    <w:rsid w:val="00F1559A"/>
    <w:rsid w:val="00F15D8F"/>
    <w:rsid w:val="00F171BD"/>
    <w:rsid w:val="00F172F2"/>
    <w:rsid w:val="00F17ED6"/>
    <w:rsid w:val="00F20620"/>
    <w:rsid w:val="00F20676"/>
    <w:rsid w:val="00F209E2"/>
    <w:rsid w:val="00F2398F"/>
    <w:rsid w:val="00F25578"/>
    <w:rsid w:val="00F258E5"/>
    <w:rsid w:val="00F25B9C"/>
    <w:rsid w:val="00F2675A"/>
    <w:rsid w:val="00F26CC6"/>
    <w:rsid w:val="00F300BC"/>
    <w:rsid w:val="00F305FA"/>
    <w:rsid w:val="00F3263C"/>
    <w:rsid w:val="00F3334E"/>
    <w:rsid w:val="00F33373"/>
    <w:rsid w:val="00F3573A"/>
    <w:rsid w:val="00F36CCB"/>
    <w:rsid w:val="00F374E5"/>
    <w:rsid w:val="00F37B93"/>
    <w:rsid w:val="00F37BAD"/>
    <w:rsid w:val="00F37ECA"/>
    <w:rsid w:val="00F40A1C"/>
    <w:rsid w:val="00F4389F"/>
    <w:rsid w:val="00F43AF2"/>
    <w:rsid w:val="00F44578"/>
    <w:rsid w:val="00F45216"/>
    <w:rsid w:val="00F5007E"/>
    <w:rsid w:val="00F508F6"/>
    <w:rsid w:val="00F50EC4"/>
    <w:rsid w:val="00F52232"/>
    <w:rsid w:val="00F527B1"/>
    <w:rsid w:val="00F52DC2"/>
    <w:rsid w:val="00F54AF9"/>
    <w:rsid w:val="00F550CF"/>
    <w:rsid w:val="00F553D2"/>
    <w:rsid w:val="00F56A2D"/>
    <w:rsid w:val="00F57A6D"/>
    <w:rsid w:val="00F6044B"/>
    <w:rsid w:val="00F61D4D"/>
    <w:rsid w:val="00F62F19"/>
    <w:rsid w:val="00F638CC"/>
    <w:rsid w:val="00F63B70"/>
    <w:rsid w:val="00F64028"/>
    <w:rsid w:val="00F64C9E"/>
    <w:rsid w:val="00F64CC1"/>
    <w:rsid w:val="00F65C20"/>
    <w:rsid w:val="00F708B1"/>
    <w:rsid w:val="00F72317"/>
    <w:rsid w:val="00F73DC1"/>
    <w:rsid w:val="00F75BB8"/>
    <w:rsid w:val="00F77714"/>
    <w:rsid w:val="00F77852"/>
    <w:rsid w:val="00F80475"/>
    <w:rsid w:val="00F80E6E"/>
    <w:rsid w:val="00F81390"/>
    <w:rsid w:val="00F81F7A"/>
    <w:rsid w:val="00F8247A"/>
    <w:rsid w:val="00F82E5C"/>
    <w:rsid w:val="00F83E86"/>
    <w:rsid w:val="00F83F58"/>
    <w:rsid w:val="00F845F0"/>
    <w:rsid w:val="00F85206"/>
    <w:rsid w:val="00F87C7A"/>
    <w:rsid w:val="00F87CEA"/>
    <w:rsid w:val="00F9265D"/>
    <w:rsid w:val="00F9629A"/>
    <w:rsid w:val="00F97EFC"/>
    <w:rsid w:val="00FA0B04"/>
    <w:rsid w:val="00FA0C7C"/>
    <w:rsid w:val="00FA1BDD"/>
    <w:rsid w:val="00FA305C"/>
    <w:rsid w:val="00FA462E"/>
    <w:rsid w:val="00FA4DD5"/>
    <w:rsid w:val="00FA518A"/>
    <w:rsid w:val="00FA5883"/>
    <w:rsid w:val="00FA6055"/>
    <w:rsid w:val="00FA627C"/>
    <w:rsid w:val="00FB0B39"/>
    <w:rsid w:val="00FB322F"/>
    <w:rsid w:val="00FB442F"/>
    <w:rsid w:val="00FB5C14"/>
    <w:rsid w:val="00FC118C"/>
    <w:rsid w:val="00FC1929"/>
    <w:rsid w:val="00FC2FB3"/>
    <w:rsid w:val="00FC5B46"/>
    <w:rsid w:val="00FD1D4F"/>
    <w:rsid w:val="00FD24BF"/>
    <w:rsid w:val="00FD3B6E"/>
    <w:rsid w:val="00FD4140"/>
    <w:rsid w:val="00FD57EB"/>
    <w:rsid w:val="00FD6D8E"/>
    <w:rsid w:val="00FE0663"/>
    <w:rsid w:val="00FE0E94"/>
    <w:rsid w:val="00FE369C"/>
    <w:rsid w:val="00FE3CD9"/>
    <w:rsid w:val="00FE6A7A"/>
    <w:rsid w:val="00FF00BD"/>
    <w:rsid w:val="00FF067C"/>
    <w:rsid w:val="00FF0B13"/>
    <w:rsid w:val="00FF1672"/>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29B122"/>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BBD"/>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602BBD"/>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602BBD"/>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Figure_name,Numbered Indented Text,Bullet- First level,List NUmber,Listenabsatz1,lp1,Style 2"/>
    <w:next w:val="ListBullet"/>
    <w:link w:val="ListParagraphChar"/>
    <w:uiPriority w:val="34"/>
    <w:qFormat/>
    <w:rsid w:val="00602BBD"/>
    <w:pPr>
      <w:numPr>
        <w:numId w:val="37"/>
      </w:numPr>
      <w:spacing w:after="120"/>
    </w:pPr>
    <w:rPr>
      <w:rFonts w:asciiTheme="minorHAnsi" w:hAnsiTheme="minorHAnsi" w:cs="Arial"/>
      <w:snapToGrid w:val="0"/>
      <w:sz w:val="24"/>
      <w:szCs w:val="24"/>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Figure_name Char,Numbered Indented Text Char"/>
    <w:basedOn w:val="DefaultParagraphFont"/>
    <w:link w:val="ListParagraph"/>
    <w:uiPriority w:val="34"/>
    <w:qFormat/>
    <w:rsid w:val="00602BBD"/>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rsid w:val="00A673A4"/>
    <w:pPr>
      <w:numPr>
        <w:numId w:val="0"/>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602BBD"/>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602BBD"/>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rsid w:val="00FA305C"/>
    <w:pPr>
      <w:ind w:left="720"/>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602BBD"/>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602BBD"/>
    <w:pPr>
      <w:keepNext/>
    </w:pPr>
    <w:rPr>
      <w:rFonts w:ascii="Arial Narrow" w:eastAsiaTheme="majorEastAsia" w:hAnsi="Arial Narrow"/>
      <w:b/>
      <w:szCs w:val="24"/>
      <w:lang w:val="en-US"/>
    </w:rPr>
  </w:style>
  <w:style w:type="paragraph" w:customStyle="1" w:styleId="2-SectionHeading">
    <w:name w:val="2-Section Heading"/>
    <w:qFormat/>
    <w:rsid w:val="00602BBD"/>
    <w:pPr>
      <w:keepNext/>
      <w:numPr>
        <w:numId w:val="39"/>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02BBD"/>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02BBD"/>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02B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02BBD"/>
    <w:rPr>
      <w:rFonts w:ascii="Arial Narrow" w:eastAsiaTheme="majorEastAsia" w:hAnsi="Arial Narrow" w:cstheme="majorBidi"/>
      <w:b/>
      <w:bCs/>
      <w:szCs w:val="24"/>
    </w:rPr>
  </w:style>
  <w:style w:type="paragraph" w:customStyle="1" w:styleId="3-BodyText">
    <w:name w:val="3-Body Text"/>
    <w:link w:val="3-BodyTextChar"/>
    <w:qFormat/>
    <w:rsid w:val="00602BBD"/>
    <w:pPr>
      <w:numPr>
        <w:ilvl w:val="1"/>
        <w:numId w:val="39"/>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02BBD"/>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602BBD"/>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602BBD"/>
    <w:rPr>
      <w:rFonts w:ascii="Calibri" w:hAnsi="Calibri" w:cs="Arial"/>
      <w:b/>
      <w:sz w:val="24"/>
      <w:szCs w:val="24"/>
    </w:rPr>
  </w:style>
  <w:style w:type="paragraph" w:customStyle="1" w:styleId="TableFigureFooter">
    <w:name w:val="Table/Figure Footer"/>
    <w:basedOn w:val="Normal"/>
    <w:link w:val="TableFigureFooterChar"/>
    <w:qFormat/>
    <w:rsid w:val="00602BBD"/>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602BBD"/>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602BBD"/>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602BBD"/>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602BBD"/>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602BBD"/>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3-SubsectionHeadingChar">
    <w:name w:val="3-Subsection Heading Char"/>
    <w:basedOn w:val="DefaultParagraphFont"/>
    <w:link w:val="3-SubsectionHeading"/>
    <w:locked/>
    <w:rsid w:val="00C96DF4"/>
    <w:rPr>
      <w:rFonts w:asciiTheme="minorHAnsi" w:eastAsiaTheme="majorEastAsia" w:hAnsiTheme="minorHAnsi" w:cstheme="majorBidi"/>
      <w:b/>
      <w:i/>
      <w:spacing w:val="5"/>
      <w:kern w:val="28"/>
      <w:sz w:val="28"/>
      <w:szCs w:val="36"/>
      <w:lang w:eastAsia="en-US"/>
    </w:rPr>
  </w:style>
  <w:style w:type="paragraph" w:customStyle="1" w:styleId="3-SubsectionHeading">
    <w:name w:val="3-Subsection Heading"/>
    <w:basedOn w:val="Heading2"/>
    <w:next w:val="Normal"/>
    <w:link w:val="3-SubsectionHeadingChar"/>
    <w:rsid w:val="00C96DF4"/>
    <w:pPr>
      <w:spacing w:before="120" w:after="120"/>
      <w:outlineLvl w:val="9"/>
    </w:pPr>
    <w:rPr>
      <w:rFonts w:asciiTheme="minorHAnsi" w:eastAsiaTheme="majorEastAsia" w:hAnsiTheme="minorHAnsi" w:cstheme="majorBid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127088726">
      <w:bodyDiv w:val="1"/>
      <w:marLeft w:val="0"/>
      <w:marRight w:val="0"/>
      <w:marTop w:val="0"/>
      <w:marBottom w:val="0"/>
      <w:divBdr>
        <w:top w:val="none" w:sz="0" w:space="0" w:color="auto"/>
        <w:left w:val="none" w:sz="0" w:space="0" w:color="auto"/>
        <w:bottom w:val="none" w:sz="0" w:space="0" w:color="auto"/>
        <w:right w:val="none" w:sz="0" w:space="0" w:color="auto"/>
      </w:divBdr>
    </w:div>
    <w:div w:id="173958908">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326322096">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49658503">
      <w:bodyDiv w:val="1"/>
      <w:marLeft w:val="0"/>
      <w:marRight w:val="0"/>
      <w:marTop w:val="0"/>
      <w:marBottom w:val="0"/>
      <w:divBdr>
        <w:top w:val="none" w:sz="0" w:space="0" w:color="auto"/>
        <w:left w:val="none" w:sz="0" w:space="0" w:color="auto"/>
        <w:bottom w:val="none" w:sz="0" w:space="0" w:color="auto"/>
        <w:right w:val="none" w:sz="0" w:space="0" w:color="auto"/>
      </w:divBdr>
    </w:div>
    <w:div w:id="663119692">
      <w:bodyDiv w:val="1"/>
      <w:marLeft w:val="0"/>
      <w:marRight w:val="0"/>
      <w:marTop w:val="0"/>
      <w:marBottom w:val="0"/>
      <w:divBdr>
        <w:top w:val="none" w:sz="0" w:space="0" w:color="auto"/>
        <w:left w:val="none" w:sz="0" w:space="0" w:color="auto"/>
        <w:bottom w:val="none" w:sz="0" w:space="0" w:color="auto"/>
        <w:right w:val="none" w:sz="0" w:space="0" w:color="auto"/>
      </w:divBdr>
    </w:div>
    <w:div w:id="676618526">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03825705">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82103694">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12657573">
      <w:bodyDiv w:val="1"/>
      <w:marLeft w:val="0"/>
      <w:marRight w:val="0"/>
      <w:marTop w:val="0"/>
      <w:marBottom w:val="0"/>
      <w:divBdr>
        <w:top w:val="none" w:sz="0" w:space="0" w:color="auto"/>
        <w:left w:val="none" w:sz="0" w:space="0" w:color="auto"/>
        <w:bottom w:val="none" w:sz="0" w:space="0" w:color="auto"/>
        <w:right w:val="none" w:sz="0" w:space="0" w:color="auto"/>
      </w:divBdr>
      <w:divsChild>
        <w:div w:id="1230379522">
          <w:marLeft w:val="0"/>
          <w:marRight w:val="0"/>
          <w:marTop w:val="0"/>
          <w:marBottom w:val="0"/>
          <w:divBdr>
            <w:top w:val="none" w:sz="0" w:space="0" w:color="auto"/>
            <w:left w:val="none" w:sz="0" w:space="0" w:color="auto"/>
            <w:bottom w:val="none" w:sz="0" w:space="0" w:color="auto"/>
            <w:right w:val="none" w:sz="0" w:space="0" w:color="auto"/>
          </w:divBdr>
          <w:divsChild>
            <w:div w:id="148381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37012472">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121217707">
      <w:bodyDiv w:val="1"/>
      <w:marLeft w:val="0"/>
      <w:marRight w:val="0"/>
      <w:marTop w:val="0"/>
      <w:marBottom w:val="0"/>
      <w:divBdr>
        <w:top w:val="none" w:sz="0" w:space="0" w:color="auto"/>
        <w:left w:val="none" w:sz="0" w:space="0" w:color="auto"/>
        <w:bottom w:val="none" w:sz="0" w:space="0" w:color="auto"/>
        <w:right w:val="none" w:sz="0" w:space="0" w:color="auto"/>
      </w:divBdr>
    </w:div>
    <w:div w:id="212507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2469</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2024-02-28T06:30:00Z</dcterms:created>
  <dcterms:modified xsi:type="dcterms:W3CDTF">2024-02-28T06:30:00Z</dcterms:modified>
</cp:coreProperties>
</file>