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0AD1" w14:textId="35140379" w:rsidR="00433044" w:rsidRPr="00F92E56" w:rsidRDefault="00B07DCF" w:rsidP="005B0C72">
      <w:pPr>
        <w:pStyle w:val="1-MainHeading"/>
        <w:ind w:left="851" w:hanging="862"/>
      </w:pPr>
      <w:bookmarkStart w:id="0" w:name="_Toc145496523"/>
      <w:r w:rsidRPr="00F92E56">
        <w:t>7.04</w:t>
      </w:r>
      <w:r w:rsidR="00163F66" w:rsidRPr="00F92E56">
        <w:tab/>
      </w:r>
      <w:r w:rsidR="00D6400E" w:rsidRPr="00F92E56">
        <w:t>NIVOLUMAB,</w:t>
      </w:r>
      <w:r w:rsidR="00D6400E" w:rsidRPr="00F92E56">
        <w:br/>
        <w:t>Injection concentrate for I.V. infusion 40</w:t>
      </w:r>
      <w:r w:rsidR="00657035" w:rsidRPr="00F92E56">
        <w:t> </w:t>
      </w:r>
      <w:r w:rsidR="00D6400E" w:rsidRPr="00F92E56">
        <w:t>mg in 4</w:t>
      </w:r>
      <w:r w:rsidR="00657035" w:rsidRPr="00F92E56">
        <w:t> </w:t>
      </w:r>
      <w:r w:rsidR="00D6400E" w:rsidRPr="00F92E56">
        <w:t>mL,</w:t>
      </w:r>
      <w:r w:rsidR="00D6400E" w:rsidRPr="00F92E56">
        <w:br/>
        <w:t>Injection concentrate for I.V. infusion 100</w:t>
      </w:r>
      <w:r w:rsidR="00657035" w:rsidRPr="00F92E56">
        <w:t> </w:t>
      </w:r>
      <w:r w:rsidR="00D6400E" w:rsidRPr="00F92E56">
        <w:t>mg in 10</w:t>
      </w:r>
      <w:r w:rsidR="00657035" w:rsidRPr="00F92E56">
        <w:t> </w:t>
      </w:r>
      <w:r w:rsidR="00D6400E" w:rsidRPr="00F92E56">
        <w:t>mL,</w:t>
      </w:r>
      <w:r w:rsidR="00D6400E" w:rsidRPr="00F92E56">
        <w:br/>
        <w:t>Opdivo</w:t>
      </w:r>
      <w:r w:rsidR="00D6400E" w:rsidRPr="00F92E56">
        <w:rPr>
          <w:vertAlign w:val="superscript"/>
        </w:rPr>
        <w:t>®</w:t>
      </w:r>
      <w:r w:rsidR="00D6400E" w:rsidRPr="00F92E56">
        <w:t>,</w:t>
      </w:r>
      <w:r w:rsidR="00D6400E" w:rsidRPr="00F92E56">
        <w:br/>
        <w:t>Bristol-Myers Squibb Australia Pty Ltd.</w:t>
      </w:r>
      <w:bookmarkEnd w:id="0"/>
    </w:p>
    <w:p w14:paraId="3947F2C0" w14:textId="77777777" w:rsidR="00B50DB8" w:rsidRPr="00F92E56" w:rsidRDefault="00B50DB8" w:rsidP="004A6040">
      <w:pPr>
        <w:pStyle w:val="2-SectionHeading"/>
      </w:pPr>
      <w:bookmarkStart w:id="1" w:name="_Toc145496525"/>
      <w:r w:rsidRPr="00F92E56">
        <w:t xml:space="preserve">Purpose of </w:t>
      </w:r>
      <w:r w:rsidR="00CD7193" w:rsidRPr="00F92E56">
        <w:t>s</w:t>
      </w:r>
      <w:r w:rsidR="00BB3A45" w:rsidRPr="00F92E56">
        <w:t>ubmission</w:t>
      </w:r>
      <w:bookmarkEnd w:id="1"/>
    </w:p>
    <w:p w14:paraId="18388D6A" w14:textId="22D98235" w:rsidR="002C2775" w:rsidRPr="00F92E56" w:rsidRDefault="007170DA" w:rsidP="00236876">
      <w:pPr>
        <w:pStyle w:val="3-BodyText"/>
      </w:pPr>
      <w:r w:rsidRPr="00F92E56">
        <w:t xml:space="preserve">The </w:t>
      </w:r>
      <w:r w:rsidR="000508C2" w:rsidRPr="00F92E56">
        <w:t xml:space="preserve">Standard </w:t>
      </w:r>
      <w:r w:rsidR="003A0067" w:rsidRPr="00F92E56">
        <w:t>r</w:t>
      </w:r>
      <w:r w:rsidR="000508C2" w:rsidRPr="00F92E56">
        <w:t>e-entry</w:t>
      </w:r>
      <w:r w:rsidR="003C7C15" w:rsidRPr="00F92E56">
        <w:t xml:space="preserve"> </w:t>
      </w:r>
      <w:r w:rsidRPr="00F92E56">
        <w:t xml:space="preserve">submission </w:t>
      </w:r>
      <w:r w:rsidR="00B07AB2" w:rsidRPr="00F92E56">
        <w:t>(</w:t>
      </w:r>
      <w:r w:rsidR="001A2789" w:rsidRPr="00F92E56">
        <w:t>herein</w:t>
      </w:r>
      <w:r w:rsidR="00B07AB2" w:rsidRPr="00F92E56">
        <w:t xml:space="preserve"> referred to as resubmission) </w:t>
      </w:r>
      <w:r w:rsidRPr="00F92E56">
        <w:t xml:space="preserve">requested </w:t>
      </w:r>
      <w:r w:rsidR="00012290" w:rsidRPr="00F92E56">
        <w:t>a Section 100 (</w:t>
      </w:r>
      <w:r w:rsidR="003A0067" w:rsidRPr="00F92E56">
        <w:t>Efficient Funding of Chemotherapy Program</w:t>
      </w:r>
      <w:r w:rsidR="00657035" w:rsidRPr="00F92E56">
        <w:t xml:space="preserve"> </w:t>
      </w:r>
      <w:r w:rsidR="00B07DCF" w:rsidRPr="00F92E56">
        <w:t>[</w:t>
      </w:r>
      <w:r w:rsidR="004711C1" w:rsidRPr="00F92E56">
        <w:t>EFC</w:t>
      </w:r>
      <w:r w:rsidR="00B07DCF" w:rsidRPr="00F92E56">
        <w:t>]</w:t>
      </w:r>
      <w:r w:rsidR="00012290" w:rsidRPr="00F92E56">
        <w:t xml:space="preserve">) Authority Required (Telephone/Online) listing for the adjuvant treatment of high-risk </w:t>
      </w:r>
      <w:r w:rsidR="0091172A" w:rsidRPr="00F92E56">
        <w:t>muscle invasive urothelial carcinoma (</w:t>
      </w:r>
      <w:r w:rsidR="00012290" w:rsidRPr="00F92E56">
        <w:t>MIUC</w:t>
      </w:r>
      <w:r w:rsidR="0091172A" w:rsidRPr="00F92E56">
        <w:t>)</w:t>
      </w:r>
      <w:r w:rsidR="008B1757" w:rsidRPr="00F92E56">
        <w:t xml:space="preserve">. </w:t>
      </w:r>
      <w:r w:rsidR="002F2E6F" w:rsidRPr="00F92E56">
        <w:t xml:space="preserve">The </w:t>
      </w:r>
      <w:r w:rsidR="001A2789" w:rsidRPr="00F92E56">
        <w:t xml:space="preserve">target population in the </w:t>
      </w:r>
      <w:r w:rsidR="002F2E6F" w:rsidRPr="00F92E56">
        <w:t xml:space="preserve">requested listing </w:t>
      </w:r>
      <w:r w:rsidR="0091172A" w:rsidRPr="00F92E56">
        <w:t xml:space="preserve">proposed in the resubmission </w:t>
      </w:r>
      <w:r w:rsidR="009A62A2" w:rsidRPr="00F92E56">
        <w:t>is now restricted</w:t>
      </w:r>
      <w:r w:rsidR="00B07AB2" w:rsidRPr="00F92E56">
        <w:t xml:space="preserve"> </w:t>
      </w:r>
      <w:r w:rsidR="009A62A2" w:rsidRPr="00F92E56">
        <w:t xml:space="preserve">to patients who have received prior neoadjuvant platinum-based chemotherapy (NAC) </w:t>
      </w:r>
      <w:r w:rsidR="00EB4D05" w:rsidRPr="00F92E56">
        <w:t>(</w:t>
      </w:r>
      <w:r w:rsidR="00705212" w:rsidRPr="00F92E56">
        <w:t>unless</w:t>
      </w:r>
      <w:r w:rsidR="00EB4D05" w:rsidRPr="00F92E56">
        <w:t xml:space="preserve"> patients have a contraindication</w:t>
      </w:r>
      <w:r w:rsidR="005B0C72">
        <w:t xml:space="preserve">/ </w:t>
      </w:r>
      <w:r w:rsidR="00EB4D05" w:rsidRPr="00F92E56">
        <w:t xml:space="preserve">intolerance to NAC) </w:t>
      </w:r>
      <w:r w:rsidR="009A62A2" w:rsidRPr="00F92E56">
        <w:t xml:space="preserve">compared to that in the </w:t>
      </w:r>
      <w:r w:rsidR="00B07AB2" w:rsidRPr="00F92E56">
        <w:t xml:space="preserve">previous submission </w:t>
      </w:r>
      <w:r w:rsidR="009A62A2" w:rsidRPr="00F92E56">
        <w:t xml:space="preserve">which was </w:t>
      </w:r>
      <w:r w:rsidR="00752A26" w:rsidRPr="00F92E56">
        <w:t>regardless of prior use of NAC</w:t>
      </w:r>
      <w:r w:rsidR="002F2E6F" w:rsidRPr="00F92E56">
        <w:t xml:space="preserve">. </w:t>
      </w:r>
    </w:p>
    <w:p w14:paraId="4C95D0EE" w14:textId="0DE179C1" w:rsidR="00C2778B" w:rsidRPr="00F92E56" w:rsidRDefault="00752A26" w:rsidP="00236876">
      <w:pPr>
        <w:pStyle w:val="3-BodyText"/>
      </w:pPr>
      <w:r w:rsidRPr="00F92E56">
        <w:t xml:space="preserve">Listing was requested on the basis of a cost-effectiveness analysis versus watchful waiting. The key components of the clinical issue are summarised in </w:t>
      </w:r>
      <w:r w:rsidRPr="00F92E56">
        <w:fldChar w:fldCharType="begin" w:fldLock="1"/>
      </w:r>
      <w:r w:rsidRPr="00F92E56">
        <w:instrText xml:space="preserve"> REF _Ref141352450 \h </w:instrText>
      </w:r>
      <w:r w:rsidRPr="00F92E56">
        <w:fldChar w:fldCharType="separate"/>
      </w:r>
      <w:r w:rsidR="0096718A" w:rsidRPr="00F92E56">
        <w:t xml:space="preserve">Table </w:t>
      </w:r>
      <w:r w:rsidR="0096718A" w:rsidRPr="00346867">
        <w:t>1</w:t>
      </w:r>
      <w:r w:rsidRPr="00F92E56">
        <w:fldChar w:fldCharType="end"/>
      </w:r>
      <w:r w:rsidRPr="00F92E56">
        <w:t>.</w:t>
      </w:r>
    </w:p>
    <w:p w14:paraId="1261ECC8" w14:textId="58EAEB56" w:rsidR="00752A26" w:rsidRPr="00F92E56" w:rsidRDefault="00696EF9" w:rsidP="00752A26">
      <w:pPr>
        <w:pStyle w:val="TableFigureHeading"/>
      </w:pPr>
      <w:bookmarkStart w:id="2" w:name="_Ref141352450"/>
      <w:r w:rsidRPr="00F92E56">
        <w:t xml:space="preserve">Table </w:t>
      </w:r>
      <w:r w:rsidR="001D78FA">
        <w:fldChar w:fldCharType="begin" w:fldLock="1"/>
      </w:r>
      <w:r w:rsidR="001D78FA">
        <w:instrText xml:space="preserve"> SEQ Table \* ARABIC </w:instrText>
      </w:r>
      <w:r w:rsidR="001D78FA">
        <w:fldChar w:fldCharType="separate"/>
      </w:r>
      <w:r w:rsidR="0096718A" w:rsidRPr="00346867">
        <w:t>1</w:t>
      </w:r>
      <w:r w:rsidR="001D78FA">
        <w:fldChar w:fldCharType="end"/>
      </w:r>
      <w:bookmarkEnd w:id="2"/>
      <w:r w:rsidRPr="00F92E56">
        <w:t>:</w:t>
      </w:r>
      <w:r w:rsidR="00BC591F" w:rsidRPr="00F92E56">
        <w:rPr>
          <w:rStyle w:val="CommentReference"/>
          <w:b/>
          <w:szCs w:val="24"/>
        </w:rPr>
        <w:t xml:space="preserve"> </w:t>
      </w:r>
      <w:r w:rsidR="00752A26" w:rsidRPr="00F92E56">
        <w:rPr>
          <w:rStyle w:val="CommentReference"/>
          <w:b/>
          <w:szCs w:val="24"/>
        </w:rPr>
        <w:t>Key components of the clinical issue addressed by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7013"/>
      </w:tblGrid>
      <w:tr w:rsidR="00EA0D06" w:rsidRPr="00F92E56" w14:paraId="3E4E7400" w14:textId="77777777" w:rsidTr="00EA0D06">
        <w:trPr>
          <w:cantSplit/>
        </w:trPr>
        <w:tc>
          <w:tcPr>
            <w:tcW w:w="1111" w:type="pct"/>
            <w:vAlign w:val="center"/>
          </w:tcPr>
          <w:p w14:paraId="51C5758B" w14:textId="77777777" w:rsidR="00EA0D06" w:rsidRPr="00346867" w:rsidRDefault="00EA0D06" w:rsidP="00553EDF">
            <w:pPr>
              <w:pStyle w:val="In-tableHeading"/>
              <w:rPr>
                <w:lang w:val="en-AU"/>
              </w:rPr>
            </w:pPr>
            <w:r w:rsidRPr="00346867">
              <w:rPr>
                <w:lang w:val="en-AU"/>
              </w:rPr>
              <w:t>Component</w:t>
            </w:r>
          </w:p>
        </w:tc>
        <w:tc>
          <w:tcPr>
            <w:tcW w:w="3889" w:type="pct"/>
            <w:vAlign w:val="center"/>
          </w:tcPr>
          <w:p w14:paraId="1F3B3AE0" w14:textId="1EBD4BFE" w:rsidR="00EA0D06" w:rsidRPr="00346867" w:rsidRDefault="00EA0D06" w:rsidP="00553EDF">
            <w:pPr>
              <w:pStyle w:val="In-tableHeading"/>
              <w:rPr>
                <w:lang w:val="en-AU"/>
              </w:rPr>
            </w:pPr>
            <w:r w:rsidRPr="00346867">
              <w:rPr>
                <w:lang w:val="en-AU"/>
              </w:rPr>
              <w:t>Description</w:t>
            </w:r>
          </w:p>
        </w:tc>
      </w:tr>
      <w:tr w:rsidR="009E7DC3" w:rsidRPr="00F92E56" w14:paraId="4644B80C" w14:textId="77777777" w:rsidTr="00EA0D06">
        <w:trPr>
          <w:cantSplit/>
        </w:trPr>
        <w:tc>
          <w:tcPr>
            <w:tcW w:w="1111" w:type="pct"/>
            <w:vAlign w:val="center"/>
          </w:tcPr>
          <w:p w14:paraId="08FC5688" w14:textId="77777777" w:rsidR="009E7DC3" w:rsidRPr="00F92E56" w:rsidRDefault="009E7DC3" w:rsidP="00553EDF">
            <w:pPr>
              <w:pStyle w:val="TableText0"/>
            </w:pPr>
            <w:r w:rsidRPr="00F92E56">
              <w:t>Population</w:t>
            </w:r>
          </w:p>
        </w:tc>
        <w:tc>
          <w:tcPr>
            <w:tcW w:w="3889" w:type="pct"/>
            <w:tcBorders>
              <w:bottom w:val="single" w:sz="4" w:space="0" w:color="auto"/>
            </w:tcBorders>
          </w:tcPr>
          <w:p w14:paraId="6058B5D6" w14:textId="441E0DD5" w:rsidR="009E7DC3" w:rsidRPr="00F92E56" w:rsidRDefault="009E7DC3" w:rsidP="00553EDF">
            <w:pPr>
              <w:pStyle w:val="TableText0"/>
            </w:pPr>
            <w:r w:rsidRPr="00F92E56">
              <w:rPr>
                <w:shd w:val="clear" w:color="auto" w:fill="C6D9F1" w:themeFill="text2" w:themeFillTint="33"/>
              </w:rPr>
              <w:t>Patients with muscle invasive urothelial carcinoma (MIUC) who have undergone radical resection surgery and are at high risk of recurrence</w:t>
            </w:r>
            <w:r w:rsidRPr="00F92E56">
              <w:t>, and who have received prior neoadjuvant platinum-based chemotherapy (NAC).</w:t>
            </w:r>
            <w:r w:rsidR="00EB4D05" w:rsidRPr="00F92E56">
              <w:t xml:space="preserve"> Patients who have a contraindication/intolerance to NAC are eligible for nivolumab.</w:t>
            </w:r>
          </w:p>
        </w:tc>
      </w:tr>
      <w:tr w:rsidR="009E7DC3" w:rsidRPr="00F92E56" w14:paraId="6B15DECC" w14:textId="77777777" w:rsidTr="00EA0D06">
        <w:trPr>
          <w:cantSplit/>
        </w:trPr>
        <w:tc>
          <w:tcPr>
            <w:tcW w:w="1111" w:type="pct"/>
            <w:vAlign w:val="center"/>
          </w:tcPr>
          <w:p w14:paraId="55556E03" w14:textId="77777777" w:rsidR="009E7DC3" w:rsidRPr="00F92E56" w:rsidRDefault="009E7DC3" w:rsidP="00553EDF">
            <w:pPr>
              <w:pStyle w:val="TableText0"/>
            </w:pPr>
            <w:r w:rsidRPr="00F92E56">
              <w:t>Intervention</w:t>
            </w:r>
          </w:p>
        </w:tc>
        <w:tc>
          <w:tcPr>
            <w:tcW w:w="3889" w:type="pct"/>
            <w:shd w:val="clear" w:color="auto" w:fill="C6D9F1" w:themeFill="text2" w:themeFillTint="33"/>
          </w:tcPr>
          <w:p w14:paraId="0FC3F189" w14:textId="77777777" w:rsidR="009E7DC3" w:rsidRPr="00F92E56" w:rsidRDefault="009E7DC3" w:rsidP="00553EDF">
            <w:pPr>
              <w:pStyle w:val="TableText0"/>
            </w:pPr>
            <w:r w:rsidRPr="00F92E56">
              <w:t>Nivolumab</w:t>
            </w:r>
          </w:p>
        </w:tc>
      </w:tr>
      <w:tr w:rsidR="009E7DC3" w:rsidRPr="00F92E56" w14:paraId="1971C718" w14:textId="77777777" w:rsidTr="00EA0D06">
        <w:trPr>
          <w:cantSplit/>
        </w:trPr>
        <w:tc>
          <w:tcPr>
            <w:tcW w:w="1111" w:type="pct"/>
            <w:vAlign w:val="center"/>
          </w:tcPr>
          <w:p w14:paraId="411123A2" w14:textId="77777777" w:rsidR="009E7DC3" w:rsidRPr="00F92E56" w:rsidRDefault="009E7DC3" w:rsidP="00553EDF">
            <w:pPr>
              <w:pStyle w:val="TableText0"/>
            </w:pPr>
            <w:r w:rsidRPr="00F92E56">
              <w:t>Comparator</w:t>
            </w:r>
          </w:p>
        </w:tc>
        <w:tc>
          <w:tcPr>
            <w:tcW w:w="3889" w:type="pct"/>
            <w:shd w:val="clear" w:color="auto" w:fill="C6D9F1" w:themeFill="text2" w:themeFillTint="33"/>
          </w:tcPr>
          <w:p w14:paraId="52B589BC" w14:textId="77777777" w:rsidR="009E7DC3" w:rsidRPr="00F92E56" w:rsidRDefault="009E7DC3" w:rsidP="00553EDF">
            <w:pPr>
              <w:pStyle w:val="TableText0"/>
            </w:pPr>
            <w:r w:rsidRPr="00F92E56">
              <w:t>Watch and wait surveillance</w:t>
            </w:r>
          </w:p>
        </w:tc>
      </w:tr>
      <w:tr w:rsidR="009E7DC3" w:rsidRPr="00F92E56" w14:paraId="06E8CD5A" w14:textId="77777777" w:rsidTr="00EA0D06">
        <w:trPr>
          <w:cantSplit/>
        </w:trPr>
        <w:tc>
          <w:tcPr>
            <w:tcW w:w="1111" w:type="pct"/>
            <w:vAlign w:val="center"/>
          </w:tcPr>
          <w:p w14:paraId="3CEF965F" w14:textId="77777777" w:rsidR="009E7DC3" w:rsidRPr="00F92E56" w:rsidRDefault="009E7DC3" w:rsidP="00553EDF">
            <w:pPr>
              <w:pStyle w:val="TableText0"/>
            </w:pPr>
            <w:r w:rsidRPr="00F92E56">
              <w:t>Outcomes</w:t>
            </w:r>
          </w:p>
        </w:tc>
        <w:tc>
          <w:tcPr>
            <w:tcW w:w="3889" w:type="pct"/>
            <w:shd w:val="clear" w:color="auto" w:fill="C6D9F1" w:themeFill="text2" w:themeFillTint="33"/>
          </w:tcPr>
          <w:p w14:paraId="1BD9A056" w14:textId="50056EA2" w:rsidR="009E7DC3" w:rsidRPr="00F92E56" w:rsidRDefault="009E7DC3" w:rsidP="00553EDF">
            <w:pPr>
              <w:pStyle w:val="TableText0"/>
            </w:pPr>
            <w:r w:rsidRPr="00F92E56">
              <w:t>Disease-free survival (DFS), non-urothelial tract recurrence-free survival (NUTRFS), disease-specific survival (DSS), distant metastasis-free survival (DMFS), health-related quality of life (HRQoL), safety and tolerability</w:t>
            </w:r>
          </w:p>
        </w:tc>
      </w:tr>
      <w:tr w:rsidR="009E7DC3" w:rsidRPr="00F92E56" w14:paraId="2A93945B" w14:textId="77777777" w:rsidTr="00EA0D06">
        <w:trPr>
          <w:cantSplit/>
        </w:trPr>
        <w:tc>
          <w:tcPr>
            <w:tcW w:w="1111" w:type="pct"/>
            <w:vAlign w:val="center"/>
          </w:tcPr>
          <w:p w14:paraId="2C1A9B76" w14:textId="77777777" w:rsidR="009E7DC3" w:rsidRPr="00F92E56" w:rsidRDefault="009E7DC3" w:rsidP="00553EDF">
            <w:pPr>
              <w:pStyle w:val="TableText0"/>
            </w:pPr>
            <w:r w:rsidRPr="00F92E56">
              <w:t>Clinical claim</w:t>
            </w:r>
          </w:p>
        </w:tc>
        <w:tc>
          <w:tcPr>
            <w:tcW w:w="3889" w:type="pct"/>
            <w:shd w:val="clear" w:color="auto" w:fill="C6D9F1" w:themeFill="text2" w:themeFillTint="33"/>
          </w:tcPr>
          <w:p w14:paraId="65272A6D" w14:textId="6DC6C402" w:rsidR="009E7DC3" w:rsidRPr="00F92E56" w:rsidRDefault="009E7DC3" w:rsidP="00553EDF">
            <w:pPr>
              <w:pStyle w:val="TableText0"/>
            </w:pPr>
            <w:r w:rsidRPr="00F92E56">
              <w:t>Nivolumab has superior efficacy and inferior safety compared to watch and wait surveillance</w:t>
            </w:r>
          </w:p>
        </w:tc>
      </w:tr>
    </w:tbl>
    <w:p w14:paraId="7AAF2B17" w14:textId="547681CD" w:rsidR="00752A26" w:rsidRPr="00F92E56" w:rsidRDefault="00752A26" w:rsidP="00752A26">
      <w:pPr>
        <w:pStyle w:val="TableFooter"/>
      </w:pPr>
      <w:r w:rsidRPr="00F92E56">
        <w:t>Source: Table 1, p14 of the resubmission.</w:t>
      </w:r>
    </w:p>
    <w:p w14:paraId="4DCC5D3D" w14:textId="2309E294" w:rsidR="00EA0D06" w:rsidRPr="00F92E56" w:rsidRDefault="00EA0D06" w:rsidP="00EA0D06">
      <w:pPr>
        <w:pStyle w:val="FooterTableFigure"/>
        <w:rPr>
          <w:bCs/>
          <w:iCs/>
          <w:szCs w:val="18"/>
        </w:rPr>
      </w:pPr>
      <w:r w:rsidRPr="00F92E56">
        <w:rPr>
          <w:rStyle w:val="CommentReference"/>
          <w:b w:val="0"/>
          <w:bCs/>
          <w:iCs/>
          <w:sz w:val="18"/>
          <w:szCs w:val="18"/>
          <w:shd w:val="clear" w:color="auto" w:fill="B8CCE4" w:themeFill="accent1" w:themeFillTint="66"/>
        </w:rPr>
        <w:t>Blue shading</w:t>
      </w:r>
      <w:r w:rsidRPr="00F92E56">
        <w:rPr>
          <w:rStyle w:val="CommentReference"/>
          <w:b w:val="0"/>
          <w:bCs/>
          <w:iCs/>
          <w:sz w:val="18"/>
          <w:szCs w:val="18"/>
        </w:rPr>
        <w:t xml:space="preserve"> indicates information previously seen by the PBAC. </w:t>
      </w:r>
    </w:p>
    <w:p w14:paraId="176DB660" w14:textId="77777777" w:rsidR="005C25FF" w:rsidRPr="00F92E56" w:rsidRDefault="005C25FF" w:rsidP="004A6040">
      <w:pPr>
        <w:pStyle w:val="2-SectionHeading"/>
      </w:pPr>
      <w:bookmarkStart w:id="3" w:name="_Toc145496526"/>
      <w:r w:rsidRPr="00F92E56">
        <w:t>Background</w:t>
      </w:r>
      <w:bookmarkEnd w:id="3"/>
    </w:p>
    <w:p w14:paraId="66FA47CB" w14:textId="77777777" w:rsidR="005C25FF" w:rsidRPr="00F92E56" w:rsidRDefault="005C25FF" w:rsidP="004A6040">
      <w:pPr>
        <w:pStyle w:val="4-SubsectionHeading"/>
      </w:pPr>
      <w:bookmarkStart w:id="4" w:name="_Toc22897638"/>
      <w:bookmarkStart w:id="5" w:name="_Toc145496527"/>
      <w:r w:rsidRPr="00F92E56">
        <w:t>Registration status</w:t>
      </w:r>
      <w:bookmarkEnd w:id="4"/>
      <w:bookmarkEnd w:id="5"/>
    </w:p>
    <w:p w14:paraId="5195676F" w14:textId="1354184C" w:rsidR="009E7DC3" w:rsidRPr="00F92E56" w:rsidRDefault="009E7DC3" w:rsidP="00236876">
      <w:pPr>
        <w:pStyle w:val="3-BodyText"/>
      </w:pPr>
      <w:r w:rsidRPr="00F92E56">
        <w:t>Nivolumab was registered on the Australian Register of Therapeutic Goods on 18</w:t>
      </w:r>
      <w:r w:rsidR="005B0C72">
        <w:rPr>
          <w:vertAlign w:val="superscript"/>
        </w:rPr>
        <w:t> </w:t>
      </w:r>
      <w:r w:rsidRPr="00F92E56">
        <w:t>July</w:t>
      </w:r>
      <w:r w:rsidR="005B0C72">
        <w:t> </w:t>
      </w:r>
      <w:r w:rsidRPr="00F92E56">
        <w:t>2022 as monotherapy for the adjuvant treatment of patients with MIUC who are at high-risk of recurrence after undergoing radical resection of MIUC.</w:t>
      </w:r>
    </w:p>
    <w:p w14:paraId="0E903C73" w14:textId="7B0AC3A8" w:rsidR="009E7DC3" w:rsidRPr="00F92E56" w:rsidRDefault="009E7DC3" w:rsidP="00236876">
      <w:pPr>
        <w:pStyle w:val="3-BodyText"/>
      </w:pPr>
      <w:r w:rsidRPr="00F92E56">
        <w:lastRenderedPageBreak/>
        <w:t xml:space="preserve">In the </w:t>
      </w:r>
      <w:r w:rsidR="00BE5284" w:rsidRPr="00F92E56">
        <w:t>recently published Australian Public Assessment Report (</w:t>
      </w:r>
      <w:r w:rsidRPr="00F92E56">
        <w:t>AusPAR</w:t>
      </w:r>
      <w:r w:rsidR="00BE5284" w:rsidRPr="00F92E56">
        <w:t>)</w:t>
      </w:r>
      <w:r w:rsidRPr="00F92E56">
        <w:rPr>
          <w:rStyle w:val="FootnoteReference"/>
        </w:rPr>
        <w:footnoteReference w:id="2"/>
      </w:r>
      <w:r w:rsidRPr="00F92E56">
        <w:t>, the Advisory Committee on Medicines (ACM) was of the view that the population eligible for nivolumab should be consistent with the population assessed for efficacy in the clinical study where higher risk was defined as either</w:t>
      </w:r>
      <w:r w:rsidR="00EA0D06" w:rsidRPr="00F92E56">
        <w:t>:</w:t>
      </w:r>
      <w:r w:rsidRPr="00F92E56">
        <w:t xml:space="preserve"> 1) ypT2-ypT4a or ypN+</w:t>
      </w:r>
      <w:r w:rsidR="00EA0D06" w:rsidRPr="00F92E56">
        <w:t>,</w:t>
      </w:r>
      <w:r w:rsidRPr="00F92E56">
        <w:t xml:space="preserve"> for patients who received neoadjuvant cisplatin; or 2) pT3-pT4a or pN+</w:t>
      </w:r>
      <w:r w:rsidR="00EA0D06" w:rsidRPr="00F92E56">
        <w:t xml:space="preserve">, </w:t>
      </w:r>
      <w:r w:rsidRPr="00F92E56">
        <w:t>for patients who did not receive neoadjuvant cisplatin and who also either were ineligible for or refused adjuvant cisplatin</w:t>
      </w:r>
      <w:r w:rsidRPr="00F92E56">
        <w:rPr>
          <w:rStyle w:val="FootnoteReference"/>
        </w:rPr>
        <w:footnoteReference w:id="3"/>
      </w:r>
      <w:r w:rsidRPr="00F92E56">
        <w:rPr>
          <w:vertAlign w:val="superscript"/>
        </w:rPr>
        <w:t>,</w:t>
      </w:r>
      <w:r w:rsidRPr="00F92E56">
        <w:rPr>
          <w:rStyle w:val="FootnoteReference"/>
        </w:rPr>
        <w:footnoteReference w:id="4"/>
      </w:r>
      <w:r w:rsidRPr="00F92E56">
        <w:t>. The ACM advised that it would be appropriate to define high risk by staging criteria in the Product Information (PI)</w:t>
      </w:r>
      <w:r w:rsidR="00BE5284" w:rsidRPr="00F92E56">
        <w:t>.</w:t>
      </w:r>
    </w:p>
    <w:p w14:paraId="761FD3A1" w14:textId="141C126E" w:rsidR="009E7DC3" w:rsidRPr="00F92E56" w:rsidRDefault="009E7DC3" w:rsidP="00236876">
      <w:pPr>
        <w:pStyle w:val="3-BodyText"/>
      </w:pPr>
      <w:r w:rsidRPr="00F92E56">
        <w:t xml:space="preserve">The ACM </w:t>
      </w:r>
      <w:r w:rsidR="00BE5284" w:rsidRPr="00F92E56">
        <w:t>noted</w:t>
      </w:r>
      <w:r w:rsidRPr="00F92E56">
        <w:t xml:space="preserve"> that </w:t>
      </w:r>
      <w:r w:rsidR="009A62A2" w:rsidRPr="00F92E56">
        <w:t>regarding</w:t>
      </w:r>
      <w:r w:rsidRPr="00F92E56">
        <w:t xml:space="preserve"> adjuvant treatment, </w:t>
      </w:r>
      <w:r w:rsidR="00EA0D06" w:rsidRPr="00F92E56">
        <w:t>overall survival (</w:t>
      </w:r>
      <w:r w:rsidRPr="00F92E56">
        <w:t>OS</w:t>
      </w:r>
      <w:r w:rsidR="00EA0D06" w:rsidRPr="00F92E56">
        <w:t>)</w:t>
      </w:r>
      <w:r w:rsidRPr="00F92E56">
        <w:t xml:space="preserve"> data are critical, as within this setting the clinician’s aim is often to increase OS. </w:t>
      </w:r>
      <w:r w:rsidR="00BE5284" w:rsidRPr="00F92E56">
        <w:t>T</w:t>
      </w:r>
      <w:r w:rsidRPr="00F92E56">
        <w:t xml:space="preserve">he ACM was supportive of the mature </w:t>
      </w:r>
      <w:r w:rsidR="00BE5284" w:rsidRPr="00F92E56">
        <w:t>OS</w:t>
      </w:r>
      <w:r w:rsidRPr="00F92E56">
        <w:t xml:space="preserve"> data being provided to the TGA once available and agreed with having this as a condition of registration. The ACM reiterated that while disease-free survival (DFS) is a relevant outcome, oncologists often refer to OS data and long-term toxicity when determining benefit</w:t>
      </w:r>
      <w:r w:rsidR="009A62A2" w:rsidRPr="00F92E56">
        <w:t>-</w:t>
      </w:r>
      <w:r w:rsidRPr="00F92E56">
        <w:t>risk profiles</w:t>
      </w:r>
      <w:r w:rsidR="00BE5284" w:rsidRPr="00F92E56">
        <w:t xml:space="preserve"> (A</w:t>
      </w:r>
      <w:r w:rsidR="008B1360" w:rsidRPr="00F92E56">
        <w:t>us</w:t>
      </w:r>
      <w:r w:rsidR="00BE5284" w:rsidRPr="00F92E56">
        <w:t>PAR</w:t>
      </w:r>
      <w:r w:rsidR="009A62A2" w:rsidRPr="00F92E56">
        <w:t>)</w:t>
      </w:r>
      <w:r w:rsidRPr="00F92E56">
        <w:t>.</w:t>
      </w:r>
    </w:p>
    <w:p w14:paraId="0F732E60" w14:textId="77777777" w:rsidR="009E7DC3" w:rsidRPr="00F92E56" w:rsidRDefault="009E7DC3" w:rsidP="00236876">
      <w:pPr>
        <w:pStyle w:val="3-BodyText"/>
      </w:pPr>
      <w:r w:rsidRPr="00F92E56">
        <w:t>The ACM noted that there is not yet strong data in support of the use of nivolumab within upper urothelial tract cancers (renal pelvis and ureter) and agreed that this should be noted within the PI. Overall, noting that much of the submitted data were early data, the ACM was of the view that the indication should remain as proposed and additional details be included within the PI at this time.</w:t>
      </w:r>
    </w:p>
    <w:p w14:paraId="1C1EEE00" w14:textId="19CB30E6" w:rsidR="009E7DC3" w:rsidRPr="00F92E56" w:rsidRDefault="009E7DC3" w:rsidP="00236876">
      <w:pPr>
        <w:pStyle w:val="3-BodyText"/>
      </w:pPr>
      <w:r w:rsidRPr="00F92E56">
        <w:t xml:space="preserve">The ACM advised that while it appears there is greater benefit with higher </w:t>
      </w:r>
      <w:r w:rsidR="00A15693" w:rsidRPr="00F92E56">
        <w:t>programmed cell death ligand 1 (</w:t>
      </w:r>
      <w:r w:rsidRPr="00F92E56">
        <w:t>PD-L1</w:t>
      </w:r>
      <w:r w:rsidR="00A15693" w:rsidRPr="00F92E56">
        <w:t>)</w:t>
      </w:r>
      <w:r w:rsidRPr="00F92E56">
        <w:t xml:space="preserve"> expression, there is also evidence in the data to date of a broader benefit regardless of PD-L1 expression.</w:t>
      </w:r>
    </w:p>
    <w:p w14:paraId="5E18B7CA" w14:textId="2A82F149" w:rsidR="00BE5284" w:rsidRPr="00F92E56" w:rsidRDefault="008854EF" w:rsidP="00236876">
      <w:pPr>
        <w:pStyle w:val="3-BodyText"/>
      </w:pPr>
      <w:r w:rsidRPr="00F92E56">
        <w:fldChar w:fldCharType="begin" w:fldLock="1"/>
      </w:r>
      <w:r w:rsidRPr="00F92E56">
        <w:rPr>
          <w:i/>
        </w:rPr>
        <w:instrText xml:space="preserve"> REF _Ref141433564 \h </w:instrText>
      </w:r>
      <w:r w:rsidRPr="00F92E56">
        <w:fldChar w:fldCharType="separate"/>
      </w:r>
      <w:r w:rsidR="0096718A" w:rsidRPr="00F92E56">
        <w:t xml:space="preserve">Table </w:t>
      </w:r>
      <w:r w:rsidR="0096718A" w:rsidRPr="00346867">
        <w:t>2</w:t>
      </w:r>
      <w:r w:rsidRPr="00F92E56">
        <w:fldChar w:fldCharType="end"/>
      </w:r>
      <w:r w:rsidRPr="00F92E56">
        <w:t xml:space="preserve"> summarises the regulatory status of nivolumab overseas for high risk MIUC.</w:t>
      </w:r>
    </w:p>
    <w:p w14:paraId="754F9BA4" w14:textId="4707429D" w:rsidR="00BE5284" w:rsidRPr="00F92E56" w:rsidRDefault="00BE5284" w:rsidP="00BE5284">
      <w:pPr>
        <w:pStyle w:val="Caption"/>
      </w:pPr>
      <w:bookmarkStart w:id="6" w:name="_Ref141433564"/>
      <w:r w:rsidRPr="00F92E56">
        <w:lastRenderedPageBreak/>
        <w:t xml:space="preserve">Table </w:t>
      </w:r>
      <w:r w:rsidR="001D78FA">
        <w:fldChar w:fldCharType="begin" w:fldLock="1"/>
      </w:r>
      <w:r w:rsidR="001D78FA">
        <w:instrText xml:space="preserve"> SEQ Table \* ARABIC </w:instrText>
      </w:r>
      <w:r w:rsidR="001D78FA">
        <w:fldChar w:fldCharType="separate"/>
      </w:r>
      <w:r w:rsidR="0096718A" w:rsidRPr="00346867">
        <w:t>2</w:t>
      </w:r>
      <w:r w:rsidR="001D78FA">
        <w:fldChar w:fldCharType="end"/>
      </w:r>
      <w:bookmarkEnd w:id="6"/>
      <w:r w:rsidRPr="00F92E56">
        <w:t>: Summary of overseas regulatory approval status for nivolumab as an adjuvant treatment of high risk MIUC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063"/>
        <w:gridCol w:w="1895"/>
        <w:gridCol w:w="1895"/>
        <w:gridCol w:w="1892"/>
      </w:tblGrid>
      <w:tr w:rsidR="00BE5284" w:rsidRPr="00F92E56" w14:paraId="02AF821F" w14:textId="77777777" w:rsidTr="00A15693">
        <w:trPr>
          <w:cantSplit/>
          <w:trHeight w:val="178"/>
        </w:trPr>
        <w:tc>
          <w:tcPr>
            <w:tcW w:w="705" w:type="pct"/>
            <w:shd w:val="clear" w:color="auto" w:fill="auto"/>
          </w:tcPr>
          <w:p w14:paraId="0A12EBED" w14:textId="77777777" w:rsidR="00BE5284" w:rsidRPr="00F92E56" w:rsidRDefault="00BE5284" w:rsidP="002A7ACB">
            <w:pPr>
              <w:pStyle w:val="Tabletext"/>
              <w:keepNext/>
            </w:pPr>
          </w:p>
        </w:tc>
        <w:tc>
          <w:tcPr>
            <w:tcW w:w="1144" w:type="pct"/>
            <w:shd w:val="clear" w:color="auto" w:fill="auto"/>
          </w:tcPr>
          <w:p w14:paraId="12F194A1" w14:textId="77777777" w:rsidR="00BE5284" w:rsidRPr="00F92E56" w:rsidRDefault="00BE5284" w:rsidP="002A7ACB">
            <w:pPr>
              <w:pStyle w:val="Tabletext"/>
              <w:keepNext/>
              <w:rPr>
                <w:b/>
              </w:rPr>
            </w:pPr>
            <w:r w:rsidRPr="00F92E56">
              <w:rPr>
                <w:b/>
              </w:rPr>
              <w:t>USA</w:t>
            </w:r>
          </w:p>
        </w:tc>
        <w:tc>
          <w:tcPr>
            <w:tcW w:w="1051" w:type="pct"/>
            <w:shd w:val="clear" w:color="auto" w:fill="auto"/>
          </w:tcPr>
          <w:p w14:paraId="58DF9A6F" w14:textId="77777777" w:rsidR="00BE5284" w:rsidRPr="00F92E56" w:rsidRDefault="00BE5284" w:rsidP="002A7ACB">
            <w:pPr>
              <w:pStyle w:val="Tabletext"/>
              <w:keepNext/>
              <w:rPr>
                <w:b/>
              </w:rPr>
            </w:pPr>
            <w:r w:rsidRPr="00F92E56">
              <w:rPr>
                <w:b/>
              </w:rPr>
              <w:t>European Union</w:t>
            </w:r>
          </w:p>
        </w:tc>
        <w:tc>
          <w:tcPr>
            <w:tcW w:w="1051" w:type="pct"/>
            <w:shd w:val="clear" w:color="auto" w:fill="auto"/>
          </w:tcPr>
          <w:p w14:paraId="15348C23" w14:textId="77777777" w:rsidR="00BE5284" w:rsidRPr="00F92E56" w:rsidRDefault="00BE5284" w:rsidP="002A7ACB">
            <w:pPr>
              <w:pStyle w:val="Tabletext"/>
              <w:keepNext/>
              <w:rPr>
                <w:b/>
              </w:rPr>
            </w:pPr>
            <w:r w:rsidRPr="00F92E56">
              <w:rPr>
                <w:b/>
              </w:rPr>
              <w:t>Canada</w:t>
            </w:r>
          </w:p>
        </w:tc>
        <w:tc>
          <w:tcPr>
            <w:tcW w:w="1049" w:type="pct"/>
            <w:shd w:val="clear" w:color="auto" w:fill="auto"/>
          </w:tcPr>
          <w:p w14:paraId="1BF0DF34" w14:textId="77777777" w:rsidR="00BE5284" w:rsidRPr="00F92E56" w:rsidRDefault="00BE5284" w:rsidP="002A7ACB">
            <w:pPr>
              <w:pStyle w:val="Tabletext"/>
              <w:keepNext/>
              <w:rPr>
                <w:b/>
              </w:rPr>
            </w:pPr>
            <w:r w:rsidRPr="00F92E56">
              <w:rPr>
                <w:b/>
              </w:rPr>
              <w:t>Switzerland</w:t>
            </w:r>
          </w:p>
        </w:tc>
      </w:tr>
      <w:tr w:rsidR="00BE5284" w:rsidRPr="00F92E56" w14:paraId="693CBA38" w14:textId="77777777" w:rsidTr="002A7ACB">
        <w:trPr>
          <w:cantSplit/>
          <w:trHeight w:val="1513"/>
        </w:trPr>
        <w:tc>
          <w:tcPr>
            <w:tcW w:w="705" w:type="pct"/>
          </w:tcPr>
          <w:p w14:paraId="221F8387" w14:textId="0FFB411D" w:rsidR="00BE5284" w:rsidRPr="00F92E56" w:rsidRDefault="00BE5284" w:rsidP="002A7ACB">
            <w:pPr>
              <w:pStyle w:val="Tabletext"/>
              <w:keepNext/>
            </w:pPr>
            <w:r w:rsidRPr="00F92E56">
              <w:t>Indication</w:t>
            </w:r>
          </w:p>
        </w:tc>
        <w:tc>
          <w:tcPr>
            <w:tcW w:w="1144" w:type="pct"/>
          </w:tcPr>
          <w:p w14:paraId="2E05A897" w14:textId="77777777" w:rsidR="00BE5284" w:rsidRPr="00F92E56" w:rsidRDefault="00BE5284" w:rsidP="002A7ACB">
            <w:pPr>
              <w:pStyle w:val="Tabletext"/>
              <w:keepNext/>
              <w:rPr>
                <w:highlight w:val="yellow"/>
              </w:rPr>
            </w:pPr>
            <w:r w:rsidRPr="00F92E56">
              <w:t>Adjuvant treatment of patients with urothelial carcinoma who are at high risk of recurrence after undergoing radical resection</w:t>
            </w:r>
          </w:p>
        </w:tc>
        <w:tc>
          <w:tcPr>
            <w:tcW w:w="1051" w:type="pct"/>
          </w:tcPr>
          <w:p w14:paraId="2A216B78" w14:textId="77777777" w:rsidR="00BE5284" w:rsidRPr="00F92E56" w:rsidRDefault="00BE5284" w:rsidP="002A7ACB">
            <w:pPr>
              <w:pStyle w:val="Tabletext"/>
              <w:keepNext/>
              <w:rPr>
                <w:highlight w:val="yellow"/>
              </w:rPr>
            </w:pPr>
            <w:r w:rsidRPr="00F92E56">
              <w:t>As monotherapy for the adjuvant treatment of adults with MIUC with tumour cell PD-L1 expression ≥ 1%, who are at high risk of recurrence after undergoing radical resection of MIUC.</w:t>
            </w:r>
          </w:p>
        </w:tc>
        <w:tc>
          <w:tcPr>
            <w:tcW w:w="1051" w:type="pct"/>
          </w:tcPr>
          <w:p w14:paraId="5F24A06D" w14:textId="77777777" w:rsidR="00BE5284" w:rsidRPr="00F92E56" w:rsidRDefault="00BE5284" w:rsidP="002A7ACB">
            <w:pPr>
              <w:pStyle w:val="Tabletext"/>
              <w:keepNext/>
              <w:rPr>
                <w:highlight w:val="yellow"/>
              </w:rPr>
            </w:pPr>
            <w:r w:rsidRPr="00F92E56">
              <w:t>As monotherapy for the adjuvant treatment of patients with MIUC who are at high risk of recurrence after undergoing radical resection of MIUC.</w:t>
            </w:r>
          </w:p>
        </w:tc>
        <w:tc>
          <w:tcPr>
            <w:tcW w:w="1049" w:type="pct"/>
          </w:tcPr>
          <w:p w14:paraId="1B2B5A87" w14:textId="15023674" w:rsidR="00BE5284" w:rsidRPr="00F92E56" w:rsidRDefault="00A15693" w:rsidP="002A7ACB">
            <w:pPr>
              <w:pStyle w:val="Tabletext"/>
              <w:keepNext/>
              <w:rPr>
                <w:highlight w:val="yellow"/>
              </w:rPr>
            </w:pPr>
            <w:r w:rsidRPr="00F92E56">
              <w:t xml:space="preserve">As adjuvant treatment of adult patients with MIUC </w:t>
            </w:r>
            <w:r w:rsidR="008854EF" w:rsidRPr="00F92E56">
              <w:t>with PD-L1 expression ≥1%, who are at high-risk of recurrence based on pathologic evidence after undergoing complete (R0) radical resection of MIUC and who received neo-adjuvant cisplatin chemotherapy or have not received neo-adjuvant cisplatin chemotherapy and are not eligible for or refused adjuvant cisplatin chemotherapy</w:t>
            </w:r>
            <w:r w:rsidR="00BE5284" w:rsidRPr="00F92E56">
              <w:t>.</w:t>
            </w:r>
          </w:p>
        </w:tc>
      </w:tr>
      <w:tr w:rsidR="00BE5284" w:rsidRPr="00F92E56" w14:paraId="7F113A36" w14:textId="77777777" w:rsidTr="002A7ACB">
        <w:trPr>
          <w:cantSplit/>
          <w:trHeight w:val="311"/>
        </w:trPr>
        <w:tc>
          <w:tcPr>
            <w:tcW w:w="705" w:type="pct"/>
          </w:tcPr>
          <w:p w14:paraId="59C0D3A1" w14:textId="43A5A5F7" w:rsidR="00BE5284" w:rsidRPr="00F92E56" w:rsidRDefault="002A7ACB" w:rsidP="002A7ACB">
            <w:pPr>
              <w:pStyle w:val="Tabletext"/>
              <w:keepNext/>
            </w:pPr>
            <w:r w:rsidRPr="00F92E56">
              <w:t>A</w:t>
            </w:r>
            <w:r w:rsidR="00BE5284" w:rsidRPr="00F92E56">
              <w:t>pproval date</w:t>
            </w:r>
          </w:p>
        </w:tc>
        <w:tc>
          <w:tcPr>
            <w:tcW w:w="1144" w:type="pct"/>
          </w:tcPr>
          <w:p w14:paraId="5583A6CC" w14:textId="5266DA83" w:rsidR="00BE5284" w:rsidRPr="00F92E56" w:rsidRDefault="008854EF" w:rsidP="002A7ACB">
            <w:pPr>
              <w:pStyle w:val="Tabletext"/>
              <w:keepNext/>
              <w:rPr>
                <w:highlight w:val="yellow"/>
              </w:rPr>
            </w:pPr>
            <w:r w:rsidRPr="00F92E56">
              <w:t>19 August 2021</w:t>
            </w:r>
          </w:p>
        </w:tc>
        <w:tc>
          <w:tcPr>
            <w:tcW w:w="1051" w:type="pct"/>
          </w:tcPr>
          <w:p w14:paraId="36A2BBBF" w14:textId="6BD348E4" w:rsidR="00BE5284" w:rsidRPr="00F92E56" w:rsidRDefault="008854EF" w:rsidP="002A7ACB">
            <w:pPr>
              <w:pStyle w:val="Tabletext"/>
              <w:keepNext/>
              <w:rPr>
                <w:highlight w:val="yellow"/>
              </w:rPr>
            </w:pPr>
            <w:r w:rsidRPr="00F92E56">
              <w:t>1 April 2022</w:t>
            </w:r>
          </w:p>
        </w:tc>
        <w:tc>
          <w:tcPr>
            <w:tcW w:w="1051" w:type="pct"/>
          </w:tcPr>
          <w:p w14:paraId="1C096DD9" w14:textId="0A711F68" w:rsidR="00BE5284" w:rsidRPr="00F92E56" w:rsidRDefault="008854EF" w:rsidP="002A7ACB">
            <w:pPr>
              <w:pStyle w:val="Tabletext"/>
              <w:keepNext/>
              <w:rPr>
                <w:highlight w:val="yellow"/>
              </w:rPr>
            </w:pPr>
            <w:r w:rsidRPr="00F92E56">
              <w:t>27 June 2022</w:t>
            </w:r>
          </w:p>
        </w:tc>
        <w:tc>
          <w:tcPr>
            <w:tcW w:w="1049" w:type="pct"/>
          </w:tcPr>
          <w:p w14:paraId="30C7E10B" w14:textId="3AE2419F" w:rsidR="00BE5284" w:rsidRPr="00F92E56" w:rsidRDefault="008854EF" w:rsidP="002A7ACB">
            <w:pPr>
              <w:pStyle w:val="Tabletext"/>
              <w:keepNext/>
              <w:rPr>
                <w:highlight w:val="yellow"/>
              </w:rPr>
            </w:pPr>
            <w:r w:rsidRPr="00F92E56">
              <w:t>28 February 2022</w:t>
            </w:r>
          </w:p>
        </w:tc>
      </w:tr>
    </w:tbl>
    <w:p w14:paraId="52F313F1" w14:textId="193008B5" w:rsidR="00BE5284" w:rsidRPr="00F92E56" w:rsidRDefault="00BE5284" w:rsidP="00BE5284">
      <w:pPr>
        <w:pStyle w:val="TableFooter"/>
      </w:pPr>
      <w:r w:rsidRPr="00F92E56">
        <w:t xml:space="preserve">Source: Table </w:t>
      </w:r>
      <w:r w:rsidR="008854EF" w:rsidRPr="00F92E56">
        <w:t>3</w:t>
      </w:r>
      <w:r w:rsidRPr="00F92E56">
        <w:t>, p</w:t>
      </w:r>
      <w:r w:rsidR="008854EF" w:rsidRPr="00F92E56">
        <w:t xml:space="preserve">p20-21 </w:t>
      </w:r>
      <w:r w:rsidRPr="00F92E56">
        <w:t xml:space="preserve">of the </w:t>
      </w:r>
      <w:r w:rsidR="008854EF" w:rsidRPr="00F92E56">
        <w:t>re</w:t>
      </w:r>
      <w:r w:rsidRPr="00F92E56">
        <w:t>submission.</w:t>
      </w:r>
    </w:p>
    <w:p w14:paraId="699D4173" w14:textId="7A567805" w:rsidR="009E7DC3" w:rsidRPr="00F92E56" w:rsidRDefault="00BE5284" w:rsidP="00BE5284">
      <w:pPr>
        <w:pStyle w:val="TableFooter"/>
        <w:rPr>
          <w:iCs/>
        </w:rPr>
      </w:pPr>
      <w:r w:rsidRPr="00F92E56">
        <w:t xml:space="preserve">EMA = European Medicines Agency; MIUC = muscle invasive urothelial carcinoma; </w:t>
      </w:r>
      <w:r w:rsidR="008854EF" w:rsidRPr="00F92E56">
        <w:t xml:space="preserve">PD-L1 = programmed cell death </w:t>
      </w:r>
      <w:r w:rsidR="00F8339F" w:rsidRPr="00F92E56">
        <w:t>l</w:t>
      </w:r>
      <w:r w:rsidR="008854EF" w:rsidRPr="00F92E56">
        <w:t xml:space="preserve">igand 1; </w:t>
      </w:r>
      <w:r w:rsidRPr="00F92E56">
        <w:t>USA</w:t>
      </w:r>
      <w:r w:rsidR="008854EF" w:rsidRPr="00F92E56">
        <w:t xml:space="preserve"> = U</w:t>
      </w:r>
      <w:r w:rsidRPr="00F92E56">
        <w:t>nited States of America</w:t>
      </w:r>
    </w:p>
    <w:p w14:paraId="06D05D7D" w14:textId="77777777" w:rsidR="005C25FF" w:rsidRPr="00F92E56" w:rsidRDefault="005C25FF" w:rsidP="004E18E9">
      <w:pPr>
        <w:pStyle w:val="4-SubsectionHeading"/>
      </w:pPr>
      <w:bookmarkStart w:id="7" w:name="_Toc22897639"/>
      <w:bookmarkStart w:id="8" w:name="_Toc145496528"/>
      <w:r w:rsidRPr="00F92E56">
        <w:t>Previous PBAC consideration</w:t>
      </w:r>
      <w:bookmarkEnd w:id="7"/>
      <w:bookmarkEnd w:id="8"/>
    </w:p>
    <w:p w14:paraId="0A3FE352" w14:textId="59255713" w:rsidR="005C25FF" w:rsidRPr="00F92E56" w:rsidRDefault="001B3003" w:rsidP="00236876">
      <w:pPr>
        <w:pStyle w:val="3-BodyText"/>
      </w:pPr>
      <w:r w:rsidRPr="00F92E56">
        <w:rPr>
          <w:snapToGrid/>
        </w:rPr>
        <w:fldChar w:fldCharType="begin" w:fldLock="1"/>
      </w:r>
      <w:r w:rsidRPr="00F92E56">
        <w:rPr>
          <w:snapToGrid/>
        </w:rPr>
        <w:instrText xml:space="preserve"> REF _Ref141433737 \h  \* MERGEFORMAT </w:instrText>
      </w:r>
      <w:r w:rsidRPr="00F92E56">
        <w:rPr>
          <w:snapToGrid/>
        </w:rPr>
      </w:r>
      <w:r w:rsidRPr="00F92E56">
        <w:rPr>
          <w:snapToGrid/>
        </w:rPr>
        <w:fldChar w:fldCharType="separate"/>
      </w:r>
      <w:r w:rsidR="0096718A" w:rsidRPr="00F92E56">
        <w:t xml:space="preserve">Table </w:t>
      </w:r>
      <w:r w:rsidR="0096718A" w:rsidRPr="00346867">
        <w:t>3</w:t>
      </w:r>
      <w:r w:rsidRPr="00F92E56">
        <w:rPr>
          <w:snapToGrid/>
        </w:rPr>
        <w:fldChar w:fldCharType="end"/>
      </w:r>
      <w:r w:rsidRPr="00F92E56">
        <w:rPr>
          <w:snapToGrid/>
        </w:rPr>
        <w:t xml:space="preserve"> </w:t>
      </w:r>
      <w:r w:rsidR="005C25FF" w:rsidRPr="00F92E56">
        <w:rPr>
          <w:snapToGrid/>
        </w:rPr>
        <w:t xml:space="preserve">summarises the key matters </w:t>
      </w:r>
      <w:r w:rsidR="00965C11" w:rsidRPr="00F92E56">
        <w:rPr>
          <w:snapToGrid/>
        </w:rPr>
        <w:t xml:space="preserve">of concern </w:t>
      </w:r>
      <w:r w:rsidR="005C25FF" w:rsidRPr="00F92E56">
        <w:rPr>
          <w:snapToGrid/>
        </w:rPr>
        <w:t xml:space="preserve">from the previous PBAC consideration and how the resubmission addressed those concerns. </w:t>
      </w:r>
    </w:p>
    <w:p w14:paraId="500076BD" w14:textId="056DF38C" w:rsidR="005C25FF" w:rsidRPr="00F92E56" w:rsidRDefault="00696EF9" w:rsidP="002E4F02">
      <w:pPr>
        <w:pStyle w:val="TableFigureHeading"/>
        <w:rPr>
          <w:rStyle w:val="CommentReference"/>
          <w:b/>
          <w:szCs w:val="24"/>
        </w:rPr>
      </w:pPr>
      <w:bookmarkStart w:id="9" w:name="_Ref141433737"/>
      <w:r w:rsidRPr="00F92E56">
        <w:t xml:space="preserve">Table </w:t>
      </w:r>
      <w:r w:rsidR="001D78FA">
        <w:fldChar w:fldCharType="begin" w:fldLock="1"/>
      </w:r>
      <w:r w:rsidR="001D78FA">
        <w:instrText xml:space="preserve"> SEQ Table \* ARABIC </w:instrText>
      </w:r>
      <w:r w:rsidR="001D78FA">
        <w:fldChar w:fldCharType="separate"/>
      </w:r>
      <w:r w:rsidR="0096718A" w:rsidRPr="00346867">
        <w:t>3</w:t>
      </w:r>
      <w:r w:rsidR="001D78FA">
        <w:fldChar w:fldCharType="end"/>
      </w:r>
      <w:bookmarkEnd w:id="9"/>
      <w:r w:rsidRPr="00F92E56">
        <w:t>:</w:t>
      </w:r>
      <w:r w:rsidR="005C25FF" w:rsidRPr="00F92E56">
        <w:rPr>
          <w:rStyle w:val="CommentReference"/>
          <w:b/>
          <w:szCs w:val="24"/>
        </w:rPr>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4311"/>
        <w:gridCol w:w="2784"/>
      </w:tblGrid>
      <w:tr w:rsidR="007E1B97" w:rsidRPr="00F92E56" w14:paraId="04B65965" w14:textId="77777777" w:rsidTr="00724199">
        <w:trPr>
          <w:cantSplit/>
          <w:tblHeader/>
        </w:trPr>
        <w:tc>
          <w:tcPr>
            <w:tcW w:w="1065" w:type="pct"/>
            <w:vAlign w:val="center"/>
          </w:tcPr>
          <w:p w14:paraId="3CD8021C" w14:textId="77777777" w:rsidR="005C25FF" w:rsidRPr="00346867" w:rsidRDefault="005C25FF" w:rsidP="00A15693">
            <w:pPr>
              <w:pStyle w:val="In-tableHeading"/>
              <w:keepNext w:val="0"/>
              <w:rPr>
                <w:lang w:val="en-AU"/>
              </w:rPr>
            </w:pPr>
            <w:r w:rsidRPr="00346867">
              <w:rPr>
                <w:lang w:val="en-AU"/>
              </w:rPr>
              <w:t>Component</w:t>
            </w:r>
          </w:p>
        </w:tc>
        <w:tc>
          <w:tcPr>
            <w:tcW w:w="2390" w:type="pct"/>
            <w:vAlign w:val="center"/>
          </w:tcPr>
          <w:p w14:paraId="7304397C" w14:textId="5826DF4F" w:rsidR="005C25FF" w:rsidRPr="00346867" w:rsidRDefault="005C25FF" w:rsidP="00A15693">
            <w:pPr>
              <w:pStyle w:val="In-tableHeading"/>
              <w:keepNext w:val="0"/>
              <w:rPr>
                <w:lang w:val="en-AU"/>
              </w:rPr>
            </w:pPr>
            <w:r w:rsidRPr="00346867">
              <w:rPr>
                <w:lang w:val="en-AU"/>
              </w:rPr>
              <w:t>Matter of concern</w:t>
            </w:r>
            <w:r w:rsidR="007E1B97" w:rsidRPr="00346867">
              <w:rPr>
                <w:lang w:val="en-AU"/>
              </w:rPr>
              <w:t xml:space="preserve"> in previous submission</w:t>
            </w:r>
          </w:p>
          <w:p w14:paraId="45D5B0A8" w14:textId="1C63A03E" w:rsidR="007E1B97" w:rsidRPr="00346867" w:rsidRDefault="007E1B97" w:rsidP="00A15693">
            <w:pPr>
              <w:pStyle w:val="In-tableHeading"/>
              <w:keepNext w:val="0"/>
              <w:rPr>
                <w:lang w:val="en-AU"/>
              </w:rPr>
            </w:pPr>
            <w:r w:rsidRPr="00346867">
              <w:rPr>
                <w:lang w:val="en-AU"/>
              </w:rPr>
              <w:t>(</w:t>
            </w:r>
            <w:r w:rsidR="00A52E6B" w:rsidRPr="00346867">
              <w:rPr>
                <w:lang w:val="en-AU"/>
              </w:rPr>
              <w:t xml:space="preserve">Nivolumab PSD, </w:t>
            </w:r>
            <w:r w:rsidRPr="00346867">
              <w:rPr>
                <w:lang w:val="en-AU"/>
              </w:rPr>
              <w:t xml:space="preserve">July 2022 </w:t>
            </w:r>
            <w:r w:rsidR="00A52E6B" w:rsidRPr="00346867">
              <w:rPr>
                <w:lang w:val="en-AU"/>
              </w:rPr>
              <w:t>PBAC meeting</w:t>
            </w:r>
            <w:r w:rsidRPr="00346867">
              <w:rPr>
                <w:lang w:val="en-AU"/>
              </w:rPr>
              <w:t>)</w:t>
            </w:r>
          </w:p>
        </w:tc>
        <w:tc>
          <w:tcPr>
            <w:tcW w:w="1544" w:type="pct"/>
            <w:vAlign w:val="center"/>
          </w:tcPr>
          <w:p w14:paraId="31E6F79F" w14:textId="77777777" w:rsidR="005C25FF" w:rsidRPr="00346867" w:rsidRDefault="005C25FF" w:rsidP="00A15693">
            <w:pPr>
              <w:pStyle w:val="In-tableHeading"/>
              <w:keepNext w:val="0"/>
              <w:rPr>
                <w:lang w:val="en-AU"/>
              </w:rPr>
            </w:pPr>
            <w:r w:rsidRPr="00346867">
              <w:rPr>
                <w:lang w:val="en-AU"/>
              </w:rPr>
              <w:t>How the resubmission addresses it</w:t>
            </w:r>
          </w:p>
        </w:tc>
      </w:tr>
      <w:tr w:rsidR="00965C11" w:rsidRPr="00F92E56" w14:paraId="1669B325" w14:textId="77777777" w:rsidTr="00724199">
        <w:trPr>
          <w:cantSplit/>
        </w:trPr>
        <w:tc>
          <w:tcPr>
            <w:tcW w:w="1065" w:type="pct"/>
            <w:vMerge w:val="restart"/>
            <w:vAlign w:val="center"/>
          </w:tcPr>
          <w:p w14:paraId="78C30897" w14:textId="0E6A13AB" w:rsidR="00965C11" w:rsidRPr="00F92E56" w:rsidRDefault="00965C11" w:rsidP="00A15693">
            <w:pPr>
              <w:pStyle w:val="TableText0"/>
              <w:keepNext w:val="0"/>
            </w:pPr>
            <w:r w:rsidRPr="00F92E56">
              <w:t>Target population and clinical effectiveness</w:t>
            </w:r>
          </w:p>
        </w:tc>
        <w:tc>
          <w:tcPr>
            <w:tcW w:w="2390" w:type="pct"/>
          </w:tcPr>
          <w:p w14:paraId="6D2D8E13" w14:textId="710F9791" w:rsidR="00965C11" w:rsidRPr="00F92E56" w:rsidRDefault="00965C11" w:rsidP="00A15693">
            <w:pPr>
              <w:pStyle w:val="TableText0"/>
              <w:keepNext w:val="0"/>
              <w:rPr>
                <w:rFonts w:eastAsia="Times New Roman" w:cs="Arial"/>
                <w:bCs w:val="0"/>
                <w:snapToGrid w:val="0"/>
                <w:szCs w:val="20"/>
              </w:rPr>
            </w:pPr>
            <w:r w:rsidRPr="00F92E56">
              <w:rPr>
                <w:rFonts w:eastAsia="Times New Roman" w:cs="Arial"/>
                <w:bCs w:val="0"/>
                <w:snapToGrid w:val="0"/>
                <w:szCs w:val="20"/>
              </w:rPr>
              <w:t xml:space="preserve">The PBAC noted the impact of nivolumab as adjuvant treatment on overall survival (OS) was unknown (para 7.1) and that a resubmission should </w:t>
            </w:r>
            <w:r w:rsidRPr="00346867">
              <w:rPr>
                <w:rFonts w:eastAsia="Times New Roman" w:cs="Arial"/>
                <w:bCs w:val="0"/>
                <w:snapToGrid w:val="0"/>
                <w:szCs w:val="20"/>
              </w:rPr>
              <w:t xml:space="preserve">provide updated OS data from the </w:t>
            </w:r>
            <w:r w:rsidRPr="00F92E56">
              <w:rPr>
                <w:rFonts w:eastAsia="Times New Roman" w:cs="Arial"/>
                <w:bCs w:val="0"/>
                <w:snapToGrid w:val="0"/>
                <w:szCs w:val="20"/>
              </w:rPr>
              <w:t>CM274 clinical trial</w:t>
            </w:r>
            <w:r w:rsidR="00A15693" w:rsidRPr="00F92E56">
              <w:rPr>
                <w:rFonts w:eastAsia="Times New Roman" w:cs="Arial"/>
                <w:bCs w:val="0"/>
                <w:snapToGrid w:val="0"/>
                <w:szCs w:val="20"/>
              </w:rPr>
              <w:t xml:space="preserve"> (para 7.11)</w:t>
            </w:r>
            <w:r w:rsidRPr="00F92E56">
              <w:rPr>
                <w:rFonts w:eastAsia="Times New Roman" w:cs="Arial"/>
                <w:bCs w:val="0"/>
                <w:snapToGrid w:val="0"/>
                <w:szCs w:val="20"/>
              </w:rPr>
              <w:t xml:space="preserve">. </w:t>
            </w:r>
          </w:p>
        </w:tc>
        <w:tc>
          <w:tcPr>
            <w:tcW w:w="1544" w:type="pct"/>
          </w:tcPr>
          <w:p w14:paraId="07B06D9C" w14:textId="7C9CB45F" w:rsidR="00965C11" w:rsidRPr="00F92E56" w:rsidRDefault="00965C11" w:rsidP="00A15693">
            <w:pPr>
              <w:pStyle w:val="TableText0"/>
              <w:keepNext w:val="0"/>
              <w:rPr>
                <w:rFonts w:eastAsia="Times New Roman" w:cs="Arial"/>
                <w:bCs w:val="0"/>
                <w:snapToGrid w:val="0"/>
                <w:szCs w:val="20"/>
              </w:rPr>
            </w:pPr>
            <w:r w:rsidRPr="00F92E56">
              <w:rPr>
                <w:rFonts w:eastAsia="Times New Roman" w:cs="Arial"/>
                <w:bCs w:val="0"/>
                <w:snapToGrid w:val="0"/>
                <w:szCs w:val="20"/>
              </w:rPr>
              <w:t>Not addressed. The resubmission noted that OS data remain immature at the September 2022 data cutoff and therefore did not present any OS results.</w:t>
            </w:r>
            <w:r w:rsidR="000C6E15" w:rsidRPr="00F92E56">
              <w:rPr>
                <w:rFonts w:eastAsia="Times New Roman" w:cs="Arial"/>
                <w:bCs w:val="0"/>
                <w:snapToGrid w:val="0"/>
                <w:szCs w:val="20"/>
              </w:rPr>
              <w:t xml:space="preserve"> </w:t>
            </w:r>
          </w:p>
        </w:tc>
      </w:tr>
      <w:tr w:rsidR="00965C11" w:rsidRPr="00F92E56" w14:paraId="43C0BF35" w14:textId="77777777" w:rsidTr="00724199">
        <w:trPr>
          <w:cantSplit/>
        </w:trPr>
        <w:tc>
          <w:tcPr>
            <w:tcW w:w="1065" w:type="pct"/>
            <w:vMerge/>
            <w:vAlign w:val="center"/>
          </w:tcPr>
          <w:p w14:paraId="43E4B38B" w14:textId="77777777" w:rsidR="00965C11" w:rsidRPr="00F92E56" w:rsidRDefault="00965C11" w:rsidP="00A15693">
            <w:pPr>
              <w:pStyle w:val="TableText0"/>
              <w:keepNext w:val="0"/>
            </w:pPr>
          </w:p>
        </w:tc>
        <w:tc>
          <w:tcPr>
            <w:tcW w:w="2390" w:type="pct"/>
          </w:tcPr>
          <w:p w14:paraId="37C8AD3E" w14:textId="2DC3C61D" w:rsidR="00965C11" w:rsidRPr="00F92E56" w:rsidRDefault="00965C11" w:rsidP="00A15693">
            <w:pPr>
              <w:pStyle w:val="TableText0"/>
              <w:keepNext w:val="0"/>
              <w:rPr>
                <w:rFonts w:eastAsia="Times New Roman" w:cs="Arial"/>
                <w:bCs w:val="0"/>
                <w:snapToGrid w:val="0"/>
                <w:szCs w:val="20"/>
              </w:rPr>
            </w:pPr>
            <w:r w:rsidRPr="00F92E56">
              <w:rPr>
                <w:rFonts w:eastAsia="Times New Roman" w:cs="Arial"/>
                <w:bCs w:val="0"/>
                <w:snapToGrid w:val="0"/>
                <w:szCs w:val="20"/>
              </w:rPr>
              <w:t>No clear disease-free survival (DFS) benefit was observed with nivolumab over placebo in patients who had not received neoadjuvant cisplatin-based chemotherapy (</w:t>
            </w:r>
            <w:r w:rsidR="00A15693" w:rsidRPr="00F92E56">
              <w:rPr>
                <w:rFonts w:eastAsia="Times New Roman" w:cs="Arial"/>
                <w:bCs w:val="0"/>
                <w:snapToGrid w:val="0"/>
                <w:szCs w:val="20"/>
              </w:rPr>
              <w:t>p</w:t>
            </w:r>
            <w:r w:rsidRPr="00F92E56">
              <w:rPr>
                <w:rFonts w:eastAsia="Times New Roman" w:cs="Arial"/>
                <w:bCs w:val="0"/>
                <w:snapToGrid w:val="0"/>
                <w:szCs w:val="20"/>
              </w:rPr>
              <w:t>ara 7.4) and that a resubmission should restrict use to patients who have received prior neoadjuvant platinum-based chemotherapy (para 7.11).</w:t>
            </w:r>
          </w:p>
        </w:tc>
        <w:tc>
          <w:tcPr>
            <w:tcW w:w="1544" w:type="pct"/>
          </w:tcPr>
          <w:p w14:paraId="0E21B887" w14:textId="77777777" w:rsidR="00965C11" w:rsidRPr="00F92E56" w:rsidRDefault="00965C11" w:rsidP="00A15693">
            <w:pPr>
              <w:pStyle w:val="TableText0"/>
              <w:keepNext w:val="0"/>
              <w:rPr>
                <w:rFonts w:eastAsia="Times New Roman" w:cs="Arial"/>
                <w:bCs w:val="0"/>
                <w:snapToGrid w:val="0"/>
                <w:szCs w:val="20"/>
              </w:rPr>
            </w:pPr>
            <w:r w:rsidRPr="00F92E56">
              <w:rPr>
                <w:rFonts w:eastAsia="Times New Roman" w:cs="Arial"/>
                <w:bCs w:val="0"/>
                <w:snapToGrid w:val="0"/>
                <w:szCs w:val="20"/>
              </w:rPr>
              <w:t xml:space="preserve">Addressed. Restriction amended to reflect PBAC comments. </w:t>
            </w:r>
          </w:p>
          <w:p w14:paraId="3EB0BA88" w14:textId="77777777" w:rsidR="00965C11" w:rsidRPr="00F92E56" w:rsidRDefault="00965C11" w:rsidP="00A15693">
            <w:pPr>
              <w:pStyle w:val="TableText0"/>
              <w:keepNext w:val="0"/>
              <w:rPr>
                <w:rFonts w:eastAsia="Times New Roman" w:cs="Arial"/>
                <w:bCs w:val="0"/>
                <w:snapToGrid w:val="0"/>
                <w:szCs w:val="20"/>
              </w:rPr>
            </w:pPr>
          </w:p>
          <w:p w14:paraId="28AB03E2" w14:textId="434235BF" w:rsidR="00965C11" w:rsidRPr="00F92E56" w:rsidRDefault="00965C11" w:rsidP="00A15693">
            <w:pPr>
              <w:pStyle w:val="TableText0"/>
              <w:keepNext w:val="0"/>
              <w:rPr>
                <w:rFonts w:eastAsia="Times New Roman" w:cs="Arial"/>
                <w:bCs w:val="0"/>
                <w:snapToGrid w:val="0"/>
                <w:szCs w:val="20"/>
              </w:rPr>
            </w:pPr>
            <w:r w:rsidRPr="00F92E56">
              <w:rPr>
                <w:rFonts w:eastAsia="Times New Roman" w:cs="Arial"/>
                <w:bCs w:val="0"/>
                <w:snapToGrid w:val="0"/>
                <w:szCs w:val="20"/>
              </w:rPr>
              <w:t xml:space="preserve">However, the </w:t>
            </w:r>
            <w:r w:rsidR="001757F2" w:rsidRPr="00F92E56">
              <w:rPr>
                <w:rFonts w:eastAsia="Times New Roman" w:cs="Arial"/>
                <w:bCs w:val="0"/>
                <w:snapToGrid w:val="0"/>
                <w:szCs w:val="20"/>
              </w:rPr>
              <w:t xml:space="preserve">requested </w:t>
            </w:r>
            <w:r w:rsidRPr="00F92E56">
              <w:rPr>
                <w:rFonts w:eastAsia="Times New Roman" w:cs="Arial"/>
                <w:bCs w:val="0"/>
                <w:snapToGrid w:val="0"/>
                <w:szCs w:val="20"/>
              </w:rPr>
              <w:t>restriction allows patients who are contraindicated or intolerant to neoadjuvant platinum-based chemotherapy to access nivolumab. Efficacy remains unclear in these patients.</w:t>
            </w:r>
          </w:p>
        </w:tc>
      </w:tr>
      <w:tr w:rsidR="00965C11" w:rsidRPr="00F92E56" w14:paraId="3C16081B" w14:textId="77777777" w:rsidTr="00724199">
        <w:trPr>
          <w:cantSplit/>
        </w:trPr>
        <w:tc>
          <w:tcPr>
            <w:tcW w:w="1065" w:type="pct"/>
            <w:vMerge/>
            <w:vAlign w:val="center"/>
          </w:tcPr>
          <w:p w14:paraId="09A6E7DD" w14:textId="77777777" w:rsidR="00965C11" w:rsidRPr="00F92E56" w:rsidRDefault="00965C11" w:rsidP="00A15693">
            <w:pPr>
              <w:pStyle w:val="TableText0"/>
              <w:keepNext w:val="0"/>
              <w:rPr>
                <w:highlight w:val="cyan"/>
              </w:rPr>
            </w:pPr>
          </w:p>
        </w:tc>
        <w:tc>
          <w:tcPr>
            <w:tcW w:w="2390" w:type="pct"/>
          </w:tcPr>
          <w:p w14:paraId="6319BD5C" w14:textId="4A940925" w:rsidR="00965C11" w:rsidRPr="00F92E56" w:rsidRDefault="00965C11" w:rsidP="00A15693">
            <w:pPr>
              <w:pStyle w:val="TableText0"/>
              <w:keepNext w:val="0"/>
              <w:rPr>
                <w:rFonts w:eastAsia="Times New Roman" w:cs="Arial"/>
                <w:bCs w:val="0"/>
                <w:snapToGrid w:val="0"/>
              </w:rPr>
            </w:pPr>
            <w:r w:rsidRPr="00F92E56">
              <w:rPr>
                <w:rFonts w:eastAsia="Times New Roman" w:cs="Arial"/>
                <w:bCs w:val="0"/>
                <w:snapToGrid w:val="0"/>
              </w:rPr>
              <w:t xml:space="preserve">The magnitude of treatment benefit for patients with an </w:t>
            </w:r>
            <w:r w:rsidRPr="00F92E56">
              <w:rPr>
                <w:rFonts w:eastAsia="Times New Roman" w:cs="Arial"/>
                <w:bCs w:val="0"/>
                <w:iCs/>
                <w:snapToGrid w:val="0"/>
              </w:rPr>
              <w:t>upper tract urothelial cancer (</w:t>
            </w:r>
            <w:r w:rsidRPr="00F92E56">
              <w:rPr>
                <w:rFonts w:eastAsia="Times New Roman" w:cs="Arial"/>
                <w:bCs w:val="0"/>
                <w:snapToGrid w:val="0"/>
              </w:rPr>
              <w:t xml:space="preserve">UTUC) was highly uncertain. However, </w:t>
            </w:r>
            <w:r w:rsidR="00680B9C" w:rsidRPr="00F92E56">
              <w:rPr>
                <w:rFonts w:eastAsia="Times New Roman" w:cs="Arial"/>
                <w:bCs w:val="0"/>
                <w:snapToGrid w:val="0"/>
              </w:rPr>
              <w:t>the PBAC agreed with the ESC that given the small sample size it cannot be reliably concluded that patients with UTUC tumours are different from the whole study population</w:t>
            </w:r>
            <w:r w:rsidRPr="00F92E56">
              <w:rPr>
                <w:rFonts w:eastAsia="Times New Roman" w:cs="Arial"/>
                <w:bCs w:val="0"/>
                <w:snapToGrid w:val="0"/>
              </w:rPr>
              <w:t xml:space="preserve"> (para 7.4).</w:t>
            </w:r>
          </w:p>
        </w:tc>
        <w:tc>
          <w:tcPr>
            <w:tcW w:w="1544" w:type="pct"/>
          </w:tcPr>
          <w:p w14:paraId="6D82557A" w14:textId="11C9180A" w:rsidR="00965C11" w:rsidRPr="00F92E56" w:rsidRDefault="00965C11" w:rsidP="00A15693">
            <w:pPr>
              <w:pStyle w:val="TableText0"/>
              <w:keepNext w:val="0"/>
              <w:rPr>
                <w:rFonts w:eastAsia="Times New Roman" w:cs="Arial"/>
                <w:bCs w:val="0"/>
                <w:snapToGrid w:val="0"/>
                <w:szCs w:val="20"/>
              </w:rPr>
            </w:pPr>
            <w:r w:rsidRPr="00F92E56">
              <w:rPr>
                <w:rFonts w:eastAsia="Times New Roman" w:cs="Arial"/>
                <w:bCs w:val="0"/>
                <w:snapToGrid w:val="0"/>
                <w:szCs w:val="20"/>
              </w:rPr>
              <w:t>Not addressed. As per the CM274 protocol, the number of subjects enrolled with UTUC was capped at 20%. Data remain unreliable for this subgroup.</w:t>
            </w:r>
          </w:p>
        </w:tc>
      </w:tr>
      <w:tr w:rsidR="008B5C48" w:rsidRPr="00F92E56" w14:paraId="0D576BDA" w14:textId="77777777" w:rsidTr="00724199">
        <w:trPr>
          <w:cantSplit/>
        </w:trPr>
        <w:tc>
          <w:tcPr>
            <w:tcW w:w="1065" w:type="pct"/>
            <w:tcBorders>
              <w:top w:val="nil"/>
            </w:tcBorders>
            <w:vAlign w:val="center"/>
          </w:tcPr>
          <w:p w14:paraId="13F638BB" w14:textId="01110834" w:rsidR="008B5C48" w:rsidRPr="00F92E56" w:rsidRDefault="0025276E" w:rsidP="00A15693">
            <w:pPr>
              <w:pStyle w:val="TableText0"/>
              <w:keepNext w:val="0"/>
            </w:pPr>
            <w:r w:rsidRPr="00F92E56">
              <w:t>Subsequent therapies in CM274</w:t>
            </w:r>
          </w:p>
        </w:tc>
        <w:tc>
          <w:tcPr>
            <w:tcW w:w="2390" w:type="pct"/>
          </w:tcPr>
          <w:p w14:paraId="67EB1527" w14:textId="4D6F50E0" w:rsidR="008B5C48" w:rsidRPr="00F92E56" w:rsidRDefault="00965C11" w:rsidP="00A15693">
            <w:pPr>
              <w:pStyle w:val="TableText0"/>
              <w:keepNext w:val="0"/>
              <w:rPr>
                <w:rFonts w:eastAsia="Times New Roman" w:cs="Arial"/>
                <w:bCs w:val="0"/>
                <w:snapToGrid w:val="0"/>
                <w:szCs w:val="20"/>
              </w:rPr>
            </w:pPr>
            <w:r w:rsidRPr="00F92E56">
              <w:rPr>
                <w:rFonts w:eastAsia="Times New Roman" w:cs="Arial"/>
                <w:bCs w:val="0"/>
                <w:snapToGrid w:val="0"/>
                <w:szCs w:val="20"/>
              </w:rPr>
              <w:t xml:space="preserve">Subsequent anti-cancer therapies in CM274 does not appear to reflect </w:t>
            </w:r>
            <w:r w:rsidRPr="00F92E56">
              <w:rPr>
                <w:rFonts w:eastAsia="Times New Roman" w:cs="Arial"/>
                <w:bCs w:val="0"/>
                <w:iCs/>
                <w:snapToGrid w:val="0"/>
                <w:szCs w:val="20"/>
              </w:rPr>
              <w:t>the expected use of subsequent anti-cancer treatment in Australian clinical practice.</w:t>
            </w:r>
            <w:r w:rsidRPr="00F92E56">
              <w:rPr>
                <w:rFonts w:eastAsia="Times New Roman" w:cs="Arial"/>
                <w:bCs w:val="0"/>
                <w:snapToGrid w:val="0"/>
                <w:szCs w:val="20"/>
              </w:rPr>
              <w:t xml:space="preserve"> Sequential use of immunotherapy is not indicated in Australian clinical practice. It is also uncertain whether subsequent use of immunotherapy </w:t>
            </w:r>
            <w:r w:rsidRPr="00F92E56">
              <w:rPr>
                <w:rFonts w:eastAsia="Times New Roman" w:cs="Arial"/>
                <w:bCs w:val="0"/>
                <w:iCs/>
                <w:snapToGrid w:val="0"/>
                <w:szCs w:val="20"/>
              </w:rPr>
              <w:t xml:space="preserve">in the placebo arm is reflective of expected use in clinical practice where prior use of platinum-based chemotherapy is required to be eligible for a </w:t>
            </w:r>
            <w:r w:rsidR="00680B9C" w:rsidRPr="00F92E56">
              <w:rPr>
                <w:rFonts w:eastAsia="Times New Roman" w:cs="Arial"/>
                <w:bCs w:val="0"/>
                <w:iCs/>
                <w:snapToGrid w:val="0"/>
                <w:szCs w:val="20"/>
              </w:rPr>
              <w:t>programmed cell death (ligand) 1 (</w:t>
            </w:r>
            <w:r w:rsidRPr="00F92E56">
              <w:rPr>
                <w:rFonts w:eastAsia="Times New Roman" w:cs="Arial"/>
                <w:bCs w:val="0"/>
                <w:iCs/>
                <w:snapToGrid w:val="0"/>
                <w:szCs w:val="20"/>
              </w:rPr>
              <w:t>PD-(L)1</w:t>
            </w:r>
            <w:r w:rsidR="00680B9C" w:rsidRPr="00F92E56">
              <w:rPr>
                <w:rFonts w:eastAsia="Times New Roman" w:cs="Arial"/>
                <w:bCs w:val="0"/>
                <w:iCs/>
                <w:snapToGrid w:val="0"/>
                <w:szCs w:val="20"/>
              </w:rPr>
              <w:t>)</w:t>
            </w:r>
            <w:r w:rsidRPr="00F92E56">
              <w:rPr>
                <w:rFonts w:eastAsia="Times New Roman" w:cs="Arial"/>
                <w:bCs w:val="0"/>
                <w:iCs/>
                <w:snapToGrid w:val="0"/>
                <w:szCs w:val="20"/>
              </w:rPr>
              <w:t xml:space="preserve"> inhibitor</w:t>
            </w:r>
            <w:r w:rsidR="00AE1557" w:rsidRPr="00F92E56">
              <w:rPr>
                <w:rFonts w:eastAsia="Times New Roman" w:cs="Arial"/>
                <w:bCs w:val="0"/>
                <w:iCs/>
                <w:snapToGrid w:val="0"/>
                <w:szCs w:val="20"/>
              </w:rPr>
              <w:t xml:space="preserve"> (para 6.15)</w:t>
            </w:r>
            <w:r w:rsidRPr="00F92E56">
              <w:rPr>
                <w:rFonts w:eastAsia="Times New Roman" w:cs="Arial"/>
                <w:bCs w:val="0"/>
                <w:iCs/>
                <w:snapToGrid w:val="0"/>
                <w:szCs w:val="20"/>
              </w:rPr>
              <w:t>.</w:t>
            </w:r>
          </w:p>
        </w:tc>
        <w:tc>
          <w:tcPr>
            <w:tcW w:w="1544" w:type="pct"/>
          </w:tcPr>
          <w:p w14:paraId="4097745A" w14:textId="18F595E6" w:rsidR="008B5C48" w:rsidRPr="00F92E56" w:rsidRDefault="00965C11" w:rsidP="00A15693">
            <w:pPr>
              <w:pStyle w:val="TableText0"/>
              <w:keepNext w:val="0"/>
              <w:rPr>
                <w:rFonts w:eastAsia="Times New Roman" w:cs="Arial"/>
                <w:bCs w:val="0"/>
                <w:snapToGrid w:val="0"/>
                <w:szCs w:val="20"/>
              </w:rPr>
            </w:pPr>
            <w:r w:rsidRPr="00F92E56">
              <w:rPr>
                <w:rFonts w:eastAsia="Times New Roman" w:cs="Arial"/>
                <w:bCs w:val="0"/>
                <w:snapToGrid w:val="0"/>
                <w:szCs w:val="20"/>
              </w:rPr>
              <w:t xml:space="preserve">Not addressed. </w:t>
            </w:r>
            <w:r w:rsidR="00883D5E" w:rsidRPr="00F92E56">
              <w:rPr>
                <w:rFonts w:eastAsia="Times New Roman" w:cs="Arial"/>
                <w:bCs w:val="0"/>
                <w:snapToGrid w:val="0"/>
                <w:szCs w:val="20"/>
              </w:rPr>
              <w:t>The i</w:t>
            </w:r>
            <w:r w:rsidR="0025276E" w:rsidRPr="00F92E56">
              <w:rPr>
                <w:rFonts w:eastAsia="Times New Roman" w:cs="Arial"/>
                <w:bCs w:val="0"/>
                <w:snapToGrid w:val="0"/>
                <w:szCs w:val="20"/>
              </w:rPr>
              <w:t xml:space="preserve">mpact </w:t>
            </w:r>
            <w:r w:rsidR="00883D5E" w:rsidRPr="00F92E56">
              <w:rPr>
                <w:rFonts w:eastAsia="Times New Roman" w:cs="Arial"/>
                <w:bCs w:val="0"/>
                <w:snapToGrid w:val="0"/>
                <w:szCs w:val="20"/>
              </w:rPr>
              <w:t xml:space="preserve">and applicability </w:t>
            </w:r>
            <w:r w:rsidR="0025276E" w:rsidRPr="00F92E56">
              <w:rPr>
                <w:rFonts w:eastAsia="Times New Roman" w:cs="Arial"/>
                <w:bCs w:val="0"/>
                <w:snapToGrid w:val="0"/>
                <w:szCs w:val="20"/>
              </w:rPr>
              <w:t xml:space="preserve">of subsequent therapies post-recurrence </w:t>
            </w:r>
            <w:r w:rsidR="00883D5E" w:rsidRPr="00F92E56">
              <w:rPr>
                <w:rFonts w:eastAsia="Times New Roman" w:cs="Arial"/>
                <w:bCs w:val="0"/>
                <w:snapToGrid w:val="0"/>
                <w:szCs w:val="20"/>
              </w:rPr>
              <w:t xml:space="preserve">from the CM274 trial </w:t>
            </w:r>
            <w:r w:rsidR="0025276E" w:rsidRPr="00F92E56">
              <w:rPr>
                <w:rFonts w:eastAsia="Times New Roman" w:cs="Arial"/>
                <w:bCs w:val="0"/>
                <w:snapToGrid w:val="0"/>
                <w:szCs w:val="20"/>
              </w:rPr>
              <w:t>remain uncertain</w:t>
            </w:r>
            <w:r w:rsidR="00883D5E" w:rsidRPr="00F92E56">
              <w:rPr>
                <w:rFonts w:eastAsia="Times New Roman" w:cs="Arial"/>
                <w:bCs w:val="0"/>
                <w:snapToGrid w:val="0"/>
                <w:szCs w:val="20"/>
              </w:rPr>
              <w:t>.</w:t>
            </w:r>
          </w:p>
        </w:tc>
      </w:tr>
      <w:tr w:rsidR="007E1B97" w:rsidRPr="00F92E56" w14:paraId="0E1175FC" w14:textId="77777777" w:rsidTr="00724199">
        <w:trPr>
          <w:cantSplit/>
        </w:trPr>
        <w:tc>
          <w:tcPr>
            <w:tcW w:w="1065" w:type="pct"/>
            <w:tcBorders>
              <w:bottom w:val="single" w:sz="4" w:space="0" w:color="auto"/>
            </w:tcBorders>
            <w:vAlign w:val="center"/>
          </w:tcPr>
          <w:p w14:paraId="7E28EA62" w14:textId="208E16BD" w:rsidR="007E1B97" w:rsidRPr="00F92E56" w:rsidRDefault="004568D2" w:rsidP="00A15693">
            <w:pPr>
              <w:pStyle w:val="TableText0"/>
              <w:keepNext w:val="0"/>
            </w:pPr>
            <w:r w:rsidRPr="00F92E56">
              <w:t xml:space="preserve">Safety </w:t>
            </w:r>
          </w:p>
        </w:tc>
        <w:tc>
          <w:tcPr>
            <w:tcW w:w="2390" w:type="pct"/>
          </w:tcPr>
          <w:p w14:paraId="02B4A106" w14:textId="208450C1" w:rsidR="007E1B97" w:rsidRPr="00F92E56" w:rsidRDefault="004568D2" w:rsidP="00A15693">
            <w:pPr>
              <w:pStyle w:val="TableText0"/>
              <w:keepNext w:val="0"/>
              <w:rPr>
                <w:rFonts w:eastAsia="Times New Roman" w:cs="Arial"/>
                <w:bCs w:val="0"/>
                <w:snapToGrid w:val="0"/>
                <w:szCs w:val="20"/>
              </w:rPr>
            </w:pPr>
            <w:r w:rsidRPr="00F92E56">
              <w:rPr>
                <w:rFonts w:eastAsia="Times New Roman" w:cs="Arial"/>
                <w:bCs w:val="0"/>
                <w:snapToGrid w:val="0"/>
                <w:szCs w:val="20"/>
              </w:rPr>
              <w:t>The PBAC considered the health-related quality of life (HRQoL) results do not reflect the higher rate of toxicity in the nivolumab treatment arm compared to placebo in the CM274 trial (para 6.32)</w:t>
            </w:r>
            <w:r w:rsidR="00680B9C" w:rsidRPr="00F92E56">
              <w:rPr>
                <w:rFonts w:eastAsia="Times New Roman" w:cs="Arial"/>
                <w:bCs w:val="0"/>
                <w:snapToGrid w:val="0"/>
                <w:szCs w:val="20"/>
              </w:rPr>
              <w:t>.</w:t>
            </w:r>
          </w:p>
        </w:tc>
        <w:tc>
          <w:tcPr>
            <w:tcW w:w="1544" w:type="pct"/>
          </w:tcPr>
          <w:p w14:paraId="66921A8D" w14:textId="1A2577DE" w:rsidR="007E1B97" w:rsidRPr="00F92E56" w:rsidRDefault="004568D2" w:rsidP="00A15693">
            <w:pPr>
              <w:pStyle w:val="TableText0"/>
              <w:keepNext w:val="0"/>
              <w:rPr>
                <w:rFonts w:eastAsia="Times New Roman" w:cs="Arial"/>
                <w:bCs w:val="0"/>
                <w:snapToGrid w:val="0"/>
                <w:szCs w:val="20"/>
              </w:rPr>
            </w:pPr>
            <w:r w:rsidRPr="00F92E56">
              <w:rPr>
                <w:rFonts w:eastAsia="Times New Roman" w:cs="Arial"/>
                <w:bCs w:val="0"/>
                <w:snapToGrid w:val="0"/>
                <w:szCs w:val="20"/>
              </w:rPr>
              <w:t>Not addressed. HRQoL data in CM274 do not reflect the higher toxicity profile of nivolumab compared to placebo</w:t>
            </w:r>
            <w:r w:rsidR="00965C11" w:rsidRPr="00F92E56">
              <w:rPr>
                <w:rFonts w:eastAsia="Times New Roman" w:cs="Arial"/>
                <w:bCs w:val="0"/>
                <w:snapToGrid w:val="0"/>
                <w:szCs w:val="20"/>
              </w:rPr>
              <w:t xml:space="preserve"> from the CM274 data</w:t>
            </w:r>
            <w:r w:rsidRPr="00F92E56">
              <w:rPr>
                <w:rFonts w:eastAsia="Times New Roman" w:cs="Arial"/>
                <w:bCs w:val="0"/>
                <w:snapToGrid w:val="0"/>
                <w:szCs w:val="20"/>
              </w:rPr>
              <w:t>.</w:t>
            </w:r>
          </w:p>
        </w:tc>
      </w:tr>
      <w:tr w:rsidR="00396682" w:rsidRPr="00F92E56" w14:paraId="4D63B9B1" w14:textId="77777777" w:rsidTr="00724199">
        <w:trPr>
          <w:cantSplit/>
        </w:trPr>
        <w:tc>
          <w:tcPr>
            <w:tcW w:w="1065" w:type="pct"/>
            <w:tcBorders>
              <w:bottom w:val="nil"/>
            </w:tcBorders>
          </w:tcPr>
          <w:p w14:paraId="0304E8FE" w14:textId="4C7A6731" w:rsidR="00396682" w:rsidRPr="00F92E56" w:rsidRDefault="00396682" w:rsidP="00A15693">
            <w:pPr>
              <w:pStyle w:val="TableText0"/>
              <w:keepNext w:val="0"/>
            </w:pPr>
            <w:r w:rsidRPr="00F92E56">
              <w:rPr>
                <w:rFonts w:cs="Times New Roman"/>
                <w:snapToGrid w:val="0"/>
              </w:rPr>
              <w:t>Economic evaluation</w:t>
            </w:r>
          </w:p>
        </w:tc>
        <w:tc>
          <w:tcPr>
            <w:tcW w:w="2390" w:type="pct"/>
          </w:tcPr>
          <w:p w14:paraId="6E6AF891" w14:textId="4A6FEB97" w:rsidR="00396682" w:rsidRPr="00F92E56" w:rsidRDefault="004E4053" w:rsidP="00A15693">
            <w:pPr>
              <w:pStyle w:val="TableText0"/>
              <w:keepNext w:val="0"/>
              <w:rPr>
                <w:rFonts w:eastAsia="Times New Roman" w:cs="Arial"/>
                <w:bCs w:val="0"/>
                <w:snapToGrid w:val="0"/>
                <w:szCs w:val="20"/>
              </w:rPr>
            </w:pPr>
            <w:r w:rsidRPr="00F92E56">
              <w:rPr>
                <w:rFonts w:cs="Times New Roman"/>
                <w:snapToGrid w:val="0"/>
              </w:rPr>
              <w:t>The PBAC considered that use should be restricted only to patients who have received prior neoadjuvant platinum-based chemotherapy (para 7.11)</w:t>
            </w:r>
          </w:p>
        </w:tc>
        <w:tc>
          <w:tcPr>
            <w:tcW w:w="1544" w:type="pct"/>
          </w:tcPr>
          <w:p w14:paraId="18CEB789" w14:textId="405B8320" w:rsidR="00396682" w:rsidRPr="00F92E56" w:rsidRDefault="004E4053" w:rsidP="004E4053">
            <w:pPr>
              <w:jc w:val="left"/>
              <w:rPr>
                <w:rFonts w:ascii="Arial Narrow" w:hAnsi="Arial Narrow" w:cs="Times New Roman"/>
                <w:snapToGrid w:val="0"/>
                <w:sz w:val="20"/>
              </w:rPr>
            </w:pPr>
            <w:r w:rsidRPr="00F92E56">
              <w:rPr>
                <w:rFonts w:ascii="Arial Narrow" w:hAnsi="Arial Narrow" w:cs="Times New Roman"/>
                <w:snapToGrid w:val="0"/>
                <w:sz w:val="20"/>
              </w:rPr>
              <w:t>Addressed. Key inputs used in the model have been restricted to this subgroup of the CM274 trial</w:t>
            </w:r>
          </w:p>
        </w:tc>
      </w:tr>
      <w:tr w:rsidR="00396682" w:rsidRPr="00F92E56" w14:paraId="6618ACF6" w14:textId="77777777" w:rsidTr="00724199">
        <w:trPr>
          <w:cantSplit/>
        </w:trPr>
        <w:tc>
          <w:tcPr>
            <w:tcW w:w="1065" w:type="pct"/>
            <w:tcBorders>
              <w:top w:val="nil"/>
              <w:bottom w:val="nil"/>
            </w:tcBorders>
          </w:tcPr>
          <w:p w14:paraId="4D816755" w14:textId="77777777" w:rsidR="00396682" w:rsidRPr="00F92E56" w:rsidRDefault="00396682" w:rsidP="00A15693">
            <w:pPr>
              <w:pStyle w:val="TableText0"/>
              <w:keepNext w:val="0"/>
            </w:pPr>
          </w:p>
        </w:tc>
        <w:tc>
          <w:tcPr>
            <w:tcW w:w="2390" w:type="pct"/>
          </w:tcPr>
          <w:p w14:paraId="78660157" w14:textId="7A9BC129" w:rsidR="00396682" w:rsidRPr="00F92E56" w:rsidRDefault="004E4053" w:rsidP="00A15693">
            <w:pPr>
              <w:pStyle w:val="TableText0"/>
              <w:keepNext w:val="0"/>
              <w:rPr>
                <w:rFonts w:eastAsia="Times New Roman" w:cs="Arial"/>
                <w:bCs w:val="0"/>
                <w:snapToGrid w:val="0"/>
                <w:szCs w:val="20"/>
              </w:rPr>
            </w:pPr>
            <w:r w:rsidRPr="00F92E56">
              <w:rPr>
                <w:rFonts w:cs="Times New Roman"/>
                <w:snapToGrid w:val="0"/>
              </w:rPr>
              <w:t>The PBAC considered that the trial data did not provide a reliable basis for long-term extrapolation to 20 years and that a shorter time horizon would be more appropriate (para 7.8).</w:t>
            </w:r>
          </w:p>
        </w:tc>
        <w:tc>
          <w:tcPr>
            <w:tcW w:w="1544" w:type="pct"/>
          </w:tcPr>
          <w:p w14:paraId="7C4E6229" w14:textId="0A273CD7" w:rsidR="00396682" w:rsidRPr="00F92E56" w:rsidRDefault="001975D2" w:rsidP="004E4053">
            <w:pPr>
              <w:jc w:val="left"/>
              <w:rPr>
                <w:bCs/>
                <w:snapToGrid w:val="0"/>
                <w:szCs w:val="20"/>
              </w:rPr>
            </w:pPr>
            <w:r w:rsidRPr="00F92E56">
              <w:rPr>
                <w:rFonts w:ascii="Arial Narrow" w:hAnsi="Arial Narrow" w:cs="Times New Roman"/>
                <w:snapToGrid w:val="0"/>
                <w:sz w:val="20"/>
              </w:rPr>
              <w:t>U</w:t>
            </w:r>
            <w:r w:rsidR="004E4053" w:rsidRPr="00F92E56">
              <w:rPr>
                <w:rFonts w:ascii="Arial Narrow" w:hAnsi="Arial Narrow" w:cs="Times New Roman"/>
                <w:snapToGrid w:val="0"/>
                <w:sz w:val="20"/>
              </w:rPr>
              <w:t>nchanged</w:t>
            </w:r>
            <w:r w:rsidRPr="00F92E56">
              <w:rPr>
                <w:rFonts w:ascii="Arial Narrow" w:hAnsi="Arial Narrow" w:cs="Times New Roman"/>
                <w:snapToGrid w:val="0"/>
                <w:sz w:val="20"/>
              </w:rPr>
              <w:t xml:space="preserve"> as t</w:t>
            </w:r>
            <w:r w:rsidR="004E4053" w:rsidRPr="00F92E56">
              <w:rPr>
                <w:rFonts w:ascii="Arial Narrow" w:hAnsi="Arial Narrow" w:cs="Times New Roman"/>
                <w:snapToGrid w:val="0"/>
                <w:sz w:val="20"/>
              </w:rPr>
              <w:t xml:space="preserve">he resubmission argued that as the model assumed that some patients achieve a cure, an extended time horizon is required to capture the outcomes of these long-term survivors. </w:t>
            </w:r>
            <w:r w:rsidRPr="00F92E56">
              <w:rPr>
                <w:rFonts w:ascii="Arial Narrow" w:hAnsi="Arial Narrow" w:cs="Times New Roman"/>
                <w:snapToGrid w:val="0"/>
                <w:sz w:val="20"/>
              </w:rPr>
              <w:t>Modelled outcomes however remain based on a number of assumptions and are associated with a high degree of uncertainty.</w:t>
            </w:r>
          </w:p>
        </w:tc>
      </w:tr>
      <w:tr w:rsidR="004E4053" w:rsidRPr="00F92E56" w14:paraId="70B6BA17" w14:textId="77777777" w:rsidTr="00724199">
        <w:trPr>
          <w:cantSplit/>
        </w:trPr>
        <w:tc>
          <w:tcPr>
            <w:tcW w:w="1065" w:type="pct"/>
            <w:tcBorders>
              <w:top w:val="nil"/>
              <w:bottom w:val="single" w:sz="4" w:space="0" w:color="auto"/>
            </w:tcBorders>
          </w:tcPr>
          <w:p w14:paraId="764C1A03" w14:textId="77777777" w:rsidR="004E4053" w:rsidRPr="00F92E56" w:rsidRDefault="004E4053" w:rsidP="004E4053">
            <w:pPr>
              <w:pStyle w:val="TableText0"/>
              <w:keepNext w:val="0"/>
            </w:pPr>
          </w:p>
        </w:tc>
        <w:tc>
          <w:tcPr>
            <w:tcW w:w="2390" w:type="pct"/>
          </w:tcPr>
          <w:p w14:paraId="608ED328" w14:textId="7B1A2BA7" w:rsidR="004E4053" w:rsidRPr="00F92E56" w:rsidRDefault="004E4053" w:rsidP="004E4053">
            <w:pPr>
              <w:pStyle w:val="TableText0"/>
              <w:keepNext w:val="0"/>
              <w:rPr>
                <w:rFonts w:eastAsia="Times New Roman" w:cs="Arial"/>
                <w:bCs w:val="0"/>
                <w:snapToGrid w:val="0"/>
                <w:szCs w:val="20"/>
              </w:rPr>
            </w:pPr>
            <w:r w:rsidRPr="00F92E56">
              <w:rPr>
                <w:rFonts w:cs="Times New Roman"/>
                <w:snapToGrid w:val="0"/>
              </w:rPr>
              <w:t>The PBAC requested that the structure of the economic model be revised to include a more granular recurrence state, as locoregional recurrence and locally advanced/metastatic recurrence had been combined into one health state, despite their heterogeneity (para 7.8 and 7.11). The ESC considered the one health state did not account for less severe recurrences (i.e. local recurrence), and also a small probability of cure in the metastatic setting as a result of treatment with subsequent therapies (para 7.8).</w:t>
            </w:r>
          </w:p>
        </w:tc>
        <w:tc>
          <w:tcPr>
            <w:tcW w:w="1544" w:type="pct"/>
          </w:tcPr>
          <w:p w14:paraId="62479F4A" w14:textId="53A87718" w:rsidR="004E4053" w:rsidRPr="00F92E56" w:rsidRDefault="004E4053" w:rsidP="004E4053">
            <w:pPr>
              <w:pStyle w:val="TableText0"/>
              <w:keepNext w:val="0"/>
              <w:rPr>
                <w:rFonts w:eastAsia="Times New Roman" w:cs="Arial"/>
                <w:bCs w:val="0"/>
                <w:snapToGrid w:val="0"/>
                <w:szCs w:val="20"/>
              </w:rPr>
            </w:pPr>
            <w:r w:rsidRPr="00F92E56">
              <w:rPr>
                <w:rFonts w:cs="Times New Roman"/>
                <w:snapToGrid w:val="0"/>
              </w:rPr>
              <w:t>Addressed. The resubmission separated the post-recurrence health state into locoregional and distant recurrence and applied differing costs and outcomes to each health state. The resubmission included modelling of a cure in patients with both locoregional and distant recurrence (based on expert opinion).</w:t>
            </w:r>
          </w:p>
        </w:tc>
      </w:tr>
      <w:tr w:rsidR="004E4053" w:rsidRPr="00F92E56" w14:paraId="2C7DAFF4" w14:textId="77777777" w:rsidTr="00724199">
        <w:trPr>
          <w:cantSplit/>
        </w:trPr>
        <w:tc>
          <w:tcPr>
            <w:tcW w:w="1065" w:type="pct"/>
            <w:tcBorders>
              <w:bottom w:val="nil"/>
            </w:tcBorders>
          </w:tcPr>
          <w:p w14:paraId="751A63FC" w14:textId="77777777" w:rsidR="004E4053" w:rsidRPr="00F92E56" w:rsidRDefault="004E4053" w:rsidP="004E4053">
            <w:pPr>
              <w:pStyle w:val="TableText0"/>
              <w:keepNext w:val="0"/>
            </w:pPr>
          </w:p>
        </w:tc>
        <w:tc>
          <w:tcPr>
            <w:tcW w:w="2390" w:type="pct"/>
          </w:tcPr>
          <w:p w14:paraId="107ABA87" w14:textId="6AC2E72E" w:rsidR="004E4053" w:rsidRPr="00F92E56" w:rsidRDefault="004E4053" w:rsidP="004E4053">
            <w:pPr>
              <w:pStyle w:val="TableText0"/>
              <w:keepNext w:val="0"/>
              <w:rPr>
                <w:rFonts w:eastAsia="Times New Roman" w:cs="Arial"/>
                <w:bCs w:val="0"/>
                <w:snapToGrid w:val="0"/>
                <w:szCs w:val="20"/>
              </w:rPr>
            </w:pPr>
            <w:r w:rsidRPr="00F92E56">
              <w:rPr>
                <w:rFonts w:cs="Times New Roman"/>
                <w:snapToGrid w:val="0"/>
              </w:rPr>
              <w:t xml:space="preserve">The PBAC noted that the economic model did not use the best fitting DFS extrapolations (independent Gompertz) (para 7.8). </w:t>
            </w:r>
          </w:p>
        </w:tc>
        <w:tc>
          <w:tcPr>
            <w:tcW w:w="1544" w:type="pct"/>
          </w:tcPr>
          <w:p w14:paraId="4F5289CF" w14:textId="2CF67BB5" w:rsidR="004E4053" w:rsidRPr="00F92E56" w:rsidRDefault="005842A4" w:rsidP="004E4053">
            <w:pPr>
              <w:pStyle w:val="TableText0"/>
              <w:keepNext w:val="0"/>
              <w:rPr>
                <w:rFonts w:eastAsia="Times New Roman" w:cs="Arial"/>
                <w:bCs w:val="0"/>
                <w:snapToGrid w:val="0"/>
                <w:szCs w:val="20"/>
              </w:rPr>
            </w:pPr>
            <w:r w:rsidRPr="00F92E56">
              <w:rPr>
                <w:rFonts w:cs="Times New Roman"/>
                <w:snapToGrid w:val="0"/>
              </w:rPr>
              <w:t>While the resubmission used a Gompertz model (on the basis that this was previously the best fit to the CM274 ITT data), this was not the best fitting function to DFS data from the prior-NAC subgroup</w:t>
            </w:r>
            <w:r w:rsidR="0063115A" w:rsidRPr="00F92E56">
              <w:rPr>
                <w:rFonts w:cs="Times New Roman"/>
                <w:snapToGrid w:val="0"/>
              </w:rPr>
              <w:t xml:space="preserve"> treated with nivolumab</w:t>
            </w:r>
          </w:p>
        </w:tc>
      </w:tr>
      <w:tr w:rsidR="004E4053" w:rsidRPr="00F92E56" w14:paraId="039A1F01" w14:textId="77777777" w:rsidTr="00724199">
        <w:trPr>
          <w:cantSplit/>
        </w:trPr>
        <w:tc>
          <w:tcPr>
            <w:tcW w:w="1065" w:type="pct"/>
            <w:tcBorders>
              <w:top w:val="nil"/>
              <w:bottom w:val="single" w:sz="4" w:space="0" w:color="auto"/>
            </w:tcBorders>
          </w:tcPr>
          <w:p w14:paraId="140D0489" w14:textId="77777777" w:rsidR="004E4053" w:rsidRPr="00F92E56" w:rsidRDefault="004E4053" w:rsidP="004E4053">
            <w:pPr>
              <w:pStyle w:val="TableText0"/>
              <w:keepNext w:val="0"/>
            </w:pPr>
          </w:p>
        </w:tc>
        <w:tc>
          <w:tcPr>
            <w:tcW w:w="2390" w:type="pct"/>
          </w:tcPr>
          <w:p w14:paraId="5273B863" w14:textId="4416CFF2" w:rsidR="004E4053" w:rsidRPr="00F92E56" w:rsidRDefault="004E4053" w:rsidP="004E4053">
            <w:pPr>
              <w:pStyle w:val="TableText0"/>
              <w:keepNext w:val="0"/>
              <w:rPr>
                <w:rFonts w:eastAsia="Times New Roman" w:cs="Arial"/>
                <w:bCs w:val="0"/>
                <w:snapToGrid w:val="0"/>
                <w:szCs w:val="20"/>
              </w:rPr>
            </w:pPr>
            <w:r w:rsidRPr="00F92E56">
              <w:rPr>
                <w:rFonts w:cs="Times New Roman"/>
                <w:snapToGrid w:val="0"/>
              </w:rPr>
              <w:t>The PBAC noted early truncations to the Kaplan-Meier (KM) data used in the model (para 7.8). At the chosen truncation time point (29.5 months) a substantial number of patients remained at risk of a DFS event. This suggested that more of the observed data could have been reliably used (para 6.47).</w:t>
            </w:r>
          </w:p>
        </w:tc>
        <w:tc>
          <w:tcPr>
            <w:tcW w:w="1544" w:type="pct"/>
          </w:tcPr>
          <w:p w14:paraId="3C7585C8" w14:textId="6222046A" w:rsidR="004E4053" w:rsidRPr="00F92E56" w:rsidRDefault="004E4053" w:rsidP="004E4053">
            <w:pPr>
              <w:pStyle w:val="TableText0"/>
              <w:keepNext w:val="0"/>
              <w:rPr>
                <w:rFonts w:eastAsia="Times New Roman" w:cs="Arial"/>
                <w:bCs w:val="0"/>
                <w:snapToGrid w:val="0"/>
                <w:szCs w:val="20"/>
              </w:rPr>
            </w:pPr>
            <w:r w:rsidRPr="00F92E56">
              <w:rPr>
                <w:rFonts w:cs="Times New Roman"/>
                <w:snapToGrid w:val="0"/>
              </w:rPr>
              <w:t xml:space="preserve">Kaplan-Meier data </w:t>
            </w:r>
            <w:r w:rsidR="005842A4" w:rsidRPr="00F92E56">
              <w:rPr>
                <w:rFonts w:cs="Times New Roman"/>
                <w:snapToGrid w:val="0"/>
              </w:rPr>
              <w:t>wa</w:t>
            </w:r>
            <w:r w:rsidRPr="00F92E56">
              <w:rPr>
                <w:rFonts w:cs="Times New Roman"/>
                <w:snapToGrid w:val="0"/>
              </w:rPr>
              <w:t>s used until 54 months, at which time 20 patients (12.8%) in the NIVO arm and 11 patients (7.0%) in the watchful waiting arm remain at risk.</w:t>
            </w:r>
            <w:r w:rsidR="005842A4" w:rsidRPr="00F92E56">
              <w:rPr>
                <w:rFonts w:cs="Times New Roman"/>
                <w:snapToGrid w:val="0"/>
              </w:rPr>
              <w:t xml:space="preserve"> While this was reasonable for the NIVO arm, given the small numbers remaining at risk, the data used in the watchful waiting arm </w:t>
            </w:r>
            <w:r w:rsidR="00001B67" w:rsidRPr="00F92E56">
              <w:rPr>
                <w:rFonts w:cs="Times New Roman"/>
                <w:snapToGrid w:val="0"/>
              </w:rPr>
              <w:t>are likely</w:t>
            </w:r>
            <w:r w:rsidR="005842A4" w:rsidRPr="00F92E56">
              <w:rPr>
                <w:rFonts w:cs="Times New Roman"/>
                <w:snapToGrid w:val="0"/>
              </w:rPr>
              <w:t xml:space="preserve"> unreliable</w:t>
            </w:r>
            <w:r w:rsidR="00001B67" w:rsidRPr="00F92E56">
              <w:rPr>
                <w:rFonts w:cs="Times New Roman"/>
                <w:snapToGrid w:val="0"/>
              </w:rPr>
              <w:t xml:space="preserve"> at this point</w:t>
            </w:r>
          </w:p>
        </w:tc>
      </w:tr>
      <w:tr w:rsidR="0092760C" w:rsidRPr="00F92E56" w14:paraId="38EF7939" w14:textId="77777777" w:rsidTr="00724199">
        <w:trPr>
          <w:cantSplit/>
        </w:trPr>
        <w:tc>
          <w:tcPr>
            <w:tcW w:w="1065" w:type="pct"/>
            <w:tcBorders>
              <w:bottom w:val="nil"/>
            </w:tcBorders>
          </w:tcPr>
          <w:p w14:paraId="0C66CB16" w14:textId="432C822A" w:rsidR="0092760C" w:rsidRPr="00F92E56" w:rsidRDefault="0092760C" w:rsidP="00A15693">
            <w:pPr>
              <w:pStyle w:val="TableText0"/>
              <w:keepNext w:val="0"/>
            </w:pPr>
            <w:r w:rsidRPr="00F92E56">
              <w:rPr>
                <w:rFonts w:cs="Times New Roman"/>
                <w:snapToGrid w:val="0"/>
              </w:rPr>
              <w:t>Financial estimates</w:t>
            </w:r>
            <w:r w:rsidR="0088600D" w:rsidRPr="00F92E56">
              <w:rPr>
                <w:rFonts w:cs="Times New Roman"/>
                <w:snapToGrid w:val="0"/>
              </w:rPr>
              <w:t>/Management</w:t>
            </w:r>
          </w:p>
        </w:tc>
        <w:tc>
          <w:tcPr>
            <w:tcW w:w="2390" w:type="pct"/>
          </w:tcPr>
          <w:p w14:paraId="5E89C3DC" w14:textId="057EBE35" w:rsidR="0092760C" w:rsidRPr="00346867" w:rsidRDefault="004E4053" w:rsidP="00A15693">
            <w:pPr>
              <w:jc w:val="left"/>
              <w:rPr>
                <w:rFonts w:ascii="Arial Narrow" w:hAnsi="Arial Narrow"/>
                <w:bCs/>
                <w:snapToGrid w:val="0"/>
                <w:sz w:val="20"/>
                <w:szCs w:val="20"/>
              </w:rPr>
            </w:pPr>
            <w:r w:rsidRPr="00F92E56">
              <w:rPr>
                <w:rFonts w:ascii="Arial Narrow" w:hAnsi="Arial Narrow" w:cs="Times New Roman"/>
                <w:snapToGrid w:val="0"/>
                <w:sz w:val="20"/>
              </w:rPr>
              <w:t xml:space="preserve">The </w:t>
            </w:r>
            <w:r w:rsidR="00A2544F" w:rsidRPr="00F92E56">
              <w:rPr>
                <w:rFonts w:ascii="Arial Narrow" w:hAnsi="Arial Narrow" w:cs="Times New Roman"/>
                <w:snapToGrid w:val="0"/>
                <w:sz w:val="20"/>
              </w:rPr>
              <w:t>ESC</w:t>
            </w:r>
            <w:r w:rsidRPr="00F92E56">
              <w:rPr>
                <w:rFonts w:ascii="Arial Narrow" w:hAnsi="Arial Narrow" w:cs="Times New Roman"/>
                <w:snapToGrid w:val="0"/>
                <w:sz w:val="20"/>
              </w:rPr>
              <w:t xml:space="preserve"> noted that the approach used to estimate the number of i</w:t>
            </w:r>
            <w:r w:rsidR="0092760C" w:rsidRPr="00F92E56">
              <w:rPr>
                <w:rFonts w:ascii="Arial Narrow" w:hAnsi="Arial Narrow" w:cs="Times New Roman"/>
                <w:snapToGrid w:val="0"/>
                <w:sz w:val="20"/>
              </w:rPr>
              <w:t>ncident cases of (T1-T4)</w:t>
            </w:r>
            <w:r w:rsidRPr="00F92E56">
              <w:rPr>
                <w:rFonts w:ascii="Arial Narrow" w:hAnsi="Arial Narrow" w:cs="Times New Roman"/>
                <w:snapToGrid w:val="0"/>
                <w:sz w:val="20"/>
              </w:rPr>
              <w:t>, based on</w:t>
            </w:r>
            <w:r w:rsidR="0092760C" w:rsidRPr="00F92E56">
              <w:rPr>
                <w:rFonts w:ascii="Arial Narrow" w:hAnsi="Arial Narrow" w:cs="Times New Roman"/>
                <w:snapToGrid w:val="0"/>
                <w:sz w:val="20"/>
              </w:rPr>
              <w:t xml:space="preserve"> general population growth rates</w:t>
            </w:r>
            <w:r w:rsidRPr="00F92E56">
              <w:rPr>
                <w:rFonts w:ascii="Arial Narrow" w:hAnsi="Arial Narrow" w:cs="Times New Roman"/>
                <w:snapToGrid w:val="0"/>
                <w:sz w:val="20"/>
              </w:rPr>
              <w:t>, could be an underestimate</w:t>
            </w:r>
            <w:r w:rsidR="00A2544F" w:rsidRPr="00F92E56">
              <w:rPr>
                <w:rFonts w:ascii="Arial Narrow" w:hAnsi="Arial Narrow" w:cs="Times New Roman"/>
                <w:snapToGrid w:val="0"/>
                <w:sz w:val="20"/>
              </w:rPr>
              <w:t xml:space="preserve"> (para 6.68)</w:t>
            </w:r>
          </w:p>
        </w:tc>
        <w:tc>
          <w:tcPr>
            <w:tcW w:w="1544" w:type="pct"/>
          </w:tcPr>
          <w:p w14:paraId="662BC9F4" w14:textId="16352558" w:rsidR="0092760C" w:rsidRPr="00F92E56" w:rsidRDefault="0092760C" w:rsidP="00A15693">
            <w:pPr>
              <w:jc w:val="left"/>
              <w:rPr>
                <w:rFonts w:ascii="Arial Narrow" w:hAnsi="Arial Narrow" w:cs="Times New Roman"/>
                <w:snapToGrid w:val="0"/>
                <w:sz w:val="20"/>
              </w:rPr>
            </w:pPr>
            <w:r w:rsidRPr="00F92E56">
              <w:rPr>
                <w:rFonts w:ascii="Arial Narrow" w:hAnsi="Arial Narrow" w:cs="Times New Roman"/>
                <w:snapToGrid w:val="0"/>
                <w:sz w:val="20"/>
              </w:rPr>
              <w:t>Unchanged</w:t>
            </w:r>
            <w:r w:rsidR="004E4053" w:rsidRPr="00F92E56">
              <w:rPr>
                <w:rFonts w:ascii="Arial Narrow" w:hAnsi="Arial Narrow" w:cs="Times New Roman"/>
                <w:snapToGrid w:val="0"/>
                <w:sz w:val="20"/>
              </w:rPr>
              <w:t xml:space="preserve">. This was not reasonable given that </w:t>
            </w:r>
            <w:r w:rsidR="00A2544F" w:rsidRPr="00F92E56">
              <w:rPr>
                <w:rFonts w:ascii="Arial Narrow" w:hAnsi="Arial Narrow" w:cs="Times New Roman"/>
                <w:snapToGrid w:val="0"/>
                <w:sz w:val="20"/>
              </w:rPr>
              <w:t>the AIHW have published projections to 2031.</w:t>
            </w:r>
          </w:p>
        </w:tc>
      </w:tr>
      <w:tr w:rsidR="004E4053" w:rsidRPr="00F92E56" w14:paraId="66C4297D" w14:textId="77777777" w:rsidTr="00724199">
        <w:trPr>
          <w:cantSplit/>
        </w:trPr>
        <w:tc>
          <w:tcPr>
            <w:tcW w:w="1065" w:type="pct"/>
            <w:tcBorders>
              <w:top w:val="nil"/>
              <w:bottom w:val="nil"/>
            </w:tcBorders>
          </w:tcPr>
          <w:p w14:paraId="0A9A97B4" w14:textId="77777777" w:rsidR="004E4053" w:rsidRPr="00F92E56" w:rsidRDefault="004E4053" w:rsidP="00553EDF">
            <w:pPr>
              <w:pStyle w:val="TableText0"/>
              <w:keepNext w:val="0"/>
            </w:pPr>
          </w:p>
        </w:tc>
        <w:tc>
          <w:tcPr>
            <w:tcW w:w="2390" w:type="pct"/>
          </w:tcPr>
          <w:p w14:paraId="7A73DBE3" w14:textId="564FED37" w:rsidR="004E4053" w:rsidRPr="00346867" w:rsidRDefault="004E4053" w:rsidP="001975D2">
            <w:pPr>
              <w:jc w:val="left"/>
              <w:rPr>
                <w:rFonts w:ascii="Arial Narrow" w:hAnsi="Arial Narrow"/>
                <w:bCs/>
                <w:snapToGrid w:val="0"/>
                <w:sz w:val="20"/>
                <w:szCs w:val="20"/>
              </w:rPr>
            </w:pPr>
            <w:r w:rsidRPr="00F92E56">
              <w:rPr>
                <w:rFonts w:ascii="Arial Narrow" w:hAnsi="Arial Narrow" w:cs="Times New Roman"/>
                <w:snapToGrid w:val="0"/>
                <w:sz w:val="20"/>
              </w:rPr>
              <w:t>Risk of recurrence after radical surgery: 50% Pre-Advisory Board survey. The ESC considered that this assumption was not reasonable and results in uncertainty of the number of eligible patients and the cost of nivolumab adjuvant treatment (para 6.69)</w:t>
            </w:r>
            <w:r w:rsidR="00F92E56">
              <w:rPr>
                <w:rFonts w:ascii="Arial Narrow" w:hAnsi="Arial Narrow" w:cs="Times New Roman"/>
                <w:snapToGrid w:val="0"/>
                <w:sz w:val="20"/>
              </w:rPr>
              <w:t xml:space="preserve">. </w:t>
            </w:r>
          </w:p>
        </w:tc>
        <w:tc>
          <w:tcPr>
            <w:tcW w:w="1544" w:type="pct"/>
          </w:tcPr>
          <w:p w14:paraId="2D6DC24F" w14:textId="2AB7A9CC" w:rsidR="004E4053" w:rsidRPr="00F92E56" w:rsidRDefault="004E4053" w:rsidP="00553EDF">
            <w:pPr>
              <w:jc w:val="left"/>
              <w:rPr>
                <w:rFonts w:ascii="Arial Narrow" w:hAnsi="Arial Narrow" w:cs="Times New Roman"/>
                <w:snapToGrid w:val="0"/>
                <w:sz w:val="20"/>
              </w:rPr>
            </w:pPr>
            <w:r w:rsidRPr="00F92E56">
              <w:rPr>
                <w:rFonts w:ascii="Arial Narrow" w:hAnsi="Arial Narrow" w:cs="Times New Roman"/>
                <w:snapToGrid w:val="0"/>
                <w:sz w:val="20"/>
              </w:rPr>
              <w:t>Unchanged</w:t>
            </w:r>
            <w:r w:rsidR="001975D2" w:rsidRPr="00F92E56">
              <w:rPr>
                <w:rFonts w:ascii="Arial Narrow" w:hAnsi="Arial Narrow" w:cs="Times New Roman"/>
                <w:snapToGrid w:val="0"/>
                <w:sz w:val="20"/>
              </w:rPr>
              <w:t xml:space="preserve"> as the resubmission claimed that in the absence of literature to support otherwise, this was the best source to inform this estimate. </w:t>
            </w:r>
            <w:r w:rsidR="00ED7FF2" w:rsidRPr="00F92E56">
              <w:rPr>
                <w:rFonts w:ascii="Arial Narrow" w:hAnsi="Arial Narrow" w:cs="Times New Roman"/>
                <w:snapToGrid w:val="0"/>
                <w:sz w:val="20"/>
              </w:rPr>
              <w:t>This remains for PBAC consideration.</w:t>
            </w:r>
          </w:p>
        </w:tc>
      </w:tr>
      <w:tr w:rsidR="004E4053" w:rsidRPr="00F92E56" w14:paraId="039335B3" w14:textId="77777777" w:rsidTr="00724199">
        <w:trPr>
          <w:cantSplit/>
        </w:trPr>
        <w:tc>
          <w:tcPr>
            <w:tcW w:w="1065" w:type="pct"/>
            <w:tcBorders>
              <w:top w:val="nil"/>
              <w:bottom w:val="nil"/>
            </w:tcBorders>
          </w:tcPr>
          <w:p w14:paraId="0E78839E" w14:textId="77777777" w:rsidR="004E4053" w:rsidRPr="00F92E56" w:rsidRDefault="004E4053" w:rsidP="00553EDF">
            <w:pPr>
              <w:pStyle w:val="TableText0"/>
              <w:keepNext w:val="0"/>
            </w:pPr>
          </w:p>
        </w:tc>
        <w:tc>
          <w:tcPr>
            <w:tcW w:w="2390" w:type="pct"/>
          </w:tcPr>
          <w:p w14:paraId="405E0AC2" w14:textId="5ABF883D" w:rsidR="004E4053" w:rsidRPr="00F92E56" w:rsidRDefault="004E4053" w:rsidP="00553EDF">
            <w:pPr>
              <w:jc w:val="left"/>
              <w:rPr>
                <w:rFonts w:ascii="Arial Narrow" w:hAnsi="Arial Narrow" w:cs="Times New Roman"/>
                <w:snapToGrid w:val="0"/>
                <w:sz w:val="20"/>
              </w:rPr>
            </w:pPr>
            <w:r w:rsidRPr="00F92E56">
              <w:rPr>
                <w:rFonts w:ascii="Arial Narrow" w:hAnsi="Arial Narrow" w:cs="Times New Roman"/>
                <w:snapToGrid w:val="0"/>
                <w:sz w:val="20"/>
              </w:rPr>
              <w:t>Uptake rate of NIVO: 5</w:t>
            </w:r>
            <w:r w:rsidR="00001B1C" w:rsidRPr="00F92E56">
              <w:rPr>
                <w:rFonts w:ascii="Arial Narrow" w:hAnsi="Arial Narrow" w:cs="Times New Roman"/>
                <w:snapToGrid w:val="0"/>
                <w:sz w:val="20"/>
              </w:rPr>
              <w:t>7</w:t>
            </w:r>
            <w:r w:rsidRPr="00F92E56">
              <w:rPr>
                <w:rFonts w:ascii="Arial Narrow" w:hAnsi="Arial Narrow" w:cs="Times New Roman"/>
                <w:snapToGrid w:val="0"/>
                <w:sz w:val="20"/>
              </w:rPr>
              <w:t>%</w:t>
            </w:r>
          </w:p>
          <w:p w14:paraId="72CF7D74" w14:textId="77777777" w:rsidR="004E4053" w:rsidRPr="00346867" w:rsidRDefault="004E4053" w:rsidP="00553EDF">
            <w:pPr>
              <w:jc w:val="left"/>
              <w:rPr>
                <w:rFonts w:ascii="Arial Narrow" w:hAnsi="Arial Narrow"/>
                <w:bCs/>
                <w:snapToGrid w:val="0"/>
                <w:sz w:val="20"/>
                <w:szCs w:val="20"/>
              </w:rPr>
            </w:pPr>
            <w:r w:rsidRPr="00346867">
              <w:rPr>
                <w:rFonts w:ascii="Arial Narrow" w:hAnsi="Arial Narrow"/>
                <w:bCs/>
                <w:snapToGrid w:val="0"/>
                <w:sz w:val="20"/>
                <w:szCs w:val="20"/>
              </w:rPr>
              <w:t>The ESC noted that the uptake rate assumed in the submission may be underestimated (para 6.70).</w:t>
            </w:r>
          </w:p>
        </w:tc>
        <w:tc>
          <w:tcPr>
            <w:tcW w:w="1544" w:type="pct"/>
          </w:tcPr>
          <w:p w14:paraId="6E1DAD6E" w14:textId="2A31772C" w:rsidR="004E4053" w:rsidRPr="00F92E56" w:rsidRDefault="00ED7FF2" w:rsidP="00553EDF">
            <w:pPr>
              <w:jc w:val="left"/>
              <w:rPr>
                <w:rFonts w:ascii="Arial Narrow" w:hAnsi="Arial Narrow" w:cs="Times New Roman"/>
                <w:snapToGrid w:val="0"/>
                <w:sz w:val="20"/>
              </w:rPr>
            </w:pPr>
            <w:r w:rsidRPr="00F92E56">
              <w:rPr>
                <w:rFonts w:ascii="Arial Narrow" w:hAnsi="Arial Narrow" w:cs="Times New Roman"/>
                <w:snapToGrid w:val="0"/>
                <w:sz w:val="20"/>
              </w:rPr>
              <w:t>A</w:t>
            </w:r>
            <w:r w:rsidR="00A2544F" w:rsidRPr="00F92E56">
              <w:rPr>
                <w:rFonts w:ascii="Arial Narrow" w:hAnsi="Arial Narrow" w:cs="Times New Roman"/>
                <w:snapToGrid w:val="0"/>
                <w:sz w:val="20"/>
              </w:rPr>
              <w:t xml:space="preserve"> higher uptake rate (90%)</w:t>
            </w:r>
            <w:r w:rsidRPr="00F92E56">
              <w:rPr>
                <w:rFonts w:ascii="Arial Narrow" w:hAnsi="Arial Narrow" w:cs="Times New Roman"/>
                <w:snapToGrid w:val="0"/>
                <w:sz w:val="20"/>
              </w:rPr>
              <w:t xml:space="preserve"> was applied</w:t>
            </w:r>
            <w:r w:rsidR="004E4053" w:rsidRPr="00F92E56">
              <w:rPr>
                <w:rFonts w:ascii="Arial Narrow" w:hAnsi="Arial Narrow" w:cs="Times New Roman"/>
                <w:snapToGrid w:val="0"/>
                <w:sz w:val="20"/>
              </w:rPr>
              <w:t>.</w:t>
            </w:r>
            <w:r w:rsidRPr="00F92E56">
              <w:rPr>
                <w:rFonts w:ascii="Arial Narrow" w:hAnsi="Arial Narrow" w:cs="Times New Roman"/>
                <w:snapToGrid w:val="0"/>
                <w:sz w:val="20"/>
              </w:rPr>
              <w:t xml:space="preserve"> This was made on the basis that the intent would be to treat with nivolumab. As an increase in NAC use was assumed following nivolumab listing, it is therefore unclear whether patients treated with nivolumab in practice would reflect those patients in the prior-NAC subgroup of CM274.</w:t>
            </w:r>
          </w:p>
        </w:tc>
      </w:tr>
      <w:tr w:rsidR="0088600D" w:rsidRPr="00F92E56" w14:paraId="06FE114B" w14:textId="77777777" w:rsidTr="00724199">
        <w:trPr>
          <w:cantSplit/>
        </w:trPr>
        <w:tc>
          <w:tcPr>
            <w:tcW w:w="1065" w:type="pct"/>
            <w:tcBorders>
              <w:top w:val="nil"/>
            </w:tcBorders>
          </w:tcPr>
          <w:p w14:paraId="65C147AA" w14:textId="77777777" w:rsidR="0088600D" w:rsidRPr="00F92E56" w:rsidRDefault="0088600D" w:rsidP="00A15693">
            <w:pPr>
              <w:pStyle w:val="TableText0"/>
              <w:keepNext w:val="0"/>
              <w:rPr>
                <w:rFonts w:cs="Times New Roman"/>
                <w:snapToGrid w:val="0"/>
              </w:rPr>
            </w:pPr>
          </w:p>
        </w:tc>
        <w:tc>
          <w:tcPr>
            <w:tcW w:w="2390" w:type="pct"/>
          </w:tcPr>
          <w:p w14:paraId="33BE9E5E" w14:textId="77777777" w:rsidR="0088600D" w:rsidRPr="00F92E56" w:rsidRDefault="001757F2" w:rsidP="00A15693">
            <w:pPr>
              <w:jc w:val="left"/>
              <w:rPr>
                <w:rFonts w:ascii="Arial Narrow" w:hAnsi="Arial Narrow" w:cs="Times New Roman"/>
                <w:snapToGrid w:val="0"/>
                <w:sz w:val="20"/>
              </w:rPr>
            </w:pPr>
            <w:r w:rsidRPr="00F92E56">
              <w:rPr>
                <w:rFonts w:ascii="Arial Narrow" w:hAnsi="Arial Narrow" w:cs="Times New Roman"/>
                <w:snapToGrid w:val="0"/>
                <w:sz w:val="20"/>
              </w:rPr>
              <w:t>The PBAC considered a risk sharing arrangement (RSA) would likely be required with the recommendation to limit treatment to patients who had received prior neoadjuvant chemotherapy to manage the risk of use outside this population (para 7.10).</w:t>
            </w:r>
          </w:p>
          <w:p w14:paraId="42E725F1" w14:textId="3A158DED" w:rsidR="001757F2" w:rsidRPr="00F92E56" w:rsidRDefault="001757F2" w:rsidP="00A15693">
            <w:pPr>
              <w:jc w:val="left"/>
              <w:rPr>
                <w:rFonts w:ascii="Arial Narrow" w:hAnsi="Arial Narrow" w:cs="Times New Roman"/>
                <w:snapToGrid w:val="0"/>
                <w:sz w:val="20"/>
              </w:rPr>
            </w:pPr>
            <w:r w:rsidRPr="00F92E56">
              <w:rPr>
                <w:rFonts w:ascii="Arial Narrow" w:hAnsi="Arial Narrow" w:cs="Times New Roman"/>
                <w:snapToGrid w:val="0"/>
                <w:sz w:val="20"/>
              </w:rPr>
              <w:t>The PBAC considered a resubmission for nivolumab should address or provide an outline of an RSA to manage the risk of use in patients who have not received prior neoadjuvant platinum-based chemotherapy (para 7.11).</w:t>
            </w:r>
          </w:p>
        </w:tc>
        <w:tc>
          <w:tcPr>
            <w:tcW w:w="1544" w:type="pct"/>
          </w:tcPr>
          <w:p w14:paraId="38A75895" w14:textId="194BF59D" w:rsidR="0088600D" w:rsidRPr="00F92E56" w:rsidRDefault="001757F2" w:rsidP="00A15693">
            <w:pPr>
              <w:jc w:val="left"/>
              <w:rPr>
                <w:rFonts w:ascii="Arial Narrow" w:hAnsi="Arial Narrow" w:cs="Times New Roman"/>
                <w:snapToGrid w:val="0"/>
                <w:sz w:val="20"/>
              </w:rPr>
            </w:pPr>
            <w:r w:rsidRPr="00F92E56">
              <w:rPr>
                <w:rFonts w:ascii="Arial Narrow" w:hAnsi="Arial Narrow" w:cs="Times New Roman"/>
                <w:snapToGrid w:val="0"/>
                <w:sz w:val="20"/>
              </w:rPr>
              <w:t>Not addressed. No RSA was proposed in the resubmission. Of note, the requested restriction allows patients who are contraindicated or intolerant to neoadjuvant platinum-based chemotherapy to access nivolumab.</w:t>
            </w:r>
          </w:p>
        </w:tc>
      </w:tr>
    </w:tbl>
    <w:p w14:paraId="39533704" w14:textId="6C0E5187" w:rsidR="001B3003" w:rsidRPr="00F92E56" w:rsidRDefault="005C25FF" w:rsidP="004E18E9">
      <w:pPr>
        <w:pStyle w:val="FooterTableFigure"/>
      </w:pPr>
      <w:r w:rsidRPr="00F92E56">
        <w:t xml:space="preserve">Source: </w:t>
      </w:r>
      <w:r w:rsidR="00680B9C" w:rsidRPr="00F92E56">
        <w:t xml:space="preserve">Nivolumab </w:t>
      </w:r>
      <w:r w:rsidR="002A7ACB" w:rsidRPr="00F92E56">
        <w:t>Public Summary Document</w:t>
      </w:r>
      <w:r w:rsidR="00BE598F">
        <w:t xml:space="preserve"> (PSD)</w:t>
      </w:r>
      <w:r w:rsidR="002A7ACB" w:rsidRPr="00F92E56">
        <w:t>, July 2022 PBAC meeting</w:t>
      </w:r>
      <w:r w:rsidR="00E1334C" w:rsidRPr="00F92E56">
        <w:t>; Nivolumab</w:t>
      </w:r>
      <w:r w:rsidR="004568D2" w:rsidRPr="00F92E56">
        <w:t xml:space="preserve"> resubmission.</w:t>
      </w:r>
    </w:p>
    <w:p w14:paraId="68E3A972" w14:textId="77777777" w:rsidR="008636EF" w:rsidRPr="00F92E56" w:rsidRDefault="008636EF" w:rsidP="008636EF">
      <w:pPr>
        <w:ind w:firstLine="709"/>
        <w:rPr>
          <w:rFonts w:asciiTheme="minorHAnsi" w:hAnsiTheme="minorHAnsi"/>
          <w:i/>
        </w:rPr>
      </w:pPr>
      <w:bookmarkStart w:id="10" w:name="_Hlk76375324"/>
      <w:bookmarkStart w:id="11" w:name="_Toc145496529"/>
      <w:r w:rsidRPr="00F92E56">
        <w:rPr>
          <w:rFonts w:asciiTheme="minorHAnsi" w:hAnsiTheme="minorHAnsi"/>
          <w:i/>
        </w:rPr>
        <w:t>For more detail on PBAC’s view, see section 7 PBAC outcome.</w:t>
      </w:r>
    </w:p>
    <w:bookmarkEnd w:id="10"/>
    <w:p w14:paraId="6F5A2D83" w14:textId="0CFB679A" w:rsidR="00B60939" w:rsidRPr="00F92E56" w:rsidRDefault="00B50DB8" w:rsidP="004E18E9">
      <w:pPr>
        <w:pStyle w:val="2-SectionHeading"/>
      </w:pPr>
      <w:r w:rsidRPr="00F92E56">
        <w:t>Requested listing</w:t>
      </w:r>
      <w:bookmarkEnd w:id="11"/>
    </w:p>
    <w:p w14:paraId="6DBD8450" w14:textId="2BAE3432" w:rsidR="005F4681" w:rsidRPr="00F92E56" w:rsidRDefault="005F4681" w:rsidP="00236876">
      <w:pPr>
        <w:pStyle w:val="3-BodyText"/>
      </w:pPr>
      <w:r w:rsidRPr="00F92E56">
        <w:t>Suggestions and additions proposed by the Secretariat are added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
        <w:gridCol w:w="1010"/>
        <w:gridCol w:w="1279"/>
        <w:gridCol w:w="1827"/>
        <w:gridCol w:w="2566"/>
        <w:gridCol w:w="1367"/>
      </w:tblGrid>
      <w:tr w:rsidR="005F4681" w:rsidRPr="00F92E56" w14:paraId="2B298064" w14:textId="77777777" w:rsidTr="00236876">
        <w:trPr>
          <w:trHeight w:val="20"/>
        </w:trPr>
        <w:tc>
          <w:tcPr>
            <w:tcW w:w="1097" w:type="pct"/>
            <w:gridSpan w:val="2"/>
            <w:tcMar>
              <w:top w:w="28" w:type="dxa"/>
              <w:left w:w="57" w:type="dxa"/>
              <w:bottom w:w="28" w:type="dxa"/>
              <w:right w:w="57" w:type="dxa"/>
            </w:tcMar>
            <w:vAlign w:val="center"/>
          </w:tcPr>
          <w:p w14:paraId="2025A1CA" w14:textId="77777777" w:rsidR="005F4681" w:rsidRPr="00F92E56" w:rsidRDefault="005F4681" w:rsidP="005B0C72">
            <w:pPr>
              <w:pStyle w:val="Tableheadingrow"/>
            </w:pPr>
            <w:r w:rsidRPr="00F92E56">
              <w:lastRenderedPageBreak/>
              <w:t>MEDICINAL PRODUCT</w:t>
            </w:r>
          </w:p>
          <w:p w14:paraId="5EBC80A6" w14:textId="77777777" w:rsidR="005F4681" w:rsidRPr="00F92E56" w:rsidRDefault="005F4681" w:rsidP="005B0C72">
            <w:pPr>
              <w:pStyle w:val="Tableheadingrow"/>
            </w:pPr>
            <w:r w:rsidRPr="00F92E56">
              <w:t>Form</w:t>
            </w:r>
          </w:p>
        </w:tc>
        <w:tc>
          <w:tcPr>
            <w:tcW w:w="709" w:type="pct"/>
            <w:tcMar>
              <w:top w:w="28" w:type="dxa"/>
              <w:left w:w="57" w:type="dxa"/>
              <w:bottom w:w="28" w:type="dxa"/>
              <w:right w:w="57" w:type="dxa"/>
            </w:tcMar>
            <w:vAlign w:val="center"/>
          </w:tcPr>
          <w:p w14:paraId="00A037FA" w14:textId="77777777" w:rsidR="005F4681" w:rsidRPr="00F92E56" w:rsidRDefault="005F4681" w:rsidP="005B0C72">
            <w:pPr>
              <w:pStyle w:val="Tableheadingrow"/>
              <w:jc w:val="center"/>
            </w:pPr>
            <w:r w:rsidRPr="00F92E56">
              <w:t>PBS item code</w:t>
            </w:r>
          </w:p>
        </w:tc>
        <w:tc>
          <w:tcPr>
            <w:tcW w:w="1013" w:type="pct"/>
            <w:tcMar>
              <w:top w:w="28" w:type="dxa"/>
              <w:left w:w="57" w:type="dxa"/>
              <w:bottom w:w="28" w:type="dxa"/>
              <w:right w:w="57" w:type="dxa"/>
            </w:tcMar>
            <w:vAlign w:val="center"/>
          </w:tcPr>
          <w:p w14:paraId="69B4A8D6" w14:textId="4EA7AF73" w:rsidR="005F4681" w:rsidRPr="00F92E56" w:rsidRDefault="005F4681" w:rsidP="005B0C72">
            <w:pPr>
              <w:pStyle w:val="Tableheadingrow"/>
              <w:jc w:val="center"/>
            </w:pPr>
            <w:r w:rsidRPr="00F92E56">
              <w:t>Maximum amount</w:t>
            </w:r>
          </w:p>
        </w:tc>
        <w:tc>
          <w:tcPr>
            <w:tcW w:w="1423" w:type="pct"/>
            <w:tcMar>
              <w:top w:w="28" w:type="dxa"/>
              <w:left w:w="57" w:type="dxa"/>
              <w:bottom w:w="28" w:type="dxa"/>
              <w:right w:w="57" w:type="dxa"/>
            </w:tcMar>
            <w:vAlign w:val="center"/>
          </w:tcPr>
          <w:p w14:paraId="3B308619" w14:textId="5E848375" w:rsidR="005F4681" w:rsidRPr="00F92E56" w:rsidRDefault="005F4681" w:rsidP="005B0C72">
            <w:pPr>
              <w:pStyle w:val="Tableheadingrow"/>
              <w:jc w:val="center"/>
            </w:pPr>
            <w:r w:rsidRPr="00F92E56">
              <w:t>Dispensed price for maximum amount</w:t>
            </w:r>
          </w:p>
        </w:tc>
        <w:tc>
          <w:tcPr>
            <w:tcW w:w="759" w:type="pct"/>
            <w:tcMar>
              <w:top w:w="28" w:type="dxa"/>
              <w:left w:w="57" w:type="dxa"/>
              <w:bottom w:w="28" w:type="dxa"/>
              <w:right w:w="57" w:type="dxa"/>
            </w:tcMar>
            <w:vAlign w:val="center"/>
          </w:tcPr>
          <w:p w14:paraId="4F953BF2" w14:textId="77777777" w:rsidR="005F4681" w:rsidRPr="00F92E56" w:rsidRDefault="005F4681" w:rsidP="005B0C72">
            <w:pPr>
              <w:pStyle w:val="Tableheadingrow"/>
              <w:jc w:val="center"/>
            </w:pPr>
            <w:r w:rsidRPr="00F92E56">
              <w:t>№.of Rpts</w:t>
            </w:r>
          </w:p>
        </w:tc>
      </w:tr>
      <w:tr w:rsidR="005F4681" w:rsidRPr="00F92E56" w14:paraId="46C8DAFC" w14:textId="77777777" w:rsidTr="00236876">
        <w:trPr>
          <w:trHeight w:val="20"/>
        </w:trPr>
        <w:tc>
          <w:tcPr>
            <w:tcW w:w="1097" w:type="pct"/>
            <w:gridSpan w:val="2"/>
            <w:tcMar>
              <w:top w:w="28" w:type="dxa"/>
              <w:left w:w="57" w:type="dxa"/>
              <w:bottom w:w="28" w:type="dxa"/>
              <w:right w:w="57" w:type="dxa"/>
            </w:tcMar>
          </w:tcPr>
          <w:p w14:paraId="722F4F1F" w14:textId="77777777" w:rsidR="005F4681" w:rsidRPr="00F92E56" w:rsidRDefault="005F4681" w:rsidP="005B0C72">
            <w:pPr>
              <w:pStyle w:val="Tabletext"/>
              <w:rPr>
                <w:rFonts w:eastAsia="Calibri"/>
              </w:rPr>
            </w:pPr>
            <w:r w:rsidRPr="00F92E56">
              <w:rPr>
                <w:rFonts w:eastAsia="Calibri"/>
              </w:rPr>
              <w:t xml:space="preserve">NIVOLUMAB </w:t>
            </w:r>
          </w:p>
          <w:p w14:paraId="1BFB4D74" w14:textId="77777777" w:rsidR="005F4681" w:rsidRPr="00F92E56" w:rsidRDefault="005F4681" w:rsidP="005B0C72">
            <w:pPr>
              <w:pStyle w:val="Tabletext"/>
              <w:rPr>
                <w:rFonts w:eastAsia="Calibri"/>
              </w:rPr>
            </w:pPr>
            <w:r w:rsidRPr="00F92E56">
              <w:rPr>
                <w:rFonts w:eastAsia="Calibri" w:cs="Arial Narrow"/>
              </w:rPr>
              <w:t>Injection</w:t>
            </w:r>
          </w:p>
        </w:tc>
        <w:tc>
          <w:tcPr>
            <w:tcW w:w="709" w:type="pct"/>
            <w:tcMar>
              <w:top w:w="28" w:type="dxa"/>
              <w:left w:w="57" w:type="dxa"/>
              <w:bottom w:w="28" w:type="dxa"/>
              <w:right w:w="57" w:type="dxa"/>
            </w:tcMar>
          </w:tcPr>
          <w:p w14:paraId="12D711EB" w14:textId="77777777" w:rsidR="005F4681" w:rsidRPr="00F92E56" w:rsidRDefault="005F4681" w:rsidP="005B0C72">
            <w:pPr>
              <w:pStyle w:val="Tabletext"/>
              <w:rPr>
                <w:rFonts w:eastAsia="Calibri"/>
              </w:rPr>
            </w:pPr>
            <w:r w:rsidRPr="00F92E56">
              <w:rPr>
                <w:rFonts w:eastAsia="Calibri"/>
              </w:rPr>
              <w:t>NEW (Public)</w:t>
            </w:r>
          </w:p>
          <w:p w14:paraId="5FD70F61" w14:textId="77777777" w:rsidR="005F4681" w:rsidRPr="00F92E56" w:rsidRDefault="005F4681" w:rsidP="005B0C72">
            <w:pPr>
              <w:pStyle w:val="Tabletext"/>
              <w:rPr>
                <w:rFonts w:eastAsia="Calibri"/>
              </w:rPr>
            </w:pPr>
            <w:r w:rsidRPr="00F92E56">
              <w:rPr>
                <w:rFonts w:eastAsia="Calibri"/>
              </w:rPr>
              <w:t>NEW (Private)</w:t>
            </w:r>
          </w:p>
          <w:p w14:paraId="5875E01E" w14:textId="77777777" w:rsidR="005F4681" w:rsidRPr="00F92E56" w:rsidRDefault="005F4681" w:rsidP="005B0C72">
            <w:pPr>
              <w:pStyle w:val="Tabletext"/>
              <w:rPr>
                <w:rFonts w:eastAsia="Calibri"/>
                <w:vertAlign w:val="subscript"/>
              </w:rPr>
            </w:pPr>
            <w:r w:rsidRPr="00F92E56">
              <w:rPr>
                <w:rFonts w:eastAsia="Calibri"/>
                <w:vertAlign w:val="subscript"/>
              </w:rPr>
              <w:t>MP</w:t>
            </w:r>
          </w:p>
        </w:tc>
        <w:tc>
          <w:tcPr>
            <w:tcW w:w="1013" w:type="pct"/>
            <w:tcMar>
              <w:top w:w="28" w:type="dxa"/>
              <w:left w:w="57" w:type="dxa"/>
              <w:bottom w:w="28" w:type="dxa"/>
              <w:right w:w="57" w:type="dxa"/>
            </w:tcMar>
          </w:tcPr>
          <w:p w14:paraId="16158508" w14:textId="30C7706E" w:rsidR="005F4681" w:rsidRPr="00F92E56" w:rsidRDefault="005F4681" w:rsidP="005B0C72">
            <w:pPr>
              <w:pStyle w:val="Tabletext"/>
              <w:jc w:val="center"/>
              <w:rPr>
                <w:rFonts w:eastAsia="Calibri"/>
                <w:iCs/>
              </w:rPr>
            </w:pPr>
            <w:r w:rsidRPr="00F92E56">
              <w:rPr>
                <w:rFonts w:eastAsia="Calibri"/>
                <w:iCs/>
              </w:rPr>
              <w:t>480 mg</w:t>
            </w:r>
          </w:p>
        </w:tc>
        <w:tc>
          <w:tcPr>
            <w:tcW w:w="1423" w:type="pct"/>
            <w:tcMar>
              <w:top w:w="28" w:type="dxa"/>
              <w:left w:w="57" w:type="dxa"/>
              <w:bottom w:w="28" w:type="dxa"/>
              <w:right w:w="57" w:type="dxa"/>
            </w:tcMar>
          </w:tcPr>
          <w:p w14:paraId="4729C040" w14:textId="77777777" w:rsidR="005F4681" w:rsidRPr="00F92E56" w:rsidRDefault="005F4681" w:rsidP="005B0C72">
            <w:pPr>
              <w:pStyle w:val="Tabletext"/>
            </w:pPr>
            <w:r w:rsidRPr="00F92E56">
              <w:t>Published (Private Hospital)</w:t>
            </w:r>
          </w:p>
          <w:p w14:paraId="27C1318A" w14:textId="77777777" w:rsidR="005F4681" w:rsidRPr="00F92E56" w:rsidRDefault="005F4681" w:rsidP="005B0C72">
            <w:pPr>
              <w:pStyle w:val="Tabletext"/>
              <w:rPr>
                <w:vertAlign w:val="superscript"/>
              </w:rPr>
            </w:pPr>
            <w:r w:rsidRPr="00F92E56">
              <w:t>$9,731.26</w:t>
            </w:r>
            <w:r w:rsidRPr="00F92E56">
              <w:rPr>
                <w:vertAlign w:val="superscript"/>
              </w:rPr>
              <w:t>a</w:t>
            </w:r>
          </w:p>
          <w:p w14:paraId="39965041" w14:textId="77777777" w:rsidR="005F4681" w:rsidRPr="00F92E56" w:rsidRDefault="005F4681" w:rsidP="005B0C72">
            <w:pPr>
              <w:pStyle w:val="Tabletext"/>
            </w:pPr>
            <w:r w:rsidRPr="00F92E56">
              <w:t>Published (Public Hospital)</w:t>
            </w:r>
          </w:p>
          <w:p w14:paraId="56918E46" w14:textId="77777777" w:rsidR="005F4681" w:rsidRPr="00F92E56" w:rsidRDefault="005F4681" w:rsidP="005B0C72">
            <w:pPr>
              <w:pStyle w:val="Tabletext"/>
              <w:rPr>
                <w:vertAlign w:val="superscript"/>
              </w:rPr>
            </w:pPr>
            <w:r w:rsidRPr="00F92E56">
              <w:t>$9,557.05</w:t>
            </w:r>
            <w:r w:rsidRPr="00F92E56">
              <w:rPr>
                <w:vertAlign w:val="superscript"/>
              </w:rPr>
              <w:t>a</w:t>
            </w:r>
          </w:p>
          <w:p w14:paraId="290C0A45" w14:textId="77777777" w:rsidR="005F4681" w:rsidRPr="00F92E56" w:rsidRDefault="005F4681" w:rsidP="005B0C72">
            <w:pPr>
              <w:pStyle w:val="Tabletext"/>
            </w:pPr>
          </w:p>
          <w:p w14:paraId="4DF2AFB0" w14:textId="77777777" w:rsidR="005F4681" w:rsidRPr="00F92E56" w:rsidRDefault="005F4681" w:rsidP="005B0C72">
            <w:pPr>
              <w:pStyle w:val="Tabletext"/>
            </w:pPr>
            <w:r w:rsidRPr="00F92E56">
              <w:t>Effective (Private Hospital)</w:t>
            </w:r>
          </w:p>
          <w:p w14:paraId="724ADCBC" w14:textId="2C2B5FBA" w:rsidR="005F4681" w:rsidRPr="00F92E56" w:rsidRDefault="00785872" w:rsidP="005B0C72">
            <w:pPr>
              <w:pStyle w:val="Tabletext"/>
            </w:pPr>
            <w:r w:rsidRPr="00785872">
              <w:t>$</w:t>
            </w:r>
            <w:r w:rsidRPr="00785872">
              <w:rPr>
                <w:color w:val="000000"/>
                <w:spacing w:val="49"/>
                <w:shd w:val="solid" w:color="000000" w:fill="000000"/>
                <w:fitText w:val="320" w:id="-1032081664"/>
                <w14:textFill>
                  <w14:solidFill>
                    <w14:srgbClr w14:val="000000">
                      <w14:alpha w14:val="100000"/>
                    </w14:srgbClr>
                  </w14:solidFill>
                </w14:textFill>
              </w:rPr>
              <w:t>|||</w:t>
            </w:r>
            <w:r w:rsidRPr="00785872">
              <w:rPr>
                <w:color w:val="000000"/>
                <w:spacing w:val="3"/>
                <w:shd w:val="solid" w:color="000000" w:fill="000000"/>
                <w:fitText w:val="320" w:id="-1032081664"/>
                <w14:textFill>
                  <w14:solidFill>
                    <w14:srgbClr w14:val="000000">
                      <w14:alpha w14:val="100000"/>
                    </w14:srgbClr>
                  </w14:solidFill>
                </w14:textFill>
              </w:rPr>
              <w:t>|</w:t>
            </w:r>
            <w:r w:rsidR="005F4681" w:rsidRPr="00347D1F">
              <w:rPr>
                <w:vertAlign w:val="superscript"/>
              </w:rPr>
              <w:t>a</w:t>
            </w:r>
          </w:p>
          <w:p w14:paraId="3D03046B" w14:textId="77777777" w:rsidR="005F4681" w:rsidRPr="00F92E56" w:rsidRDefault="005F4681" w:rsidP="005B0C72">
            <w:pPr>
              <w:pStyle w:val="Tabletext"/>
            </w:pPr>
            <w:r w:rsidRPr="00F92E56">
              <w:t>Effective (Public Hospital)</w:t>
            </w:r>
          </w:p>
          <w:p w14:paraId="1F2DD3EE" w14:textId="1923D318" w:rsidR="005F4681" w:rsidRPr="00F92E56" w:rsidRDefault="00785872" w:rsidP="005B0C72">
            <w:pPr>
              <w:pStyle w:val="Tabletext"/>
              <w:rPr>
                <w:rFonts w:eastAsia="Calibri"/>
                <w:iCs/>
              </w:rPr>
            </w:pPr>
            <w:r w:rsidRPr="00785872">
              <w:t>$</w:t>
            </w:r>
            <w:r w:rsidRPr="00785872">
              <w:rPr>
                <w:color w:val="000000"/>
                <w:spacing w:val="49"/>
                <w:shd w:val="solid" w:color="000000" w:fill="000000"/>
                <w:fitText w:val="320" w:id="-1032081663"/>
                <w14:textFill>
                  <w14:solidFill>
                    <w14:srgbClr w14:val="000000">
                      <w14:alpha w14:val="100000"/>
                    </w14:srgbClr>
                  </w14:solidFill>
                </w14:textFill>
              </w:rPr>
              <w:t>|||</w:t>
            </w:r>
            <w:r w:rsidRPr="00785872">
              <w:rPr>
                <w:color w:val="000000"/>
                <w:spacing w:val="3"/>
                <w:shd w:val="solid" w:color="000000" w:fill="000000"/>
                <w:fitText w:val="320" w:id="-1032081663"/>
                <w14:textFill>
                  <w14:solidFill>
                    <w14:srgbClr w14:val="000000">
                      <w14:alpha w14:val="100000"/>
                    </w14:srgbClr>
                  </w14:solidFill>
                </w14:textFill>
              </w:rPr>
              <w:t>|</w:t>
            </w:r>
            <w:r w:rsidR="005F4681" w:rsidRPr="00347D1F">
              <w:rPr>
                <w:vertAlign w:val="superscript"/>
              </w:rPr>
              <w:t>a</w:t>
            </w:r>
          </w:p>
        </w:tc>
        <w:tc>
          <w:tcPr>
            <w:tcW w:w="759" w:type="pct"/>
            <w:tcMar>
              <w:top w:w="28" w:type="dxa"/>
              <w:left w:w="57" w:type="dxa"/>
              <w:bottom w:w="28" w:type="dxa"/>
              <w:right w:w="57" w:type="dxa"/>
            </w:tcMar>
          </w:tcPr>
          <w:p w14:paraId="3C280529" w14:textId="77777777" w:rsidR="005F4681" w:rsidRPr="00F92E56" w:rsidRDefault="005F4681" w:rsidP="005B0C72">
            <w:pPr>
              <w:pStyle w:val="Tabletext"/>
              <w:jc w:val="center"/>
              <w:rPr>
                <w:rFonts w:eastAsia="Calibri"/>
                <w:i/>
              </w:rPr>
            </w:pPr>
          </w:p>
          <w:p w14:paraId="665ADC78" w14:textId="77777777" w:rsidR="005F4681" w:rsidRPr="00F92E56" w:rsidRDefault="005F4681" w:rsidP="005B0C72">
            <w:pPr>
              <w:pStyle w:val="Tabletext"/>
              <w:jc w:val="center"/>
              <w:rPr>
                <w:rFonts w:eastAsia="Calibri"/>
              </w:rPr>
            </w:pPr>
            <w:r w:rsidRPr="00F92E56">
              <w:rPr>
                <w:rFonts w:eastAsia="Calibri"/>
              </w:rPr>
              <w:t>5</w:t>
            </w:r>
          </w:p>
        </w:tc>
      </w:tr>
      <w:tr w:rsidR="005F4681" w:rsidRPr="00F92E56" w14:paraId="00DF6CBF" w14:textId="77777777" w:rsidTr="00236876">
        <w:trPr>
          <w:trHeight w:val="20"/>
        </w:trPr>
        <w:tc>
          <w:tcPr>
            <w:tcW w:w="5000" w:type="pct"/>
            <w:gridSpan w:val="6"/>
            <w:tcMar>
              <w:top w:w="28" w:type="dxa"/>
              <w:left w:w="57" w:type="dxa"/>
              <w:bottom w:w="28" w:type="dxa"/>
              <w:right w:w="57" w:type="dxa"/>
            </w:tcMar>
          </w:tcPr>
          <w:p w14:paraId="2285C4E6" w14:textId="77777777" w:rsidR="005F4681" w:rsidRPr="005B0C72" w:rsidRDefault="005F4681" w:rsidP="005B0C72">
            <w:pPr>
              <w:pStyle w:val="TableText0"/>
              <w:jc w:val="both"/>
            </w:pPr>
            <w:r w:rsidRPr="005B0C72">
              <w:t>Available brands</w:t>
            </w:r>
          </w:p>
        </w:tc>
      </w:tr>
      <w:tr w:rsidR="005F4681" w:rsidRPr="00F92E56" w14:paraId="6BEDB75D" w14:textId="77777777" w:rsidTr="00236876">
        <w:trPr>
          <w:trHeight w:val="20"/>
        </w:trPr>
        <w:tc>
          <w:tcPr>
            <w:tcW w:w="5000" w:type="pct"/>
            <w:gridSpan w:val="6"/>
            <w:tcMar>
              <w:top w:w="28" w:type="dxa"/>
              <w:left w:w="57" w:type="dxa"/>
              <w:bottom w:w="28" w:type="dxa"/>
              <w:right w:w="57" w:type="dxa"/>
            </w:tcMar>
          </w:tcPr>
          <w:p w14:paraId="165B8FEA" w14:textId="77777777" w:rsidR="005F4681" w:rsidRPr="005B0C72" w:rsidRDefault="005F4681" w:rsidP="005B0C72">
            <w:pPr>
              <w:pStyle w:val="TableText0"/>
              <w:jc w:val="both"/>
            </w:pPr>
            <w:r w:rsidRPr="005B0C72">
              <w:t>Opdivo</w:t>
            </w:r>
          </w:p>
          <w:p w14:paraId="51ACC426" w14:textId="77777777" w:rsidR="005F4681" w:rsidRPr="005B0C72" w:rsidRDefault="005F4681" w:rsidP="005B0C72">
            <w:pPr>
              <w:pStyle w:val="TableText0"/>
              <w:jc w:val="both"/>
            </w:pPr>
            <w:r w:rsidRPr="005B0C72">
              <w:t>(nivolumab 40 mg/4 mL injection, 4 mL vial)</w:t>
            </w:r>
          </w:p>
        </w:tc>
      </w:tr>
      <w:tr w:rsidR="005F4681" w:rsidRPr="00F92E56" w14:paraId="6B42381A" w14:textId="77777777" w:rsidTr="00236876">
        <w:trPr>
          <w:trHeight w:val="20"/>
        </w:trPr>
        <w:tc>
          <w:tcPr>
            <w:tcW w:w="5000" w:type="pct"/>
            <w:gridSpan w:val="6"/>
            <w:tcMar>
              <w:top w:w="28" w:type="dxa"/>
              <w:left w:w="57" w:type="dxa"/>
              <w:bottom w:w="28" w:type="dxa"/>
              <w:right w:w="57" w:type="dxa"/>
            </w:tcMar>
          </w:tcPr>
          <w:p w14:paraId="19A04CF2" w14:textId="77777777" w:rsidR="005F4681" w:rsidRPr="005B0C72" w:rsidRDefault="005F4681" w:rsidP="005B0C72">
            <w:pPr>
              <w:pStyle w:val="TableText0"/>
              <w:jc w:val="both"/>
            </w:pPr>
            <w:r w:rsidRPr="005B0C72">
              <w:t>Opdivo</w:t>
            </w:r>
          </w:p>
          <w:p w14:paraId="35B49198" w14:textId="77777777" w:rsidR="005F4681" w:rsidRPr="005B0C72" w:rsidRDefault="005F4681" w:rsidP="005B0C72">
            <w:pPr>
              <w:pStyle w:val="TableText0"/>
              <w:jc w:val="both"/>
            </w:pPr>
            <w:r w:rsidRPr="005B0C72">
              <w:t>(nivolumab 100 mg/10 mL injection, 10 mL vial)</w:t>
            </w:r>
          </w:p>
        </w:tc>
      </w:tr>
      <w:tr w:rsidR="005F4681" w:rsidRPr="00F92E56" w14:paraId="521EB7C3" w14:textId="77777777" w:rsidTr="00236876">
        <w:trPr>
          <w:trHeight w:val="20"/>
        </w:trPr>
        <w:tc>
          <w:tcPr>
            <w:tcW w:w="5000" w:type="pct"/>
            <w:gridSpan w:val="6"/>
            <w:tcMar>
              <w:top w:w="28" w:type="dxa"/>
              <w:left w:w="57" w:type="dxa"/>
              <w:bottom w:w="28" w:type="dxa"/>
              <w:right w:w="57" w:type="dxa"/>
            </w:tcMar>
          </w:tcPr>
          <w:p w14:paraId="666F2D03" w14:textId="77777777" w:rsidR="005F4681" w:rsidRPr="005B0C72" w:rsidRDefault="005F4681" w:rsidP="005B0C72">
            <w:pPr>
              <w:pStyle w:val="TableText0"/>
              <w:jc w:val="both"/>
            </w:pPr>
          </w:p>
        </w:tc>
      </w:tr>
      <w:tr w:rsidR="005F4681" w:rsidRPr="00F92E56" w14:paraId="686DFCB7"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000" w:type="pct"/>
            <w:gridSpan w:val="6"/>
            <w:tcMar>
              <w:top w:w="28" w:type="dxa"/>
              <w:left w:w="57" w:type="dxa"/>
              <w:bottom w:w="28" w:type="dxa"/>
              <w:right w:w="57" w:type="dxa"/>
            </w:tcMar>
            <w:vAlign w:val="center"/>
          </w:tcPr>
          <w:p w14:paraId="7F7C8E5A" w14:textId="77777777" w:rsidR="005F4681" w:rsidRPr="005B0C72" w:rsidRDefault="005F4681" w:rsidP="005B0C72">
            <w:pPr>
              <w:pStyle w:val="TableText0"/>
              <w:jc w:val="both"/>
            </w:pPr>
            <w:r w:rsidRPr="005B0C72">
              <w:rPr>
                <w:rFonts w:eastAsia="MS Mincho"/>
              </w:rPr>
              <w:t>Restriction Summary New 1 / Treatment of Concept: New 1.1: Authority Required</w:t>
            </w:r>
          </w:p>
        </w:tc>
      </w:tr>
      <w:tr w:rsidR="00DF07C0" w:rsidRPr="00F92E56" w14:paraId="64A6C375"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vMerge w:val="restart"/>
            <w:tcMar>
              <w:top w:w="28" w:type="dxa"/>
              <w:left w:w="57" w:type="dxa"/>
              <w:bottom w:w="28" w:type="dxa"/>
              <w:right w:w="57" w:type="dxa"/>
            </w:tcMar>
            <w:vAlign w:val="center"/>
          </w:tcPr>
          <w:p w14:paraId="51CDDFF3" w14:textId="13FBEBB1" w:rsidR="00DF07C0" w:rsidRPr="005B0C72" w:rsidRDefault="00DF07C0" w:rsidP="005B0C72">
            <w:pPr>
              <w:pStyle w:val="TableText0"/>
              <w:jc w:val="both"/>
              <w:rPr>
                <w:color w:val="000000"/>
              </w:rPr>
            </w:pPr>
          </w:p>
        </w:tc>
        <w:tc>
          <w:tcPr>
            <w:tcW w:w="4463" w:type="pct"/>
            <w:gridSpan w:val="5"/>
            <w:tcMar>
              <w:top w:w="28" w:type="dxa"/>
              <w:left w:w="57" w:type="dxa"/>
              <w:bottom w:w="28" w:type="dxa"/>
              <w:right w:w="57" w:type="dxa"/>
            </w:tcMar>
            <w:vAlign w:val="center"/>
          </w:tcPr>
          <w:p w14:paraId="6215428B" w14:textId="23F0B3B3" w:rsidR="00DF07C0" w:rsidRPr="005B0C72" w:rsidRDefault="00DF07C0" w:rsidP="005B0C72">
            <w:pPr>
              <w:pStyle w:val="TableText0"/>
              <w:jc w:val="both"/>
              <w:rPr>
                <w:color w:val="D9D9D9" w:themeColor="background1" w:themeShade="D9"/>
              </w:rPr>
            </w:pPr>
            <w:r w:rsidRPr="005B0C72">
              <w:rPr>
                <w:color w:val="000000"/>
              </w:rPr>
              <w:t>Category / Program:</w:t>
            </w:r>
            <w:r w:rsidRPr="005B0C72">
              <w:t xml:space="preserve"> </w:t>
            </w:r>
            <w:r w:rsidRPr="005B0C72">
              <w:rPr>
                <w:rFonts w:cs="Arial Narrow"/>
                <w:iCs/>
                <w:color w:val="000000"/>
              </w:rPr>
              <w:t>Section 100 – Efficient Funding of Chemotherapy Public/Private hospitals</w:t>
            </w:r>
          </w:p>
        </w:tc>
      </w:tr>
      <w:tr w:rsidR="00DF07C0" w:rsidRPr="00F92E56" w14:paraId="71A59130"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vMerge/>
            <w:tcMar>
              <w:top w:w="28" w:type="dxa"/>
              <w:left w:w="57" w:type="dxa"/>
              <w:bottom w:w="28" w:type="dxa"/>
              <w:right w:w="57" w:type="dxa"/>
            </w:tcMar>
            <w:vAlign w:val="center"/>
          </w:tcPr>
          <w:p w14:paraId="4E2ACC29" w14:textId="77777777" w:rsidR="00DF07C0" w:rsidRPr="005B0C72" w:rsidRDefault="00DF07C0" w:rsidP="005B0C72">
            <w:pPr>
              <w:pStyle w:val="TableText0"/>
              <w:jc w:val="both"/>
              <w:rPr>
                <w:color w:val="000000"/>
              </w:rPr>
            </w:pPr>
          </w:p>
        </w:tc>
        <w:tc>
          <w:tcPr>
            <w:tcW w:w="4463" w:type="pct"/>
            <w:gridSpan w:val="5"/>
            <w:tcMar>
              <w:top w:w="28" w:type="dxa"/>
              <w:left w:w="57" w:type="dxa"/>
              <w:bottom w:w="28" w:type="dxa"/>
              <w:right w:w="57" w:type="dxa"/>
            </w:tcMar>
            <w:vAlign w:val="center"/>
          </w:tcPr>
          <w:p w14:paraId="5AE72C91" w14:textId="293C3BB8" w:rsidR="00DF07C0" w:rsidRPr="005B0C72" w:rsidRDefault="00DF07C0" w:rsidP="005B0C72">
            <w:pPr>
              <w:pStyle w:val="TableText0"/>
              <w:jc w:val="both"/>
              <w:rPr>
                <w:color w:val="D9D9D9" w:themeColor="background1" w:themeShade="D9"/>
              </w:rPr>
            </w:pPr>
            <w:r w:rsidRPr="005B0C72">
              <w:rPr>
                <w:color w:val="000000"/>
              </w:rPr>
              <w:t>Prescriber type:</w:t>
            </w:r>
            <w:r w:rsidRPr="005B0C72">
              <w:rPr>
                <w:color w:val="D9D9D9" w:themeColor="background1" w:themeShade="D9"/>
              </w:rPr>
              <w:t xml:space="preserve"> </w:t>
            </w:r>
            <w:r w:rsidRPr="005B0C72">
              <w:fldChar w:fldCharType="begin" w:fldLock="1">
                <w:ffData>
                  <w:name w:val=""/>
                  <w:enabled/>
                  <w:calcOnExit w:val="0"/>
                  <w:checkBox>
                    <w:sizeAuto/>
                    <w:default w:val="1"/>
                  </w:checkBox>
                </w:ffData>
              </w:fldChar>
            </w:r>
            <w:r w:rsidRPr="005B0C72">
              <w:instrText xml:space="preserve"> FORMCHECKBOX </w:instrText>
            </w:r>
            <w:r w:rsidR="001D78FA">
              <w:fldChar w:fldCharType="separate"/>
            </w:r>
            <w:r w:rsidRPr="005B0C72">
              <w:fldChar w:fldCharType="end"/>
            </w:r>
            <w:r w:rsidRPr="005B0C72">
              <w:rPr>
                <w:rFonts w:cs="Arial Narrow"/>
                <w:iCs/>
                <w:color w:val="000000"/>
              </w:rPr>
              <w:t>Medical Practitioners</w:t>
            </w:r>
          </w:p>
        </w:tc>
      </w:tr>
      <w:tr w:rsidR="00DF07C0" w:rsidRPr="00F92E56" w14:paraId="00A3946C"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vMerge/>
            <w:tcMar>
              <w:top w:w="28" w:type="dxa"/>
              <w:left w:w="57" w:type="dxa"/>
              <w:bottom w:w="28" w:type="dxa"/>
              <w:right w:w="57" w:type="dxa"/>
            </w:tcMar>
            <w:vAlign w:val="center"/>
          </w:tcPr>
          <w:p w14:paraId="2BB38B31" w14:textId="77777777" w:rsidR="00DF07C0" w:rsidRPr="005B0C72" w:rsidRDefault="00DF07C0" w:rsidP="005B0C72">
            <w:pPr>
              <w:pStyle w:val="TableText0"/>
              <w:jc w:val="both"/>
              <w:rPr>
                <w:color w:val="000000"/>
              </w:rPr>
            </w:pPr>
          </w:p>
        </w:tc>
        <w:tc>
          <w:tcPr>
            <w:tcW w:w="4463" w:type="pct"/>
            <w:gridSpan w:val="5"/>
            <w:tcMar>
              <w:top w:w="28" w:type="dxa"/>
              <w:left w:w="57" w:type="dxa"/>
              <w:bottom w:w="28" w:type="dxa"/>
              <w:right w:w="57" w:type="dxa"/>
            </w:tcMar>
            <w:vAlign w:val="center"/>
          </w:tcPr>
          <w:p w14:paraId="21EF9E96" w14:textId="5BC9BBE4" w:rsidR="00DF07C0" w:rsidRPr="005B0C72" w:rsidRDefault="00DF07C0" w:rsidP="005B0C72">
            <w:pPr>
              <w:pStyle w:val="TableText0"/>
              <w:jc w:val="both"/>
              <w:rPr>
                <w:color w:val="D9D9D9" w:themeColor="background1" w:themeShade="D9"/>
              </w:rPr>
            </w:pPr>
            <w:r w:rsidRPr="005B0C72">
              <w:rPr>
                <w:color w:val="000000"/>
              </w:rPr>
              <w:t>Restriction Type:</w:t>
            </w:r>
            <w:r w:rsidRPr="005B0C72">
              <w:t xml:space="preserve"> </w:t>
            </w:r>
            <w:r w:rsidRPr="005B0C72">
              <w:fldChar w:fldCharType="begin" w:fldLock="1">
                <w:ffData>
                  <w:name w:val="Check3"/>
                  <w:enabled/>
                  <w:calcOnExit w:val="0"/>
                  <w:checkBox>
                    <w:sizeAuto/>
                    <w:default w:val="1"/>
                  </w:checkBox>
                </w:ffData>
              </w:fldChar>
            </w:r>
            <w:r w:rsidRPr="005B0C72">
              <w:instrText xml:space="preserve"> FORMCHECKBOX </w:instrText>
            </w:r>
            <w:r w:rsidR="001D78FA">
              <w:fldChar w:fldCharType="separate"/>
            </w:r>
            <w:r w:rsidRPr="005B0C72">
              <w:fldChar w:fldCharType="end"/>
            </w:r>
            <w:r w:rsidRPr="005B0C72">
              <w:rPr>
                <w:rFonts w:cs="Arial Narrow"/>
                <w:iCs/>
                <w:color w:val="000000"/>
              </w:rPr>
              <w:t>Authority Required – immediate/real time assessment by Services</w:t>
            </w:r>
            <w:r w:rsidRPr="005B0C72">
              <w:t xml:space="preserve"> </w:t>
            </w:r>
            <w:r w:rsidRPr="005B0C72">
              <w:rPr>
                <w:rFonts w:cs="Arial Narrow"/>
                <w:iCs/>
                <w:color w:val="000000"/>
              </w:rPr>
              <w:t>Australia (telephone/online application avenues)</w:t>
            </w:r>
          </w:p>
        </w:tc>
      </w:tr>
      <w:tr w:rsidR="005F4681" w:rsidRPr="00F92E56" w14:paraId="58B2F7F7"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vMerge w:val="restart"/>
            <w:tcMar>
              <w:top w:w="28" w:type="dxa"/>
              <w:left w:w="57" w:type="dxa"/>
              <w:bottom w:w="28" w:type="dxa"/>
              <w:right w:w="57" w:type="dxa"/>
            </w:tcMar>
            <w:vAlign w:val="center"/>
          </w:tcPr>
          <w:p w14:paraId="5E84F995" w14:textId="77777777" w:rsidR="005F4681" w:rsidRPr="00F92E56" w:rsidRDefault="005F4681" w:rsidP="005B0C72">
            <w:pPr>
              <w:rPr>
                <w:rFonts w:ascii="Arial Narrow" w:hAnsi="Arial Narrow"/>
                <w:color w:val="000000"/>
                <w:sz w:val="20"/>
                <w:szCs w:val="20"/>
              </w:rPr>
            </w:pPr>
          </w:p>
        </w:tc>
        <w:tc>
          <w:tcPr>
            <w:tcW w:w="4463" w:type="pct"/>
            <w:gridSpan w:val="5"/>
            <w:tcMar>
              <w:top w:w="28" w:type="dxa"/>
              <w:left w:w="57" w:type="dxa"/>
              <w:bottom w:w="28" w:type="dxa"/>
              <w:right w:w="57" w:type="dxa"/>
            </w:tcMar>
            <w:vAlign w:val="center"/>
          </w:tcPr>
          <w:p w14:paraId="2E67A1B2" w14:textId="77777777" w:rsidR="005F4681" w:rsidRPr="00F92E56" w:rsidRDefault="005F4681" w:rsidP="005B0C72">
            <w:pPr>
              <w:rPr>
                <w:rFonts w:ascii="Arial Narrow" w:hAnsi="Arial Narrow"/>
                <w:bCs/>
                <w:color w:val="D9D9D9" w:themeColor="background1" w:themeShade="D9"/>
                <w:sz w:val="20"/>
                <w:szCs w:val="20"/>
              </w:rPr>
            </w:pPr>
            <w:r w:rsidRPr="00F92E56">
              <w:rPr>
                <w:rFonts w:ascii="Arial Narrow" w:hAnsi="Arial Narrow"/>
                <w:b/>
                <w:bCs/>
                <w:color w:val="D9D9D9" w:themeColor="background1" w:themeShade="D9"/>
                <w:sz w:val="20"/>
                <w:szCs w:val="20"/>
              </w:rPr>
              <w:t xml:space="preserve">Episodicity: </w:t>
            </w:r>
            <w:r w:rsidRPr="00F92E56">
              <w:rPr>
                <w:rFonts w:ascii="Arial Narrow" w:hAnsi="Arial Narrow"/>
                <w:bCs/>
                <w:color w:val="D9D9D9" w:themeColor="background1" w:themeShade="D9"/>
                <w:sz w:val="20"/>
                <w:szCs w:val="20"/>
              </w:rPr>
              <w:t>[blank]</w:t>
            </w:r>
          </w:p>
        </w:tc>
      </w:tr>
      <w:tr w:rsidR="005F4681" w:rsidRPr="00F92E56" w14:paraId="5FD3D5E4"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vMerge/>
            <w:tcMar>
              <w:top w:w="28" w:type="dxa"/>
              <w:left w:w="57" w:type="dxa"/>
              <w:bottom w:w="28" w:type="dxa"/>
              <w:right w:w="57" w:type="dxa"/>
            </w:tcMar>
            <w:vAlign w:val="center"/>
          </w:tcPr>
          <w:p w14:paraId="64DF9173" w14:textId="77777777" w:rsidR="005F4681" w:rsidRPr="00F92E56" w:rsidRDefault="005F4681" w:rsidP="005B0C72">
            <w:pPr>
              <w:rPr>
                <w:rFonts w:ascii="Arial Narrow" w:hAnsi="Arial Narrow"/>
                <w:color w:val="000000"/>
                <w:sz w:val="20"/>
                <w:szCs w:val="20"/>
              </w:rPr>
            </w:pPr>
          </w:p>
        </w:tc>
        <w:tc>
          <w:tcPr>
            <w:tcW w:w="4463" w:type="pct"/>
            <w:gridSpan w:val="5"/>
            <w:tcMar>
              <w:top w:w="28" w:type="dxa"/>
              <w:left w:w="57" w:type="dxa"/>
              <w:bottom w:w="28" w:type="dxa"/>
              <w:right w:w="57" w:type="dxa"/>
            </w:tcMar>
            <w:vAlign w:val="center"/>
          </w:tcPr>
          <w:p w14:paraId="6FDBD6FF" w14:textId="77777777" w:rsidR="005F4681" w:rsidRPr="00F92E56" w:rsidRDefault="005F4681" w:rsidP="005B0C72">
            <w:pPr>
              <w:rPr>
                <w:rFonts w:ascii="Arial Narrow" w:hAnsi="Arial Narrow"/>
                <w:b/>
                <w:bCs/>
                <w:color w:val="D9D9D9" w:themeColor="background1" w:themeShade="D9"/>
                <w:sz w:val="20"/>
                <w:szCs w:val="20"/>
              </w:rPr>
            </w:pPr>
            <w:r w:rsidRPr="00F92E56">
              <w:rPr>
                <w:rFonts w:ascii="Arial Narrow" w:hAnsi="Arial Narrow"/>
                <w:b/>
                <w:bCs/>
                <w:color w:val="D9D9D9" w:themeColor="background1" w:themeShade="D9"/>
                <w:sz w:val="20"/>
                <w:szCs w:val="20"/>
              </w:rPr>
              <w:t xml:space="preserve">Severity: </w:t>
            </w:r>
            <w:r w:rsidRPr="00F92E56">
              <w:rPr>
                <w:rFonts w:ascii="Arial Narrow" w:hAnsi="Arial Narrow"/>
                <w:color w:val="D9D9D9" w:themeColor="background1" w:themeShade="D9"/>
                <w:sz w:val="20"/>
                <w:szCs w:val="20"/>
              </w:rPr>
              <w:t>[blank]</w:t>
            </w:r>
          </w:p>
        </w:tc>
      </w:tr>
      <w:tr w:rsidR="005F4681" w:rsidRPr="00F92E56" w14:paraId="383D6BD7"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vMerge/>
            <w:tcMar>
              <w:top w:w="28" w:type="dxa"/>
              <w:left w:w="57" w:type="dxa"/>
              <w:bottom w:w="28" w:type="dxa"/>
              <w:right w:w="57" w:type="dxa"/>
            </w:tcMar>
            <w:vAlign w:val="center"/>
          </w:tcPr>
          <w:p w14:paraId="5CC18356" w14:textId="77777777" w:rsidR="005F4681" w:rsidRPr="00F92E56" w:rsidRDefault="005F4681" w:rsidP="005B0C72">
            <w:pPr>
              <w:rPr>
                <w:rFonts w:ascii="Arial Narrow" w:hAnsi="Arial Narrow"/>
                <w:b/>
                <w:bCs/>
                <w:color w:val="000000"/>
                <w:sz w:val="20"/>
                <w:szCs w:val="20"/>
              </w:rPr>
            </w:pPr>
          </w:p>
        </w:tc>
        <w:tc>
          <w:tcPr>
            <w:tcW w:w="4463" w:type="pct"/>
            <w:gridSpan w:val="5"/>
            <w:tcMar>
              <w:top w:w="28" w:type="dxa"/>
              <w:left w:w="57" w:type="dxa"/>
              <w:bottom w:w="28" w:type="dxa"/>
              <w:right w:w="57" w:type="dxa"/>
            </w:tcMar>
            <w:vAlign w:val="center"/>
          </w:tcPr>
          <w:p w14:paraId="06D86F95" w14:textId="77777777" w:rsidR="005F4681" w:rsidRPr="00F92E56" w:rsidRDefault="005F4681" w:rsidP="005B0C72">
            <w:pPr>
              <w:rPr>
                <w:rFonts w:ascii="Arial Narrow" w:hAnsi="Arial Narrow"/>
                <w:b/>
                <w:bCs/>
                <w:color w:val="D9D9D9" w:themeColor="background1" w:themeShade="D9"/>
                <w:sz w:val="20"/>
                <w:szCs w:val="20"/>
              </w:rPr>
            </w:pPr>
            <w:r w:rsidRPr="00F92E56">
              <w:rPr>
                <w:rFonts w:ascii="Arial Narrow" w:hAnsi="Arial Narrow"/>
                <w:b/>
                <w:bCs/>
                <w:color w:val="D9D9D9" w:themeColor="background1" w:themeShade="D9"/>
                <w:sz w:val="20"/>
                <w:szCs w:val="20"/>
              </w:rPr>
              <w:t xml:space="preserve">Condition: </w:t>
            </w:r>
            <w:r w:rsidRPr="00F92E56">
              <w:rPr>
                <w:rFonts w:ascii="Arial Narrow" w:hAnsi="Arial Narrow"/>
                <w:strike/>
                <w:color w:val="D9D9D9" w:themeColor="background1" w:themeShade="D9"/>
                <w:sz w:val="20"/>
                <w:szCs w:val="20"/>
              </w:rPr>
              <w:t>[blank]</w:t>
            </w:r>
            <w:r w:rsidRPr="00F92E56">
              <w:rPr>
                <w:rFonts w:ascii="Arial Narrow" w:hAnsi="Arial Narrow"/>
                <w:b/>
                <w:bCs/>
                <w:color w:val="D9D9D9" w:themeColor="background1" w:themeShade="D9"/>
                <w:sz w:val="20"/>
                <w:szCs w:val="20"/>
              </w:rPr>
              <w:t xml:space="preserve"> </w:t>
            </w:r>
            <w:r w:rsidRPr="00F92E56">
              <w:rPr>
                <w:rFonts w:ascii="Arial Narrow" w:hAnsi="Arial Narrow"/>
                <w:color w:val="D9D9D9" w:themeColor="background1" w:themeShade="D9"/>
                <w:sz w:val="20"/>
                <w:szCs w:val="20"/>
              </w:rPr>
              <w:t>Urothelial carcinoma</w:t>
            </w:r>
          </w:p>
        </w:tc>
      </w:tr>
      <w:tr w:rsidR="005F4681" w:rsidRPr="00F92E56" w14:paraId="467A2744"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275EE03D" w14:textId="428D9E9F"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hideMark/>
          </w:tcPr>
          <w:p w14:paraId="7DCD426C" w14:textId="77777777" w:rsidR="005F4681" w:rsidRPr="00F92E56" w:rsidRDefault="005F4681" w:rsidP="00236876">
            <w:pPr>
              <w:pStyle w:val="TableText0"/>
              <w:keepNext w:val="0"/>
              <w:widowControl w:val="0"/>
              <w:jc w:val="both"/>
            </w:pPr>
            <w:r w:rsidRPr="00F92E56">
              <w:rPr>
                <w:b/>
              </w:rPr>
              <w:t>Indication:</w:t>
            </w:r>
            <w:r w:rsidRPr="00F92E56">
              <w:t xml:space="preserve"> Urothelial carcinoma</w:t>
            </w:r>
          </w:p>
        </w:tc>
      </w:tr>
      <w:tr w:rsidR="005F4681" w:rsidRPr="00F92E56" w14:paraId="0B2748B1"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57412342" w14:textId="77777777"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tcPr>
          <w:p w14:paraId="78F286B8" w14:textId="77777777" w:rsidR="005F4681" w:rsidRPr="00F92E56" w:rsidRDefault="005F4681" w:rsidP="00236876">
            <w:pPr>
              <w:pStyle w:val="TableText0"/>
              <w:keepNext w:val="0"/>
              <w:widowControl w:val="0"/>
              <w:jc w:val="both"/>
              <w:rPr>
                <w:b/>
              </w:rPr>
            </w:pPr>
          </w:p>
        </w:tc>
      </w:tr>
      <w:tr w:rsidR="005F4681" w:rsidRPr="00F92E56" w14:paraId="24553F69"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7D1C6DE9" w14:textId="4E0B11E0"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hideMark/>
          </w:tcPr>
          <w:p w14:paraId="46B18C04" w14:textId="77777777" w:rsidR="005F4681" w:rsidRPr="00F92E56" w:rsidRDefault="005F4681" w:rsidP="00236876">
            <w:pPr>
              <w:pStyle w:val="TableText0"/>
              <w:keepNext w:val="0"/>
              <w:widowControl w:val="0"/>
              <w:jc w:val="both"/>
            </w:pPr>
            <w:r w:rsidRPr="00F92E56">
              <w:rPr>
                <w:b/>
              </w:rPr>
              <w:t>Clinical criteria:</w:t>
            </w:r>
          </w:p>
        </w:tc>
      </w:tr>
      <w:tr w:rsidR="005F4681" w:rsidRPr="00F92E56" w14:paraId="5568F527"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756E5D55" w14:textId="19B9AF98"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tcPr>
          <w:p w14:paraId="25FF7CF1" w14:textId="5BD08276" w:rsidR="005F4681" w:rsidRPr="00F92E56" w:rsidRDefault="005F4681" w:rsidP="00236876">
            <w:pPr>
              <w:pStyle w:val="TableText0"/>
              <w:keepNext w:val="0"/>
              <w:widowControl w:val="0"/>
              <w:jc w:val="both"/>
              <w:rPr>
                <w:highlight w:val="yellow"/>
              </w:rPr>
            </w:pPr>
            <w:r w:rsidRPr="00F92E56">
              <w:rPr>
                <w:rFonts w:cs="Arial Narrow"/>
                <w:iCs/>
              </w:rPr>
              <w:t xml:space="preserve">The treatment must be for each of: (i) adjuvant therapy that </w:t>
            </w:r>
            <w:r w:rsidRPr="00F92E56">
              <w:rPr>
                <w:rFonts w:cs="Arial Narrow"/>
                <w:iCs/>
                <w:strike/>
              </w:rPr>
              <w:t>initiates</w:t>
            </w:r>
            <w:r w:rsidRPr="00F92E56">
              <w:rPr>
                <w:rFonts w:cs="Arial Narrow"/>
                <w:iCs/>
              </w:rPr>
              <w:t xml:space="preserve"> </w:t>
            </w:r>
            <w:r w:rsidRPr="00F92E56">
              <w:rPr>
                <w:rFonts w:cs="Arial Narrow"/>
                <w:i/>
              </w:rPr>
              <w:t>is/was</w:t>
            </w:r>
            <w:r w:rsidRPr="00F92E56">
              <w:rPr>
                <w:rFonts w:cs="Arial Narrow"/>
                <w:iCs/>
              </w:rPr>
              <w:t xml:space="preserve"> initiated within 120 days of radical surgical resection, (ii) muscle invasive type disease, (iii) disease considered to be, by the treating physician, at high risk of recurrence, but yet to recur, (iv) use as the sole PBS-subsidised anti-cancer</w:t>
            </w:r>
            <w:r w:rsidR="00742772" w:rsidRPr="00F92E56">
              <w:rPr>
                <w:rFonts w:cs="Arial Narrow"/>
                <w:iCs/>
              </w:rPr>
              <w:t xml:space="preserve"> treatment</w:t>
            </w:r>
            <w:r w:rsidRPr="00F92E56">
              <w:rPr>
                <w:rFonts w:cs="Arial Narrow"/>
                <w:iCs/>
              </w:rPr>
              <w:t xml:space="preserve"> for this condition.</w:t>
            </w:r>
          </w:p>
        </w:tc>
      </w:tr>
      <w:tr w:rsidR="005F4681" w:rsidRPr="00F92E56" w14:paraId="14A8E608"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3691BD93" w14:textId="77777777"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tcPr>
          <w:p w14:paraId="1022732B" w14:textId="77777777" w:rsidR="005F4681" w:rsidRPr="00F92E56" w:rsidRDefault="005F4681" w:rsidP="00236876">
            <w:pPr>
              <w:pStyle w:val="TableText0"/>
              <w:keepNext w:val="0"/>
              <w:widowControl w:val="0"/>
              <w:jc w:val="both"/>
              <w:rPr>
                <w:b/>
              </w:rPr>
            </w:pPr>
            <w:r w:rsidRPr="00F92E56">
              <w:rPr>
                <w:b/>
              </w:rPr>
              <w:t>AND</w:t>
            </w:r>
          </w:p>
        </w:tc>
      </w:tr>
      <w:tr w:rsidR="005F4681" w:rsidRPr="00F92E56" w14:paraId="6F62FFA9"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2E8D773B" w14:textId="03921F4F"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tcPr>
          <w:p w14:paraId="0423E05D" w14:textId="77777777" w:rsidR="005F4681" w:rsidRPr="00F92E56" w:rsidRDefault="005F4681" w:rsidP="00236876">
            <w:pPr>
              <w:pStyle w:val="TableText0"/>
              <w:keepNext w:val="0"/>
              <w:widowControl w:val="0"/>
              <w:jc w:val="both"/>
              <w:rPr>
                <w:b/>
              </w:rPr>
            </w:pPr>
            <w:r w:rsidRPr="00F92E56">
              <w:rPr>
                <w:b/>
              </w:rPr>
              <w:t>Clinical criteria:</w:t>
            </w:r>
          </w:p>
        </w:tc>
      </w:tr>
      <w:tr w:rsidR="005F4681" w:rsidRPr="00F92E56" w14:paraId="139859EC"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43F6F938" w14:textId="17C7B8F2"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tcPr>
          <w:p w14:paraId="74C3B8E0" w14:textId="77777777" w:rsidR="005F4681" w:rsidRPr="00F92E56" w:rsidRDefault="005F4681" w:rsidP="00236876">
            <w:pPr>
              <w:pStyle w:val="TableText0"/>
              <w:keepNext w:val="0"/>
              <w:widowControl w:val="0"/>
              <w:jc w:val="both"/>
              <w:rPr>
                <w:b/>
              </w:rPr>
            </w:pPr>
            <w:r w:rsidRPr="00F92E56">
              <w:t>Patient must have received prior platinum containing neoadjuvant chemotherapy; or</w:t>
            </w:r>
          </w:p>
        </w:tc>
      </w:tr>
      <w:tr w:rsidR="005F4681" w:rsidRPr="00F92E56" w14:paraId="6ADE44E4"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56BE5F9E" w14:textId="640EEBF0"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tcPr>
          <w:p w14:paraId="606702AB" w14:textId="77777777" w:rsidR="005F4681" w:rsidRPr="00346867" w:rsidRDefault="005F4681" w:rsidP="00236876">
            <w:pPr>
              <w:pStyle w:val="TableText0"/>
              <w:keepNext w:val="0"/>
              <w:widowControl w:val="0"/>
              <w:jc w:val="both"/>
            </w:pPr>
            <w:r w:rsidRPr="00346867">
              <w:t>Patient must have a contraindication/intolerance to platinum containing neoadjuvant chemotherapy</w:t>
            </w:r>
          </w:p>
        </w:tc>
      </w:tr>
      <w:tr w:rsidR="005F4681" w:rsidRPr="00F92E56" w14:paraId="4A3D3D4E"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6C05D8CF" w14:textId="77777777"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tcPr>
          <w:p w14:paraId="375B7250" w14:textId="77777777" w:rsidR="005F4681" w:rsidRPr="00346867" w:rsidRDefault="005F4681" w:rsidP="00236876">
            <w:pPr>
              <w:pStyle w:val="TableText0"/>
              <w:keepNext w:val="0"/>
              <w:widowControl w:val="0"/>
              <w:jc w:val="both"/>
              <w:rPr>
                <w:rFonts w:eastAsia="MS Mincho"/>
                <w:highlight w:val="yellow"/>
              </w:rPr>
            </w:pPr>
            <w:r w:rsidRPr="00F92E56">
              <w:rPr>
                <w:b/>
              </w:rPr>
              <w:t>AND</w:t>
            </w:r>
          </w:p>
        </w:tc>
      </w:tr>
      <w:tr w:rsidR="005F4681" w:rsidRPr="00F92E56" w14:paraId="5829EE61"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2A65B5CD" w14:textId="2B7E2FBA"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tcPr>
          <w:p w14:paraId="1AFC327F" w14:textId="77777777" w:rsidR="005F4681" w:rsidRPr="00F92E56" w:rsidRDefault="005F4681" w:rsidP="00236876">
            <w:pPr>
              <w:pStyle w:val="TableText0"/>
              <w:keepNext w:val="0"/>
              <w:widowControl w:val="0"/>
              <w:jc w:val="both"/>
              <w:rPr>
                <w:b/>
              </w:rPr>
            </w:pPr>
            <w:r w:rsidRPr="00F92E56">
              <w:rPr>
                <w:b/>
              </w:rPr>
              <w:t>Clinical criteria:</w:t>
            </w:r>
          </w:p>
        </w:tc>
      </w:tr>
      <w:tr w:rsidR="005F4681" w:rsidRPr="00F92E56" w14:paraId="68A90763"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5BAADA93" w14:textId="22F9CEBC"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tcPr>
          <w:p w14:paraId="4490235A" w14:textId="77777777" w:rsidR="005F4681" w:rsidRPr="00346867" w:rsidRDefault="005F4681" w:rsidP="00236876">
            <w:pPr>
              <w:pStyle w:val="TableText0"/>
              <w:keepNext w:val="0"/>
              <w:widowControl w:val="0"/>
              <w:jc w:val="both"/>
              <w:rPr>
                <w:highlight w:val="yellow"/>
              </w:rPr>
            </w:pPr>
            <w:r w:rsidRPr="00346867">
              <w:t>Patient must have/have had, at the time of initiating treatment with this drug, a WHO performance status no higher than 1</w:t>
            </w:r>
          </w:p>
        </w:tc>
      </w:tr>
      <w:tr w:rsidR="005F4681" w:rsidRPr="00F92E56" w14:paraId="7986D6A5"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378D5D0C" w14:textId="77777777"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tcPr>
          <w:p w14:paraId="45376768" w14:textId="77777777" w:rsidR="005F4681" w:rsidRPr="00346867" w:rsidRDefault="005F4681" w:rsidP="00236876">
            <w:pPr>
              <w:pStyle w:val="TableText0"/>
              <w:keepNext w:val="0"/>
              <w:widowControl w:val="0"/>
              <w:jc w:val="both"/>
            </w:pPr>
          </w:p>
        </w:tc>
      </w:tr>
      <w:tr w:rsidR="005F4681" w:rsidRPr="00F92E56" w14:paraId="06DEFDD5"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44E57E4A" w14:textId="647CC5CE"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hideMark/>
          </w:tcPr>
          <w:p w14:paraId="332AAA96" w14:textId="77777777" w:rsidR="005F4681" w:rsidRPr="00F92E56" w:rsidRDefault="005F4681" w:rsidP="00236876">
            <w:pPr>
              <w:pStyle w:val="TableText0"/>
              <w:keepNext w:val="0"/>
              <w:widowControl w:val="0"/>
              <w:jc w:val="both"/>
            </w:pPr>
            <w:r w:rsidRPr="00F92E56">
              <w:rPr>
                <w:b/>
              </w:rPr>
              <w:t>Treatment criteria:</w:t>
            </w:r>
          </w:p>
        </w:tc>
      </w:tr>
      <w:tr w:rsidR="005F4681" w:rsidRPr="00F92E56" w14:paraId="6F8FA0F4"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33BC96D7" w14:textId="21BD62EE"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tcPr>
          <w:p w14:paraId="64F3945D" w14:textId="77777777" w:rsidR="005F4681" w:rsidRPr="00F92E56" w:rsidRDefault="005F4681" w:rsidP="00236876">
            <w:pPr>
              <w:pStyle w:val="TableText0"/>
              <w:keepNext w:val="0"/>
              <w:widowControl w:val="0"/>
              <w:jc w:val="both"/>
              <w:rPr>
                <w:b/>
              </w:rPr>
            </w:pPr>
            <w:r w:rsidRPr="00346867">
              <w:t>Patient must be undergoing treatment with a dosing regimen as set out in the drug's approved Australian Product Information</w:t>
            </w:r>
          </w:p>
        </w:tc>
      </w:tr>
      <w:tr w:rsidR="005F4681" w:rsidRPr="00F92E56" w14:paraId="3868D41D"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741EA36E" w14:textId="77777777"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tcPr>
          <w:p w14:paraId="5670974A" w14:textId="77777777" w:rsidR="005F4681" w:rsidRPr="00F92E56" w:rsidRDefault="005F4681" w:rsidP="00236876">
            <w:pPr>
              <w:pStyle w:val="TableText0"/>
              <w:keepNext w:val="0"/>
              <w:widowControl w:val="0"/>
              <w:jc w:val="both"/>
              <w:rPr>
                <w:b/>
              </w:rPr>
            </w:pPr>
            <w:r w:rsidRPr="00F92E56">
              <w:rPr>
                <w:b/>
              </w:rPr>
              <w:t>AND</w:t>
            </w:r>
          </w:p>
        </w:tc>
      </w:tr>
      <w:tr w:rsidR="005F4681" w:rsidRPr="00F92E56" w14:paraId="563FD4EC"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289E3B65" w14:textId="7988F7EF"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tcPr>
          <w:p w14:paraId="595969E1" w14:textId="77777777" w:rsidR="005F4681" w:rsidRPr="00F92E56" w:rsidRDefault="005F4681" w:rsidP="00236876">
            <w:pPr>
              <w:pStyle w:val="TableText0"/>
              <w:keepNext w:val="0"/>
              <w:widowControl w:val="0"/>
              <w:jc w:val="both"/>
              <w:rPr>
                <w:b/>
              </w:rPr>
            </w:pPr>
            <w:r w:rsidRPr="00F92E56">
              <w:rPr>
                <w:b/>
              </w:rPr>
              <w:t>Treatment criteria:</w:t>
            </w:r>
          </w:p>
        </w:tc>
      </w:tr>
      <w:tr w:rsidR="005F4681" w:rsidRPr="00F92E56" w14:paraId="25C2A1F9"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69D8490F" w14:textId="169C83DD"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tcPr>
          <w:p w14:paraId="2977B0CC" w14:textId="77777777" w:rsidR="005F4681" w:rsidRPr="00346867" w:rsidRDefault="005F4681" w:rsidP="00236876">
            <w:pPr>
              <w:pStyle w:val="TableText0"/>
              <w:keepNext w:val="0"/>
              <w:widowControl w:val="0"/>
              <w:jc w:val="both"/>
              <w:rPr>
                <w:i/>
                <w:iCs/>
              </w:rPr>
            </w:pPr>
            <w:r w:rsidRPr="00346867">
              <w:rPr>
                <w:i/>
                <w:iCs/>
              </w:rPr>
              <w:t xml:space="preserve">Patient must be undergoing treatment that does not occur beyond the following, whichever comes first: (i) the </w:t>
            </w:r>
            <w:r w:rsidRPr="00346867">
              <w:rPr>
                <w:i/>
                <w:iCs/>
              </w:rPr>
              <w:lastRenderedPageBreak/>
              <w:t>first instance of disease progression/recurrence, (ii) 12 months in total for this condition from the first administered dose; mark any remaining repeat prescriptions with the words 'cancelled' where (i)/(ii) has occurred.</w:t>
            </w:r>
          </w:p>
          <w:p w14:paraId="6FC64E9C" w14:textId="77777777" w:rsidR="005F4681" w:rsidRPr="00346867" w:rsidRDefault="005F4681" w:rsidP="00236876">
            <w:pPr>
              <w:pStyle w:val="TableText0"/>
              <w:keepNext w:val="0"/>
              <w:widowControl w:val="0"/>
              <w:jc w:val="both"/>
              <w:rPr>
                <w:strike/>
              </w:rPr>
            </w:pPr>
            <w:r w:rsidRPr="00346867">
              <w:rPr>
                <w:strike/>
              </w:rPr>
              <w:t>Patient must not be undergoing PBS-subsidised treatment with this drug where this prescription extends treatment beyond whichever comes first: (i) 12 months from treatment initiation, irrespective of whether initial treatment was PBS-subsidised/non-PBS-subsidised, (ii) disease recurrence despite treatment with this drug; annotate any remaining repeat prescriptions with the word ‘cancelled’ where this occurs.</w:t>
            </w:r>
          </w:p>
        </w:tc>
      </w:tr>
      <w:tr w:rsidR="005F4681" w:rsidRPr="00F92E56" w14:paraId="544E6567"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36CC8521" w14:textId="77777777"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tcPr>
          <w:p w14:paraId="5F1C1B41" w14:textId="77777777" w:rsidR="005F4681" w:rsidRPr="00346867" w:rsidRDefault="005F4681" w:rsidP="00236876">
            <w:pPr>
              <w:pStyle w:val="TableText0"/>
              <w:keepNext w:val="0"/>
              <w:widowControl w:val="0"/>
              <w:jc w:val="both"/>
            </w:pPr>
          </w:p>
        </w:tc>
      </w:tr>
      <w:tr w:rsidR="005F4681" w:rsidRPr="00F92E56" w14:paraId="0B42D83D"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5E95039F" w14:textId="0D7B6877"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tcPr>
          <w:p w14:paraId="15B8D77C" w14:textId="77777777" w:rsidR="005F4681" w:rsidRPr="00F92E56" w:rsidRDefault="005F4681" w:rsidP="00236876">
            <w:pPr>
              <w:pStyle w:val="TableText0"/>
              <w:keepNext w:val="0"/>
              <w:widowControl w:val="0"/>
              <w:jc w:val="both"/>
              <w:rPr>
                <w:b/>
                <w:i/>
                <w:iCs/>
              </w:rPr>
            </w:pPr>
            <w:r w:rsidRPr="00F92E56">
              <w:rPr>
                <w:b/>
                <w:i/>
                <w:iCs/>
              </w:rPr>
              <w:t>Administrative Advice:</w:t>
            </w:r>
          </w:p>
          <w:p w14:paraId="6F2F7906" w14:textId="77777777" w:rsidR="005F4681" w:rsidRPr="00F92E56" w:rsidRDefault="005F4681" w:rsidP="00236876">
            <w:pPr>
              <w:pStyle w:val="TableText0"/>
              <w:keepNext w:val="0"/>
              <w:widowControl w:val="0"/>
              <w:jc w:val="both"/>
            </w:pPr>
            <w:r w:rsidRPr="00F92E56">
              <w:rPr>
                <w:i/>
                <w:iCs/>
              </w:rPr>
              <w:t>Applications for authorisation under this restriction may be made in real time using the Online PBS Authorities system (see www.servicesaustralia.gov.au/HPOS) or by telephone by contacting Services Australia on 1800 888 333.</w:t>
            </w:r>
          </w:p>
        </w:tc>
      </w:tr>
      <w:tr w:rsidR="005F4681" w:rsidRPr="00F92E56" w14:paraId="7256D268" w14:textId="77777777" w:rsidTr="00236876">
        <w:tblPrEx>
          <w:tblCellMar>
            <w:top w:w="15" w:type="dxa"/>
            <w:left w:w="15" w:type="dxa"/>
            <w:bottom w:w="15" w:type="dxa"/>
            <w:right w:w="15" w:type="dxa"/>
          </w:tblCellMar>
          <w:tblLook w:val="04A0" w:firstRow="1" w:lastRow="0" w:firstColumn="1" w:lastColumn="0" w:noHBand="0" w:noVBand="1"/>
        </w:tblPrEx>
        <w:trPr>
          <w:trHeight w:val="20"/>
        </w:trPr>
        <w:tc>
          <w:tcPr>
            <w:tcW w:w="537" w:type="pct"/>
            <w:tcMar>
              <w:top w:w="28" w:type="dxa"/>
              <w:left w:w="57" w:type="dxa"/>
              <w:bottom w:w="28" w:type="dxa"/>
              <w:right w:w="57" w:type="dxa"/>
            </w:tcMar>
            <w:vAlign w:val="center"/>
          </w:tcPr>
          <w:p w14:paraId="1E6E55C8" w14:textId="52635307" w:rsidR="005F4681" w:rsidRPr="00F92E56" w:rsidRDefault="005F4681" w:rsidP="00236876">
            <w:pPr>
              <w:pStyle w:val="TableText0"/>
              <w:keepNext w:val="0"/>
              <w:widowControl w:val="0"/>
              <w:jc w:val="both"/>
            </w:pPr>
          </w:p>
        </w:tc>
        <w:tc>
          <w:tcPr>
            <w:tcW w:w="4463" w:type="pct"/>
            <w:gridSpan w:val="5"/>
            <w:tcMar>
              <w:top w:w="28" w:type="dxa"/>
              <w:left w:w="57" w:type="dxa"/>
              <w:bottom w:w="28" w:type="dxa"/>
              <w:right w:w="57" w:type="dxa"/>
            </w:tcMar>
            <w:vAlign w:val="center"/>
            <w:hideMark/>
          </w:tcPr>
          <w:p w14:paraId="09DDA749" w14:textId="77777777" w:rsidR="005F4681" w:rsidRPr="00F92E56" w:rsidRDefault="005F4681" w:rsidP="00236876">
            <w:pPr>
              <w:pStyle w:val="TableText0"/>
              <w:keepNext w:val="0"/>
              <w:widowControl w:val="0"/>
              <w:jc w:val="both"/>
            </w:pPr>
            <w:r w:rsidRPr="00F92E56">
              <w:rPr>
                <w:b/>
              </w:rPr>
              <w:t>Administrative Advice:</w:t>
            </w:r>
            <w:r w:rsidRPr="00F92E56">
              <w:t xml:space="preserve"> </w:t>
            </w:r>
          </w:p>
          <w:p w14:paraId="176755E4" w14:textId="77777777" w:rsidR="005F4681" w:rsidRPr="00F92E56" w:rsidRDefault="005F4681" w:rsidP="00236876">
            <w:pPr>
              <w:pStyle w:val="TableText0"/>
              <w:keepNext w:val="0"/>
              <w:widowControl w:val="0"/>
              <w:jc w:val="both"/>
            </w:pPr>
            <w:r w:rsidRPr="00F92E56">
              <w:rPr>
                <w:rFonts w:eastAsia="MS Mincho"/>
              </w:rPr>
              <w:t>An increase in repeat prescription</w:t>
            </w:r>
            <w:r w:rsidRPr="00F92E56">
              <w:rPr>
                <w:rFonts w:eastAsia="MS Mincho"/>
                <w:i/>
                <w:iCs/>
              </w:rPr>
              <w:t>s</w:t>
            </w:r>
            <w:r w:rsidRPr="00F92E56">
              <w:rPr>
                <w:rFonts w:eastAsia="MS Mincho"/>
              </w:rPr>
              <w:t xml:space="preserve"> </w:t>
            </w:r>
            <w:r w:rsidRPr="00F92E56">
              <w:rPr>
                <w:rFonts w:eastAsia="MS Mincho"/>
                <w:strike/>
              </w:rPr>
              <w:t>numbers</w:t>
            </w:r>
            <w:r w:rsidRPr="00F92E56">
              <w:rPr>
                <w:rFonts w:eastAsia="MS Mincho"/>
              </w:rPr>
              <w:t xml:space="preserve">, up to a value of 11, may only be sought where the prescribed dosing is </w:t>
            </w:r>
            <w:r w:rsidRPr="00F92E56">
              <w:rPr>
                <w:rFonts w:eastAsia="MS Mincho"/>
                <w:i/>
                <w:iCs/>
              </w:rPr>
              <w:t>240 mg administered</w:t>
            </w:r>
            <w:r w:rsidRPr="00F92E56">
              <w:rPr>
                <w:rFonts w:eastAsia="MS Mincho"/>
              </w:rPr>
              <w:t xml:space="preserve"> fortnightly.</w:t>
            </w:r>
          </w:p>
        </w:tc>
      </w:tr>
    </w:tbl>
    <w:p w14:paraId="04005540" w14:textId="7DA72D99" w:rsidR="005F4681" w:rsidRPr="00F92E56" w:rsidRDefault="00DF07C0" w:rsidP="00724199">
      <w:pPr>
        <w:pStyle w:val="TableFooter"/>
        <w:widowControl w:val="0"/>
        <w:spacing w:after="120"/>
        <w:rPr>
          <w:iCs/>
        </w:rPr>
      </w:pPr>
      <w:r w:rsidRPr="00F92E56">
        <w:rPr>
          <w:iCs/>
          <w:vertAlign w:val="superscript"/>
        </w:rPr>
        <w:t>a</w:t>
      </w:r>
      <w:r w:rsidRPr="00F92E56">
        <w:rPr>
          <w:iCs/>
        </w:rPr>
        <w:t xml:space="preserve"> Applying the July 2023 Efficient Funding of Chemotherapy mark-ups and fees, the published dispensed prices for nivolumab would be $9,734.47 (Private) and $9,558.60 (Public) and the effective dispensed prices for nivolumab would be </w:t>
      </w:r>
      <w:r w:rsidR="00785872" w:rsidRPr="00785872">
        <w:rPr>
          <w:iCs/>
        </w:rPr>
        <w:t>$</w:t>
      </w:r>
      <w:r w:rsidR="00785872" w:rsidRPr="00785872">
        <w:rPr>
          <w:iCs/>
          <w:color w:val="000000"/>
          <w:spacing w:val="76"/>
          <w:shd w:val="solid" w:color="000000" w:fill="000000"/>
          <w:fitText w:val="270" w:id="-1032081662"/>
          <w14:textFill>
            <w14:solidFill>
              <w14:srgbClr w14:val="000000">
                <w14:alpha w14:val="100000"/>
              </w14:srgbClr>
            </w14:solidFill>
          </w14:textFill>
        </w:rPr>
        <w:t xml:space="preserve">| </w:t>
      </w:r>
      <w:r w:rsidR="00785872" w:rsidRPr="00785872">
        <w:rPr>
          <w:iCs/>
          <w:color w:val="000000"/>
          <w:spacing w:val="1"/>
          <w:shd w:val="solid" w:color="000000" w:fill="000000"/>
          <w:fitText w:val="270" w:id="-1032081662"/>
          <w14:textFill>
            <w14:solidFill>
              <w14:srgbClr w14:val="000000">
                <w14:alpha w14:val="100000"/>
              </w14:srgbClr>
            </w14:solidFill>
          </w14:textFill>
        </w:rPr>
        <w:t>|</w:t>
      </w:r>
      <w:r w:rsidR="00785872" w:rsidRPr="00785872">
        <w:rPr>
          <w:iCs/>
        </w:rPr>
        <w:t xml:space="preserve"> </w:t>
      </w:r>
      <w:r w:rsidRPr="00F92E56">
        <w:rPr>
          <w:iCs/>
        </w:rPr>
        <w:t xml:space="preserve">(Private) and </w:t>
      </w:r>
      <w:r w:rsidR="00785872" w:rsidRPr="00785872">
        <w:rPr>
          <w:iCs/>
        </w:rPr>
        <w:t>$</w:t>
      </w:r>
      <w:r w:rsidR="00785872" w:rsidRPr="00785872">
        <w:rPr>
          <w:iCs/>
          <w:color w:val="000000"/>
          <w:spacing w:val="81"/>
          <w:shd w:val="solid" w:color="000000" w:fill="000000"/>
          <w:fitText w:val="280" w:id="-1032081661"/>
          <w14:textFill>
            <w14:solidFill>
              <w14:srgbClr w14:val="000000">
                <w14:alpha w14:val="100000"/>
              </w14:srgbClr>
            </w14:solidFill>
          </w14:textFill>
        </w:rPr>
        <w:t xml:space="preserve">| </w:t>
      </w:r>
      <w:r w:rsidR="00785872" w:rsidRPr="00785872">
        <w:rPr>
          <w:iCs/>
          <w:color w:val="000000"/>
          <w:spacing w:val="1"/>
          <w:shd w:val="solid" w:color="000000" w:fill="000000"/>
          <w:fitText w:val="280" w:id="-1032081661"/>
          <w14:textFill>
            <w14:solidFill>
              <w14:srgbClr w14:val="000000">
                <w14:alpha w14:val="100000"/>
              </w14:srgbClr>
            </w14:solidFill>
          </w14:textFill>
        </w:rPr>
        <w:t>|</w:t>
      </w:r>
      <w:r w:rsidR="00785872" w:rsidRPr="00785872">
        <w:rPr>
          <w:iCs/>
        </w:rPr>
        <w:t xml:space="preserve"> </w:t>
      </w:r>
      <w:r w:rsidRPr="00F92E56">
        <w:rPr>
          <w:iCs/>
        </w:rPr>
        <w:t>(Public).</w:t>
      </w:r>
    </w:p>
    <w:p w14:paraId="0BE9FD75" w14:textId="023CA6BE" w:rsidR="001B3003" w:rsidRPr="00F92E56" w:rsidRDefault="001B3003" w:rsidP="00236876">
      <w:pPr>
        <w:pStyle w:val="3-BodyText"/>
      </w:pPr>
      <w:r w:rsidRPr="00F92E56">
        <w:t xml:space="preserve">The resubmission proposed a special pricing arrangement (SPA) with an effective Public hospital dispensed price for maximum amount (DPMA) of </w:t>
      </w:r>
      <w:r w:rsidR="00785872" w:rsidRPr="00785872">
        <w:t>$</w:t>
      </w:r>
      <w:r w:rsidR="00785872" w:rsidRPr="00724199">
        <w:rPr>
          <w:color w:val="000000"/>
          <w:w w:val="15"/>
          <w:shd w:val="solid" w:color="000000" w:fill="000000"/>
          <w:fitText w:val="-20" w:id="-1032081660"/>
          <w14:textFill>
            <w14:solidFill>
              <w14:srgbClr w14:val="000000">
                <w14:alpha w14:val="100000"/>
              </w14:srgbClr>
            </w14:solidFill>
          </w14:textFill>
        </w:rPr>
        <w:t xml:space="preserve">| </w:t>
      </w:r>
      <w:r w:rsidR="00785872" w:rsidRPr="00724199">
        <w:rPr>
          <w:color w:val="000000"/>
          <w:spacing w:val="-61"/>
          <w:w w:val="15"/>
          <w:shd w:val="solid" w:color="000000" w:fill="000000"/>
          <w:fitText w:val="-20" w:id="-1032081660"/>
          <w14:textFill>
            <w14:solidFill>
              <w14:srgbClr w14:val="000000">
                <w14:alpha w14:val="100000"/>
              </w14:srgbClr>
            </w14:solidFill>
          </w14:textFill>
        </w:rPr>
        <w:t>|</w:t>
      </w:r>
      <w:r w:rsidR="00785872" w:rsidRPr="00785872">
        <w:t xml:space="preserve"> </w:t>
      </w:r>
      <w:r w:rsidRPr="00F92E56">
        <w:t>(published $</w:t>
      </w:r>
      <w:r w:rsidRPr="00BE598F">
        <w:t>9,55</w:t>
      </w:r>
      <w:r w:rsidR="00320C7B" w:rsidRPr="00BE598F">
        <w:t>8.60</w:t>
      </w:r>
      <w:r w:rsidRPr="00BE598F">
        <w:t>) and</w:t>
      </w:r>
      <w:r w:rsidRPr="00F92E56">
        <w:t xml:space="preserve"> an effective Private hospital DPMA of </w:t>
      </w:r>
      <w:r w:rsidR="00785872" w:rsidRPr="00785872">
        <w:t>$</w:t>
      </w:r>
      <w:r w:rsidR="00785872" w:rsidRPr="00724199">
        <w:rPr>
          <w:color w:val="000000"/>
          <w:w w:val="15"/>
          <w:shd w:val="solid" w:color="000000" w:fill="000000"/>
          <w:fitText w:val="-20" w:id="-1032081659"/>
          <w14:textFill>
            <w14:solidFill>
              <w14:srgbClr w14:val="000000">
                <w14:alpha w14:val="100000"/>
              </w14:srgbClr>
            </w14:solidFill>
          </w14:textFill>
        </w:rPr>
        <w:t xml:space="preserve">| </w:t>
      </w:r>
      <w:r w:rsidR="00785872" w:rsidRPr="00724199">
        <w:rPr>
          <w:color w:val="000000"/>
          <w:spacing w:val="-61"/>
          <w:w w:val="15"/>
          <w:shd w:val="solid" w:color="000000" w:fill="000000"/>
          <w:fitText w:val="-20" w:id="-1032081659"/>
          <w14:textFill>
            <w14:solidFill>
              <w14:srgbClr w14:val="000000">
                <w14:alpha w14:val="100000"/>
              </w14:srgbClr>
            </w14:solidFill>
          </w14:textFill>
        </w:rPr>
        <w:t>|</w:t>
      </w:r>
      <w:r w:rsidRPr="00F92E56">
        <w:t xml:space="preserve"> (published $9,73</w:t>
      </w:r>
      <w:r w:rsidR="00320C7B" w:rsidRPr="00F92E56">
        <w:t>4.47</w:t>
      </w:r>
      <w:r w:rsidRPr="00F92E56">
        <w:t>)</w:t>
      </w:r>
      <w:r w:rsidR="00320C7B" w:rsidRPr="00F92E56">
        <w:t xml:space="preserve">, using the </w:t>
      </w:r>
      <w:r w:rsidR="007E099D" w:rsidRPr="00F92E56">
        <w:t>July 2023</w:t>
      </w:r>
      <w:r w:rsidR="00320C7B" w:rsidRPr="00F92E56">
        <w:t xml:space="preserve"> Efficient Funding of Chemotherapy (EFC) fees and mark-ups</w:t>
      </w:r>
      <w:r w:rsidRPr="00F92E56">
        <w:t xml:space="preserve">. The proposed effective </w:t>
      </w:r>
      <w:r w:rsidR="00320C7B" w:rsidRPr="00F92E56">
        <w:t>DPMAs</w:t>
      </w:r>
      <w:r w:rsidRPr="00F92E56">
        <w:t xml:space="preserve"> </w:t>
      </w:r>
      <w:r w:rsidR="00320C7B" w:rsidRPr="00F92E56">
        <w:t xml:space="preserve">requested </w:t>
      </w:r>
      <w:r w:rsidRPr="00F92E56">
        <w:t xml:space="preserve">in the resubmission </w:t>
      </w:r>
      <w:r w:rsidR="004711C1" w:rsidRPr="00F92E56">
        <w:t xml:space="preserve">have more than </w:t>
      </w:r>
      <w:r w:rsidR="00320C7B" w:rsidRPr="00F92E56">
        <w:t>double</w:t>
      </w:r>
      <w:r w:rsidR="004711C1" w:rsidRPr="00F92E56">
        <w:t>d</w:t>
      </w:r>
      <w:r w:rsidR="00320C7B" w:rsidRPr="00F92E56">
        <w:t xml:space="preserve"> the prices </w:t>
      </w:r>
      <w:r w:rsidRPr="00F92E56">
        <w:t>proposed in the previous submission (</w:t>
      </w:r>
      <w:r w:rsidR="00785872" w:rsidRPr="00785872">
        <w:t>$</w:t>
      </w:r>
      <w:r w:rsidR="00785872" w:rsidRPr="00724199">
        <w:rPr>
          <w:color w:val="000000"/>
          <w:w w:val="15"/>
          <w:shd w:val="solid" w:color="000000" w:fill="000000"/>
          <w:fitText w:val="-20" w:id="-1032081658"/>
          <w14:textFill>
            <w14:solidFill>
              <w14:srgbClr w14:val="000000">
                <w14:alpha w14:val="100000"/>
              </w14:srgbClr>
            </w14:solidFill>
          </w14:textFill>
        </w:rPr>
        <w:t xml:space="preserve">| </w:t>
      </w:r>
      <w:r w:rsidR="00785872" w:rsidRPr="00724199">
        <w:rPr>
          <w:color w:val="000000"/>
          <w:spacing w:val="-61"/>
          <w:w w:val="15"/>
          <w:shd w:val="solid" w:color="000000" w:fill="000000"/>
          <w:fitText w:val="-20" w:id="-1032081658"/>
          <w14:textFill>
            <w14:solidFill>
              <w14:srgbClr w14:val="000000">
                <w14:alpha w14:val="100000"/>
              </w14:srgbClr>
            </w14:solidFill>
          </w14:textFill>
        </w:rPr>
        <w:t>|</w:t>
      </w:r>
      <w:r w:rsidRPr="00F92E56">
        <w:t xml:space="preserve"> </w:t>
      </w:r>
      <w:r w:rsidR="00C35C9E" w:rsidRPr="00F92E56">
        <w:t>[</w:t>
      </w:r>
      <w:r w:rsidR="00320C7B" w:rsidRPr="00F92E56">
        <w:t>public</w:t>
      </w:r>
      <w:r w:rsidR="00C35C9E" w:rsidRPr="00F92E56">
        <w:t>]</w:t>
      </w:r>
      <w:r w:rsidRPr="00F92E56">
        <w:t xml:space="preserve"> and </w:t>
      </w:r>
      <w:r w:rsidR="00785872" w:rsidRPr="00785872">
        <w:t>$</w:t>
      </w:r>
      <w:r w:rsidR="00785872" w:rsidRPr="00724199">
        <w:rPr>
          <w:color w:val="000000"/>
          <w:w w:val="15"/>
          <w:shd w:val="solid" w:color="000000" w:fill="000000"/>
          <w:fitText w:val="-20" w:id="-1032081657"/>
          <w14:textFill>
            <w14:solidFill>
              <w14:srgbClr w14:val="000000">
                <w14:alpha w14:val="100000"/>
              </w14:srgbClr>
            </w14:solidFill>
          </w14:textFill>
        </w:rPr>
        <w:t xml:space="preserve">| </w:t>
      </w:r>
      <w:r w:rsidR="00785872" w:rsidRPr="00724199">
        <w:rPr>
          <w:color w:val="000000"/>
          <w:spacing w:val="-61"/>
          <w:w w:val="15"/>
          <w:shd w:val="solid" w:color="000000" w:fill="000000"/>
          <w:fitText w:val="-20" w:id="-1032081657"/>
          <w14:textFill>
            <w14:solidFill>
              <w14:srgbClr w14:val="000000">
                <w14:alpha w14:val="100000"/>
              </w14:srgbClr>
            </w14:solidFill>
          </w14:textFill>
        </w:rPr>
        <w:t>|</w:t>
      </w:r>
      <w:r w:rsidRPr="00F92E56">
        <w:t xml:space="preserve"> </w:t>
      </w:r>
      <w:r w:rsidR="00C35C9E" w:rsidRPr="00F92E56">
        <w:t>[</w:t>
      </w:r>
      <w:r w:rsidR="00320C7B" w:rsidRPr="00F92E56">
        <w:t>private</w:t>
      </w:r>
      <w:r w:rsidR="00C35C9E" w:rsidRPr="00F92E56">
        <w:t>]</w:t>
      </w:r>
      <w:r w:rsidRPr="00F92E56">
        <w:t>).</w:t>
      </w:r>
    </w:p>
    <w:p w14:paraId="30F64F14" w14:textId="5340CB14" w:rsidR="00D35E57" w:rsidRPr="00F92E56" w:rsidRDefault="00D35E57" w:rsidP="00236876">
      <w:pPr>
        <w:pStyle w:val="3-BodyText"/>
      </w:pPr>
      <w:bookmarkStart w:id="12" w:name="_Ref148103722"/>
      <w:r w:rsidRPr="00F92E56">
        <w:t>The resubmission requested that nivolumab be restricted to patients who have had prior NAC or who are contraindicated</w:t>
      </w:r>
      <w:r w:rsidR="00E3409C" w:rsidRPr="00F92E56">
        <w:t>/intolerant</w:t>
      </w:r>
      <w:r w:rsidRPr="00F92E56">
        <w:t xml:space="preserve"> to NAC. </w:t>
      </w:r>
      <w:r w:rsidR="00AF4C6E" w:rsidRPr="00F92E56">
        <w:t>Subgroup analysis from the CM274 trial indicated there is no clear DFS benefit for patients with no prior use of NAC (September 2022 cut-off: Prior NAC use: HR = 0.54 [95% CI: 0.41, 0.72]; No prior NAC use: HR = 0.88 [95% CI: 0.68, 1.14]</w:t>
      </w:r>
      <w:r w:rsidR="00292751" w:rsidRPr="00F92E56">
        <w:t>; February 2021 cut-off: (Prior NAC use: HR = 0.52 [95% CI: 0.39, 0.71]; No prior NAC use: HR = 0.90 [95% CI: 0.68, 1.18]</w:t>
      </w:r>
      <w:r w:rsidR="00AF4C6E" w:rsidRPr="00F92E56">
        <w:t xml:space="preserve">). </w:t>
      </w:r>
      <w:r w:rsidR="00E3409C" w:rsidRPr="00F92E56">
        <w:t xml:space="preserve">In the July 2022 consideration of nivolumab for MIUC, </w:t>
      </w:r>
      <w:r w:rsidR="00C35C9E" w:rsidRPr="00F92E56">
        <w:t xml:space="preserve">the </w:t>
      </w:r>
      <w:r w:rsidR="00E3409C" w:rsidRPr="00F92E56">
        <w:t>PBAC noted that a resubmission for nivolumab should restrict use to patients who have received prior NAC</w:t>
      </w:r>
      <w:r w:rsidR="00D17B09" w:rsidRPr="00F92E56">
        <w:t xml:space="preserve"> (</w:t>
      </w:r>
      <w:r w:rsidR="00724199">
        <w:t>paragraph</w:t>
      </w:r>
      <w:r w:rsidR="00D17B09" w:rsidRPr="00F92E56">
        <w:t xml:space="preserve"> 7.11, nivolumab </w:t>
      </w:r>
      <w:r w:rsidR="00BE598F">
        <w:t>Public Summary Document (</w:t>
      </w:r>
      <w:r w:rsidR="00D17B09" w:rsidRPr="00F92E56">
        <w:t>PSD</w:t>
      </w:r>
      <w:r w:rsidR="00BE598F">
        <w:t>)</w:t>
      </w:r>
      <w:r w:rsidR="00D17B09" w:rsidRPr="00F92E56">
        <w:t>, July 2022 PBAC meeting</w:t>
      </w:r>
      <w:r w:rsidR="00611733" w:rsidRPr="00F92E56">
        <w:t>)</w:t>
      </w:r>
      <w:r w:rsidR="00E3409C" w:rsidRPr="00F92E56">
        <w:t xml:space="preserve">. </w:t>
      </w:r>
      <w:r w:rsidR="00AC243A" w:rsidRPr="00F92E56">
        <w:t>The</w:t>
      </w:r>
      <w:r w:rsidR="00644CBC" w:rsidRPr="00F92E56">
        <w:t xml:space="preserve"> ESC noted that the</w:t>
      </w:r>
      <w:r w:rsidR="00AC243A" w:rsidRPr="00F92E56">
        <w:t xml:space="preserve"> </w:t>
      </w:r>
      <w:r w:rsidR="00B7337D" w:rsidRPr="00F92E56">
        <w:t>Pre-Sub</w:t>
      </w:r>
      <w:r w:rsidR="00F70817" w:rsidRPr="00F92E56">
        <w:t>-</w:t>
      </w:r>
      <w:r w:rsidR="00B7337D" w:rsidRPr="00F92E56">
        <w:t>Committee response (</w:t>
      </w:r>
      <w:r w:rsidR="00AC243A" w:rsidRPr="00F92E56">
        <w:t>PSCR</w:t>
      </w:r>
      <w:r w:rsidR="00B7337D" w:rsidRPr="00F92E56">
        <w:t>)</w:t>
      </w:r>
      <w:r w:rsidR="00785872" w:rsidRPr="00785872">
        <w:t xml:space="preserve"> </w:t>
      </w:r>
      <w:r w:rsidR="00AC243A" w:rsidRPr="00F92E56">
        <w:t xml:space="preserve">argued that the inclusion of patients who are contraindicated or intolerant to NAC in the proposed restriction is consistent with clinician feedback, ensures patient equity of access, and </w:t>
      </w:r>
      <w:r w:rsidR="009F16E2" w:rsidRPr="00F92E56">
        <w:t>promotes</w:t>
      </w:r>
      <w:r w:rsidR="0084108A" w:rsidRPr="00F92E56">
        <w:t xml:space="preserve"> clinical </w:t>
      </w:r>
      <w:r w:rsidR="00644CBC" w:rsidRPr="00F92E56">
        <w:t>autonomy</w:t>
      </w:r>
      <w:r w:rsidR="0084108A" w:rsidRPr="00F92E56">
        <w:t xml:space="preserve"> for </w:t>
      </w:r>
      <w:r w:rsidR="00AC243A" w:rsidRPr="00F92E56">
        <w:t>treating physicians.</w:t>
      </w:r>
      <w:r w:rsidR="00644CBC" w:rsidRPr="00F92E56">
        <w:t xml:space="preserve"> </w:t>
      </w:r>
      <w:r w:rsidR="005364D7" w:rsidRPr="00F92E56">
        <w:t xml:space="preserve">The ESC considered a patient must have received at least </w:t>
      </w:r>
      <w:r w:rsidR="00E1556A" w:rsidRPr="00F92E56">
        <w:t>one</w:t>
      </w:r>
      <w:r w:rsidR="005364D7" w:rsidRPr="00F92E56">
        <w:t xml:space="preserve"> dose of NAC to be determined intolerant to this treatment and hence would meet the </w:t>
      </w:r>
      <w:r w:rsidR="00E1556A" w:rsidRPr="00F92E56">
        <w:t xml:space="preserve">‘must have received prior NAC criterion’. </w:t>
      </w:r>
      <w:r w:rsidR="009F16E2" w:rsidRPr="00F92E56">
        <w:t>However, the</w:t>
      </w:r>
      <w:r w:rsidR="00AF4C6E" w:rsidRPr="00F92E56">
        <w:t xml:space="preserve"> ESC considered the inclusion of </w:t>
      </w:r>
      <w:r w:rsidR="00224A88" w:rsidRPr="00F92E56">
        <w:t xml:space="preserve">a </w:t>
      </w:r>
      <w:r w:rsidR="00E1556A" w:rsidRPr="00F92E56">
        <w:t xml:space="preserve">criterion regarding </w:t>
      </w:r>
      <w:r w:rsidR="00AF4C6E" w:rsidRPr="00F92E56">
        <w:t xml:space="preserve">patients who are contraindicated or intolerant to NAC would substantially increase the likelihood of </w:t>
      </w:r>
      <w:r w:rsidR="00F70817" w:rsidRPr="00F92E56">
        <w:t>use in</w:t>
      </w:r>
      <w:r w:rsidR="00AF4C6E" w:rsidRPr="00F92E56">
        <w:t xml:space="preserve"> a patient population with </w:t>
      </w:r>
      <w:r w:rsidR="009F16E2" w:rsidRPr="00F92E56">
        <w:t>no proven</w:t>
      </w:r>
      <w:r w:rsidR="0084108A" w:rsidRPr="00F92E56">
        <w:t xml:space="preserve"> </w:t>
      </w:r>
      <w:r w:rsidR="00232A6F" w:rsidRPr="00F92E56">
        <w:t>treatment benefit</w:t>
      </w:r>
      <w:r w:rsidR="00F70817" w:rsidRPr="00F92E56">
        <w:t xml:space="preserve"> </w:t>
      </w:r>
      <w:r w:rsidR="009F16E2" w:rsidRPr="00F92E56">
        <w:t>and advised it should be removed from the proposed restriction</w:t>
      </w:r>
      <w:r w:rsidR="0084108A" w:rsidRPr="00F92E56">
        <w:t>.</w:t>
      </w:r>
      <w:bookmarkEnd w:id="12"/>
      <w:r w:rsidR="005364D7" w:rsidRPr="00F92E56">
        <w:t xml:space="preserve"> </w:t>
      </w:r>
      <w:r w:rsidR="00E37383" w:rsidRPr="00F92E56">
        <w:t>The pre-PBAC response</w:t>
      </w:r>
      <w:r w:rsidR="00785872" w:rsidRPr="00785872">
        <w:t xml:space="preserve"> </w:t>
      </w:r>
      <w:r w:rsidR="00BC2329" w:rsidRPr="00F92E56">
        <w:t xml:space="preserve">stated that clinician feedback highlighted the potential inequitable consequence of restricting access to the prior NAC treated population and </w:t>
      </w:r>
      <w:r w:rsidR="00E37383" w:rsidRPr="00F92E56">
        <w:t xml:space="preserve">proposed the removal of </w:t>
      </w:r>
      <w:r w:rsidR="00BC2329" w:rsidRPr="00F92E56">
        <w:t>the word ‘</w:t>
      </w:r>
      <w:r w:rsidR="00E37383" w:rsidRPr="00F92E56">
        <w:t>intolerance</w:t>
      </w:r>
      <w:r w:rsidR="00BC2329" w:rsidRPr="00F92E56">
        <w:t>’</w:t>
      </w:r>
      <w:r w:rsidR="00E37383" w:rsidRPr="00F92E56">
        <w:t xml:space="preserve"> in the criterion</w:t>
      </w:r>
      <w:r w:rsidR="00F92E56">
        <w:t xml:space="preserve">. </w:t>
      </w:r>
    </w:p>
    <w:p w14:paraId="2899A16D" w14:textId="4CB57898" w:rsidR="00611733" w:rsidRPr="00F92E56" w:rsidRDefault="00E03604" w:rsidP="00236876">
      <w:pPr>
        <w:pStyle w:val="3-BodyText"/>
      </w:pPr>
      <w:r w:rsidRPr="00F92E56">
        <w:lastRenderedPageBreak/>
        <w:t>In July 2022, t</w:t>
      </w:r>
      <w:r w:rsidR="00611733" w:rsidRPr="00F92E56">
        <w:t>he PBAC considered that a broad PBS indication of ‘urothelial carcinoma’ was acceptable and that limiting treatment according to initial tumour origin was not appropriate given the small sample size and low number of events informing this subgroup analysis in the CM274 trial (</w:t>
      </w:r>
      <w:r w:rsidR="00724199">
        <w:t>paragraph</w:t>
      </w:r>
      <w:r w:rsidR="00611733" w:rsidRPr="00F92E56">
        <w:t xml:space="preserve"> 3.6, nivolumab PSD, July 2022 PBAC meeting)</w:t>
      </w:r>
    </w:p>
    <w:p w14:paraId="62B43D15" w14:textId="3831F880" w:rsidR="00D35E57" w:rsidRPr="00F92E56" w:rsidRDefault="00D35E57" w:rsidP="00236876">
      <w:pPr>
        <w:pStyle w:val="3-BodyText"/>
      </w:pPr>
      <w:r w:rsidRPr="00F92E56">
        <w:t xml:space="preserve">The resubmission noted that consistent with advice proposed by the Secretariat </w:t>
      </w:r>
      <w:r w:rsidR="00BA16A7" w:rsidRPr="00F92E56">
        <w:t xml:space="preserve">for </w:t>
      </w:r>
      <w:r w:rsidRPr="00F92E56">
        <w:t>the previous submission (</w:t>
      </w:r>
      <w:r w:rsidR="00724199">
        <w:t>paragraph</w:t>
      </w:r>
      <w:r w:rsidRPr="00F92E56">
        <w:t xml:space="preserve"> 3.4, </w:t>
      </w:r>
      <w:r w:rsidR="00A52E6B" w:rsidRPr="00F92E56">
        <w:t xml:space="preserve">nivolumab </w:t>
      </w:r>
      <w:r w:rsidRPr="00F92E56">
        <w:t xml:space="preserve">PSD, July 2022 PBAC meeting), the administrative criteria have been updated to allow 11 repeats where the dosing </w:t>
      </w:r>
      <w:r w:rsidR="004711C1" w:rsidRPr="00F92E56">
        <w:t xml:space="preserve">of nivolumab </w:t>
      </w:r>
      <w:r w:rsidRPr="00F92E56">
        <w:t>is every two weeks (Q2W), which would provide treatment for 6 months.</w:t>
      </w:r>
    </w:p>
    <w:p w14:paraId="7FEA028F" w14:textId="3A369512" w:rsidR="004F3694" w:rsidRPr="00F92E56" w:rsidRDefault="00D35E57" w:rsidP="00236876">
      <w:pPr>
        <w:pStyle w:val="3-BodyText"/>
      </w:pPr>
      <w:r w:rsidRPr="00F92E56">
        <w:t>The nivolumab dosage in the key CM274 trial was 240 mg Q2W until disease recurrence or unacceptable toxicity, with a maximum treatment duration of one year. The recommended nivolumab monotherapy dosing regimens for the proposed indication in the updated PI are 240 mg Q2W or 480 mg every 4 weeks (Q4W). The proposed maximum amount of nivolumab for this indication was 480</w:t>
      </w:r>
      <w:r w:rsidR="00236876">
        <w:t> </w:t>
      </w:r>
      <w:r w:rsidRPr="00F92E56">
        <w:t>mg, accommodating the longer interval of the Q4W dosing regimen</w:t>
      </w:r>
      <w:r w:rsidR="00625BB2" w:rsidRPr="00F92E56">
        <w:t>.</w:t>
      </w:r>
    </w:p>
    <w:p w14:paraId="4F711A4A" w14:textId="641B0F14" w:rsidR="00D35E57" w:rsidRPr="00F92E56" w:rsidRDefault="00D35E57" w:rsidP="00236876">
      <w:pPr>
        <w:pStyle w:val="3-BodyText"/>
      </w:pPr>
      <w:r w:rsidRPr="00F92E56">
        <w:t xml:space="preserve">The </w:t>
      </w:r>
      <w:r w:rsidR="00625BB2" w:rsidRPr="00F92E56">
        <w:t xml:space="preserve">resubmission requested a </w:t>
      </w:r>
      <w:r w:rsidRPr="00F92E56">
        <w:t xml:space="preserve">single restriction for initial and continuing treatment </w:t>
      </w:r>
      <w:r w:rsidR="008004D4" w:rsidRPr="00F92E56">
        <w:t xml:space="preserve">as </w:t>
      </w:r>
      <w:r w:rsidRPr="00F92E56">
        <w:t>proposed by the PBAC Secretariat for the previous submission (</w:t>
      </w:r>
      <w:r w:rsidR="00724199">
        <w:t>paragraph</w:t>
      </w:r>
      <w:r w:rsidRPr="00F92E56">
        <w:t xml:space="preserve"> 3.7, </w:t>
      </w:r>
      <w:r w:rsidR="00A52E6B" w:rsidRPr="00F92E56">
        <w:t xml:space="preserve">nivolumab </w:t>
      </w:r>
      <w:r w:rsidRPr="00F92E56">
        <w:t>PSD, July 2022 PBAC meeting).</w:t>
      </w:r>
    </w:p>
    <w:p w14:paraId="2CB3B41F" w14:textId="7902093F" w:rsidR="00625BB2" w:rsidRPr="00F92E56" w:rsidRDefault="00625BB2" w:rsidP="00236876">
      <w:pPr>
        <w:pStyle w:val="3-BodyText"/>
      </w:pPr>
      <w:r w:rsidRPr="00F92E56">
        <w:t xml:space="preserve">The resubmission proposed </w:t>
      </w:r>
      <w:r w:rsidR="00D35E57" w:rsidRPr="00F92E56">
        <w:t>several changes</w:t>
      </w:r>
      <w:r w:rsidR="00AC7057" w:rsidRPr="00F92E56">
        <w:t xml:space="preserve"> or modifications</w:t>
      </w:r>
      <w:r w:rsidR="00D35E57" w:rsidRPr="00F92E56">
        <w:t xml:space="preserve"> to the restriction wording</w:t>
      </w:r>
      <w:r w:rsidRPr="00F92E56">
        <w:t xml:space="preserve"> </w:t>
      </w:r>
      <w:r w:rsidR="00BB1022" w:rsidRPr="00F92E56">
        <w:t>compared to</w:t>
      </w:r>
      <w:r w:rsidR="00611733" w:rsidRPr="00F92E56">
        <w:t xml:space="preserve"> </w:t>
      </w:r>
      <w:r w:rsidRPr="00F92E56">
        <w:t>the previous submission:</w:t>
      </w:r>
    </w:p>
    <w:p w14:paraId="314D5AA2" w14:textId="40B21E6E" w:rsidR="00D35E57" w:rsidRPr="00236876" w:rsidRDefault="00AC7057" w:rsidP="00236876">
      <w:pPr>
        <w:pStyle w:val="ListParagraph"/>
      </w:pPr>
      <w:r w:rsidRPr="00236876">
        <w:t>t</w:t>
      </w:r>
      <w:r w:rsidR="00D35E57" w:rsidRPr="00236876">
        <w:t xml:space="preserve">he </w:t>
      </w:r>
      <w:r w:rsidR="00611733" w:rsidRPr="00236876">
        <w:t>World Health Organisation (</w:t>
      </w:r>
      <w:r w:rsidR="00D35E57" w:rsidRPr="00236876">
        <w:t>WHO</w:t>
      </w:r>
      <w:r w:rsidR="00611733" w:rsidRPr="00236876">
        <w:t>)</w:t>
      </w:r>
      <w:r w:rsidR="00D35E57" w:rsidRPr="00236876">
        <w:t xml:space="preserve"> performance score criterion has been moved from the treatment criteria section to the clinical criteria section to ensure consistency with other nivolumab PBS listings.</w:t>
      </w:r>
    </w:p>
    <w:p w14:paraId="13BF98EF" w14:textId="43C0B5D8" w:rsidR="006851C3" w:rsidRPr="00236876" w:rsidRDefault="006851C3" w:rsidP="00236876">
      <w:pPr>
        <w:pStyle w:val="ListParagraph"/>
      </w:pPr>
      <w:r w:rsidRPr="00236876">
        <w:t>r</w:t>
      </w:r>
      <w:r w:rsidR="00AC7057" w:rsidRPr="00236876">
        <w:t xml:space="preserve">emoval of </w:t>
      </w:r>
      <w:r w:rsidR="00D35E57" w:rsidRPr="00236876">
        <w:t xml:space="preserve">the wording ‘initiated in a patient untreated with programmed cell death-1/ligand-1 (PD-1/PDL-1) inhibitor therapy’ </w:t>
      </w:r>
      <w:r w:rsidR="006674D1" w:rsidRPr="00236876">
        <w:t xml:space="preserve">from the clinical criteria </w:t>
      </w:r>
      <w:r w:rsidR="00D35E57" w:rsidRPr="00236876">
        <w:t>as there are no earlier lines of PD-1/PDL-1 therapy</w:t>
      </w:r>
      <w:r w:rsidR="00F83719" w:rsidRPr="00236876">
        <w:t xml:space="preserve"> currently available in Australian clinical practice</w:t>
      </w:r>
      <w:r w:rsidR="00D35E57" w:rsidRPr="00236876">
        <w:t xml:space="preserve">. There is a risk of sequential use should immune checkpoint inhibitors </w:t>
      </w:r>
      <w:r w:rsidR="00C40C1E" w:rsidRPr="00236876">
        <w:t xml:space="preserve">subsequently </w:t>
      </w:r>
      <w:r w:rsidRPr="00236876">
        <w:t xml:space="preserve">become integrated </w:t>
      </w:r>
      <w:r w:rsidR="00D35E57" w:rsidRPr="00236876">
        <w:t>in</w:t>
      </w:r>
      <w:r w:rsidRPr="00236876">
        <w:t>to</w:t>
      </w:r>
      <w:r w:rsidR="00D35E57" w:rsidRPr="00236876">
        <w:t xml:space="preserve"> the neoadjuvant </w:t>
      </w:r>
      <w:r w:rsidRPr="00236876">
        <w:t xml:space="preserve">treatment </w:t>
      </w:r>
      <w:r w:rsidR="00D35E57" w:rsidRPr="00236876">
        <w:t xml:space="preserve">setting for </w:t>
      </w:r>
      <w:r w:rsidR="006674D1" w:rsidRPr="00236876">
        <w:t>urothelial carcinoma (</w:t>
      </w:r>
      <w:r w:rsidR="00D35E57" w:rsidRPr="00236876">
        <w:t>UC</w:t>
      </w:r>
      <w:r w:rsidR="006674D1" w:rsidRPr="00236876">
        <w:t>)</w:t>
      </w:r>
      <w:r w:rsidR="00D35E57" w:rsidRPr="00236876">
        <w:t>.</w:t>
      </w:r>
    </w:p>
    <w:p w14:paraId="59FE3E9E" w14:textId="4EC97DBD" w:rsidR="00C5139F" w:rsidRPr="00F92E56" w:rsidRDefault="00C5139F" w:rsidP="00236876">
      <w:pPr>
        <w:pStyle w:val="3-BodyText"/>
      </w:pPr>
      <w:r w:rsidRPr="00F92E56">
        <w:t>The restriction wording allows for grandfathered patients should the sponsor set up a patient access scheme.</w:t>
      </w:r>
    </w:p>
    <w:p w14:paraId="79DEE830" w14:textId="386BF49A" w:rsidR="00627ADD" w:rsidRPr="00F92E56" w:rsidRDefault="00627ADD" w:rsidP="00236876">
      <w:pPr>
        <w:pStyle w:val="3-BodyText"/>
      </w:pPr>
      <w:r w:rsidRPr="00F92E56">
        <w:t xml:space="preserve">Should </w:t>
      </w:r>
      <w:r w:rsidR="006851C3" w:rsidRPr="00F92E56">
        <w:t xml:space="preserve">nivolumab </w:t>
      </w:r>
      <w:r w:rsidRPr="00F92E56">
        <w:t xml:space="preserve">become available on the PBS for the proposed indication, </w:t>
      </w:r>
      <w:r w:rsidR="00D35E57" w:rsidRPr="00F92E56">
        <w:t>the existing avelumab restriction in the maintenance setting</w:t>
      </w:r>
      <w:r w:rsidR="006851C3" w:rsidRPr="00F92E56">
        <w:t xml:space="preserve"> </w:t>
      </w:r>
      <w:r w:rsidRPr="00F92E56">
        <w:t xml:space="preserve">(following first-line platinum-based chemotherapy) </w:t>
      </w:r>
      <w:r w:rsidR="006851C3" w:rsidRPr="00F92E56">
        <w:t xml:space="preserve">for advanced </w:t>
      </w:r>
      <w:r w:rsidR="00C5139F" w:rsidRPr="00F92E56">
        <w:t>UC</w:t>
      </w:r>
      <w:r w:rsidR="00D35E57" w:rsidRPr="00F92E56">
        <w:t xml:space="preserve">, </w:t>
      </w:r>
      <w:r w:rsidRPr="00F92E56">
        <w:t>may</w:t>
      </w:r>
      <w:r w:rsidR="006851C3" w:rsidRPr="00F92E56">
        <w:t xml:space="preserve"> </w:t>
      </w:r>
      <w:r w:rsidR="00D35E57" w:rsidRPr="00F92E56">
        <w:t>need to be amended to require that the patient had not received prior treatment with a PD-(L)1 inhibitor for this condition</w:t>
      </w:r>
      <w:r w:rsidR="006851C3" w:rsidRPr="00F92E56">
        <w:t>.</w:t>
      </w:r>
    </w:p>
    <w:p w14:paraId="7780A8CA" w14:textId="77777777" w:rsidR="008636EF" w:rsidRPr="00F92E56" w:rsidRDefault="008636EF" w:rsidP="008636EF">
      <w:pPr>
        <w:ind w:firstLine="709"/>
        <w:rPr>
          <w:rFonts w:asciiTheme="minorHAnsi" w:hAnsiTheme="minorHAnsi"/>
          <w:i/>
        </w:rPr>
      </w:pPr>
      <w:bookmarkStart w:id="13" w:name="_Toc145496530"/>
      <w:r w:rsidRPr="00F92E56">
        <w:rPr>
          <w:rFonts w:asciiTheme="minorHAnsi" w:hAnsiTheme="minorHAnsi"/>
          <w:i/>
        </w:rPr>
        <w:t>For more detail on PBAC’s view, see section 7 PBAC outcome.</w:t>
      </w:r>
    </w:p>
    <w:p w14:paraId="158AA79B" w14:textId="77777777" w:rsidR="00B50DB8" w:rsidRPr="00F92E56" w:rsidDel="00195452" w:rsidRDefault="00203181" w:rsidP="004E18E9">
      <w:pPr>
        <w:pStyle w:val="2-SectionHeading"/>
      </w:pPr>
      <w:r w:rsidRPr="00F92E56" w:rsidDel="00195452">
        <w:lastRenderedPageBreak/>
        <w:t xml:space="preserve">Population and </w:t>
      </w:r>
      <w:r w:rsidR="008E0D3C" w:rsidRPr="00F92E56" w:rsidDel="00195452">
        <w:t>d</w:t>
      </w:r>
      <w:r w:rsidRPr="00F92E56" w:rsidDel="00195452">
        <w:t>isease</w:t>
      </w:r>
      <w:bookmarkEnd w:id="13"/>
    </w:p>
    <w:p w14:paraId="7C52DE21" w14:textId="13AF4B61" w:rsidR="00E32601" w:rsidRPr="00F92E56" w:rsidRDefault="00E32601" w:rsidP="00236876">
      <w:pPr>
        <w:pStyle w:val="3-BodyText"/>
      </w:pPr>
      <w:r w:rsidRPr="00F92E56">
        <w:t>Bladder cancer is the eleventh most diagnosed cancer in Australia with 25% cases involving muscle invasive disease at diagnosis. MIUC encompasses both muscle invasive bladder cancer (MIBC) and upper tract urothelial cancer (UTUC). More than 90% of urothelial tumours originate in the urinary bladder, with the remaining tumours originating in the renal pelvis (~8%), ureter or urethra (~2%)</w:t>
      </w:r>
      <w:r w:rsidRPr="00F92E56">
        <w:rPr>
          <w:rStyle w:val="FootnoteReference"/>
        </w:rPr>
        <w:footnoteReference w:id="5"/>
      </w:r>
      <w:r w:rsidRPr="00F92E56">
        <w:t xml:space="preserve">. 15% to 25% of UCs either present with or eventually progress to muscle invasive or metastatic disease. </w:t>
      </w:r>
    </w:p>
    <w:p w14:paraId="12208649" w14:textId="2831B38E" w:rsidR="00E32601" w:rsidRPr="00F92E56" w:rsidRDefault="00E32601" w:rsidP="00236876">
      <w:pPr>
        <w:pStyle w:val="3-BodyText"/>
      </w:pPr>
      <w:r w:rsidRPr="00F92E56">
        <w:t xml:space="preserve">Patients with MIBC are at a high risk for developing metastatic disease, even after undergoing radical cystectomy. Moreover, despite multimodal treatment (surgery </w:t>
      </w:r>
      <w:r w:rsidRPr="00F92E56">
        <w:rPr>
          <w:rFonts w:cstheme="minorHAnsi"/>
        </w:rPr>
        <w:t>±</w:t>
      </w:r>
      <w:r w:rsidRPr="00F92E56">
        <w:t xml:space="preserve"> radiotherapy/chemotherapy), more than 50% of patients with MIBC will eventually develop metastases. The prognosis of metastatic disease is poor, with a median OS of up to 15 months with chemotherapy alone, and up to 21 months when maintenance immunotherapy is added in the first-line </w:t>
      </w:r>
      <w:r w:rsidR="006674D1" w:rsidRPr="00F92E56">
        <w:t xml:space="preserve">metastatic </w:t>
      </w:r>
      <w:r w:rsidRPr="00F92E56">
        <w:t>setting. Similar to MIBC, the prognosis of muscle invasive UTUC is poor with a 5-year disease-specific survival of less than 50%</w:t>
      </w:r>
      <w:r w:rsidR="00C40C1E" w:rsidRPr="00F92E56">
        <w:rPr>
          <w:rStyle w:val="FootnoteReference"/>
        </w:rPr>
        <w:footnoteReference w:id="6"/>
      </w:r>
      <w:r w:rsidRPr="00F92E56">
        <w:t xml:space="preserve">. </w:t>
      </w:r>
    </w:p>
    <w:p w14:paraId="04CC6063" w14:textId="72FB05BC" w:rsidR="00E32601" w:rsidRPr="00F92E56" w:rsidRDefault="00E32601" w:rsidP="00236876">
      <w:pPr>
        <w:pStyle w:val="3-BodyText"/>
      </w:pPr>
      <w:r w:rsidRPr="00F92E56">
        <w:t>Current staging of UC uses the tumour-node-metastasis (TNM) system of the American Joint Committee on Cancer (AJCC, 8</w:t>
      </w:r>
      <w:r w:rsidRPr="00F92E56">
        <w:rPr>
          <w:vertAlign w:val="superscript"/>
        </w:rPr>
        <w:t>th</w:t>
      </w:r>
      <w:r w:rsidRPr="00F92E56">
        <w:t xml:space="preserve"> edition, 2017). </w:t>
      </w:r>
    </w:p>
    <w:p w14:paraId="2F9A5C7B" w14:textId="4F96B46F" w:rsidR="00E32601" w:rsidRPr="00F92E56" w:rsidRDefault="00E32601" w:rsidP="00236876">
      <w:pPr>
        <w:pStyle w:val="3-BodyText"/>
      </w:pPr>
      <w:r w:rsidRPr="00F92E56">
        <w:t xml:space="preserve">The resubmission positioned nivolumab as an alternative to watchful waiting in the high risk MIUC adjuvant setting after receipt of prior neoadjuvant chemotherapy and radical surgery. </w:t>
      </w:r>
    </w:p>
    <w:p w14:paraId="4FDA9C18" w14:textId="7C4B19E3" w:rsidR="00E32601" w:rsidRPr="00F92E56" w:rsidRDefault="00E32601" w:rsidP="00236876">
      <w:pPr>
        <w:pStyle w:val="3-BodyText"/>
      </w:pPr>
      <w:r w:rsidRPr="00F92E56">
        <w:t>In the previous submission, feedback was presented from the Genitourinary Advisory Board virtual meeting which indicated that there were relatively few cisplatin-ineligible MIUC patients in clinical practice (BMSA GU Advisory Board Minutes 2021, Attachment 1 accompanying the previous submission).</w:t>
      </w:r>
    </w:p>
    <w:p w14:paraId="10A33484" w14:textId="77777777" w:rsidR="00E32601" w:rsidRPr="00F92E56" w:rsidRDefault="00E32601" w:rsidP="00236876">
      <w:pPr>
        <w:pStyle w:val="3-BodyText"/>
      </w:pPr>
      <w:r w:rsidRPr="00F92E56">
        <w:t>Recognising that there may be some variation in clinical practice, current clinical management guidelines for MIUC differ based on the primary tumour site (urinary bladder versus upper tract renal pelvis/ureter).</w:t>
      </w:r>
    </w:p>
    <w:p w14:paraId="60225FBA" w14:textId="6786F6AC" w:rsidR="00E32601" w:rsidRPr="00F92E56" w:rsidRDefault="00E32601" w:rsidP="00236876">
      <w:pPr>
        <w:pStyle w:val="ListParagraph"/>
      </w:pPr>
      <w:r w:rsidRPr="00F92E56">
        <w:t>For high risk muscle invasive UTUC, the European Association of Urology (EAU) guidelines recommend postoperative platinum-based adjuvant chemotherapy to eligible patients</w:t>
      </w:r>
      <w:r w:rsidRPr="00F92E56">
        <w:rPr>
          <w:rStyle w:val="FootnoteReference"/>
        </w:rPr>
        <w:footnoteReference w:id="7"/>
      </w:r>
      <w:r w:rsidRPr="00F92E56">
        <w:t>. These recommendations are based mainly on results from the randomised POUT</w:t>
      </w:r>
      <w:r w:rsidRPr="00F92E56">
        <w:rPr>
          <w:rStyle w:val="FootnoteReference"/>
        </w:rPr>
        <w:footnoteReference w:id="8"/>
      </w:r>
      <w:r w:rsidRPr="00F92E56">
        <w:t xml:space="preserve"> trial which showed that, compared to surveillance, adjuvant </w:t>
      </w:r>
      <w:r w:rsidRPr="00F92E56">
        <w:lastRenderedPageBreak/>
        <w:t>platinum-based chemotherapy improved both DFS and metastasis</w:t>
      </w:r>
      <w:r w:rsidR="00C24C60" w:rsidRPr="00F92E56">
        <w:t>-</w:t>
      </w:r>
      <w:r w:rsidRPr="00F92E56">
        <w:t xml:space="preserve">free survival in patients with muscle invasive or lymph node positive UTUC. </w:t>
      </w:r>
    </w:p>
    <w:p w14:paraId="21BF501E" w14:textId="77777777" w:rsidR="00E32601" w:rsidRPr="00F92E56" w:rsidRDefault="00E32601" w:rsidP="00236876">
      <w:pPr>
        <w:pStyle w:val="ListParagraph"/>
      </w:pPr>
      <w:r w:rsidRPr="00F92E56">
        <w:t>For high risk MIBC, the EAU guidelines recommend neoadjuvant cisplatin-based chemotherapy to eligible patients</w:t>
      </w:r>
      <w:r w:rsidRPr="00F92E56">
        <w:rPr>
          <w:rStyle w:val="FootnoteReference"/>
        </w:rPr>
        <w:footnoteReference w:id="9"/>
      </w:r>
      <w:r w:rsidRPr="00F92E56">
        <w:t xml:space="preserve">. Except in uncommon circumstances, patients who have received neoadjuvant platinum-based chemotherapy are unlikely to be offered adjuvant platinum-based chemotherapy. </w:t>
      </w:r>
    </w:p>
    <w:p w14:paraId="437157CE" w14:textId="77777777" w:rsidR="00E32601" w:rsidRPr="00F92E56" w:rsidRDefault="00E32601" w:rsidP="00236876">
      <w:pPr>
        <w:pStyle w:val="3-BodyText"/>
      </w:pPr>
      <w:r w:rsidRPr="00F92E56">
        <w:t>Nivolumab is a fully human immunoglobulin G4 monoclonal antibody which binds to the PD-1 receptor on T-cells. It acts as an immunomodulating agent by blocking the interaction between PD-1 and its ligands, PD-L1 and PD-L2.</w:t>
      </w:r>
    </w:p>
    <w:p w14:paraId="5296165E" w14:textId="77777777" w:rsidR="008636EF" w:rsidRPr="00F92E56" w:rsidRDefault="008636EF" w:rsidP="008636EF">
      <w:pPr>
        <w:ind w:firstLine="709"/>
        <w:rPr>
          <w:rFonts w:asciiTheme="minorHAnsi" w:hAnsiTheme="minorHAnsi"/>
          <w:i/>
        </w:rPr>
      </w:pPr>
      <w:bookmarkStart w:id="14" w:name="_Toc145496531"/>
      <w:r w:rsidRPr="00F92E56">
        <w:rPr>
          <w:rFonts w:asciiTheme="minorHAnsi" w:hAnsiTheme="minorHAnsi"/>
          <w:i/>
        </w:rPr>
        <w:t>For more detail on PBAC’s view, see section 7 PBAC outcome.</w:t>
      </w:r>
    </w:p>
    <w:p w14:paraId="0B234DA1" w14:textId="77777777" w:rsidR="00B50DB8" w:rsidRPr="00F92E56" w:rsidRDefault="00B50DB8" w:rsidP="004E18E9">
      <w:pPr>
        <w:pStyle w:val="2-SectionHeading"/>
      </w:pPr>
      <w:r w:rsidRPr="00F92E56">
        <w:t>Comparator</w:t>
      </w:r>
      <w:bookmarkEnd w:id="14"/>
    </w:p>
    <w:p w14:paraId="6465D428" w14:textId="5EBCF018" w:rsidR="00AC0420" w:rsidRPr="00346867" w:rsidRDefault="00AC0420" w:rsidP="00236876">
      <w:pPr>
        <w:pStyle w:val="3-BodyText"/>
        <w:rPr>
          <w:snapToGrid/>
        </w:rPr>
      </w:pPr>
      <w:r w:rsidRPr="00F92E56">
        <w:t xml:space="preserve">The resubmission nominated watch and wait surveillance (herein referred to as watchful waiting) as the main comparator. This has not changed from the previous submission. This is appropriate as the target population is now restricted to patients who </w:t>
      </w:r>
      <w:r w:rsidR="00386704" w:rsidRPr="00F92E56">
        <w:t>have</w:t>
      </w:r>
      <w:r w:rsidRPr="00F92E56">
        <w:t xml:space="preserve"> previously received NAC. </w:t>
      </w:r>
      <w:r w:rsidR="00386704" w:rsidRPr="00F92E56">
        <w:t>These patients are unlikely to receive adjuvant chemotherapy.</w:t>
      </w:r>
    </w:p>
    <w:p w14:paraId="0BEAC39B" w14:textId="77777777" w:rsidR="008636EF" w:rsidRPr="00F92E56" w:rsidRDefault="008636EF" w:rsidP="008636EF">
      <w:pPr>
        <w:ind w:firstLine="709"/>
        <w:rPr>
          <w:rFonts w:asciiTheme="minorHAnsi" w:hAnsiTheme="minorHAnsi"/>
          <w:i/>
        </w:rPr>
      </w:pPr>
      <w:bookmarkStart w:id="15" w:name="_Toc145496532"/>
      <w:bookmarkStart w:id="16" w:name="_Toc22897640"/>
      <w:r w:rsidRPr="00F92E56">
        <w:rPr>
          <w:rFonts w:asciiTheme="minorHAnsi" w:hAnsiTheme="minorHAnsi"/>
          <w:i/>
        </w:rPr>
        <w:t>For more detail on PBAC’s view, see section 7 PBAC outcome.</w:t>
      </w:r>
    </w:p>
    <w:p w14:paraId="4B98C8C6" w14:textId="77777777" w:rsidR="00223D5A" w:rsidRPr="00F92E56" w:rsidRDefault="00223D5A" w:rsidP="00223D5A">
      <w:pPr>
        <w:pStyle w:val="2-SectionHeading"/>
        <w:numPr>
          <w:ilvl w:val="0"/>
          <w:numId w:val="1"/>
        </w:numPr>
      </w:pPr>
      <w:r w:rsidRPr="00F92E56">
        <w:t>Consideration of the evidence</w:t>
      </w:r>
      <w:bookmarkEnd w:id="15"/>
    </w:p>
    <w:p w14:paraId="2E0CC491" w14:textId="77777777" w:rsidR="00813D1D" w:rsidRPr="00F92E56" w:rsidRDefault="00813D1D" w:rsidP="00E438F2">
      <w:pPr>
        <w:pStyle w:val="4-SubsectionHeading"/>
        <w:rPr>
          <w:b w:val="0"/>
          <w:i w:val="0"/>
        </w:rPr>
      </w:pPr>
      <w:bookmarkStart w:id="17" w:name="_Hlk76375935"/>
      <w:bookmarkStart w:id="18" w:name="_Toc145496533"/>
      <w:r w:rsidRPr="00F92E56">
        <w:t>Sponsor hearing</w:t>
      </w:r>
    </w:p>
    <w:p w14:paraId="687C4BF8" w14:textId="2721E8E6" w:rsidR="00813D1D" w:rsidRPr="00F92E56" w:rsidRDefault="00813D1D" w:rsidP="00813D1D">
      <w:pPr>
        <w:widowControl w:val="0"/>
        <w:numPr>
          <w:ilvl w:val="1"/>
          <w:numId w:val="1"/>
        </w:numPr>
        <w:spacing w:after="120"/>
        <w:jc w:val="left"/>
        <w:rPr>
          <w:rFonts w:cs="Calibri"/>
          <w:bCs/>
          <w:snapToGrid w:val="0"/>
          <w:lang w:eastAsia="en-US"/>
        </w:rPr>
      </w:pPr>
      <w:r w:rsidRPr="00F92E56">
        <w:rPr>
          <w:rFonts w:cs="Calibri"/>
          <w:bCs/>
          <w:snapToGrid w:val="0"/>
          <w:lang w:eastAsia="en-US"/>
        </w:rPr>
        <w:t>There was no hearing for this item.</w:t>
      </w:r>
    </w:p>
    <w:p w14:paraId="2E1C35F5" w14:textId="77777777" w:rsidR="00813D1D" w:rsidRPr="00F92E56" w:rsidRDefault="00813D1D" w:rsidP="00E438F2">
      <w:pPr>
        <w:pStyle w:val="4-SubsectionHeading"/>
        <w:rPr>
          <w:b w:val="0"/>
          <w:i w:val="0"/>
        </w:rPr>
      </w:pPr>
      <w:r w:rsidRPr="00F92E56">
        <w:t>Consumer comments</w:t>
      </w:r>
    </w:p>
    <w:p w14:paraId="0B4ED0F3" w14:textId="3D4E8531" w:rsidR="00813D1D" w:rsidRPr="00F92E56" w:rsidRDefault="00CA79F3" w:rsidP="00236876">
      <w:pPr>
        <w:pStyle w:val="3-BodyText"/>
        <w:rPr>
          <w:lang w:eastAsia="en-US"/>
        </w:rPr>
      </w:pPr>
      <w:bookmarkStart w:id="19" w:name="_Hlk76382618"/>
      <w:r w:rsidRPr="00F92E56">
        <w:rPr>
          <w:lang w:eastAsia="en-US"/>
        </w:rPr>
        <w:t xml:space="preserve">The </w:t>
      </w:r>
      <w:r w:rsidR="00813D1D" w:rsidRPr="00F92E56">
        <w:rPr>
          <w:lang w:eastAsia="en-US"/>
        </w:rPr>
        <w:t xml:space="preserve">PBAC noted and welcomed the input from </w:t>
      </w:r>
      <w:r w:rsidRPr="00F92E56">
        <w:rPr>
          <w:lang w:eastAsia="en-US"/>
        </w:rPr>
        <w:t>a</w:t>
      </w:r>
      <w:r w:rsidR="00250F22" w:rsidRPr="00F92E56">
        <w:rPr>
          <w:lang w:eastAsia="en-US"/>
        </w:rPr>
        <w:t xml:space="preserve"> health care professional</w:t>
      </w:r>
      <w:r w:rsidR="00813D1D" w:rsidRPr="00F92E56">
        <w:rPr>
          <w:lang w:eastAsia="en-US"/>
        </w:rPr>
        <w:t xml:space="preserve"> (</w:t>
      </w:r>
      <w:r w:rsidRPr="00F92E56">
        <w:rPr>
          <w:lang w:eastAsia="en-US"/>
        </w:rPr>
        <w:t>1</w:t>
      </w:r>
      <w:r w:rsidR="00813D1D" w:rsidRPr="00F92E56">
        <w:rPr>
          <w:lang w:eastAsia="en-US"/>
        </w:rPr>
        <w:t>)</w:t>
      </w:r>
      <w:r w:rsidRPr="00F92E56">
        <w:rPr>
          <w:lang w:eastAsia="en-US"/>
        </w:rPr>
        <w:t xml:space="preserve"> </w:t>
      </w:r>
      <w:r w:rsidR="00813D1D" w:rsidRPr="00F92E56">
        <w:rPr>
          <w:lang w:eastAsia="en-US"/>
        </w:rPr>
        <w:t>and organisations (</w:t>
      </w:r>
      <w:r w:rsidRPr="00F92E56">
        <w:rPr>
          <w:lang w:eastAsia="en-US"/>
        </w:rPr>
        <w:t>2</w:t>
      </w:r>
      <w:r w:rsidR="00813D1D" w:rsidRPr="00F92E56">
        <w:rPr>
          <w:lang w:eastAsia="en-US"/>
        </w:rPr>
        <w:t xml:space="preserve">) via the Consumer Comments facility on the PBS website. The </w:t>
      </w:r>
      <w:r w:rsidR="00250F22" w:rsidRPr="00F92E56">
        <w:rPr>
          <w:lang w:eastAsia="en-US"/>
        </w:rPr>
        <w:t xml:space="preserve">health care professional </w:t>
      </w:r>
      <w:r w:rsidR="00813D1D" w:rsidRPr="00F92E56">
        <w:rPr>
          <w:lang w:eastAsia="en-US"/>
        </w:rPr>
        <w:t xml:space="preserve">comments described </w:t>
      </w:r>
      <w:r w:rsidR="005F581F" w:rsidRPr="00F92E56">
        <w:rPr>
          <w:lang w:eastAsia="en-US"/>
        </w:rPr>
        <w:t>the need for an effective adjuvant therapy for the treatment of urothelial carcinoma after cystectomy and stated the potential for avoiding recurrence with a course of adjuvant nivolumab would provide reassurance to both patients and doctors. Comments from BEAT Bladder Cancer described the impact that living with one of the highest recurring cancers with lowest survival rates has on patients mental health</w:t>
      </w:r>
      <w:r w:rsidR="0045196A" w:rsidRPr="00F92E56">
        <w:rPr>
          <w:lang w:eastAsia="en-US"/>
        </w:rPr>
        <w:t xml:space="preserve"> and quality of life. The comments also highlighted improvements in DFS with nivolumab as important for patients and suggested that such treatment was well </w:t>
      </w:r>
      <w:r w:rsidR="00551697" w:rsidRPr="00F92E56">
        <w:rPr>
          <w:lang w:eastAsia="en-US"/>
        </w:rPr>
        <w:t xml:space="preserve">tolerated with a manageable safety profile. </w:t>
      </w:r>
    </w:p>
    <w:bookmarkEnd w:id="17"/>
    <w:bookmarkEnd w:id="19"/>
    <w:p w14:paraId="4B73B719" w14:textId="3F2D098A" w:rsidR="00813D1D" w:rsidRPr="00F92E56" w:rsidRDefault="00813D1D" w:rsidP="00236876">
      <w:pPr>
        <w:pStyle w:val="3-BodyText"/>
        <w:rPr>
          <w:lang w:eastAsia="en-US"/>
        </w:rPr>
      </w:pPr>
      <w:r w:rsidRPr="00F92E56">
        <w:rPr>
          <w:lang w:eastAsia="en-US"/>
        </w:rPr>
        <w:t xml:space="preserve">The Medical Oncology Group of Australia (MOGA) also expressed its strong support for the </w:t>
      </w:r>
      <w:r w:rsidR="00CA79F3" w:rsidRPr="00F92E56">
        <w:rPr>
          <w:lang w:eastAsia="en-US"/>
        </w:rPr>
        <w:t>nivolumab</w:t>
      </w:r>
      <w:r w:rsidRPr="00F92E56">
        <w:rPr>
          <w:lang w:eastAsia="en-US"/>
        </w:rPr>
        <w:t xml:space="preserve"> submission, categorising it as one of the therapies of “highest priority for PBS listing” on the basis of the </w:t>
      </w:r>
      <w:r w:rsidR="00CA79F3" w:rsidRPr="00F92E56">
        <w:rPr>
          <w:lang w:eastAsia="en-US"/>
        </w:rPr>
        <w:t>CM274</w:t>
      </w:r>
      <w:r w:rsidRPr="00F92E56">
        <w:rPr>
          <w:lang w:eastAsia="en-US"/>
        </w:rPr>
        <w:t xml:space="preserve"> trial. The PBAC noted that the MOGA </w:t>
      </w:r>
      <w:r w:rsidRPr="00F92E56">
        <w:rPr>
          <w:lang w:eastAsia="en-US"/>
        </w:rPr>
        <w:lastRenderedPageBreak/>
        <w:t xml:space="preserve">presented a European Society for Medical Oncology Magnitude of Clinical Benefit Scale (ESMO-MCBS) for </w:t>
      </w:r>
      <w:r w:rsidR="00CA79F3" w:rsidRPr="00F92E56">
        <w:rPr>
          <w:lang w:eastAsia="en-US"/>
        </w:rPr>
        <w:t>nivolumab</w:t>
      </w:r>
      <w:r w:rsidRPr="00F92E56">
        <w:rPr>
          <w:lang w:eastAsia="en-US"/>
        </w:rPr>
        <w:t xml:space="preserve">, which was </w:t>
      </w:r>
      <w:r w:rsidR="00CA79F3" w:rsidRPr="00F92E56">
        <w:rPr>
          <w:lang w:eastAsia="en-US"/>
        </w:rPr>
        <w:t>a Grade A</w:t>
      </w:r>
      <w:r w:rsidR="00250F22" w:rsidRPr="00F92E56">
        <w:rPr>
          <w:lang w:eastAsia="en-US"/>
        </w:rPr>
        <w:t>. This is the highest grade on a scale from A to C, where A and B represent the grades with substantial improvement for new approaches to adjuvant therapy or new potentially curative therapies.</w:t>
      </w:r>
      <w:r w:rsidR="00250F22" w:rsidRPr="00F92E56">
        <w:rPr>
          <w:rStyle w:val="FootnoteReference"/>
          <w:lang w:eastAsia="en-US"/>
        </w:rPr>
        <w:footnoteReference w:id="10"/>
      </w:r>
      <w:r w:rsidRPr="00F92E56">
        <w:rPr>
          <w:lang w:eastAsia="en-US"/>
        </w:rPr>
        <w:t xml:space="preserve"> </w:t>
      </w:r>
    </w:p>
    <w:p w14:paraId="3F5B30B1" w14:textId="4932D6CA" w:rsidR="00B60939" w:rsidRPr="00F92E56" w:rsidRDefault="00B60939" w:rsidP="002E4F02">
      <w:pPr>
        <w:pStyle w:val="4-SubsectionHeading"/>
      </w:pPr>
      <w:r w:rsidRPr="00F92E56">
        <w:t>Clinical trials</w:t>
      </w:r>
      <w:bookmarkEnd w:id="16"/>
      <w:bookmarkEnd w:id="18"/>
    </w:p>
    <w:p w14:paraId="50AD4B99" w14:textId="77777777" w:rsidR="00E13B6C" w:rsidRPr="00F92E56" w:rsidRDefault="00AC0420" w:rsidP="00236876">
      <w:pPr>
        <w:pStyle w:val="3-BodyText"/>
      </w:pPr>
      <w:r w:rsidRPr="00F92E56">
        <w:rPr>
          <w:snapToGrid/>
        </w:rPr>
        <w:t>The resubmission was based on one head-to-head double blind randomised trial (CM274) comparing adjuvant treatment with nivolumab (240 mg Q2W; N = 353) with placebo (N = 356) in patients with high risk MIUC who had undergone radical surgery.</w:t>
      </w:r>
      <w:r w:rsidR="00E13B6C" w:rsidRPr="00F92E56">
        <w:rPr>
          <w:snapToGrid/>
        </w:rPr>
        <w:t xml:space="preserve"> </w:t>
      </w:r>
    </w:p>
    <w:p w14:paraId="2867CB32" w14:textId="5161F604" w:rsidR="007F1017" w:rsidRPr="00F92E56" w:rsidRDefault="00AC0420" w:rsidP="00236876">
      <w:pPr>
        <w:pStyle w:val="3-BodyText"/>
      </w:pPr>
      <w:r w:rsidRPr="00F92E56">
        <w:rPr>
          <w:snapToGrid/>
        </w:rPr>
        <w:t xml:space="preserve">The </w:t>
      </w:r>
      <w:r w:rsidR="00E13B6C" w:rsidRPr="00F92E56">
        <w:rPr>
          <w:snapToGrid/>
        </w:rPr>
        <w:t xml:space="preserve">ESC noted that the </w:t>
      </w:r>
      <w:r w:rsidRPr="00F92E56">
        <w:rPr>
          <w:snapToGrid/>
        </w:rPr>
        <w:t xml:space="preserve">relevant patient population representing the target population </w:t>
      </w:r>
      <w:r w:rsidR="008C72A2" w:rsidRPr="00F92E56">
        <w:rPr>
          <w:snapToGrid/>
        </w:rPr>
        <w:t xml:space="preserve">in the resubmission </w:t>
      </w:r>
      <w:r w:rsidRPr="00F92E56">
        <w:rPr>
          <w:snapToGrid/>
        </w:rPr>
        <w:t xml:space="preserve">is </w:t>
      </w:r>
      <w:r w:rsidR="00E13B6C" w:rsidRPr="00F92E56">
        <w:rPr>
          <w:snapToGrid/>
        </w:rPr>
        <w:t xml:space="preserve">a </w:t>
      </w:r>
      <w:r w:rsidRPr="00F92E56">
        <w:rPr>
          <w:snapToGrid/>
        </w:rPr>
        <w:t xml:space="preserve">subgroup of patients </w:t>
      </w:r>
      <w:r w:rsidR="008C72A2" w:rsidRPr="00F92E56">
        <w:rPr>
          <w:snapToGrid/>
        </w:rPr>
        <w:t xml:space="preserve">in CM274 </w:t>
      </w:r>
      <w:r w:rsidRPr="00F92E56">
        <w:rPr>
          <w:snapToGrid/>
        </w:rPr>
        <w:t>who had received prior NAC</w:t>
      </w:r>
      <w:r w:rsidR="00E13B6C" w:rsidRPr="00F92E56">
        <w:rPr>
          <w:snapToGrid/>
        </w:rPr>
        <w:t xml:space="preserve"> </w:t>
      </w:r>
      <w:r w:rsidR="008C72A2" w:rsidRPr="00F92E56">
        <w:rPr>
          <w:snapToGrid/>
        </w:rPr>
        <w:t>(n</w:t>
      </w:r>
      <w:r w:rsidR="00C24C60" w:rsidRPr="00F92E56">
        <w:rPr>
          <w:snapToGrid/>
        </w:rPr>
        <w:t xml:space="preserve"> </w:t>
      </w:r>
      <w:r w:rsidR="008C72A2" w:rsidRPr="00F92E56">
        <w:rPr>
          <w:snapToGrid/>
        </w:rPr>
        <w:t>=</w:t>
      </w:r>
      <w:r w:rsidR="00C24C60" w:rsidRPr="00F92E56">
        <w:rPr>
          <w:snapToGrid/>
        </w:rPr>
        <w:t xml:space="preserve"> </w:t>
      </w:r>
      <w:r w:rsidR="008C72A2" w:rsidRPr="00F92E56">
        <w:rPr>
          <w:snapToGrid/>
        </w:rPr>
        <w:t>314)</w:t>
      </w:r>
      <w:r w:rsidRPr="00F92E56">
        <w:rPr>
          <w:snapToGrid/>
        </w:rPr>
        <w:t xml:space="preserve">. </w:t>
      </w:r>
    </w:p>
    <w:p w14:paraId="380C118B" w14:textId="16FAC5B2" w:rsidR="008C72A2" w:rsidRPr="00F92E56" w:rsidRDefault="00A73134" w:rsidP="00236876">
      <w:pPr>
        <w:pStyle w:val="3-BodyText"/>
      </w:pPr>
      <w:r w:rsidRPr="00346867">
        <w:rPr>
          <w:snapToGrid/>
        </w:rPr>
        <w:t xml:space="preserve">Details of the </w:t>
      </w:r>
      <w:r w:rsidR="008C72A2" w:rsidRPr="00346867">
        <w:rPr>
          <w:snapToGrid/>
        </w:rPr>
        <w:t xml:space="preserve">key CM274 trial </w:t>
      </w:r>
      <w:r w:rsidRPr="00346867">
        <w:rPr>
          <w:snapToGrid/>
        </w:rPr>
        <w:t>are provided in</w:t>
      </w:r>
      <w:r w:rsidR="008C72A2" w:rsidRPr="00346867">
        <w:rPr>
          <w:snapToGrid/>
        </w:rPr>
        <w:t xml:space="preserve"> </w:t>
      </w:r>
      <w:r w:rsidR="008C72A2" w:rsidRPr="00346867">
        <w:rPr>
          <w:snapToGrid/>
        </w:rPr>
        <w:fldChar w:fldCharType="begin" w:fldLock="1"/>
      </w:r>
      <w:r w:rsidR="008C72A2" w:rsidRPr="00346867">
        <w:rPr>
          <w:snapToGrid/>
        </w:rPr>
        <w:instrText xml:space="preserve"> REF _Ref141453651 \h </w:instrText>
      </w:r>
      <w:r w:rsidR="008C72A2" w:rsidRPr="00346867">
        <w:rPr>
          <w:snapToGrid/>
        </w:rPr>
      </w:r>
      <w:r w:rsidR="008C72A2" w:rsidRPr="00346867">
        <w:rPr>
          <w:snapToGrid/>
        </w:rPr>
        <w:fldChar w:fldCharType="separate"/>
      </w:r>
      <w:r w:rsidR="0096718A" w:rsidRPr="00F92E56">
        <w:t xml:space="preserve">Table </w:t>
      </w:r>
      <w:r w:rsidR="0096718A" w:rsidRPr="00346867">
        <w:t>4</w:t>
      </w:r>
      <w:r w:rsidR="008C72A2" w:rsidRPr="00346867">
        <w:rPr>
          <w:snapToGrid/>
        </w:rPr>
        <w:fldChar w:fldCharType="end"/>
      </w:r>
      <w:r w:rsidRPr="00346867">
        <w:rPr>
          <w:snapToGrid/>
        </w:rPr>
        <w:t>.</w:t>
      </w:r>
    </w:p>
    <w:p w14:paraId="59FD7802" w14:textId="4C22FB22" w:rsidR="008C72A2" w:rsidRPr="00F92E56" w:rsidRDefault="008C72A2" w:rsidP="008C72A2">
      <w:pPr>
        <w:pStyle w:val="Caption"/>
      </w:pPr>
      <w:bookmarkStart w:id="20" w:name="_Ref141453651"/>
      <w:r w:rsidRPr="00F92E56">
        <w:t xml:space="preserve">Table </w:t>
      </w:r>
      <w:r w:rsidR="001D78FA">
        <w:fldChar w:fldCharType="begin" w:fldLock="1"/>
      </w:r>
      <w:r w:rsidR="001D78FA">
        <w:instrText xml:space="preserve"> SEQ Table \* ARABIC </w:instrText>
      </w:r>
      <w:r w:rsidR="001D78FA">
        <w:fldChar w:fldCharType="separate"/>
      </w:r>
      <w:r w:rsidR="0096718A" w:rsidRPr="00346867">
        <w:t>4</w:t>
      </w:r>
      <w:r w:rsidR="001D78FA">
        <w:fldChar w:fldCharType="end"/>
      </w:r>
      <w:bookmarkEnd w:id="20"/>
      <w:r w:rsidRPr="00F92E56">
        <w:t xml:space="preserve">: </w:t>
      </w:r>
      <w:r w:rsidRPr="00F92E56">
        <w:rPr>
          <w:rStyle w:val="CommentReference"/>
          <w:b/>
          <w:szCs w:val="24"/>
        </w:rPr>
        <w:t xml:space="preserve">Trials and associated reports presented in the </w:t>
      </w:r>
      <w:r w:rsidR="00D45278" w:rsidRPr="00F92E56">
        <w:rPr>
          <w:rStyle w:val="CommentReference"/>
          <w:b/>
          <w:szCs w:val="24"/>
        </w:rPr>
        <w:t>resubmission.</w:t>
      </w:r>
      <w:r w:rsidRPr="00F92E56">
        <w:rPr>
          <w:rStyle w:val="CommentReference"/>
          <w:b/>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8C72A2" w:rsidRPr="00F92E56" w14:paraId="3E82FC40" w14:textId="77777777" w:rsidTr="00553EDF">
        <w:trPr>
          <w:tblHeader/>
        </w:trPr>
        <w:tc>
          <w:tcPr>
            <w:tcW w:w="796" w:type="pct"/>
            <w:tcBorders>
              <w:bottom w:val="single" w:sz="4" w:space="0" w:color="auto"/>
            </w:tcBorders>
            <w:vAlign w:val="center"/>
          </w:tcPr>
          <w:p w14:paraId="6BF1D63E" w14:textId="77777777" w:rsidR="008C72A2" w:rsidRPr="00F92E56" w:rsidRDefault="008C72A2" w:rsidP="00553EDF">
            <w:pPr>
              <w:pStyle w:val="TableText0"/>
              <w:rPr>
                <w:b/>
              </w:rPr>
            </w:pPr>
            <w:r w:rsidRPr="00F92E56">
              <w:rPr>
                <w:b/>
              </w:rPr>
              <w:t>Trial ID</w:t>
            </w:r>
          </w:p>
        </w:tc>
        <w:tc>
          <w:tcPr>
            <w:tcW w:w="3027" w:type="pct"/>
            <w:tcBorders>
              <w:bottom w:val="single" w:sz="4" w:space="0" w:color="auto"/>
            </w:tcBorders>
            <w:vAlign w:val="center"/>
          </w:tcPr>
          <w:p w14:paraId="37B4E97B" w14:textId="77777777" w:rsidR="008C72A2" w:rsidRPr="00F92E56" w:rsidRDefault="008C72A2" w:rsidP="00553EDF">
            <w:pPr>
              <w:pStyle w:val="TableText0"/>
              <w:rPr>
                <w:b/>
              </w:rPr>
            </w:pPr>
            <w:r w:rsidRPr="00F92E56">
              <w:rPr>
                <w:b/>
              </w:rPr>
              <w:t>Protocol title/ Publication title</w:t>
            </w:r>
          </w:p>
        </w:tc>
        <w:tc>
          <w:tcPr>
            <w:tcW w:w="1177" w:type="pct"/>
            <w:tcBorders>
              <w:bottom w:val="single" w:sz="4" w:space="0" w:color="auto"/>
            </w:tcBorders>
            <w:vAlign w:val="center"/>
          </w:tcPr>
          <w:p w14:paraId="326DEF52" w14:textId="77777777" w:rsidR="008C72A2" w:rsidRPr="00F92E56" w:rsidRDefault="008C72A2" w:rsidP="00553EDF">
            <w:pPr>
              <w:pStyle w:val="TableText0"/>
              <w:rPr>
                <w:b/>
              </w:rPr>
            </w:pPr>
            <w:r w:rsidRPr="00F92E56">
              <w:rPr>
                <w:b/>
              </w:rPr>
              <w:t>Publication citation</w:t>
            </w:r>
          </w:p>
        </w:tc>
      </w:tr>
      <w:tr w:rsidR="008C72A2" w:rsidRPr="00F92E56" w14:paraId="2BB9398E" w14:textId="77777777" w:rsidTr="00C24C60">
        <w:trPr>
          <w:trHeight w:val="894"/>
          <w:tblHeader/>
        </w:trPr>
        <w:tc>
          <w:tcPr>
            <w:tcW w:w="796" w:type="pct"/>
            <w:vMerge w:val="restart"/>
            <w:vAlign w:val="center"/>
          </w:tcPr>
          <w:p w14:paraId="4213E676" w14:textId="77777777" w:rsidR="008C72A2" w:rsidRPr="00F92E56" w:rsidRDefault="008C72A2" w:rsidP="00553EDF">
            <w:pPr>
              <w:pStyle w:val="TableText0"/>
            </w:pPr>
            <w:r w:rsidRPr="00F92E56">
              <w:t>CA209274</w:t>
            </w:r>
          </w:p>
          <w:p w14:paraId="107D1416" w14:textId="77777777" w:rsidR="008C72A2" w:rsidRPr="00F92E56" w:rsidRDefault="008C72A2" w:rsidP="00553EDF">
            <w:pPr>
              <w:pStyle w:val="TableText0"/>
            </w:pPr>
            <w:r w:rsidRPr="00F92E56">
              <w:t>(CheckMate 274 (CM274)) (NCT02632409)</w:t>
            </w:r>
          </w:p>
        </w:tc>
        <w:tc>
          <w:tcPr>
            <w:tcW w:w="3027" w:type="pct"/>
            <w:tcBorders>
              <w:bottom w:val="single" w:sz="4" w:space="0" w:color="auto"/>
            </w:tcBorders>
            <w:vAlign w:val="center"/>
          </w:tcPr>
          <w:p w14:paraId="297853F4" w14:textId="77777777" w:rsidR="008C72A2" w:rsidRPr="00F92E56" w:rsidRDefault="008C72A2" w:rsidP="00553EDF">
            <w:pPr>
              <w:pStyle w:val="TableText0"/>
              <w:rPr>
                <w:iCs/>
              </w:rPr>
            </w:pPr>
            <w:r w:rsidRPr="00F92E56">
              <w:rPr>
                <w:iCs/>
              </w:rPr>
              <w:t>Extended follow-up for Study CA209274. A Phase 3 Randomised, Double-blind, Multi-centre Study of Adjuvant NIVO versus Placebo in Subjects with High-Risk Invasive Urothelial Carcinoma. Extended follow-up</w:t>
            </w:r>
          </w:p>
          <w:p w14:paraId="083987D1" w14:textId="3A1D6D5C" w:rsidR="008C72A2" w:rsidRPr="00F92E56" w:rsidRDefault="008C72A2" w:rsidP="00553EDF">
            <w:pPr>
              <w:pStyle w:val="TableText0"/>
            </w:pPr>
            <w:r w:rsidRPr="00F92E56">
              <w:rPr>
                <w:iCs/>
              </w:rPr>
              <w:t>(CM274 Database Lock October 2022</w:t>
            </w:r>
            <w:r w:rsidR="00D45278" w:rsidRPr="00F92E56">
              <w:rPr>
                <w:iCs/>
              </w:rPr>
              <w:t>; data cut-off September 2022)</w:t>
            </w:r>
          </w:p>
        </w:tc>
        <w:tc>
          <w:tcPr>
            <w:tcW w:w="1177" w:type="pct"/>
            <w:tcBorders>
              <w:bottom w:val="single" w:sz="4" w:space="0" w:color="auto"/>
            </w:tcBorders>
            <w:vAlign w:val="center"/>
          </w:tcPr>
          <w:p w14:paraId="221C1E0A" w14:textId="77777777" w:rsidR="008C72A2" w:rsidRPr="00F92E56" w:rsidRDefault="008C72A2" w:rsidP="00553EDF">
            <w:pPr>
              <w:pStyle w:val="TableText0"/>
            </w:pPr>
            <w:r w:rsidRPr="00F92E56">
              <w:rPr>
                <w:iCs/>
              </w:rPr>
              <w:t>22 October 2022</w:t>
            </w:r>
          </w:p>
        </w:tc>
      </w:tr>
      <w:tr w:rsidR="008C72A2" w:rsidRPr="00F92E56" w14:paraId="531E1913" w14:textId="77777777" w:rsidTr="00C24C60">
        <w:trPr>
          <w:tblHeader/>
        </w:trPr>
        <w:tc>
          <w:tcPr>
            <w:tcW w:w="796" w:type="pct"/>
            <w:vMerge/>
            <w:vAlign w:val="center"/>
          </w:tcPr>
          <w:p w14:paraId="7BE1C0D8" w14:textId="77777777" w:rsidR="008C72A2" w:rsidRPr="00F92E56" w:rsidRDefault="008C72A2" w:rsidP="00553EDF">
            <w:pPr>
              <w:pStyle w:val="TableText0"/>
              <w:rPr>
                <w:highlight w:val="yellow"/>
              </w:rPr>
            </w:pPr>
          </w:p>
        </w:tc>
        <w:tc>
          <w:tcPr>
            <w:tcW w:w="3027" w:type="pct"/>
            <w:tcBorders>
              <w:bottom w:val="nil"/>
            </w:tcBorders>
            <w:shd w:val="clear" w:color="auto" w:fill="C6D9F1" w:themeFill="text2" w:themeFillTint="33"/>
            <w:vAlign w:val="center"/>
          </w:tcPr>
          <w:p w14:paraId="1EB00A85" w14:textId="77777777" w:rsidR="008C72A2" w:rsidRPr="00F92E56" w:rsidRDefault="008C72A2" w:rsidP="00553EDF">
            <w:pPr>
              <w:pStyle w:val="TableText0"/>
            </w:pPr>
            <w:r w:rsidRPr="00F92E56">
              <w:t xml:space="preserve">Primary Clinical Study Report BMS-936558. A Phase 3 Randomized, Double-blind, Multi-center Study of Adjuvant Nivolumab versus Placebo in Subjects with High risk Invasive Urothelial Carcinoma. </w:t>
            </w:r>
          </w:p>
        </w:tc>
        <w:tc>
          <w:tcPr>
            <w:tcW w:w="1177" w:type="pct"/>
            <w:tcBorders>
              <w:bottom w:val="nil"/>
            </w:tcBorders>
            <w:shd w:val="clear" w:color="auto" w:fill="C6D9F1" w:themeFill="text2" w:themeFillTint="33"/>
            <w:vAlign w:val="center"/>
          </w:tcPr>
          <w:p w14:paraId="62904118" w14:textId="77777777" w:rsidR="008C72A2" w:rsidRPr="00F92E56" w:rsidRDefault="008C72A2" w:rsidP="00553EDF">
            <w:pPr>
              <w:pStyle w:val="TableText0"/>
              <w:rPr>
                <w:highlight w:val="yellow"/>
              </w:rPr>
            </w:pPr>
            <w:r w:rsidRPr="00F92E56">
              <w:t>4 December 2020.</w:t>
            </w:r>
          </w:p>
        </w:tc>
      </w:tr>
      <w:tr w:rsidR="008C72A2" w:rsidRPr="00F92E56" w14:paraId="17C49615" w14:textId="77777777" w:rsidTr="00C24C60">
        <w:trPr>
          <w:trHeight w:val="861"/>
          <w:tblHeader/>
        </w:trPr>
        <w:tc>
          <w:tcPr>
            <w:tcW w:w="796" w:type="pct"/>
            <w:vMerge/>
            <w:vAlign w:val="center"/>
          </w:tcPr>
          <w:p w14:paraId="44B4C232" w14:textId="77777777" w:rsidR="008C72A2" w:rsidRPr="00F92E56" w:rsidRDefault="008C72A2" w:rsidP="00553EDF">
            <w:pPr>
              <w:pStyle w:val="TableText0"/>
              <w:rPr>
                <w:highlight w:val="yellow"/>
              </w:rPr>
            </w:pPr>
          </w:p>
        </w:tc>
        <w:tc>
          <w:tcPr>
            <w:tcW w:w="3027" w:type="pct"/>
            <w:tcBorders>
              <w:top w:val="nil"/>
              <w:bottom w:val="nil"/>
            </w:tcBorders>
            <w:shd w:val="clear" w:color="auto" w:fill="C6D9F1" w:themeFill="text2" w:themeFillTint="33"/>
            <w:vAlign w:val="center"/>
          </w:tcPr>
          <w:p w14:paraId="658ADF43" w14:textId="77777777" w:rsidR="008C72A2" w:rsidRPr="00F92E56" w:rsidRDefault="008C72A2" w:rsidP="00553EDF">
            <w:pPr>
              <w:pStyle w:val="TableText0"/>
            </w:pPr>
          </w:p>
          <w:p w14:paraId="1BA40B26" w14:textId="77777777" w:rsidR="008C72A2" w:rsidRPr="00F92E56" w:rsidRDefault="008C72A2" w:rsidP="00553EDF">
            <w:pPr>
              <w:pStyle w:val="TableText0"/>
            </w:pPr>
            <w:r w:rsidRPr="00F92E56">
              <w:t>Erratum to Primary Clinical Study Report for Study CA209274.</w:t>
            </w:r>
          </w:p>
          <w:p w14:paraId="7F4C634E" w14:textId="77777777" w:rsidR="008C72A2" w:rsidRPr="00F92E56" w:rsidRDefault="008C72A2" w:rsidP="00553EDF">
            <w:pPr>
              <w:pStyle w:val="TableText0"/>
            </w:pPr>
            <w:r w:rsidRPr="00F92E56">
              <w:t>A Phase 3 Randomized, Double-blind, Multi-center Study of Adjuvant</w:t>
            </w:r>
          </w:p>
          <w:p w14:paraId="308A9183" w14:textId="77777777" w:rsidR="008C72A2" w:rsidRPr="00F92E56" w:rsidRDefault="008C72A2" w:rsidP="00553EDF">
            <w:pPr>
              <w:pStyle w:val="TableText0"/>
            </w:pPr>
            <w:r w:rsidRPr="00F92E56">
              <w:t>Nivolumab versus Placebo in Subjects with High risk Invasive Urothelial</w:t>
            </w:r>
          </w:p>
          <w:p w14:paraId="4EFD10E7" w14:textId="77777777" w:rsidR="008C72A2" w:rsidRPr="00F92E56" w:rsidRDefault="008C72A2" w:rsidP="00553EDF">
            <w:pPr>
              <w:pStyle w:val="TableText0"/>
            </w:pPr>
            <w:r w:rsidRPr="00F92E56">
              <w:t>Carcinoma</w:t>
            </w:r>
          </w:p>
        </w:tc>
        <w:tc>
          <w:tcPr>
            <w:tcW w:w="1177" w:type="pct"/>
            <w:tcBorders>
              <w:top w:val="nil"/>
              <w:bottom w:val="nil"/>
            </w:tcBorders>
            <w:shd w:val="clear" w:color="auto" w:fill="C6D9F1" w:themeFill="text2" w:themeFillTint="33"/>
            <w:vAlign w:val="center"/>
          </w:tcPr>
          <w:p w14:paraId="5D7E3E3D" w14:textId="77777777" w:rsidR="008C72A2" w:rsidRPr="00F92E56" w:rsidRDefault="008C72A2" w:rsidP="00553EDF">
            <w:pPr>
              <w:pStyle w:val="TableText0"/>
            </w:pPr>
            <w:r w:rsidRPr="00F92E56">
              <w:t>5 May 2021</w:t>
            </w:r>
          </w:p>
          <w:p w14:paraId="4F269F92" w14:textId="77777777" w:rsidR="008C72A2" w:rsidRPr="00F92E56" w:rsidRDefault="008C72A2" w:rsidP="00553EDF">
            <w:pPr>
              <w:pStyle w:val="TableText0"/>
              <w:rPr>
                <w:highlight w:val="yellow"/>
              </w:rPr>
            </w:pPr>
          </w:p>
        </w:tc>
      </w:tr>
      <w:tr w:rsidR="008C72A2" w:rsidRPr="00F92E56" w14:paraId="37F45694" w14:textId="77777777" w:rsidTr="00C24C60">
        <w:trPr>
          <w:trHeight w:val="861"/>
          <w:tblHeader/>
        </w:trPr>
        <w:tc>
          <w:tcPr>
            <w:tcW w:w="796" w:type="pct"/>
            <w:vMerge/>
            <w:vAlign w:val="center"/>
          </w:tcPr>
          <w:p w14:paraId="6BBE68A3" w14:textId="77777777" w:rsidR="008C72A2" w:rsidRPr="00F92E56" w:rsidRDefault="008C72A2" w:rsidP="00553EDF">
            <w:pPr>
              <w:pStyle w:val="TableText0"/>
              <w:rPr>
                <w:highlight w:val="yellow"/>
              </w:rPr>
            </w:pPr>
          </w:p>
        </w:tc>
        <w:tc>
          <w:tcPr>
            <w:tcW w:w="3027" w:type="pct"/>
            <w:tcBorders>
              <w:top w:val="nil"/>
              <w:bottom w:val="nil"/>
            </w:tcBorders>
            <w:shd w:val="clear" w:color="auto" w:fill="C6D9F1" w:themeFill="text2" w:themeFillTint="33"/>
            <w:vAlign w:val="center"/>
          </w:tcPr>
          <w:p w14:paraId="02C11A39" w14:textId="77777777" w:rsidR="008C72A2" w:rsidRPr="00F92E56" w:rsidRDefault="008C72A2" w:rsidP="00553EDF">
            <w:r w:rsidRPr="00F92E56">
              <w:rPr>
                <w:rFonts w:ascii="Arial Narrow" w:eastAsiaTheme="majorEastAsia" w:hAnsi="Arial Narrow" w:cstheme="majorBidi"/>
                <w:bCs/>
                <w:sz w:val="20"/>
              </w:rPr>
              <w:t xml:space="preserve">Bajorin, D. F. et al. Adjuvant nivolumab versus placebo in muscle-invasive urothelial carcinoma. </w:t>
            </w:r>
          </w:p>
        </w:tc>
        <w:tc>
          <w:tcPr>
            <w:tcW w:w="1177" w:type="pct"/>
            <w:tcBorders>
              <w:top w:val="nil"/>
              <w:bottom w:val="nil"/>
            </w:tcBorders>
            <w:shd w:val="clear" w:color="auto" w:fill="C6D9F1" w:themeFill="text2" w:themeFillTint="33"/>
            <w:vAlign w:val="center"/>
          </w:tcPr>
          <w:p w14:paraId="4517AA7D" w14:textId="77777777" w:rsidR="008C72A2" w:rsidRPr="00F92E56" w:rsidRDefault="008C72A2" w:rsidP="00553EDF">
            <w:pPr>
              <w:pStyle w:val="TableText0"/>
            </w:pPr>
            <w:r w:rsidRPr="00F92E56">
              <w:rPr>
                <w:i/>
              </w:rPr>
              <w:t xml:space="preserve">New England Journal of Medicine </w:t>
            </w:r>
            <w:r w:rsidRPr="00F92E56">
              <w:t>2021; 384(22), 2102-2114.</w:t>
            </w:r>
          </w:p>
        </w:tc>
      </w:tr>
      <w:tr w:rsidR="008C72A2" w:rsidRPr="00F92E56" w14:paraId="5EC6E5E0" w14:textId="77777777" w:rsidTr="00C24C60">
        <w:trPr>
          <w:trHeight w:val="861"/>
          <w:tblHeader/>
        </w:trPr>
        <w:tc>
          <w:tcPr>
            <w:tcW w:w="796" w:type="pct"/>
            <w:vMerge/>
            <w:tcBorders>
              <w:bottom w:val="single" w:sz="4" w:space="0" w:color="auto"/>
            </w:tcBorders>
            <w:vAlign w:val="center"/>
          </w:tcPr>
          <w:p w14:paraId="33AA3C17" w14:textId="77777777" w:rsidR="008C72A2" w:rsidRPr="00F92E56" w:rsidRDefault="008C72A2" w:rsidP="00553EDF">
            <w:pPr>
              <w:pStyle w:val="TableText0"/>
              <w:rPr>
                <w:highlight w:val="yellow"/>
              </w:rPr>
            </w:pPr>
          </w:p>
        </w:tc>
        <w:tc>
          <w:tcPr>
            <w:tcW w:w="3027" w:type="pct"/>
            <w:tcBorders>
              <w:top w:val="nil"/>
              <w:bottom w:val="single" w:sz="4" w:space="0" w:color="auto"/>
            </w:tcBorders>
            <w:shd w:val="clear" w:color="auto" w:fill="C6D9F1" w:themeFill="text2" w:themeFillTint="33"/>
            <w:vAlign w:val="center"/>
          </w:tcPr>
          <w:p w14:paraId="24D00D68" w14:textId="77777777" w:rsidR="008C72A2" w:rsidRPr="00F92E56" w:rsidRDefault="008C72A2" w:rsidP="00553EDF">
            <w:pPr>
              <w:pStyle w:val="TableText0"/>
            </w:pPr>
            <w:r w:rsidRPr="00F92E56">
              <w:t>Galsky, DM., et al. Disease-free survival with longer follow-up from the phase 3 CheckMate 274 trial of adjuvant nivolumab in patients who underwent surgery for high-risk muscle-invasive urothelial carcinoma.</w:t>
            </w:r>
          </w:p>
        </w:tc>
        <w:tc>
          <w:tcPr>
            <w:tcW w:w="1177" w:type="pct"/>
            <w:tcBorders>
              <w:top w:val="nil"/>
            </w:tcBorders>
            <w:shd w:val="clear" w:color="auto" w:fill="C6D9F1" w:themeFill="text2" w:themeFillTint="33"/>
            <w:vAlign w:val="center"/>
          </w:tcPr>
          <w:p w14:paraId="5C9F1A75" w14:textId="77777777" w:rsidR="008C72A2" w:rsidRPr="00F92E56" w:rsidRDefault="008C72A2" w:rsidP="00553EDF">
            <w:pPr>
              <w:pStyle w:val="TableText0"/>
            </w:pPr>
            <w:r w:rsidRPr="00F92E56">
              <w:t>Society of Urology Oncology (SUO) 22</w:t>
            </w:r>
            <w:r w:rsidRPr="00F92E56">
              <w:rPr>
                <w:vertAlign w:val="superscript"/>
              </w:rPr>
              <w:t>nd</w:t>
            </w:r>
            <w:r w:rsidRPr="00F92E56">
              <w:t xml:space="preserve"> Annual Meeting, December 1–3, 2021.</w:t>
            </w:r>
          </w:p>
        </w:tc>
      </w:tr>
    </w:tbl>
    <w:p w14:paraId="0F6DA762" w14:textId="77777777" w:rsidR="008C72A2" w:rsidRPr="00F92E56" w:rsidRDefault="008C72A2" w:rsidP="008C72A2">
      <w:pPr>
        <w:pStyle w:val="TableFooter"/>
      </w:pPr>
      <w:r w:rsidRPr="00F92E56">
        <w:t>Source: Table 2.4, p28 of the submission</w:t>
      </w:r>
    </w:p>
    <w:p w14:paraId="30EB0F49" w14:textId="3F03A2A6" w:rsidR="00862502" w:rsidRPr="00F92E56" w:rsidRDefault="00C24C60" w:rsidP="00C24C60">
      <w:pPr>
        <w:pStyle w:val="FooterTableFigure"/>
      </w:pPr>
      <w:r w:rsidRPr="00F92E56">
        <w:rPr>
          <w:rStyle w:val="CommentReference"/>
          <w:b w:val="0"/>
          <w:bCs/>
          <w:iCs/>
          <w:sz w:val="18"/>
          <w:szCs w:val="18"/>
          <w:shd w:val="clear" w:color="auto" w:fill="B8CCE4" w:themeFill="accent1" w:themeFillTint="66"/>
        </w:rPr>
        <w:t>Blue shading</w:t>
      </w:r>
      <w:r w:rsidRPr="00F92E56">
        <w:rPr>
          <w:rStyle w:val="CommentReference"/>
          <w:b w:val="0"/>
          <w:bCs/>
          <w:iCs/>
          <w:sz w:val="18"/>
          <w:szCs w:val="18"/>
        </w:rPr>
        <w:t xml:space="preserve"> indicates publications previously seen by the PBAC</w:t>
      </w:r>
      <w:r w:rsidR="008C72A2" w:rsidRPr="00F92E56">
        <w:t>.</w:t>
      </w:r>
    </w:p>
    <w:p w14:paraId="34862C5E" w14:textId="13F0FFEE" w:rsidR="007F1017" w:rsidRPr="00F92E56" w:rsidRDefault="008F120A" w:rsidP="00236876">
      <w:pPr>
        <w:pStyle w:val="3-BodyText"/>
      </w:pPr>
      <w:r w:rsidRPr="00F92E56">
        <w:t xml:space="preserve">The key features of the </w:t>
      </w:r>
      <w:r w:rsidR="00D45278" w:rsidRPr="00F92E56">
        <w:t xml:space="preserve">CM274 trial are summarised in </w:t>
      </w:r>
      <w:r w:rsidR="00D6076E" w:rsidRPr="00F92E56">
        <w:fldChar w:fldCharType="begin" w:fldLock="1"/>
      </w:r>
      <w:r w:rsidR="00D6076E" w:rsidRPr="00F92E56">
        <w:instrText xml:space="preserve"> REF _Ref104804098 \h  \* MERGEFORMAT </w:instrText>
      </w:r>
      <w:r w:rsidR="00D6076E" w:rsidRPr="00F92E56">
        <w:fldChar w:fldCharType="separate"/>
      </w:r>
      <w:r w:rsidR="0096718A" w:rsidRPr="00F92E56">
        <w:t>Table 5</w:t>
      </w:r>
      <w:r w:rsidR="00D6076E" w:rsidRPr="00F92E56">
        <w:fldChar w:fldCharType="end"/>
      </w:r>
      <w:r w:rsidRPr="00F92E56">
        <w:t>.</w:t>
      </w:r>
      <w:r w:rsidR="00BC591F" w:rsidRPr="00F92E56">
        <w:t xml:space="preserve"> </w:t>
      </w:r>
    </w:p>
    <w:p w14:paraId="11D882A7" w14:textId="66495B98" w:rsidR="00D45278" w:rsidRPr="00F92E56" w:rsidRDefault="00696EF9" w:rsidP="00D45278">
      <w:pPr>
        <w:pStyle w:val="TableFigureHeading"/>
        <w:rPr>
          <w:rStyle w:val="CommentReference"/>
          <w:b/>
          <w:szCs w:val="24"/>
        </w:rPr>
      </w:pPr>
      <w:bookmarkStart w:id="21" w:name="_Ref104804098"/>
      <w:r w:rsidRPr="00F92E56">
        <w:rPr>
          <w:rStyle w:val="CommentReference"/>
          <w:b/>
          <w:szCs w:val="24"/>
        </w:rPr>
        <w:lastRenderedPageBreak/>
        <w:t xml:space="preserve">Table </w:t>
      </w:r>
      <w:r w:rsidRPr="00F92E56">
        <w:rPr>
          <w:rStyle w:val="CommentReference"/>
          <w:b/>
          <w:szCs w:val="24"/>
        </w:rPr>
        <w:fldChar w:fldCharType="begin" w:fldLock="1"/>
      </w:r>
      <w:r w:rsidRPr="00F92E56">
        <w:rPr>
          <w:rStyle w:val="CommentReference"/>
          <w:b/>
          <w:szCs w:val="24"/>
        </w:rPr>
        <w:instrText xml:space="preserve"> SEQ Table \* ARABIC </w:instrText>
      </w:r>
      <w:r w:rsidRPr="00F92E56">
        <w:rPr>
          <w:rStyle w:val="CommentReference"/>
          <w:b/>
          <w:szCs w:val="24"/>
        </w:rPr>
        <w:fldChar w:fldCharType="separate"/>
      </w:r>
      <w:r w:rsidR="0096718A" w:rsidRPr="00346867">
        <w:rPr>
          <w:rStyle w:val="CommentReference"/>
          <w:b/>
          <w:szCs w:val="24"/>
        </w:rPr>
        <w:t>5</w:t>
      </w:r>
      <w:r w:rsidRPr="00F92E56">
        <w:rPr>
          <w:rStyle w:val="CommentReference"/>
          <w:b/>
          <w:szCs w:val="24"/>
        </w:rPr>
        <w:fldChar w:fldCharType="end"/>
      </w:r>
      <w:bookmarkEnd w:id="21"/>
      <w:r w:rsidR="00D6076E" w:rsidRPr="00F92E56">
        <w:rPr>
          <w:rStyle w:val="CommentReference"/>
          <w:b/>
          <w:szCs w:val="24"/>
        </w:rPr>
        <w:t>:</w:t>
      </w:r>
      <w:r w:rsidR="00D45278" w:rsidRPr="00F92E56">
        <w:rPr>
          <w:rStyle w:val="CommentReference"/>
          <w:b/>
          <w:szCs w:val="24"/>
        </w:rPr>
        <w:t xml:space="preserve">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0"/>
        <w:gridCol w:w="548"/>
        <w:gridCol w:w="1922"/>
        <w:gridCol w:w="822"/>
        <w:gridCol w:w="2334"/>
        <w:gridCol w:w="1647"/>
        <w:gridCol w:w="1064"/>
      </w:tblGrid>
      <w:tr w:rsidR="00D45278" w:rsidRPr="00F92E56" w14:paraId="79083C5E" w14:textId="77777777" w:rsidTr="00D362C8">
        <w:trPr>
          <w:cantSplit/>
          <w:tblHeader/>
        </w:trPr>
        <w:tc>
          <w:tcPr>
            <w:tcW w:w="377" w:type="pct"/>
            <w:shd w:val="clear" w:color="auto" w:fill="auto"/>
            <w:vAlign w:val="center"/>
          </w:tcPr>
          <w:p w14:paraId="3A1901DB" w14:textId="77777777" w:rsidR="00D45278" w:rsidRPr="00F92E56" w:rsidRDefault="00D45278" w:rsidP="00553EDF">
            <w:pPr>
              <w:pStyle w:val="In-tableHeading"/>
              <w:widowControl w:val="0"/>
              <w:rPr>
                <w:lang w:val="en-AU"/>
              </w:rPr>
            </w:pPr>
            <w:r w:rsidRPr="00F92E56">
              <w:rPr>
                <w:lang w:val="en-AU"/>
              </w:rPr>
              <w:t>Trial</w:t>
            </w:r>
          </w:p>
        </w:tc>
        <w:tc>
          <w:tcPr>
            <w:tcW w:w="304" w:type="pct"/>
            <w:shd w:val="clear" w:color="auto" w:fill="auto"/>
            <w:vAlign w:val="center"/>
          </w:tcPr>
          <w:p w14:paraId="6C690972" w14:textId="77777777" w:rsidR="00D45278" w:rsidRPr="00F92E56" w:rsidRDefault="00D45278" w:rsidP="00553EDF">
            <w:pPr>
              <w:pStyle w:val="In-tableHeading"/>
              <w:widowControl w:val="0"/>
              <w:jc w:val="center"/>
              <w:rPr>
                <w:lang w:val="en-AU"/>
              </w:rPr>
            </w:pPr>
            <w:r w:rsidRPr="00F92E56">
              <w:rPr>
                <w:lang w:val="en-AU"/>
              </w:rPr>
              <w:t>N</w:t>
            </w:r>
          </w:p>
        </w:tc>
        <w:tc>
          <w:tcPr>
            <w:tcW w:w="1066" w:type="pct"/>
            <w:shd w:val="clear" w:color="auto" w:fill="auto"/>
            <w:vAlign w:val="center"/>
          </w:tcPr>
          <w:p w14:paraId="149C40EB" w14:textId="77777777" w:rsidR="00D45278" w:rsidRPr="00F92E56" w:rsidRDefault="00D45278" w:rsidP="00553EDF">
            <w:pPr>
              <w:pStyle w:val="In-tableHeading"/>
              <w:widowControl w:val="0"/>
              <w:jc w:val="center"/>
              <w:rPr>
                <w:lang w:val="en-AU"/>
              </w:rPr>
            </w:pPr>
            <w:r w:rsidRPr="00F92E56">
              <w:rPr>
                <w:lang w:val="en-AU"/>
              </w:rPr>
              <w:t>Design/ duration</w:t>
            </w:r>
          </w:p>
        </w:tc>
        <w:tc>
          <w:tcPr>
            <w:tcW w:w="456" w:type="pct"/>
            <w:shd w:val="clear" w:color="auto" w:fill="auto"/>
            <w:vAlign w:val="center"/>
          </w:tcPr>
          <w:p w14:paraId="49733D6E" w14:textId="77777777" w:rsidR="00D45278" w:rsidRPr="00F92E56" w:rsidRDefault="00D45278" w:rsidP="00553EDF">
            <w:pPr>
              <w:pStyle w:val="In-tableHeading"/>
              <w:widowControl w:val="0"/>
              <w:jc w:val="center"/>
              <w:rPr>
                <w:lang w:val="en-AU"/>
              </w:rPr>
            </w:pPr>
            <w:r w:rsidRPr="00F92E56">
              <w:rPr>
                <w:lang w:val="en-AU"/>
              </w:rPr>
              <w:t>Risk of bias</w:t>
            </w:r>
          </w:p>
        </w:tc>
        <w:tc>
          <w:tcPr>
            <w:tcW w:w="1294" w:type="pct"/>
            <w:shd w:val="clear" w:color="auto" w:fill="auto"/>
            <w:vAlign w:val="center"/>
          </w:tcPr>
          <w:p w14:paraId="6508786E" w14:textId="77777777" w:rsidR="00D45278" w:rsidRPr="00F92E56" w:rsidRDefault="00D45278" w:rsidP="00553EDF">
            <w:pPr>
              <w:pStyle w:val="In-tableHeading"/>
              <w:widowControl w:val="0"/>
              <w:jc w:val="center"/>
              <w:rPr>
                <w:lang w:val="en-AU"/>
              </w:rPr>
            </w:pPr>
            <w:r w:rsidRPr="00F92E56">
              <w:rPr>
                <w:lang w:val="en-AU"/>
              </w:rPr>
              <w:t>Patient population</w:t>
            </w:r>
          </w:p>
        </w:tc>
        <w:tc>
          <w:tcPr>
            <w:tcW w:w="913" w:type="pct"/>
            <w:shd w:val="clear" w:color="auto" w:fill="auto"/>
            <w:vAlign w:val="center"/>
          </w:tcPr>
          <w:p w14:paraId="1100FB24" w14:textId="77777777" w:rsidR="00D45278" w:rsidRPr="00F92E56" w:rsidRDefault="00D45278" w:rsidP="00553EDF">
            <w:pPr>
              <w:pStyle w:val="In-tableHeading"/>
              <w:widowControl w:val="0"/>
              <w:jc w:val="center"/>
              <w:rPr>
                <w:lang w:val="en-AU"/>
              </w:rPr>
            </w:pPr>
            <w:r w:rsidRPr="00F92E56">
              <w:rPr>
                <w:lang w:val="en-AU"/>
              </w:rPr>
              <w:t>Outcome(s)</w:t>
            </w:r>
          </w:p>
        </w:tc>
        <w:tc>
          <w:tcPr>
            <w:tcW w:w="584" w:type="pct"/>
            <w:shd w:val="clear" w:color="auto" w:fill="auto"/>
            <w:vAlign w:val="center"/>
          </w:tcPr>
          <w:p w14:paraId="6DAF4C1F" w14:textId="77777777" w:rsidR="00D45278" w:rsidRPr="00F92E56" w:rsidRDefault="00D45278" w:rsidP="00553EDF">
            <w:pPr>
              <w:pStyle w:val="In-tableHeading"/>
              <w:widowControl w:val="0"/>
              <w:jc w:val="center"/>
              <w:rPr>
                <w:lang w:val="en-AU"/>
              </w:rPr>
            </w:pPr>
            <w:r w:rsidRPr="00F92E56">
              <w:rPr>
                <w:lang w:val="en-AU"/>
              </w:rPr>
              <w:t>Use in modelled evaluation</w:t>
            </w:r>
          </w:p>
        </w:tc>
      </w:tr>
      <w:tr w:rsidR="00D45278" w:rsidRPr="00F92E56" w14:paraId="55BC8DB0" w14:textId="77777777" w:rsidTr="00D362C8">
        <w:trPr>
          <w:cantSplit/>
        </w:trPr>
        <w:tc>
          <w:tcPr>
            <w:tcW w:w="5000" w:type="pct"/>
            <w:gridSpan w:val="7"/>
            <w:shd w:val="clear" w:color="auto" w:fill="auto"/>
            <w:vAlign w:val="center"/>
          </w:tcPr>
          <w:p w14:paraId="4C00CCC5" w14:textId="77777777" w:rsidR="00D45278" w:rsidRPr="00F92E56" w:rsidRDefault="00D45278" w:rsidP="00553EDF">
            <w:pPr>
              <w:pStyle w:val="In-tableHeading"/>
              <w:widowControl w:val="0"/>
              <w:rPr>
                <w:lang w:val="en-AU"/>
              </w:rPr>
            </w:pPr>
            <w:r w:rsidRPr="00F92E56">
              <w:rPr>
                <w:lang w:val="en-AU"/>
              </w:rPr>
              <w:t xml:space="preserve">Nivolumab versus placebo (proxy for watchful waiting) </w:t>
            </w:r>
          </w:p>
        </w:tc>
      </w:tr>
      <w:tr w:rsidR="00D362C8" w:rsidRPr="00F92E56" w14:paraId="58C418F7" w14:textId="77777777" w:rsidTr="00D362C8">
        <w:trPr>
          <w:cantSplit/>
        </w:trPr>
        <w:tc>
          <w:tcPr>
            <w:tcW w:w="377" w:type="pct"/>
            <w:shd w:val="clear" w:color="auto" w:fill="C6D9F1" w:themeFill="text2" w:themeFillTint="33"/>
            <w:vAlign w:val="center"/>
          </w:tcPr>
          <w:p w14:paraId="3D9476E6" w14:textId="77777777" w:rsidR="00D45278" w:rsidRPr="00F92E56" w:rsidRDefault="00D45278" w:rsidP="00553EDF">
            <w:pPr>
              <w:pStyle w:val="TableText0"/>
              <w:widowControl w:val="0"/>
            </w:pPr>
            <w:r w:rsidRPr="00F92E56">
              <w:t>CM274</w:t>
            </w:r>
          </w:p>
        </w:tc>
        <w:tc>
          <w:tcPr>
            <w:tcW w:w="304" w:type="pct"/>
            <w:shd w:val="clear" w:color="auto" w:fill="C6D9F1" w:themeFill="text2" w:themeFillTint="33"/>
            <w:vAlign w:val="center"/>
          </w:tcPr>
          <w:p w14:paraId="03A226DB" w14:textId="77777777" w:rsidR="00D45278" w:rsidRPr="00F92E56" w:rsidRDefault="00D45278" w:rsidP="00553EDF">
            <w:pPr>
              <w:pStyle w:val="TableText0"/>
              <w:widowControl w:val="0"/>
              <w:jc w:val="center"/>
            </w:pPr>
            <w:r w:rsidRPr="00F92E56">
              <w:t>709</w:t>
            </w:r>
          </w:p>
        </w:tc>
        <w:tc>
          <w:tcPr>
            <w:tcW w:w="1066" w:type="pct"/>
            <w:shd w:val="clear" w:color="auto" w:fill="C6D9F1" w:themeFill="text2" w:themeFillTint="33"/>
            <w:vAlign w:val="center"/>
          </w:tcPr>
          <w:p w14:paraId="7EB9561A" w14:textId="77777777" w:rsidR="00D45278" w:rsidRPr="00F92E56" w:rsidRDefault="00D45278" w:rsidP="00553EDF">
            <w:pPr>
              <w:pStyle w:val="TableText0"/>
              <w:widowControl w:val="0"/>
              <w:jc w:val="center"/>
            </w:pPr>
            <w:r w:rsidRPr="00F92E56">
              <w:t>R</w:t>
            </w:r>
            <w:r w:rsidRPr="00F92E56">
              <w:rPr>
                <w:vertAlign w:val="superscript"/>
              </w:rPr>
              <w:t>a</w:t>
            </w:r>
            <w:r w:rsidRPr="00F92E56">
              <w:t>, DB</w:t>
            </w:r>
          </w:p>
          <w:p w14:paraId="39E2BFD1" w14:textId="5DC0B463" w:rsidR="006C7D52" w:rsidRPr="00F92E56" w:rsidRDefault="006C7D52" w:rsidP="00553EDF">
            <w:pPr>
              <w:pStyle w:val="TableText0"/>
              <w:widowControl w:val="0"/>
              <w:jc w:val="center"/>
            </w:pPr>
            <w:r w:rsidRPr="00F92E56">
              <w:t xml:space="preserve">Data cutoff in previous submission February-2021 </w:t>
            </w:r>
          </w:p>
          <w:p w14:paraId="6C2D86DB" w14:textId="77777777" w:rsidR="009A4560" w:rsidRPr="00F92E56" w:rsidRDefault="00D45278" w:rsidP="00553EDF">
            <w:pPr>
              <w:pStyle w:val="TableText0"/>
              <w:widowControl w:val="0"/>
              <w:jc w:val="center"/>
            </w:pPr>
            <w:r w:rsidRPr="00F92E56">
              <w:t>Median follow-up</w:t>
            </w:r>
          </w:p>
          <w:p w14:paraId="27292CA4" w14:textId="3573607D" w:rsidR="00D45278" w:rsidRPr="00F92E56" w:rsidRDefault="00D45278" w:rsidP="00553EDF">
            <w:pPr>
              <w:pStyle w:val="TableText0"/>
              <w:widowControl w:val="0"/>
              <w:jc w:val="center"/>
            </w:pPr>
            <w:r w:rsidRPr="00F92E56">
              <w:t>NIVO: 24.4 months</w:t>
            </w:r>
          </w:p>
          <w:p w14:paraId="71A25988" w14:textId="77777777" w:rsidR="00D45278" w:rsidRPr="00F92E56" w:rsidRDefault="00D45278" w:rsidP="00553EDF">
            <w:pPr>
              <w:pStyle w:val="TableText0"/>
              <w:widowControl w:val="0"/>
              <w:jc w:val="center"/>
            </w:pPr>
            <w:r w:rsidRPr="00F92E56">
              <w:t>PBO: 22.51 months</w:t>
            </w:r>
          </w:p>
          <w:p w14:paraId="077BD36A" w14:textId="77777777" w:rsidR="00D45278" w:rsidRPr="00F92E56" w:rsidRDefault="009A4560" w:rsidP="00D362C8">
            <w:pPr>
              <w:pStyle w:val="TableText0"/>
              <w:widowControl w:val="0"/>
              <w:shd w:val="clear" w:color="auto" w:fill="FFFFFF" w:themeFill="background1"/>
              <w:jc w:val="center"/>
            </w:pPr>
            <w:r w:rsidRPr="00F92E56">
              <w:t>Data cutoff in resubmission September 2022</w:t>
            </w:r>
          </w:p>
          <w:p w14:paraId="346A3C9C" w14:textId="6D0077A6" w:rsidR="009A4560" w:rsidRPr="00F92E56" w:rsidRDefault="009A4560" w:rsidP="00D362C8">
            <w:pPr>
              <w:pStyle w:val="TableText0"/>
              <w:widowControl w:val="0"/>
              <w:shd w:val="clear" w:color="auto" w:fill="FFFFFF" w:themeFill="background1"/>
              <w:jc w:val="center"/>
            </w:pPr>
            <w:r w:rsidRPr="00F92E56">
              <w:t>Median follow-up</w:t>
            </w:r>
            <w:r w:rsidR="00CB1C96" w:rsidRPr="00F92E56">
              <w:t>:</w:t>
            </w:r>
            <w:r w:rsidRPr="00F92E56">
              <w:t xml:space="preserve"> 36.1 months</w:t>
            </w:r>
          </w:p>
          <w:p w14:paraId="6AA401DD" w14:textId="264973D4" w:rsidR="009A4560" w:rsidRPr="00F92E56" w:rsidRDefault="009A4560" w:rsidP="00D362C8">
            <w:pPr>
              <w:pStyle w:val="TableText0"/>
              <w:widowControl w:val="0"/>
              <w:shd w:val="clear" w:color="auto" w:fill="FFFFFF" w:themeFill="background1"/>
              <w:jc w:val="center"/>
              <w:rPr>
                <w:vertAlign w:val="superscript"/>
              </w:rPr>
            </w:pPr>
            <w:r w:rsidRPr="00F92E56">
              <w:t>NIVO: 37.4 months</w:t>
            </w:r>
            <w:r w:rsidRPr="00F92E56">
              <w:rPr>
                <w:vertAlign w:val="superscript"/>
              </w:rPr>
              <w:t>c</w:t>
            </w:r>
          </w:p>
          <w:p w14:paraId="7C519AF5" w14:textId="6AED4C60" w:rsidR="009A4560" w:rsidRPr="00F92E56" w:rsidRDefault="009A4560" w:rsidP="00D362C8">
            <w:pPr>
              <w:pStyle w:val="TableText0"/>
              <w:widowControl w:val="0"/>
              <w:shd w:val="clear" w:color="auto" w:fill="FFFFFF" w:themeFill="background1"/>
              <w:jc w:val="center"/>
              <w:rPr>
                <w:vertAlign w:val="superscript"/>
              </w:rPr>
            </w:pPr>
            <w:r w:rsidRPr="00F92E56">
              <w:t>PBO: 33.9 months</w:t>
            </w:r>
            <w:r w:rsidRPr="00F92E56">
              <w:rPr>
                <w:vertAlign w:val="superscript"/>
              </w:rPr>
              <w:t>c</w:t>
            </w:r>
          </w:p>
        </w:tc>
        <w:tc>
          <w:tcPr>
            <w:tcW w:w="456" w:type="pct"/>
            <w:shd w:val="clear" w:color="auto" w:fill="C6D9F1" w:themeFill="text2" w:themeFillTint="33"/>
            <w:vAlign w:val="center"/>
          </w:tcPr>
          <w:p w14:paraId="61B2A037" w14:textId="1D3C3AFA" w:rsidR="00D45278" w:rsidRPr="00F92E56" w:rsidRDefault="00D45278" w:rsidP="00553EDF">
            <w:pPr>
              <w:pStyle w:val="TableText0"/>
              <w:widowControl w:val="0"/>
              <w:jc w:val="center"/>
              <w:rPr>
                <w:vertAlign w:val="superscript"/>
              </w:rPr>
            </w:pPr>
            <w:r w:rsidRPr="00F92E56">
              <w:t>Low</w:t>
            </w:r>
          </w:p>
        </w:tc>
        <w:tc>
          <w:tcPr>
            <w:tcW w:w="1294" w:type="pct"/>
            <w:shd w:val="clear" w:color="auto" w:fill="C6D9F1" w:themeFill="text2" w:themeFillTint="33"/>
            <w:vAlign w:val="center"/>
          </w:tcPr>
          <w:p w14:paraId="1CB93786" w14:textId="77777777" w:rsidR="00D45278" w:rsidRPr="00F92E56" w:rsidRDefault="00D45278" w:rsidP="00553EDF">
            <w:pPr>
              <w:pStyle w:val="TableText0"/>
              <w:widowControl w:val="0"/>
              <w:jc w:val="center"/>
              <w:rPr>
                <w:u w:val="single"/>
              </w:rPr>
            </w:pPr>
            <w:r w:rsidRPr="00F92E56">
              <w:rPr>
                <w:u w:val="single"/>
              </w:rPr>
              <w:t>Adjuvant setting</w:t>
            </w:r>
          </w:p>
          <w:p w14:paraId="0893C57B" w14:textId="77777777" w:rsidR="00D45278" w:rsidRPr="00F92E56" w:rsidRDefault="00D45278" w:rsidP="00553EDF">
            <w:pPr>
              <w:pStyle w:val="TableText0"/>
              <w:widowControl w:val="0"/>
              <w:jc w:val="center"/>
            </w:pPr>
            <w:r w:rsidRPr="00F92E56">
              <w:t>Undergone radical surgical resection for MIUC.</w:t>
            </w:r>
          </w:p>
          <w:p w14:paraId="280BC332" w14:textId="77777777" w:rsidR="00D45278" w:rsidRPr="00F92E56" w:rsidRDefault="00D45278" w:rsidP="00553EDF">
            <w:pPr>
              <w:pStyle w:val="TableText0"/>
              <w:widowControl w:val="0"/>
              <w:jc w:val="center"/>
            </w:pPr>
          </w:p>
          <w:p w14:paraId="664C21E3" w14:textId="6B1ED959" w:rsidR="00D45278" w:rsidRPr="00F92E56" w:rsidRDefault="00D45278" w:rsidP="00553EDF">
            <w:pPr>
              <w:pStyle w:val="TableText0"/>
              <w:widowControl w:val="0"/>
              <w:jc w:val="center"/>
            </w:pPr>
            <w:r w:rsidRPr="00F92E56">
              <w:t>Prior</w:t>
            </w:r>
            <w:r w:rsidR="006C7D52" w:rsidRPr="00F92E56">
              <w:t xml:space="preserve"> NAC</w:t>
            </w:r>
            <w:r w:rsidRPr="00F92E56">
              <w:t>: Stage ypT2-ypT4a or ypN+</w:t>
            </w:r>
          </w:p>
          <w:p w14:paraId="791BEB79" w14:textId="77777777" w:rsidR="006C7D52" w:rsidRPr="00F92E56" w:rsidRDefault="006C7D52" w:rsidP="00553EDF">
            <w:pPr>
              <w:pStyle w:val="TableText0"/>
              <w:widowControl w:val="0"/>
              <w:jc w:val="center"/>
            </w:pPr>
          </w:p>
          <w:p w14:paraId="11BD01AC" w14:textId="37C12FDB" w:rsidR="00D45278" w:rsidRPr="00F92E56" w:rsidRDefault="00D45278" w:rsidP="00553EDF">
            <w:pPr>
              <w:pStyle w:val="TableText0"/>
              <w:widowControl w:val="0"/>
              <w:jc w:val="center"/>
            </w:pPr>
            <w:r w:rsidRPr="00F92E56">
              <w:t xml:space="preserve">No prior </w:t>
            </w:r>
            <w:r w:rsidR="006C7D52" w:rsidRPr="00F92E56">
              <w:t>NAC</w:t>
            </w:r>
            <w:r w:rsidRPr="00F92E56">
              <w:t xml:space="preserve"> and were ineligible/declined adjuvant cisplatin chemotherapy: pT3-pT4a or pN+</w:t>
            </w:r>
          </w:p>
        </w:tc>
        <w:tc>
          <w:tcPr>
            <w:tcW w:w="913" w:type="pct"/>
            <w:shd w:val="clear" w:color="auto" w:fill="C6D9F1" w:themeFill="text2" w:themeFillTint="33"/>
            <w:vAlign w:val="center"/>
          </w:tcPr>
          <w:p w14:paraId="1AF5CECC" w14:textId="77777777" w:rsidR="00D45278" w:rsidRPr="00F92E56" w:rsidRDefault="00D45278" w:rsidP="00553EDF">
            <w:pPr>
              <w:pStyle w:val="TableText0"/>
              <w:widowControl w:val="0"/>
              <w:jc w:val="center"/>
            </w:pPr>
            <w:r w:rsidRPr="00F92E56">
              <w:t>Primary: DFS</w:t>
            </w:r>
          </w:p>
          <w:p w14:paraId="630B1B22" w14:textId="1359B096" w:rsidR="00D45278" w:rsidRPr="00F92E56" w:rsidRDefault="00D45278" w:rsidP="00553EDF">
            <w:pPr>
              <w:pStyle w:val="TableText0"/>
              <w:widowControl w:val="0"/>
              <w:jc w:val="center"/>
              <w:rPr>
                <w:vertAlign w:val="superscript"/>
              </w:rPr>
            </w:pPr>
            <w:r w:rsidRPr="00F92E56">
              <w:t>Secondary: NUTRFS, OS</w:t>
            </w:r>
            <w:r w:rsidR="006C7D52" w:rsidRPr="00F92E56">
              <w:rPr>
                <w:vertAlign w:val="superscript"/>
              </w:rPr>
              <w:t>b</w:t>
            </w:r>
            <w:r w:rsidRPr="00F92E56">
              <w:t>, and DSS</w:t>
            </w:r>
            <w:r w:rsidR="006C7D52" w:rsidRPr="00F92E56">
              <w:rPr>
                <w:vertAlign w:val="superscript"/>
              </w:rPr>
              <w:t>b</w:t>
            </w:r>
          </w:p>
          <w:p w14:paraId="3C1CDBF1" w14:textId="77777777" w:rsidR="00D45278" w:rsidRPr="00F92E56" w:rsidRDefault="00D45278" w:rsidP="00553EDF">
            <w:pPr>
              <w:pStyle w:val="TableText0"/>
              <w:widowControl w:val="0"/>
              <w:jc w:val="center"/>
            </w:pPr>
            <w:r w:rsidRPr="00F92E56">
              <w:t xml:space="preserve">Exploratory: </w:t>
            </w:r>
          </w:p>
          <w:p w14:paraId="3A2E784E" w14:textId="77777777" w:rsidR="00D45278" w:rsidRPr="00F92E56" w:rsidRDefault="00D45278" w:rsidP="00553EDF">
            <w:pPr>
              <w:pStyle w:val="TableText0"/>
              <w:widowControl w:val="0"/>
              <w:jc w:val="center"/>
              <w:rPr>
                <w:rFonts w:eastAsiaTheme="minorHAnsi"/>
              </w:rPr>
            </w:pPr>
            <w:r w:rsidRPr="00F92E56">
              <w:rPr>
                <w:rFonts w:eastAsiaTheme="minorHAnsi"/>
              </w:rPr>
              <w:t>DMFS</w:t>
            </w:r>
          </w:p>
          <w:p w14:paraId="23CA1451" w14:textId="77777777" w:rsidR="00D45278" w:rsidRPr="00F92E56" w:rsidRDefault="00D45278" w:rsidP="00553EDF">
            <w:pPr>
              <w:pStyle w:val="TableText0"/>
              <w:widowControl w:val="0"/>
              <w:jc w:val="center"/>
              <w:rPr>
                <w:rFonts w:eastAsiaTheme="minorHAnsi"/>
              </w:rPr>
            </w:pPr>
            <w:r w:rsidRPr="00F92E56">
              <w:rPr>
                <w:rFonts w:eastAsiaTheme="minorHAnsi"/>
                <w:u w:val="single"/>
              </w:rPr>
              <w:t>Primary analysis populations</w:t>
            </w:r>
            <w:r w:rsidRPr="00F92E56">
              <w:rPr>
                <w:rFonts w:eastAsiaTheme="minorHAnsi"/>
              </w:rPr>
              <w:t>:</w:t>
            </w:r>
          </w:p>
          <w:p w14:paraId="529E8CB3" w14:textId="77777777" w:rsidR="00D45278" w:rsidRPr="00F92E56" w:rsidRDefault="00D45278" w:rsidP="00553EDF">
            <w:pPr>
              <w:pStyle w:val="TableText0"/>
              <w:widowControl w:val="0"/>
              <w:jc w:val="center"/>
            </w:pPr>
            <w:r w:rsidRPr="00F92E56">
              <w:t>ITT and the PD-L1 ≥ 1% subgroup</w:t>
            </w:r>
          </w:p>
          <w:p w14:paraId="01E8C013" w14:textId="71A56347" w:rsidR="006C7D52" w:rsidRPr="00F92E56" w:rsidRDefault="006C7D52" w:rsidP="00D362C8">
            <w:pPr>
              <w:pStyle w:val="TableText0"/>
              <w:widowControl w:val="0"/>
              <w:shd w:val="clear" w:color="auto" w:fill="FFFFFF" w:themeFill="background1"/>
              <w:jc w:val="center"/>
              <w:rPr>
                <w:u w:val="single"/>
              </w:rPr>
            </w:pPr>
            <w:r w:rsidRPr="00F92E56">
              <w:rPr>
                <w:u w:val="single"/>
              </w:rPr>
              <w:t>Target PBS population in resubmission</w:t>
            </w:r>
            <w:r w:rsidR="00D362C8" w:rsidRPr="00F92E56">
              <w:rPr>
                <w:u w:val="single"/>
              </w:rPr>
              <w:t>:</w:t>
            </w:r>
          </w:p>
          <w:p w14:paraId="1A7A21F3" w14:textId="391C5439" w:rsidR="006C7D52" w:rsidRPr="00F92E56" w:rsidRDefault="00454FF6" w:rsidP="00D362C8">
            <w:pPr>
              <w:pStyle w:val="TableText0"/>
              <w:widowControl w:val="0"/>
              <w:shd w:val="clear" w:color="auto" w:fill="FFFFFF" w:themeFill="background1"/>
              <w:jc w:val="center"/>
            </w:pPr>
            <w:r w:rsidRPr="00F92E56">
              <w:t>P</w:t>
            </w:r>
            <w:r w:rsidR="006C7D52" w:rsidRPr="00F92E56">
              <w:t>rior NAC subgroup</w:t>
            </w:r>
          </w:p>
        </w:tc>
        <w:tc>
          <w:tcPr>
            <w:tcW w:w="584" w:type="pct"/>
            <w:shd w:val="clear" w:color="auto" w:fill="auto"/>
            <w:vAlign w:val="center"/>
          </w:tcPr>
          <w:p w14:paraId="5A75156F" w14:textId="77777777" w:rsidR="00D45278" w:rsidRPr="00F92E56" w:rsidRDefault="00D45278" w:rsidP="00553EDF">
            <w:pPr>
              <w:pStyle w:val="TableText0"/>
              <w:widowControl w:val="0"/>
              <w:jc w:val="center"/>
            </w:pPr>
            <w:r w:rsidRPr="00F92E56">
              <w:t>Only trial-based DFS data used</w:t>
            </w:r>
          </w:p>
        </w:tc>
      </w:tr>
    </w:tbl>
    <w:p w14:paraId="75FEAD2B" w14:textId="57786F12" w:rsidR="00D45278" w:rsidRPr="00F92E56" w:rsidRDefault="00D45278" w:rsidP="00D45278">
      <w:pPr>
        <w:pStyle w:val="TableFooter"/>
      </w:pPr>
      <w:r w:rsidRPr="00F92E56">
        <w:t xml:space="preserve">Source: </w:t>
      </w:r>
      <w:r w:rsidR="0079568D" w:rsidRPr="00F92E56">
        <w:t>p</w:t>
      </w:r>
      <w:r w:rsidR="00A76BC7" w:rsidRPr="00F92E56">
        <w:t>ara 6.6, nivolumab PSD, July 2022 PBAC meeting and Sections 1 and 2 of the resubmission.</w:t>
      </w:r>
      <w:r w:rsidRPr="00F92E56">
        <w:t xml:space="preserve"> </w:t>
      </w:r>
    </w:p>
    <w:p w14:paraId="46464AF9" w14:textId="7C868E68" w:rsidR="00D45278" w:rsidRPr="00F92E56" w:rsidRDefault="006A18F1" w:rsidP="00D45278">
      <w:pPr>
        <w:pStyle w:val="TableFooter"/>
      </w:pPr>
      <w:r w:rsidRPr="00F92E56">
        <w:t xml:space="preserve">DB = double blind; DFS = disease free survival; DMFS = distant metastasis-free survival; DSS = disease specific survival; NAC = neoadjuvant cisplatin chemotherapy; </w:t>
      </w:r>
      <w:r w:rsidR="00D45278" w:rsidRPr="00F92E56">
        <w:t xml:space="preserve">NIVO = nivolumab; </w:t>
      </w:r>
      <w:r w:rsidRPr="00F92E56">
        <w:t xml:space="preserve">NUTRFS = non upper tract recurrence free survival; OS = overall survival; </w:t>
      </w:r>
      <w:r w:rsidR="00D45278" w:rsidRPr="00F92E56">
        <w:t>PBO = placebo; PD-L1 = programmed cell death ligand 1; R = randomised.</w:t>
      </w:r>
    </w:p>
    <w:p w14:paraId="1A60D091" w14:textId="4E043B6F" w:rsidR="00D45278" w:rsidRPr="00F92E56" w:rsidRDefault="00D45278" w:rsidP="00D45278">
      <w:pPr>
        <w:pStyle w:val="TableFooter"/>
      </w:pPr>
      <w:r w:rsidRPr="00F92E56">
        <w:rPr>
          <w:vertAlign w:val="superscript"/>
        </w:rPr>
        <w:t>a</w:t>
      </w:r>
      <w:r w:rsidRPr="00F92E56">
        <w:t xml:space="preserve">Stratification factors at randomisation </w:t>
      </w:r>
      <w:proofErr w:type="gramStart"/>
      <w:r w:rsidRPr="00F92E56">
        <w:t>were:</w:t>
      </w:r>
      <w:proofErr w:type="gramEnd"/>
      <w:r w:rsidRPr="00F92E56">
        <w:t xml:space="preserve"> pathologic nodal status (N+ </w:t>
      </w:r>
      <w:r w:rsidRPr="00F92E56">
        <w:rPr>
          <w:i/>
          <w:iCs/>
        </w:rPr>
        <w:t>vs</w:t>
      </w:r>
      <w:r w:rsidRPr="00F92E56">
        <w:t xml:space="preserve">. N0/x with &lt; 10 nodes removed </w:t>
      </w:r>
      <w:r w:rsidRPr="00F92E56">
        <w:rPr>
          <w:i/>
          <w:iCs/>
        </w:rPr>
        <w:t>vs</w:t>
      </w:r>
      <w:r w:rsidR="00F86BED" w:rsidRPr="00F92E56">
        <w:rPr>
          <w:i/>
          <w:iCs/>
        </w:rPr>
        <w:t>.</w:t>
      </w:r>
      <w:r w:rsidRPr="00F92E56">
        <w:t xml:space="preserve"> N0 with ≥ 10 nodes removed); tumour cell PD-L1 expression (≥ 1%</w:t>
      </w:r>
      <w:r w:rsidR="00F86BED" w:rsidRPr="00F92E56">
        <w:rPr>
          <w:i/>
          <w:iCs/>
        </w:rPr>
        <w:t xml:space="preserve"> vs.</w:t>
      </w:r>
      <w:r w:rsidRPr="00F92E56">
        <w:t xml:space="preserve"> &lt; 1% </w:t>
      </w:r>
      <w:r w:rsidR="00F86BED" w:rsidRPr="00F92E56">
        <w:rPr>
          <w:i/>
          <w:iCs/>
        </w:rPr>
        <w:t>vs.</w:t>
      </w:r>
      <w:r w:rsidRPr="00F92E56">
        <w:t xml:space="preserve"> indeterminate); and prior use of cisplatin neoadjuvant chemotherapy (yes </w:t>
      </w:r>
      <w:r w:rsidRPr="00F92E56">
        <w:rPr>
          <w:i/>
          <w:iCs/>
        </w:rPr>
        <w:t>vs</w:t>
      </w:r>
      <w:r w:rsidR="00F86BED" w:rsidRPr="00F92E56">
        <w:rPr>
          <w:i/>
          <w:iCs/>
        </w:rPr>
        <w:t>.</w:t>
      </w:r>
      <w:r w:rsidRPr="00F92E56">
        <w:t xml:space="preserve"> no).</w:t>
      </w:r>
    </w:p>
    <w:p w14:paraId="6B293A38" w14:textId="2D9B9F89" w:rsidR="006C7D52" w:rsidRPr="00F92E56" w:rsidRDefault="009A4560" w:rsidP="00D45278">
      <w:pPr>
        <w:pStyle w:val="TableFooter"/>
      </w:pPr>
      <w:r w:rsidRPr="00F92E56">
        <w:rPr>
          <w:vertAlign w:val="superscript"/>
        </w:rPr>
        <w:t>b</w:t>
      </w:r>
      <w:r w:rsidR="006C7D52" w:rsidRPr="00F92E56">
        <w:t xml:space="preserve">OS and DSS data </w:t>
      </w:r>
      <w:r w:rsidRPr="00F92E56">
        <w:t xml:space="preserve">for extended follow-up (September 2022 data cut-off) </w:t>
      </w:r>
      <w:r w:rsidR="006C7D52" w:rsidRPr="00F92E56">
        <w:t>were not provided in the resubmission</w:t>
      </w:r>
      <w:r w:rsidR="001212D5" w:rsidRPr="00F92E56">
        <w:t>.</w:t>
      </w:r>
      <w:r w:rsidRPr="00F92E56">
        <w:t xml:space="preserve"> </w:t>
      </w:r>
    </w:p>
    <w:p w14:paraId="6930572F" w14:textId="2AC0481F" w:rsidR="006C7D52" w:rsidRPr="00F92E56" w:rsidRDefault="001212D5" w:rsidP="00D45278">
      <w:pPr>
        <w:pStyle w:val="TableFooter"/>
      </w:pPr>
      <w:r w:rsidRPr="00F92E56">
        <w:rPr>
          <w:vertAlign w:val="superscript"/>
        </w:rPr>
        <w:t>c</w:t>
      </w:r>
      <w:r w:rsidRPr="00F92E56">
        <w:t>Sourced from Galsky MD et al. Extended follow-up results from the CheckMate 274 trial. ASCO Genitourinary Cancers Symposium 2023. Abstract LBA443</w:t>
      </w:r>
    </w:p>
    <w:p w14:paraId="1F3DE65D" w14:textId="408F156A" w:rsidR="00D362C8" w:rsidRPr="00F92E56" w:rsidRDefault="00D362C8" w:rsidP="00236876">
      <w:pPr>
        <w:pStyle w:val="TableFooter"/>
        <w:spacing w:after="120"/>
      </w:pPr>
      <w:r w:rsidRPr="00F92E56">
        <w:rPr>
          <w:rStyle w:val="CommentReference"/>
          <w:b w:val="0"/>
          <w:bCs/>
          <w:iCs/>
          <w:sz w:val="18"/>
          <w:szCs w:val="18"/>
          <w:shd w:val="clear" w:color="auto" w:fill="B8CCE4" w:themeFill="accent1" w:themeFillTint="66"/>
        </w:rPr>
        <w:t>Blue shading</w:t>
      </w:r>
      <w:r w:rsidRPr="00F92E56">
        <w:rPr>
          <w:rStyle w:val="CommentReference"/>
          <w:b w:val="0"/>
          <w:bCs/>
          <w:iCs/>
          <w:sz w:val="18"/>
          <w:szCs w:val="18"/>
        </w:rPr>
        <w:t xml:space="preserve"> indicates publications previously seen by the PBAC</w:t>
      </w:r>
    </w:p>
    <w:p w14:paraId="5C854976" w14:textId="6F5E4695" w:rsidR="005F3A1E" w:rsidRPr="00F92E56" w:rsidRDefault="005F3A1E" w:rsidP="00236876">
      <w:pPr>
        <w:pStyle w:val="3-BodyText"/>
      </w:pPr>
      <w:r w:rsidRPr="00F92E56">
        <w:t>The CM274 trial recruited patients who had undergone radical surgical resection (R0, negative margins) for MIUC, originating in the bladder, ureter</w:t>
      </w:r>
      <w:r w:rsidR="00484B53" w:rsidRPr="00F92E56">
        <w:t>,</w:t>
      </w:r>
      <w:r w:rsidRPr="00F92E56">
        <w:t xml:space="preserve"> or renal pelvis, and who were considered at high risk of disease recurrence. The number of subjects enrolled with UTUC was capped at 20% to “prevent substantial deviation from the natural prevalence of bladder disease (80%) as compared with upper tract disease”.</w:t>
      </w:r>
    </w:p>
    <w:p w14:paraId="00601AE6" w14:textId="77777777" w:rsidR="005F3A1E" w:rsidRPr="00F92E56" w:rsidRDefault="005F3A1E" w:rsidP="00236876">
      <w:pPr>
        <w:pStyle w:val="3-BodyText"/>
      </w:pPr>
      <w:r w:rsidRPr="00F92E56">
        <w:t>High risk of recurrence based on pathological staging of radical surgery tissue was as follows:</w:t>
      </w:r>
    </w:p>
    <w:p w14:paraId="01F493AB" w14:textId="77777777" w:rsidR="005F3A1E" w:rsidRPr="00F92E56" w:rsidRDefault="005F3A1E" w:rsidP="00236876">
      <w:pPr>
        <w:pStyle w:val="ListParagraph"/>
      </w:pPr>
      <w:r w:rsidRPr="00F92E56">
        <w:t>Patients who received neoadjuvant cisplatin chemotherapy: ypT2-ypT4a or ypN+; or</w:t>
      </w:r>
    </w:p>
    <w:p w14:paraId="1ED1BDBF" w14:textId="77777777" w:rsidR="005F3A1E" w:rsidRPr="00F92E56" w:rsidRDefault="005F3A1E" w:rsidP="00236876">
      <w:pPr>
        <w:pStyle w:val="ListParagraph"/>
      </w:pPr>
      <w:r w:rsidRPr="00F92E56">
        <w:t>Patients who had not received and were ineligible for neoadjuvant cisplatin chemotherapy: pT3-pT4a or pN+ and not eligible for/declined adjuvant cisplatin chemotherapy.</w:t>
      </w:r>
    </w:p>
    <w:p w14:paraId="6F691A32" w14:textId="5E416387" w:rsidR="005F3A1E" w:rsidRPr="00F92E56" w:rsidRDefault="005F3A1E" w:rsidP="00236876">
      <w:pPr>
        <w:pStyle w:val="3-BodyText"/>
      </w:pPr>
      <w:r w:rsidRPr="00F92E56">
        <w:t>The key factors relating to ineligibility for cisplatin-based chemotherapy were: i) creatinine clearance of &lt;</w:t>
      </w:r>
      <w:r w:rsidR="00724199">
        <w:t> </w:t>
      </w:r>
      <w:r w:rsidRPr="00F92E56">
        <w:t>60</w:t>
      </w:r>
      <w:r w:rsidR="00724199">
        <w:t> </w:t>
      </w:r>
      <w:r w:rsidRPr="00F92E56">
        <w:t xml:space="preserve">mL/min, ii) ≥ Grade 2 audiometric hearing loss and peripheral neuropathy, iii) </w:t>
      </w:r>
      <w:r w:rsidR="00D362C8" w:rsidRPr="00F92E56">
        <w:t>Eastern Cooperative Oncology Group (</w:t>
      </w:r>
      <w:r w:rsidRPr="00F92E56">
        <w:t>ECOG</w:t>
      </w:r>
      <w:r w:rsidR="00D362C8" w:rsidRPr="00F92E56">
        <w:t>)</w:t>
      </w:r>
      <w:r w:rsidRPr="00F92E56">
        <w:t xml:space="preserve"> </w:t>
      </w:r>
      <w:r w:rsidR="00D362C8" w:rsidRPr="00F92E56">
        <w:t>performance status</w:t>
      </w:r>
      <w:r w:rsidRPr="00F92E56">
        <w:t xml:space="preserve"> score of 2, and iv) New York Heart Association Class III or IV </w:t>
      </w:r>
      <w:r w:rsidR="00701262" w:rsidRPr="00F92E56">
        <w:t>h</w:t>
      </w:r>
      <w:r w:rsidRPr="00F92E56">
        <w:t xml:space="preserve">eart </w:t>
      </w:r>
      <w:r w:rsidR="00701262" w:rsidRPr="00F92E56">
        <w:t>f</w:t>
      </w:r>
      <w:r w:rsidRPr="00F92E56">
        <w:t>ailure.</w:t>
      </w:r>
    </w:p>
    <w:p w14:paraId="2E1ED79B" w14:textId="77777777" w:rsidR="005F3A1E" w:rsidRPr="00F92E56" w:rsidRDefault="005F3A1E" w:rsidP="00236876">
      <w:pPr>
        <w:pStyle w:val="3-BodyText"/>
      </w:pPr>
      <w:r w:rsidRPr="00F92E56">
        <w:t xml:space="preserve">Patients who were eligible for cisplatin chemotherapy could be enrolled if they refused available adjuvant chemotherapy, despite being informed by the investigator about treatment options. Patients were excluded from the CM274 trial if they had </w:t>
      </w:r>
      <w:r w:rsidRPr="00F92E56">
        <w:lastRenderedPageBreak/>
        <w:t>previously undergone a partial cystectomy or partial nephrectomy, received adjuvant systemic therapy, or radiation therapy after radical surgery.</w:t>
      </w:r>
    </w:p>
    <w:p w14:paraId="704212AC" w14:textId="2F9837CF" w:rsidR="005F3A1E" w:rsidRPr="00F92E56" w:rsidRDefault="005F3A1E" w:rsidP="00236876">
      <w:pPr>
        <w:pStyle w:val="3-BodyText"/>
      </w:pPr>
      <w:r w:rsidRPr="00F92E56">
        <w:t xml:space="preserve">Stratification factors in the CM274 trial </w:t>
      </w:r>
      <w:proofErr w:type="gramStart"/>
      <w:r w:rsidRPr="00F92E56">
        <w:t>were:</w:t>
      </w:r>
      <w:proofErr w:type="gramEnd"/>
      <w:r w:rsidRPr="00F92E56">
        <w:t xml:space="preserve"> pathologic nodal status (N+ </w:t>
      </w:r>
      <w:r w:rsidRPr="00F92E56">
        <w:rPr>
          <w:i/>
        </w:rPr>
        <w:t>vs</w:t>
      </w:r>
      <w:r w:rsidRPr="00F92E56">
        <w:t xml:space="preserve">. N0/x with &lt; 10 nodes removed </w:t>
      </w:r>
      <w:r w:rsidRPr="00F92E56">
        <w:rPr>
          <w:i/>
        </w:rPr>
        <w:t>vs</w:t>
      </w:r>
      <w:r w:rsidR="00D362C8" w:rsidRPr="00F92E56">
        <w:t>.</w:t>
      </w:r>
      <w:r w:rsidRPr="00F92E56">
        <w:t xml:space="preserve"> N0 with ≥ 10 nodes removed); tumour cell PD-L1 expression (≥ 1%</w:t>
      </w:r>
      <w:r w:rsidR="00F86BED" w:rsidRPr="00F92E56">
        <w:t xml:space="preserve"> </w:t>
      </w:r>
      <w:r w:rsidR="00F86BED" w:rsidRPr="00F92E56">
        <w:rPr>
          <w:i/>
        </w:rPr>
        <w:t>vs.</w:t>
      </w:r>
      <w:r w:rsidRPr="00F92E56">
        <w:t xml:space="preserve"> &lt; 1% </w:t>
      </w:r>
      <w:r w:rsidR="00F86BED" w:rsidRPr="00F92E56">
        <w:rPr>
          <w:i/>
        </w:rPr>
        <w:t>vs.</w:t>
      </w:r>
      <w:r w:rsidR="00F86BED" w:rsidRPr="00F92E56">
        <w:t xml:space="preserve"> </w:t>
      </w:r>
      <w:r w:rsidRPr="00F92E56">
        <w:t xml:space="preserve">indeterminate); and prior use of NAC (yes </w:t>
      </w:r>
      <w:r w:rsidRPr="00F92E56">
        <w:rPr>
          <w:i/>
        </w:rPr>
        <w:t>vs</w:t>
      </w:r>
      <w:r w:rsidR="00D362C8" w:rsidRPr="00F92E56">
        <w:rPr>
          <w:i/>
        </w:rPr>
        <w:t>.</w:t>
      </w:r>
      <w:r w:rsidRPr="00F92E56">
        <w:t xml:space="preserve"> no). Less than 2% of patients enrolled in the CM274 trial were classified as PD-L1 indeterminate or not evaluable.</w:t>
      </w:r>
    </w:p>
    <w:p w14:paraId="18D9AD03" w14:textId="438D001C" w:rsidR="005F3A1E" w:rsidRPr="00F92E56" w:rsidRDefault="005F3A1E" w:rsidP="00236876">
      <w:pPr>
        <w:pStyle w:val="3-BodyText"/>
      </w:pPr>
      <w:r w:rsidRPr="00F92E56">
        <w:t xml:space="preserve">The primary analysis populations were the intention to treat (ITT) and PD-L1 ≥ 1% subgroup populations. The primary endpoint was DFS. Secondary and exploratory endpoints included OS, non-urothelial tract recurrence-free survival (NUTRFS) and distant metastasis-free survival (DMFS). The resubmission did not provide updated OS data </w:t>
      </w:r>
      <w:r w:rsidR="006B0241" w:rsidRPr="00F92E56">
        <w:t>for the September 2022 data cutoff and argued that the d</w:t>
      </w:r>
      <w:r w:rsidRPr="00F92E56">
        <w:t>ata remain immature</w:t>
      </w:r>
      <w:r w:rsidR="006B0241" w:rsidRPr="00F92E56">
        <w:t>.</w:t>
      </w:r>
      <w:r w:rsidRPr="00F92E56">
        <w:t xml:space="preserve"> </w:t>
      </w:r>
      <w:r w:rsidR="000C6E15" w:rsidRPr="00F92E56">
        <w:t>The PSCR</w:t>
      </w:r>
      <w:r w:rsidR="00785872" w:rsidRPr="00785872">
        <w:t xml:space="preserve"> </w:t>
      </w:r>
      <w:r w:rsidR="000C6E15" w:rsidRPr="00F92E56">
        <w:t xml:space="preserve">stated that </w:t>
      </w:r>
      <w:r w:rsidR="00483BD9" w:rsidRPr="00F92E56">
        <w:t>‘as mature OS data is event driven, it is not currently available no</w:t>
      </w:r>
      <w:r w:rsidR="00EB56EB" w:rsidRPr="00F92E56">
        <w:t>r</w:t>
      </w:r>
      <w:r w:rsidR="00483BD9" w:rsidRPr="00F92E56">
        <w:t xml:space="preserve"> expected for several years’</w:t>
      </w:r>
      <w:r w:rsidR="000C6E15" w:rsidRPr="00F92E56">
        <w:t xml:space="preserve"> and</w:t>
      </w:r>
      <w:r w:rsidR="00483BD9" w:rsidRPr="00F92E56">
        <w:t xml:space="preserve"> in the absence of OS data</w:t>
      </w:r>
      <w:r w:rsidR="000C6E15" w:rsidRPr="00F92E56">
        <w:t xml:space="preserve"> the resubmission sought to address the clinical and cost-effectiveness uncertainties caused by a lack of long-term OS data. </w:t>
      </w:r>
      <w:r w:rsidR="00EB56EB" w:rsidRPr="00F92E56">
        <w:t xml:space="preserve">The ESC </w:t>
      </w:r>
      <w:r w:rsidR="00DF08AB" w:rsidRPr="00F92E56">
        <w:t>considered the provision of all available short-term OS data would assist</w:t>
      </w:r>
      <w:r w:rsidR="00F95550" w:rsidRPr="00F92E56">
        <w:t xml:space="preserve"> with </w:t>
      </w:r>
      <w:r w:rsidR="00DF08AB" w:rsidRPr="00F92E56">
        <w:t xml:space="preserve">reducing the uncertainties caused by the lack of long-term OS data. </w:t>
      </w:r>
      <w:r w:rsidR="0088550A" w:rsidRPr="00F92E56">
        <w:t>The pre-PBAC response</w:t>
      </w:r>
      <w:r w:rsidR="00785872" w:rsidRPr="00785872">
        <w:t xml:space="preserve"> </w:t>
      </w:r>
      <w:r w:rsidR="0088550A" w:rsidRPr="00F92E56">
        <w:t>stated that it was unable to provide mature OS data</w:t>
      </w:r>
      <w:r w:rsidR="00AB5C3F" w:rsidRPr="00F92E56">
        <w:t xml:space="preserve"> and re-iterated its PSCR argument regarding the approach taken by the resubmission in the absence of this data</w:t>
      </w:r>
      <w:r w:rsidR="00F92E56">
        <w:t xml:space="preserve">. </w:t>
      </w:r>
    </w:p>
    <w:p w14:paraId="1C88A1CA" w14:textId="1E1C7EF1" w:rsidR="006B0241" w:rsidRPr="00F92E56" w:rsidRDefault="005F3A1E" w:rsidP="00236876">
      <w:pPr>
        <w:pStyle w:val="3-BodyText"/>
      </w:pPr>
      <w:r w:rsidRPr="00F92E56">
        <w:t>The requested target PBS population in the resubmission is restricted to patients who have received prior NAC. Thus, outcomes were presented only for the prior NAC subgroup (and the complement</w:t>
      </w:r>
      <w:r w:rsidR="006B0241" w:rsidRPr="00F92E56">
        <w:t xml:space="preserve"> of no prior NAC</w:t>
      </w:r>
      <w:r w:rsidRPr="00F92E56">
        <w:t xml:space="preserve"> </w:t>
      </w:r>
      <w:r w:rsidR="00CB5517" w:rsidRPr="00F92E56">
        <w:t xml:space="preserve">subgroup </w:t>
      </w:r>
      <w:r w:rsidRPr="00F92E56">
        <w:t xml:space="preserve">for comparative purposes) of CM274. </w:t>
      </w:r>
      <w:r w:rsidR="006B0241" w:rsidRPr="00F92E56">
        <w:t xml:space="preserve">Although the </w:t>
      </w:r>
      <w:r w:rsidR="00AE1B91" w:rsidRPr="00F92E56">
        <w:t>relevant</w:t>
      </w:r>
      <w:r w:rsidR="006B0241" w:rsidRPr="00F92E56">
        <w:t xml:space="preserve"> population is </w:t>
      </w:r>
      <w:r w:rsidR="00AE1B91" w:rsidRPr="00F92E56">
        <w:t>the</w:t>
      </w:r>
      <w:r w:rsidR="006B0241" w:rsidRPr="00F92E56">
        <w:t xml:space="preserve"> </w:t>
      </w:r>
      <w:r w:rsidR="00AE1B91" w:rsidRPr="00F92E56">
        <w:t xml:space="preserve">prior NAC </w:t>
      </w:r>
      <w:r w:rsidR="006B0241" w:rsidRPr="00F92E56">
        <w:t>subgroup of the CM274 trial, the risk of bias was considered low</w:t>
      </w:r>
      <w:r w:rsidR="00CB5517" w:rsidRPr="00F92E56">
        <w:t xml:space="preserve">, as prior NAC use </w:t>
      </w:r>
      <w:r w:rsidR="00A76BC7" w:rsidRPr="00F92E56">
        <w:t>wa</w:t>
      </w:r>
      <w:r w:rsidR="00CB5517" w:rsidRPr="00F92E56">
        <w:t xml:space="preserve">s a stratification factor </w:t>
      </w:r>
      <w:r w:rsidR="00A76BC7" w:rsidRPr="00F92E56">
        <w:t xml:space="preserve">at randomisation </w:t>
      </w:r>
      <w:r w:rsidR="00CB5517" w:rsidRPr="00F92E56">
        <w:t>in the trial</w:t>
      </w:r>
      <w:r w:rsidR="006B0241" w:rsidRPr="00F92E56">
        <w:t>. Baseline demographic and disease characteristics for the prior NAC subgroup were reasonably balanced between the nivolumab and placebo arms.</w:t>
      </w:r>
    </w:p>
    <w:p w14:paraId="40B37688" w14:textId="34D48AC0" w:rsidR="006B0241" w:rsidRPr="00F92E56" w:rsidRDefault="006B0241" w:rsidP="00236876">
      <w:pPr>
        <w:pStyle w:val="3-BodyText"/>
      </w:pPr>
      <w:r w:rsidRPr="00F92E56">
        <w:t xml:space="preserve">There were limited data provided in the </w:t>
      </w:r>
      <w:r w:rsidR="00AE1B91" w:rsidRPr="00F92E56">
        <w:t>re</w:t>
      </w:r>
      <w:r w:rsidRPr="00F92E56">
        <w:t xml:space="preserve">submission on subsequent anti-cancer treatments in CM274. </w:t>
      </w:r>
      <w:r w:rsidRPr="00F92E56">
        <w:fldChar w:fldCharType="begin" w:fldLock="1"/>
      </w:r>
      <w:r w:rsidRPr="00F92E56">
        <w:instrText xml:space="preserve"> REF _Ref102234201 \h  \* MERGEFORMAT </w:instrText>
      </w:r>
      <w:r w:rsidRPr="00F92E56">
        <w:fldChar w:fldCharType="separate"/>
      </w:r>
      <w:r w:rsidR="0096718A" w:rsidRPr="00F92E56">
        <w:t xml:space="preserve">Table </w:t>
      </w:r>
      <w:r w:rsidR="0096718A" w:rsidRPr="00346867">
        <w:t>6</w:t>
      </w:r>
      <w:r w:rsidRPr="00F92E56">
        <w:fldChar w:fldCharType="end"/>
      </w:r>
      <w:r w:rsidRPr="00F92E56">
        <w:t xml:space="preserve"> presents a summary of subsequent anti-cancer treatments reported for the nivolumab and placebo arms in the </w:t>
      </w:r>
      <w:r w:rsidR="00AE1B91" w:rsidRPr="00F92E56">
        <w:t xml:space="preserve">prior NAC subgroup of </w:t>
      </w:r>
      <w:r w:rsidRPr="00F92E56">
        <w:t xml:space="preserve">CM274 trial. The proportion of patients by type of subsequent therapy </w:t>
      </w:r>
      <w:r w:rsidR="00484B53" w:rsidRPr="00F92E56">
        <w:t xml:space="preserve">received </w:t>
      </w:r>
      <w:r w:rsidRPr="00F92E56">
        <w:t xml:space="preserve">was </w:t>
      </w:r>
      <w:r w:rsidR="00484B53" w:rsidRPr="00F92E56">
        <w:t xml:space="preserve">estimated </w:t>
      </w:r>
      <w:r w:rsidRPr="00F92E56">
        <w:t>based on the number of patients randomised</w:t>
      </w:r>
      <w:r w:rsidR="00484B53" w:rsidRPr="00F92E56">
        <w:t>, not patients who experienced recurrence.</w:t>
      </w:r>
    </w:p>
    <w:p w14:paraId="448BD832" w14:textId="284A81F6" w:rsidR="00AE1B91" w:rsidRPr="00F92E56" w:rsidRDefault="006B0241" w:rsidP="00AE1B91">
      <w:pPr>
        <w:pStyle w:val="TableFigureHeading"/>
      </w:pPr>
      <w:bookmarkStart w:id="22" w:name="_Ref102234201"/>
      <w:r w:rsidRPr="00F92E56">
        <w:lastRenderedPageBreak/>
        <w:t xml:space="preserve">Table </w:t>
      </w:r>
      <w:r w:rsidR="001D78FA">
        <w:fldChar w:fldCharType="begin" w:fldLock="1"/>
      </w:r>
      <w:r w:rsidR="001D78FA">
        <w:instrText xml:space="preserve"> SEQ Table \* ARABIC </w:instrText>
      </w:r>
      <w:r w:rsidR="001D78FA">
        <w:fldChar w:fldCharType="separate"/>
      </w:r>
      <w:r w:rsidR="0096718A" w:rsidRPr="00346867">
        <w:t>6</w:t>
      </w:r>
      <w:r w:rsidR="001D78FA">
        <w:fldChar w:fldCharType="end"/>
      </w:r>
      <w:bookmarkEnd w:id="22"/>
      <w:r w:rsidRPr="00F92E56">
        <w:t xml:space="preserve">: </w:t>
      </w:r>
      <w:r w:rsidR="00AE1B91" w:rsidRPr="00F92E56">
        <w:t>CM274 - Subsequent anti-cancer therapies in the neoadjuvant platinum-based chemotherapy subgroup</w:t>
      </w:r>
      <w:r w:rsidR="00851E9F" w:rsidRPr="00F92E56">
        <w:t xml:space="preserve"> (</w:t>
      </w:r>
      <w:r w:rsidR="00851E9F" w:rsidRPr="00F92E56">
        <w:rPr>
          <w:rFonts w:eastAsiaTheme="minorHAnsi"/>
        </w:rPr>
        <w:t>data cutoff: 08 September 2022)</w:t>
      </w:r>
    </w:p>
    <w:tbl>
      <w:tblPr>
        <w:tblStyle w:val="TableGrid"/>
        <w:tblW w:w="5000" w:type="pct"/>
        <w:tblLook w:val="04A0" w:firstRow="1" w:lastRow="0" w:firstColumn="1" w:lastColumn="0" w:noHBand="0" w:noVBand="1"/>
      </w:tblPr>
      <w:tblGrid>
        <w:gridCol w:w="4277"/>
        <w:gridCol w:w="2417"/>
        <w:gridCol w:w="2323"/>
      </w:tblGrid>
      <w:tr w:rsidR="00AE1B91" w:rsidRPr="00F92E56" w14:paraId="06F753BC" w14:textId="77777777" w:rsidTr="00AE1B91">
        <w:trPr>
          <w:cantSplit/>
          <w:tblHeader/>
        </w:trPr>
        <w:tc>
          <w:tcPr>
            <w:tcW w:w="2372" w:type="pct"/>
            <w:vMerge w:val="restart"/>
            <w:shd w:val="clear" w:color="auto" w:fill="auto"/>
          </w:tcPr>
          <w:p w14:paraId="43F1C031" w14:textId="77777777" w:rsidR="00AE1B91" w:rsidRPr="00F92E56" w:rsidRDefault="00AE1B91" w:rsidP="00AE1B91">
            <w:pPr>
              <w:pStyle w:val="TableText0"/>
              <w:rPr>
                <w:b/>
                <w:bCs w:val="0"/>
              </w:rPr>
            </w:pPr>
            <w:r w:rsidRPr="00F92E56">
              <w:rPr>
                <w:b/>
                <w:bCs w:val="0"/>
              </w:rPr>
              <w:t>Type of subsequent therapy</w:t>
            </w:r>
          </w:p>
        </w:tc>
        <w:tc>
          <w:tcPr>
            <w:tcW w:w="2628" w:type="pct"/>
            <w:gridSpan w:val="2"/>
            <w:tcBorders>
              <w:bottom w:val="single" w:sz="4" w:space="0" w:color="auto"/>
            </w:tcBorders>
            <w:shd w:val="clear" w:color="auto" w:fill="auto"/>
          </w:tcPr>
          <w:p w14:paraId="2C670353" w14:textId="77777777" w:rsidR="00AE1B91" w:rsidRPr="00F92E56" w:rsidRDefault="00AE1B91" w:rsidP="00AE1B91">
            <w:pPr>
              <w:pStyle w:val="TableText0"/>
              <w:rPr>
                <w:b/>
                <w:bCs w:val="0"/>
              </w:rPr>
            </w:pPr>
            <w:r w:rsidRPr="00F92E56">
              <w:rPr>
                <w:b/>
                <w:bCs w:val="0"/>
              </w:rPr>
              <w:t>All randomised patients with prior neoadjuvant platinum-based chemotherapy</w:t>
            </w:r>
          </w:p>
        </w:tc>
      </w:tr>
      <w:tr w:rsidR="00AE1B91" w:rsidRPr="00F92E56" w14:paraId="31DBC7C1" w14:textId="77777777" w:rsidTr="00AE1B91">
        <w:trPr>
          <w:cantSplit/>
          <w:tblHeader/>
        </w:trPr>
        <w:tc>
          <w:tcPr>
            <w:tcW w:w="2372" w:type="pct"/>
            <w:vMerge/>
            <w:tcBorders>
              <w:bottom w:val="single" w:sz="4" w:space="0" w:color="auto"/>
            </w:tcBorders>
            <w:shd w:val="clear" w:color="auto" w:fill="auto"/>
          </w:tcPr>
          <w:p w14:paraId="5953F8D6" w14:textId="77777777" w:rsidR="00AE1B91" w:rsidRPr="00F92E56" w:rsidRDefault="00AE1B91" w:rsidP="00AE1B91">
            <w:pPr>
              <w:pStyle w:val="TableText0"/>
              <w:rPr>
                <w:b/>
                <w:bCs w:val="0"/>
              </w:rPr>
            </w:pPr>
          </w:p>
        </w:tc>
        <w:tc>
          <w:tcPr>
            <w:tcW w:w="1340" w:type="pct"/>
            <w:tcBorders>
              <w:bottom w:val="single" w:sz="4" w:space="0" w:color="auto"/>
            </w:tcBorders>
            <w:shd w:val="clear" w:color="auto" w:fill="auto"/>
          </w:tcPr>
          <w:p w14:paraId="057E03A9" w14:textId="77777777" w:rsidR="00AE1B91" w:rsidRPr="00F92E56" w:rsidRDefault="00AE1B91" w:rsidP="00AE1B91">
            <w:pPr>
              <w:pStyle w:val="TableText0"/>
              <w:rPr>
                <w:b/>
                <w:bCs w:val="0"/>
              </w:rPr>
            </w:pPr>
            <w:r w:rsidRPr="00F92E56">
              <w:rPr>
                <w:b/>
                <w:bCs w:val="0"/>
              </w:rPr>
              <w:t xml:space="preserve">Nivolumab (N=156) </w:t>
            </w:r>
          </w:p>
        </w:tc>
        <w:tc>
          <w:tcPr>
            <w:tcW w:w="1288" w:type="pct"/>
            <w:tcBorders>
              <w:bottom w:val="single" w:sz="4" w:space="0" w:color="auto"/>
            </w:tcBorders>
          </w:tcPr>
          <w:p w14:paraId="4E5F1CAC" w14:textId="77777777" w:rsidR="00AE1B91" w:rsidRPr="00F92E56" w:rsidRDefault="00AE1B91" w:rsidP="00AE1B91">
            <w:pPr>
              <w:pStyle w:val="TableText0"/>
              <w:rPr>
                <w:b/>
                <w:bCs w:val="0"/>
              </w:rPr>
            </w:pPr>
            <w:r w:rsidRPr="00F92E56">
              <w:rPr>
                <w:b/>
                <w:bCs w:val="0"/>
              </w:rPr>
              <w:t>Placebo (N=158)</w:t>
            </w:r>
          </w:p>
        </w:tc>
      </w:tr>
      <w:tr w:rsidR="00AE1B91" w:rsidRPr="00F92E56" w14:paraId="2B8831F4" w14:textId="77777777" w:rsidTr="00AE1B91">
        <w:trPr>
          <w:cantSplit/>
        </w:trPr>
        <w:tc>
          <w:tcPr>
            <w:tcW w:w="2372" w:type="pct"/>
            <w:tcBorders>
              <w:top w:val="single" w:sz="4" w:space="0" w:color="auto"/>
              <w:left w:val="single" w:sz="4" w:space="0" w:color="auto"/>
              <w:bottom w:val="single" w:sz="4" w:space="0" w:color="auto"/>
              <w:right w:val="single" w:sz="4" w:space="0" w:color="auto"/>
            </w:tcBorders>
            <w:shd w:val="clear" w:color="auto" w:fill="auto"/>
          </w:tcPr>
          <w:p w14:paraId="578B05B6" w14:textId="77777777" w:rsidR="00AE1B91" w:rsidRPr="00F92E56" w:rsidRDefault="00AE1B91" w:rsidP="00AE1B91">
            <w:pPr>
              <w:pStyle w:val="TableText0"/>
            </w:pPr>
            <w:r w:rsidRPr="00F92E56">
              <w:t>Any</w:t>
            </w:r>
            <w:r w:rsidRPr="00F92E56">
              <w:rPr>
                <w:vertAlign w:val="superscript"/>
              </w:rPr>
              <w:t>a</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0B6705B7" w14:textId="77777777" w:rsidR="00AE1B91" w:rsidRPr="00F92E56" w:rsidRDefault="00AE1B91" w:rsidP="00AE1B91">
            <w:pPr>
              <w:pStyle w:val="TableText0"/>
            </w:pPr>
            <w:r w:rsidRPr="00F92E56">
              <w:t>57 (36.5%)</w:t>
            </w:r>
          </w:p>
        </w:tc>
        <w:tc>
          <w:tcPr>
            <w:tcW w:w="1288" w:type="pct"/>
            <w:tcBorders>
              <w:top w:val="single" w:sz="4" w:space="0" w:color="auto"/>
              <w:left w:val="single" w:sz="4" w:space="0" w:color="auto"/>
              <w:bottom w:val="single" w:sz="4" w:space="0" w:color="auto"/>
              <w:right w:val="single" w:sz="4" w:space="0" w:color="auto"/>
            </w:tcBorders>
          </w:tcPr>
          <w:p w14:paraId="0A52F4DB" w14:textId="77777777" w:rsidR="00AE1B91" w:rsidRPr="00F92E56" w:rsidRDefault="00AE1B91" w:rsidP="00AE1B91">
            <w:pPr>
              <w:pStyle w:val="TableText0"/>
            </w:pPr>
            <w:r w:rsidRPr="00F92E56">
              <w:t>78 (49.4%)</w:t>
            </w:r>
          </w:p>
        </w:tc>
      </w:tr>
      <w:tr w:rsidR="00AE1B91" w:rsidRPr="00F92E56" w14:paraId="05648AF6" w14:textId="77777777" w:rsidTr="00AE1B91">
        <w:trPr>
          <w:cantSplit/>
        </w:trPr>
        <w:tc>
          <w:tcPr>
            <w:tcW w:w="2372" w:type="pct"/>
            <w:tcBorders>
              <w:top w:val="single" w:sz="4" w:space="0" w:color="auto"/>
              <w:left w:val="single" w:sz="4" w:space="0" w:color="auto"/>
              <w:bottom w:val="single" w:sz="4" w:space="0" w:color="auto"/>
              <w:right w:val="single" w:sz="4" w:space="0" w:color="auto"/>
            </w:tcBorders>
            <w:shd w:val="clear" w:color="auto" w:fill="auto"/>
          </w:tcPr>
          <w:p w14:paraId="22F1208E" w14:textId="77777777" w:rsidR="00AE1B91" w:rsidRPr="00F92E56" w:rsidRDefault="00AE1B91" w:rsidP="00AE1B91">
            <w:pPr>
              <w:pStyle w:val="TableText0"/>
            </w:pPr>
            <w:r w:rsidRPr="00F92E56">
              <w:t>Radiotherapy</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177AA2EF" w14:textId="77777777" w:rsidR="00AE1B91" w:rsidRPr="00F92E56" w:rsidRDefault="00AE1B91" w:rsidP="00AE1B91">
            <w:pPr>
              <w:pStyle w:val="TableText0"/>
            </w:pPr>
            <w:r w:rsidRPr="00F92E56">
              <w:t>16 (10.3%)</w:t>
            </w:r>
          </w:p>
        </w:tc>
        <w:tc>
          <w:tcPr>
            <w:tcW w:w="1288" w:type="pct"/>
            <w:tcBorders>
              <w:top w:val="single" w:sz="4" w:space="0" w:color="auto"/>
              <w:left w:val="single" w:sz="4" w:space="0" w:color="auto"/>
              <w:bottom w:val="single" w:sz="4" w:space="0" w:color="auto"/>
              <w:right w:val="single" w:sz="4" w:space="0" w:color="auto"/>
            </w:tcBorders>
          </w:tcPr>
          <w:p w14:paraId="56C958E7" w14:textId="77777777" w:rsidR="00AE1B91" w:rsidRPr="00F92E56" w:rsidRDefault="00AE1B91" w:rsidP="00AE1B91">
            <w:pPr>
              <w:pStyle w:val="TableText0"/>
            </w:pPr>
            <w:r w:rsidRPr="00F92E56">
              <w:t>18 (11.4%)</w:t>
            </w:r>
          </w:p>
        </w:tc>
      </w:tr>
      <w:tr w:rsidR="00AE1B91" w:rsidRPr="00F92E56" w14:paraId="5F9BFD06" w14:textId="77777777" w:rsidTr="00AE1B91">
        <w:trPr>
          <w:cantSplit/>
        </w:trPr>
        <w:tc>
          <w:tcPr>
            <w:tcW w:w="2372" w:type="pct"/>
            <w:tcBorders>
              <w:top w:val="single" w:sz="4" w:space="0" w:color="auto"/>
              <w:left w:val="single" w:sz="4" w:space="0" w:color="auto"/>
              <w:bottom w:val="single" w:sz="4" w:space="0" w:color="auto"/>
              <w:right w:val="single" w:sz="4" w:space="0" w:color="auto"/>
            </w:tcBorders>
            <w:shd w:val="clear" w:color="auto" w:fill="auto"/>
          </w:tcPr>
          <w:p w14:paraId="7D33A833" w14:textId="77777777" w:rsidR="00AE1B91" w:rsidRPr="00F92E56" w:rsidRDefault="00AE1B91" w:rsidP="00AE1B91">
            <w:pPr>
              <w:pStyle w:val="TableText0"/>
            </w:pPr>
            <w:r w:rsidRPr="00F92E56">
              <w:t>Surgery</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41C8AC81" w14:textId="77777777" w:rsidR="00AE1B91" w:rsidRPr="00F92E56" w:rsidRDefault="00AE1B91" w:rsidP="00AE1B91">
            <w:pPr>
              <w:pStyle w:val="TableText0"/>
            </w:pPr>
            <w:r w:rsidRPr="00F92E56">
              <w:t>7 (4.5%)</w:t>
            </w:r>
          </w:p>
        </w:tc>
        <w:tc>
          <w:tcPr>
            <w:tcW w:w="1288" w:type="pct"/>
            <w:tcBorders>
              <w:top w:val="single" w:sz="4" w:space="0" w:color="auto"/>
              <w:left w:val="single" w:sz="4" w:space="0" w:color="auto"/>
              <w:bottom w:val="single" w:sz="4" w:space="0" w:color="auto"/>
              <w:right w:val="single" w:sz="4" w:space="0" w:color="auto"/>
            </w:tcBorders>
          </w:tcPr>
          <w:p w14:paraId="4A8EB3FE" w14:textId="77777777" w:rsidR="00AE1B91" w:rsidRPr="00F92E56" w:rsidRDefault="00AE1B91" w:rsidP="00AE1B91">
            <w:pPr>
              <w:pStyle w:val="TableText0"/>
            </w:pPr>
            <w:r w:rsidRPr="00F92E56">
              <w:t>9 (5.7%)</w:t>
            </w:r>
          </w:p>
        </w:tc>
      </w:tr>
      <w:tr w:rsidR="00AE1B91" w:rsidRPr="00F92E56" w14:paraId="74AC961E" w14:textId="77777777" w:rsidTr="00AE1B91">
        <w:trPr>
          <w:cantSplit/>
        </w:trPr>
        <w:tc>
          <w:tcPr>
            <w:tcW w:w="2372" w:type="pct"/>
            <w:tcBorders>
              <w:top w:val="single" w:sz="4" w:space="0" w:color="auto"/>
              <w:left w:val="single" w:sz="4" w:space="0" w:color="auto"/>
              <w:bottom w:val="single" w:sz="4" w:space="0" w:color="auto"/>
              <w:right w:val="single" w:sz="4" w:space="0" w:color="auto"/>
            </w:tcBorders>
            <w:shd w:val="clear" w:color="auto" w:fill="auto"/>
          </w:tcPr>
          <w:p w14:paraId="7E46C2A4" w14:textId="77777777" w:rsidR="00AE1B91" w:rsidRPr="00F92E56" w:rsidRDefault="00AE1B91" w:rsidP="00AE1B91">
            <w:pPr>
              <w:pStyle w:val="TableText0"/>
            </w:pPr>
            <w:r w:rsidRPr="00F92E56">
              <w:t>Systemic therapy</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7BA60A41" w14:textId="77777777" w:rsidR="00AE1B91" w:rsidRPr="00F92E56" w:rsidRDefault="00AE1B91" w:rsidP="00AE1B91">
            <w:pPr>
              <w:pStyle w:val="TableText0"/>
            </w:pPr>
            <w:r w:rsidRPr="00F92E56">
              <w:t>47 (30.1%)</w:t>
            </w:r>
          </w:p>
        </w:tc>
        <w:tc>
          <w:tcPr>
            <w:tcW w:w="1288" w:type="pct"/>
            <w:tcBorders>
              <w:top w:val="single" w:sz="4" w:space="0" w:color="auto"/>
              <w:left w:val="single" w:sz="4" w:space="0" w:color="auto"/>
              <w:bottom w:val="single" w:sz="4" w:space="0" w:color="auto"/>
              <w:right w:val="single" w:sz="4" w:space="0" w:color="auto"/>
            </w:tcBorders>
          </w:tcPr>
          <w:p w14:paraId="2BE46968" w14:textId="77777777" w:rsidR="00AE1B91" w:rsidRPr="00F92E56" w:rsidRDefault="00AE1B91" w:rsidP="00AE1B91">
            <w:pPr>
              <w:pStyle w:val="TableText0"/>
            </w:pPr>
            <w:r w:rsidRPr="00F92E56">
              <w:t>73 (46.2%)</w:t>
            </w:r>
          </w:p>
        </w:tc>
      </w:tr>
      <w:tr w:rsidR="00AE1B91" w:rsidRPr="00F92E56" w14:paraId="7D8344D0" w14:textId="77777777" w:rsidTr="00AE1B91">
        <w:trPr>
          <w:cantSplit/>
        </w:trPr>
        <w:tc>
          <w:tcPr>
            <w:tcW w:w="2372" w:type="pct"/>
            <w:tcBorders>
              <w:top w:val="single" w:sz="4" w:space="0" w:color="auto"/>
              <w:left w:val="single" w:sz="4" w:space="0" w:color="auto"/>
              <w:bottom w:val="single" w:sz="4" w:space="0" w:color="auto"/>
              <w:right w:val="single" w:sz="4" w:space="0" w:color="auto"/>
            </w:tcBorders>
            <w:shd w:val="clear" w:color="auto" w:fill="auto"/>
          </w:tcPr>
          <w:p w14:paraId="1C07E6D9" w14:textId="77777777" w:rsidR="00AE1B91" w:rsidRPr="00F92E56" w:rsidRDefault="00AE1B91" w:rsidP="00AE1B91">
            <w:pPr>
              <w:pStyle w:val="TableText0"/>
            </w:pPr>
            <w:r w:rsidRPr="00F92E56">
              <w:t>Immunotherapy</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762FE6AC" w14:textId="77777777" w:rsidR="00AE1B91" w:rsidRPr="00F92E56" w:rsidRDefault="00AE1B91" w:rsidP="00AE1B91">
            <w:pPr>
              <w:pStyle w:val="TableText0"/>
            </w:pPr>
            <w:r w:rsidRPr="00F92E56">
              <w:t>10 (6.4%)</w:t>
            </w:r>
          </w:p>
        </w:tc>
        <w:tc>
          <w:tcPr>
            <w:tcW w:w="1288" w:type="pct"/>
            <w:tcBorders>
              <w:top w:val="single" w:sz="4" w:space="0" w:color="auto"/>
              <w:left w:val="single" w:sz="4" w:space="0" w:color="auto"/>
              <w:bottom w:val="single" w:sz="4" w:space="0" w:color="auto"/>
              <w:right w:val="single" w:sz="4" w:space="0" w:color="auto"/>
            </w:tcBorders>
          </w:tcPr>
          <w:p w14:paraId="26B15E81" w14:textId="77777777" w:rsidR="00AE1B91" w:rsidRPr="00F92E56" w:rsidRDefault="00AE1B91" w:rsidP="00AE1B91">
            <w:pPr>
              <w:pStyle w:val="TableText0"/>
            </w:pPr>
            <w:r w:rsidRPr="00F92E56">
              <w:t>61 (38.6%)</w:t>
            </w:r>
          </w:p>
        </w:tc>
      </w:tr>
      <w:tr w:rsidR="00AE1B91" w:rsidRPr="00F92E56" w14:paraId="1F7B5B35" w14:textId="77777777" w:rsidTr="00AE1B91">
        <w:trPr>
          <w:cantSplit/>
        </w:trPr>
        <w:tc>
          <w:tcPr>
            <w:tcW w:w="2372" w:type="pct"/>
            <w:tcBorders>
              <w:top w:val="single" w:sz="4" w:space="0" w:color="auto"/>
              <w:left w:val="single" w:sz="4" w:space="0" w:color="auto"/>
              <w:bottom w:val="single" w:sz="4" w:space="0" w:color="auto"/>
              <w:right w:val="single" w:sz="4" w:space="0" w:color="auto"/>
            </w:tcBorders>
            <w:shd w:val="clear" w:color="auto" w:fill="auto"/>
          </w:tcPr>
          <w:p w14:paraId="2FF3EA7B" w14:textId="77777777" w:rsidR="00AE1B91" w:rsidRPr="00F92E56" w:rsidRDefault="00AE1B91" w:rsidP="00AE1B91">
            <w:pPr>
              <w:pStyle w:val="TableText0"/>
            </w:pPr>
            <w:r w:rsidRPr="00F92E56">
              <w:t>Platinum-based chemotherapy</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3B774188" w14:textId="77777777" w:rsidR="00AE1B91" w:rsidRPr="00F92E56" w:rsidRDefault="00AE1B91" w:rsidP="00AE1B91">
            <w:pPr>
              <w:pStyle w:val="TableText0"/>
            </w:pPr>
            <w:r w:rsidRPr="00F92E56">
              <w:t>29 (18.6)</w:t>
            </w:r>
          </w:p>
        </w:tc>
        <w:tc>
          <w:tcPr>
            <w:tcW w:w="1288" w:type="pct"/>
            <w:tcBorders>
              <w:top w:val="single" w:sz="4" w:space="0" w:color="auto"/>
              <w:left w:val="single" w:sz="4" w:space="0" w:color="auto"/>
              <w:bottom w:val="single" w:sz="4" w:space="0" w:color="auto"/>
              <w:right w:val="single" w:sz="4" w:space="0" w:color="auto"/>
            </w:tcBorders>
          </w:tcPr>
          <w:p w14:paraId="6919D7DE" w14:textId="77777777" w:rsidR="00AE1B91" w:rsidRPr="00F92E56" w:rsidRDefault="00AE1B91" w:rsidP="00AE1B91">
            <w:pPr>
              <w:pStyle w:val="TableText0"/>
            </w:pPr>
            <w:r w:rsidRPr="00F92E56">
              <w:t>18 (11.4%)</w:t>
            </w:r>
          </w:p>
        </w:tc>
      </w:tr>
      <w:tr w:rsidR="00AE1B91" w:rsidRPr="00F92E56" w14:paraId="34EA1CCC" w14:textId="77777777" w:rsidTr="00AE1B91">
        <w:trPr>
          <w:cantSplit/>
        </w:trPr>
        <w:tc>
          <w:tcPr>
            <w:tcW w:w="2372" w:type="pct"/>
            <w:tcBorders>
              <w:top w:val="single" w:sz="4" w:space="0" w:color="auto"/>
              <w:left w:val="single" w:sz="4" w:space="0" w:color="auto"/>
              <w:bottom w:val="single" w:sz="4" w:space="0" w:color="auto"/>
              <w:right w:val="single" w:sz="4" w:space="0" w:color="auto"/>
            </w:tcBorders>
            <w:shd w:val="clear" w:color="auto" w:fill="auto"/>
          </w:tcPr>
          <w:p w14:paraId="5A66C7E2" w14:textId="77777777" w:rsidR="00AE1B91" w:rsidRPr="00F92E56" w:rsidRDefault="00AE1B91" w:rsidP="00AE1B91">
            <w:pPr>
              <w:pStyle w:val="TableText0"/>
            </w:pPr>
            <w:r w:rsidRPr="00F92E56">
              <w:t xml:space="preserve">Patients with &gt; 1 dose of subsequent intravesical chemotherapy </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340F1BD1" w14:textId="77777777" w:rsidR="00AE1B91" w:rsidRPr="00F92E56" w:rsidRDefault="00AE1B91" w:rsidP="00AE1B91">
            <w:pPr>
              <w:pStyle w:val="TableText0"/>
            </w:pPr>
            <w:r w:rsidRPr="00F92E56">
              <w:t>0 (0.0%)</w:t>
            </w:r>
          </w:p>
        </w:tc>
        <w:tc>
          <w:tcPr>
            <w:tcW w:w="1288" w:type="pct"/>
            <w:tcBorders>
              <w:top w:val="single" w:sz="4" w:space="0" w:color="auto"/>
              <w:left w:val="single" w:sz="4" w:space="0" w:color="auto"/>
              <w:bottom w:val="single" w:sz="4" w:space="0" w:color="auto"/>
              <w:right w:val="single" w:sz="4" w:space="0" w:color="auto"/>
            </w:tcBorders>
          </w:tcPr>
          <w:p w14:paraId="42AAFE49" w14:textId="77777777" w:rsidR="00AE1B91" w:rsidRPr="00F92E56" w:rsidRDefault="00AE1B91" w:rsidP="00AE1B91">
            <w:pPr>
              <w:pStyle w:val="TableText0"/>
            </w:pPr>
            <w:r w:rsidRPr="00F92E56">
              <w:t>2 (1.3%)</w:t>
            </w:r>
          </w:p>
        </w:tc>
      </w:tr>
      <w:tr w:rsidR="00AE1B91" w:rsidRPr="00F92E56" w14:paraId="25CC5510" w14:textId="77777777" w:rsidTr="00AE1B91">
        <w:trPr>
          <w:cantSplit/>
        </w:trPr>
        <w:tc>
          <w:tcPr>
            <w:tcW w:w="2372" w:type="pct"/>
            <w:tcBorders>
              <w:top w:val="single" w:sz="4" w:space="0" w:color="auto"/>
              <w:left w:val="single" w:sz="4" w:space="0" w:color="auto"/>
              <w:bottom w:val="single" w:sz="4" w:space="0" w:color="auto"/>
              <w:right w:val="single" w:sz="4" w:space="0" w:color="auto"/>
            </w:tcBorders>
            <w:shd w:val="clear" w:color="auto" w:fill="auto"/>
          </w:tcPr>
          <w:p w14:paraId="145F95A1" w14:textId="77777777" w:rsidR="00AE1B91" w:rsidRPr="00F92E56" w:rsidRDefault="00AE1B91" w:rsidP="00AE1B91">
            <w:pPr>
              <w:pStyle w:val="TableText0"/>
            </w:pPr>
            <w:r w:rsidRPr="00F92E56">
              <w:t>Patients with 1 dose of subsequent intravesical chemotherapy</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31FBFAF6" w14:textId="77777777" w:rsidR="00AE1B91" w:rsidRPr="00F92E56" w:rsidRDefault="00AE1B91" w:rsidP="00AE1B91">
            <w:pPr>
              <w:pStyle w:val="TableText0"/>
            </w:pPr>
            <w:r w:rsidRPr="00F92E56">
              <w:t>2 (1.3%)</w:t>
            </w:r>
          </w:p>
        </w:tc>
        <w:tc>
          <w:tcPr>
            <w:tcW w:w="1288" w:type="pct"/>
            <w:tcBorders>
              <w:top w:val="single" w:sz="4" w:space="0" w:color="auto"/>
              <w:left w:val="single" w:sz="4" w:space="0" w:color="auto"/>
              <w:bottom w:val="single" w:sz="4" w:space="0" w:color="auto"/>
              <w:right w:val="single" w:sz="4" w:space="0" w:color="auto"/>
            </w:tcBorders>
          </w:tcPr>
          <w:p w14:paraId="2AD76F0F" w14:textId="77777777" w:rsidR="00AE1B91" w:rsidRPr="00F92E56" w:rsidRDefault="00AE1B91" w:rsidP="00AE1B91">
            <w:pPr>
              <w:pStyle w:val="TableText0"/>
            </w:pPr>
            <w:r w:rsidRPr="00F92E56">
              <w:t>1 (0.6%)</w:t>
            </w:r>
          </w:p>
        </w:tc>
      </w:tr>
    </w:tbl>
    <w:p w14:paraId="2AE80CA6" w14:textId="77777777" w:rsidR="00AE1B91" w:rsidRPr="00F92E56" w:rsidRDefault="00AE1B91" w:rsidP="00AE1B91">
      <w:pPr>
        <w:pStyle w:val="TableFooter"/>
        <w:rPr>
          <w:rFonts w:eastAsiaTheme="minorHAnsi"/>
        </w:rPr>
      </w:pPr>
      <w:r w:rsidRPr="00F92E56">
        <w:rPr>
          <w:rFonts w:eastAsiaTheme="minorHAnsi"/>
        </w:rPr>
        <w:t>Source: Table 17, p52 of the resubmission.</w:t>
      </w:r>
    </w:p>
    <w:p w14:paraId="2339FADF" w14:textId="77777777" w:rsidR="00AE1B91" w:rsidRPr="00F92E56" w:rsidRDefault="00AE1B91" w:rsidP="00AE1B91">
      <w:pPr>
        <w:pStyle w:val="TableFooter"/>
        <w:rPr>
          <w:rFonts w:eastAsiaTheme="minorHAnsi"/>
        </w:rPr>
      </w:pPr>
      <w:r w:rsidRPr="00F92E56">
        <w:rPr>
          <w:rFonts w:eastAsiaTheme="minorHAnsi"/>
          <w:vertAlign w:val="superscript"/>
        </w:rPr>
        <w:t xml:space="preserve">a </w:t>
      </w:r>
      <w:r w:rsidRPr="00F92E56">
        <w:rPr>
          <w:rFonts w:eastAsiaTheme="minorHAnsi"/>
        </w:rPr>
        <w:t>Patients may have received more than one type of subsequent therapy. Subsequent therapy was defined as therapy started on or after first dosing date (randomisation date if patient never treated).</w:t>
      </w:r>
    </w:p>
    <w:p w14:paraId="390226E6" w14:textId="73FCDEB9" w:rsidR="006B0241" w:rsidRPr="00F92E56" w:rsidRDefault="00AE1B91" w:rsidP="00C76B7E">
      <w:pPr>
        <w:pStyle w:val="TableFooter"/>
        <w:spacing w:after="120"/>
        <w:rPr>
          <w:rFonts w:eastAsiaTheme="minorHAnsi"/>
        </w:rPr>
      </w:pPr>
      <w:r w:rsidRPr="00F92E56">
        <w:rPr>
          <w:rFonts w:eastAsiaTheme="minorHAnsi"/>
        </w:rPr>
        <w:t>Note: Proportions based on number of patients randomised to each arm rather than on number of patients with recurrence only; data based on extended follow-up (data cutoff 08 September 2022). Minimum duration of follow-up: 31.6 months)</w:t>
      </w:r>
    </w:p>
    <w:p w14:paraId="4BA4140A" w14:textId="6B3E8F23" w:rsidR="006B0241" w:rsidRPr="00F92E56" w:rsidRDefault="00815460" w:rsidP="00236876">
      <w:pPr>
        <w:pStyle w:val="3-BodyText"/>
        <w:rPr>
          <w:szCs w:val="18"/>
        </w:rPr>
      </w:pPr>
      <w:r w:rsidRPr="00F92E56">
        <w:t xml:space="preserve">Among randomised patients in the prior NAC subgroup (updated data cutoff September 2022), subsequent anti-cancer therapy was received by 36.5% of patients in the nivolumab arm and 49.4% in the placebo arm. The most common form of subsequent anti-cancer therapy was systemic therapy (30.1% and 46.2% in the nivolumab and placebo arms, respectively). A higher proportion of patients in the placebo arm received immunotherapy </w:t>
      </w:r>
      <w:r w:rsidR="0022645A" w:rsidRPr="00F92E56">
        <w:t xml:space="preserve">compared to the nivolumab arm </w:t>
      </w:r>
      <w:r w:rsidRPr="00F92E56">
        <w:t xml:space="preserve">(38.6% </w:t>
      </w:r>
      <w:r w:rsidRPr="00F92E56">
        <w:rPr>
          <w:i/>
        </w:rPr>
        <w:t>vs</w:t>
      </w:r>
      <w:r w:rsidRPr="00F92E56">
        <w:t>. 6.4%). The most frequent subsequent immunotherapies received were pembrolizumab, atezolizumab, and nivolumab</w:t>
      </w:r>
      <w:r w:rsidR="006B0241" w:rsidRPr="00F92E56">
        <w:t>.</w:t>
      </w:r>
    </w:p>
    <w:p w14:paraId="32CAE4B0" w14:textId="202365AF" w:rsidR="00CE03A0" w:rsidRPr="00F92E56" w:rsidRDefault="006B0241" w:rsidP="00236876">
      <w:pPr>
        <w:pStyle w:val="3-BodyText"/>
      </w:pPr>
      <w:bookmarkStart w:id="23" w:name="_Ref110258221"/>
      <w:r w:rsidRPr="00F92E56">
        <w:t>Among patients who experienced recurrence</w:t>
      </w:r>
      <w:r w:rsidR="00815460" w:rsidRPr="00F92E56">
        <w:t xml:space="preserve"> in the prior NAC subgroup</w:t>
      </w:r>
      <w:r w:rsidRPr="00F92E56">
        <w:t xml:space="preserve"> (estimated as the number of patients with a DFS event minus the number of pre-recurrence deaths), </w:t>
      </w:r>
      <w:r w:rsidR="00815460" w:rsidRPr="00F92E56">
        <w:t xml:space="preserve">the proportion of patients who subsequently received immunotherapy post recurrence was 13.3% (10/75) in the nivolumab arm and 59.8% (61/102) in the placebo arm. Similarly, the proportion of patients who received platinum-based chemotherapy post recurrence was </w:t>
      </w:r>
      <w:r w:rsidR="00B3034F" w:rsidRPr="00F92E56">
        <w:t>38.7</w:t>
      </w:r>
      <w:r w:rsidR="00815460" w:rsidRPr="00F92E56">
        <w:t>% (</w:t>
      </w:r>
      <w:r w:rsidR="00B3034F" w:rsidRPr="00F92E56">
        <w:t>29</w:t>
      </w:r>
      <w:r w:rsidR="00815460" w:rsidRPr="00F92E56">
        <w:t>/75) in the nivolumab arm and 17.6% (18/102) in the placebo arm</w:t>
      </w:r>
      <w:r w:rsidRPr="00F92E56">
        <w:t>.</w:t>
      </w:r>
    </w:p>
    <w:p w14:paraId="105BFE1F" w14:textId="057EE3BE" w:rsidR="00045017" w:rsidRPr="00F92E56" w:rsidRDefault="006B0241" w:rsidP="00236876">
      <w:pPr>
        <w:pStyle w:val="3-BodyText"/>
      </w:pPr>
      <w:r w:rsidRPr="00F92E56">
        <w:t>Sequential use of immunotherapy as observed for the nivolumab arm is not indicated in Australian clinical practice</w:t>
      </w:r>
      <w:r w:rsidR="00815460" w:rsidRPr="00F92E56">
        <w:t xml:space="preserve">. </w:t>
      </w:r>
      <w:bookmarkEnd w:id="23"/>
      <w:r w:rsidR="00CE03A0" w:rsidRPr="00F92E56">
        <w:t xml:space="preserve">Immunotherapy is typically restricted to one regimen for a patient’s entire treatment course. Furthermore, noting the modest proportion of patients in the placebo arm who received subsequent platinum-based chemotherapy, it is also uncertain whether subsequent use of immunotherapy in the placebo arm is reflective of expected use in </w:t>
      </w:r>
      <w:r w:rsidR="001E49E3" w:rsidRPr="00F92E56">
        <w:t>the Australian setting where</w:t>
      </w:r>
      <w:r w:rsidR="00CE03A0" w:rsidRPr="00F92E56">
        <w:t xml:space="preserve"> </w:t>
      </w:r>
      <w:r w:rsidR="001E49E3" w:rsidRPr="00F92E56">
        <w:t>p</w:t>
      </w:r>
      <w:r w:rsidR="00CE03A0" w:rsidRPr="00F92E56">
        <w:t xml:space="preserve">rior use of platinum-based chemotherapy is required to be eligible for a PD-(L)1 inhibitor, either in the first-line maintenance setting with avelumab or in the second-line setting with pembrolizumab </w:t>
      </w:r>
      <w:r w:rsidR="00CE03A0" w:rsidRPr="00F92E56">
        <w:lastRenderedPageBreak/>
        <w:t>after failure on platinum-based chemotherapy</w:t>
      </w:r>
      <w:r w:rsidR="00CE03A0" w:rsidRPr="00F92E56">
        <w:rPr>
          <w:rStyle w:val="FootnoteReference"/>
        </w:rPr>
        <w:footnoteReference w:id="11"/>
      </w:r>
      <w:r w:rsidR="00CE03A0" w:rsidRPr="00F92E56">
        <w:t>. The overall impact of subsequent anti-cancer treatments in CM274 on OS results remain unclear from the available data.</w:t>
      </w:r>
      <w:r w:rsidRPr="00F92E56">
        <w:t xml:space="preserve"> </w:t>
      </w:r>
    </w:p>
    <w:p w14:paraId="44448202" w14:textId="77777777" w:rsidR="00B60939" w:rsidRPr="00F92E56" w:rsidRDefault="00B60939" w:rsidP="00EC5836">
      <w:pPr>
        <w:pStyle w:val="4-SubsectionHeading"/>
      </w:pPr>
      <w:bookmarkStart w:id="24" w:name="_Toc22897641"/>
      <w:bookmarkStart w:id="25" w:name="_Toc145496534"/>
      <w:r w:rsidRPr="00F92E56">
        <w:t>Comparative effectiveness</w:t>
      </w:r>
      <w:bookmarkEnd w:id="24"/>
      <w:bookmarkEnd w:id="25"/>
    </w:p>
    <w:p w14:paraId="133C5EB2" w14:textId="76FE7BBD" w:rsidR="002C2775" w:rsidRPr="00F92E56" w:rsidRDefault="004C6E97" w:rsidP="00236876">
      <w:pPr>
        <w:pStyle w:val="3-BodyText"/>
      </w:pPr>
      <w:r w:rsidRPr="00346867">
        <w:rPr>
          <w:snapToGrid/>
        </w:rPr>
        <w:t>The resubmission noted that as the OS data remain immature, a</w:t>
      </w:r>
      <w:r w:rsidR="00B3034F" w:rsidRPr="00346867">
        <w:rPr>
          <w:snapToGrid/>
        </w:rPr>
        <w:t>n updated analysis of OS was not</w:t>
      </w:r>
      <w:r w:rsidR="001820F0" w:rsidRPr="00F92E56">
        <w:rPr>
          <w:snapToGrid/>
        </w:rPr>
        <w:t xml:space="preserve"> </w:t>
      </w:r>
      <w:r w:rsidRPr="00F92E56">
        <w:rPr>
          <w:snapToGrid/>
        </w:rPr>
        <w:t>presented</w:t>
      </w:r>
      <w:r w:rsidR="001820F0" w:rsidRPr="00F92E56">
        <w:rPr>
          <w:snapToGrid/>
        </w:rPr>
        <w:t xml:space="preserve">. </w:t>
      </w:r>
      <w:r w:rsidRPr="00F92E56">
        <w:rPr>
          <w:snapToGrid/>
        </w:rPr>
        <w:t xml:space="preserve">However, </w:t>
      </w:r>
      <w:r w:rsidR="00DF08AB" w:rsidRPr="00F92E56">
        <w:rPr>
          <w:snapToGrid/>
        </w:rPr>
        <w:t xml:space="preserve">the ESC agreed with the evaluation that </w:t>
      </w:r>
      <w:r w:rsidR="001820F0" w:rsidRPr="00F92E56">
        <w:rPr>
          <w:snapToGrid/>
        </w:rPr>
        <w:t xml:space="preserve">OS results based on the </w:t>
      </w:r>
      <w:r w:rsidR="001E49E3" w:rsidRPr="00F92E56">
        <w:rPr>
          <w:snapToGrid/>
        </w:rPr>
        <w:t>most recent data cutoff (</w:t>
      </w:r>
      <w:r w:rsidR="001820F0" w:rsidRPr="00F92E56">
        <w:rPr>
          <w:snapToGrid/>
        </w:rPr>
        <w:t>September 2022</w:t>
      </w:r>
      <w:r w:rsidR="001E49E3" w:rsidRPr="00F92E56">
        <w:rPr>
          <w:snapToGrid/>
        </w:rPr>
        <w:t>)</w:t>
      </w:r>
      <w:r w:rsidR="001820F0" w:rsidRPr="00F92E56">
        <w:rPr>
          <w:snapToGrid/>
        </w:rPr>
        <w:t xml:space="preserve"> would have been informative. </w:t>
      </w:r>
      <w:r w:rsidR="00DF08AB" w:rsidRPr="00F92E56">
        <w:rPr>
          <w:snapToGrid/>
        </w:rPr>
        <w:t>The ESC noted that i</w:t>
      </w:r>
      <w:r w:rsidR="001820F0" w:rsidRPr="00F92E56">
        <w:rPr>
          <w:snapToGrid/>
        </w:rPr>
        <w:t>n the prior NAC subgroup, at the time of the September 2022 data cutoff, 64 deaths (41.0%) and 81 deaths (51.3%) had occurred in the nivolumab and placebo arms, respectively (updated CM274 data report, Attachment 8 accompanying the resubmission).</w:t>
      </w:r>
      <w:r w:rsidR="00CC12E8" w:rsidRPr="00F92E56">
        <w:rPr>
          <w:snapToGrid/>
        </w:rPr>
        <w:t xml:space="preserve"> </w:t>
      </w:r>
    </w:p>
    <w:p w14:paraId="1FF9CE3A" w14:textId="4B89415A" w:rsidR="00C1516F" w:rsidRPr="00F92E56" w:rsidRDefault="00C1516F" w:rsidP="00236876">
      <w:pPr>
        <w:pStyle w:val="3-BodyText"/>
      </w:pPr>
      <w:r w:rsidRPr="00F92E56">
        <w:t xml:space="preserve">In the July 2022 </w:t>
      </w:r>
      <w:r w:rsidR="004C6E97" w:rsidRPr="00F92E56">
        <w:t xml:space="preserve">PBAC </w:t>
      </w:r>
      <w:r w:rsidRPr="00F92E56">
        <w:t xml:space="preserve">consideration of nivolumab for </w:t>
      </w:r>
      <w:r w:rsidR="00B14078" w:rsidRPr="00F92E56">
        <w:t>this indication</w:t>
      </w:r>
      <w:r w:rsidRPr="00F92E56">
        <w:t>, the ESC noted that while DFS is a hard endpoint for adjuvant chemotherapy, its use as an endpoint to predict OS for adjuvant immunotherapy is not as clear</w:t>
      </w:r>
      <w:r w:rsidR="00484B53" w:rsidRPr="00F92E56">
        <w:t>,</w:t>
      </w:r>
      <w:r w:rsidRPr="00F92E56">
        <w:t xml:space="preserve"> particularly in cancers where there may be a subgroup of patients who have disease recurrence but may still enter a cure phase after subsequent therapy in the metastatic setting (para</w:t>
      </w:r>
      <w:r w:rsidR="00724199">
        <w:t>graph</w:t>
      </w:r>
      <w:r w:rsidRPr="00F92E56">
        <w:t xml:space="preserve"> 6.40, nivolumab PSD, July 2022 PBAC meeting).</w:t>
      </w:r>
      <w:r w:rsidR="00D608EA" w:rsidRPr="00F92E56">
        <w:t xml:space="preserve"> </w:t>
      </w:r>
    </w:p>
    <w:p w14:paraId="745B0C25" w14:textId="08256845" w:rsidR="00C1516F" w:rsidRPr="00F92E56" w:rsidRDefault="00C1516F" w:rsidP="00236876">
      <w:pPr>
        <w:pStyle w:val="3-BodyText"/>
      </w:pPr>
      <w:bookmarkStart w:id="26" w:name="_Ref152057397"/>
      <w:r w:rsidRPr="00F92E56">
        <w:t xml:space="preserve">The PBAC </w:t>
      </w:r>
      <w:r w:rsidR="00B14078" w:rsidRPr="00F92E56">
        <w:t xml:space="preserve">previously </w:t>
      </w:r>
      <w:r w:rsidRPr="00F92E56">
        <w:t xml:space="preserve">also considered that the relationship between DFS and OS observed for adjuvant chemotherapy does not necessarily hold for adjuvant immunotherapy, and further the relationship will be impacted by subsequent therapy, including immunotherapy, received in the metastatic setting for patients who have disease recurrence. As such, </w:t>
      </w:r>
      <w:r w:rsidR="00B14078" w:rsidRPr="00F92E56">
        <w:t xml:space="preserve">in July 2022 </w:t>
      </w:r>
      <w:r w:rsidRPr="00F92E56">
        <w:t>the PBAC considered that longer-term data are required to determine whether the observed improvement in DFS translates into a clinically meaningful OS benefit (</w:t>
      </w:r>
      <w:r w:rsidR="00724199">
        <w:t>paragraph</w:t>
      </w:r>
      <w:r w:rsidRPr="00F92E56">
        <w:t xml:space="preserve"> </w:t>
      </w:r>
      <w:r w:rsidR="008B730C" w:rsidRPr="00F92E56">
        <w:t>7.5</w:t>
      </w:r>
      <w:r w:rsidRPr="00F92E56">
        <w:t>, nivolumab PSD, July 2022 PBAC meeting</w:t>
      </w:r>
      <w:r w:rsidR="008B730C" w:rsidRPr="00F92E56">
        <w:t>)</w:t>
      </w:r>
      <w:r w:rsidRPr="00F92E56">
        <w:t>.</w:t>
      </w:r>
      <w:r w:rsidR="00483BD9" w:rsidRPr="00F92E56">
        <w:t xml:space="preserve"> The </w:t>
      </w:r>
      <w:r w:rsidR="00644CBC" w:rsidRPr="00F92E56">
        <w:t xml:space="preserve">ESC noted the </w:t>
      </w:r>
      <w:r w:rsidR="00483BD9" w:rsidRPr="00F92E56">
        <w:t>PSCR stated that ‘</w:t>
      </w:r>
      <w:r w:rsidR="00EC79D0" w:rsidRPr="00F92E56">
        <w:t xml:space="preserve">as </w:t>
      </w:r>
      <w:bookmarkStart w:id="27" w:name="_Hlk147386780"/>
      <w:r w:rsidR="00EC79D0" w:rsidRPr="00F92E56">
        <w:t>mature OS data is event driven, it is not currently available nor expected for several years</w:t>
      </w:r>
      <w:bookmarkEnd w:id="27"/>
      <w:r w:rsidR="00483BD9" w:rsidRPr="00F92E56">
        <w:t>’</w:t>
      </w:r>
      <w:r w:rsidR="00EC79D0" w:rsidRPr="00F92E56">
        <w:t xml:space="preserve"> and that DFS is considered a patient-relevant and clinically meaningful endpoint in the adjuvant setting.</w:t>
      </w:r>
      <w:r w:rsidR="008E5E1C" w:rsidRPr="00F92E56">
        <w:t xml:space="preserve"> T</w:t>
      </w:r>
      <w:r w:rsidR="00644CBC" w:rsidRPr="00F92E56">
        <w:t xml:space="preserve">he ESC </w:t>
      </w:r>
      <w:r w:rsidR="000E4FE0" w:rsidRPr="00F92E56">
        <w:t>considered</w:t>
      </w:r>
      <w:r w:rsidR="00644CBC" w:rsidRPr="00F92E56">
        <w:t xml:space="preserve"> </w:t>
      </w:r>
      <w:r w:rsidR="00D60B3B" w:rsidRPr="00F92E56">
        <w:t xml:space="preserve">that the primary goal of adjuvant therapy is to improve cure rates </w:t>
      </w:r>
      <w:r w:rsidR="008E5E1C" w:rsidRPr="00F92E56">
        <w:t>and</w:t>
      </w:r>
      <w:r w:rsidR="00D60B3B" w:rsidRPr="00F92E56">
        <w:t xml:space="preserve"> long-term OS data are required to confirm improved cure rate</w:t>
      </w:r>
      <w:r w:rsidR="004C08B7" w:rsidRPr="00F92E56">
        <w:t>s</w:t>
      </w:r>
      <w:r w:rsidR="00D60B3B" w:rsidRPr="00F92E56">
        <w:t xml:space="preserve"> and a relationship between DFS and OS.</w:t>
      </w:r>
      <w:bookmarkEnd w:id="26"/>
    </w:p>
    <w:p w14:paraId="184AAD6C" w14:textId="1DAB4595" w:rsidR="00A900CF" w:rsidRPr="00F92E56" w:rsidRDefault="001820F0" w:rsidP="00236876">
      <w:pPr>
        <w:pStyle w:val="3-BodyText"/>
      </w:pPr>
      <w:r w:rsidRPr="00F92E56">
        <w:rPr>
          <w:snapToGrid/>
        </w:rPr>
        <w:t xml:space="preserve">Results for the primary endpoint of DFS in the prior NAC subgroup are summarised in </w:t>
      </w:r>
      <w:r w:rsidRPr="00F92E56">
        <w:rPr>
          <w:snapToGrid/>
        </w:rPr>
        <w:fldChar w:fldCharType="begin" w:fldLock="1"/>
      </w:r>
      <w:r w:rsidRPr="00F92E56">
        <w:rPr>
          <w:snapToGrid/>
        </w:rPr>
        <w:instrText xml:space="preserve"> REF _Ref141541075 \h </w:instrText>
      </w:r>
      <w:r w:rsidRPr="00F92E56">
        <w:rPr>
          <w:snapToGrid/>
        </w:rPr>
      </w:r>
      <w:r w:rsidRPr="00F92E56">
        <w:rPr>
          <w:snapToGrid/>
        </w:rPr>
        <w:fldChar w:fldCharType="separate"/>
      </w:r>
      <w:r w:rsidR="0096718A" w:rsidRPr="00F92E56">
        <w:t xml:space="preserve">Table </w:t>
      </w:r>
      <w:r w:rsidR="0096718A" w:rsidRPr="00346867">
        <w:t>7</w:t>
      </w:r>
      <w:r w:rsidRPr="00F92E56">
        <w:rPr>
          <w:snapToGrid/>
        </w:rPr>
        <w:fldChar w:fldCharType="end"/>
      </w:r>
      <w:r w:rsidRPr="00F92E56">
        <w:rPr>
          <w:snapToGrid/>
        </w:rPr>
        <w:t>. The DFS results are for the September 2022 data cutoff</w:t>
      </w:r>
      <w:r w:rsidR="007236B0" w:rsidRPr="00F92E56">
        <w:rPr>
          <w:snapToGrid/>
        </w:rPr>
        <w:t>, with a</w:t>
      </w:r>
      <w:r w:rsidRPr="00F92E56">
        <w:rPr>
          <w:snapToGrid/>
        </w:rPr>
        <w:t xml:space="preserve"> median duration of follow-up 36.1 months</w:t>
      </w:r>
      <w:r w:rsidR="004C6E97" w:rsidRPr="00F92E56">
        <w:rPr>
          <w:snapToGrid/>
        </w:rPr>
        <w:t xml:space="preserve"> for the CM274 ITT population</w:t>
      </w:r>
      <w:r w:rsidR="00FD49BF" w:rsidRPr="00F92E56">
        <w:rPr>
          <w:snapToGrid/>
        </w:rPr>
        <w:t xml:space="preserve"> (37.4 months in the nivolumab arm and </w:t>
      </w:r>
      <w:r w:rsidR="007236B0" w:rsidRPr="00F92E56">
        <w:rPr>
          <w:snapToGrid/>
        </w:rPr>
        <w:t>3</w:t>
      </w:r>
      <w:r w:rsidR="00FD49BF" w:rsidRPr="00F92E56">
        <w:rPr>
          <w:snapToGrid/>
        </w:rPr>
        <w:t>3.9 months in the placebo arm</w:t>
      </w:r>
      <w:r w:rsidR="001F5301" w:rsidRPr="00F92E56">
        <w:rPr>
          <w:snapToGrid/>
        </w:rPr>
        <w:t>)</w:t>
      </w:r>
      <w:r w:rsidR="00FD49BF" w:rsidRPr="00F92E56">
        <w:rPr>
          <w:rStyle w:val="FootnoteReference"/>
          <w:snapToGrid/>
        </w:rPr>
        <w:footnoteReference w:id="12"/>
      </w:r>
      <w:r w:rsidR="00FD49BF" w:rsidRPr="00F92E56">
        <w:rPr>
          <w:snapToGrid/>
        </w:rPr>
        <w:t xml:space="preserve">. </w:t>
      </w:r>
      <w:r w:rsidRPr="00F92E56">
        <w:rPr>
          <w:snapToGrid/>
        </w:rPr>
        <w:t xml:space="preserve">DFS results for the </w:t>
      </w:r>
      <w:r w:rsidRPr="00F92E56">
        <w:rPr>
          <w:snapToGrid/>
        </w:rPr>
        <w:lastRenderedPageBreak/>
        <w:t>complement (no prior NAC) has been included for comparative purposes. Use of prior NAC was a stratification factor at randomisation</w:t>
      </w:r>
      <w:r w:rsidRPr="00346867">
        <w:rPr>
          <w:snapToGrid/>
        </w:rPr>
        <w:t xml:space="preserve"> (</w:t>
      </w:r>
      <w:r w:rsidR="00230090" w:rsidRPr="00346867">
        <w:rPr>
          <w:snapToGrid/>
        </w:rPr>
        <w:t>y</w:t>
      </w:r>
      <w:r w:rsidRPr="00346867">
        <w:rPr>
          <w:snapToGrid/>
        </w:rPr>
        <w:t xml:space="preserve">es </w:t>
      </w:r>
      <w:r w:rsidRPr="00346867">
        <w:rPr>
          <w:i/>
          <w:snapToGrid/>
        </w:rPr>
        <w:t>vs</w:t>
      </w:r>
      <w:r w:rsidRPr="00346867">
        <w:rPr>
          <w:snapToGrid/>
        </w:rPr>
        <w:t xml:space="preserve">. </w:t>
      </w:r>
      <w:r w:rsidR="00230090" w:rsidRPr="00346867">
        <w:rPr>
          <w:snapToGrid/>
        </w:rPr>
        <w:t>n</w:t>
      </w:r>
      <w:r w:rsidRPr="00346867">
        <w:rPr>
          <w:snapToGrid/>
        </w:rPr>
        <w:t>o) in the CM274 trial.</w:t>
      </w:r>
      <w:r w:rsidR="00A900CF" w:rsidRPr="00346867">
        <w:rPr>
          <w:i/>
          <w:snapToGrid/>
        </w:rPr>
        <w:t xml:space="preserve"> </w:t>
      </w:r>
    </w:p>
    <w:p w14:paraId="47A5CD00" w14:textId="320D268A" w:rsidR="001820F0" w:rsidRPr="00F92E56" w:rsidRDefault="00A900CF" w:rsidP="00236876">
      <w:pPr>
        <w:pStyle w:val="3-BodyText"/>
      </w:pPr>
      <w:r w:rsidRPr="00346867">
        <w:rPr>
          <w:snapToGrid/>
        </w:rPr>
        <w:t>The ESC noted that DFS data for the September 2022 data cutoff were provided in the resubmission and considered the updated data was consistent with the previous data-cutoff, noting that the confidence interval for the no prior NAC group continues to contain the null value.</w:t>
      </w:r>
    </w:p>
    <w:p w14:paraId="4AAD87C4" w14:textId="508879C1" w:rsidR="001820F0" w:rsidRPr="00F92E56" w:rsidRDefault="001820F0" w:rsidP="001820F0">
      <w:pPr>
        <w:pStyle w:val="Caption"/>
      </w:pPr>
      <w:bookmarkStart w:id="28" w:name="_Ref141541075"/>
      <w:r w:rsidRPr="00F92E56">
        <w:t xml:space="preserve">Table </w:t>
      </w:r>
      <w:r w:rsidR="001D78FA">
        <w:fldChar w:fldCharType="begin" w:fldLock="1"/>
      </w:r>
      <w:r w:rsidR="001D78FA">
        <w:instrText xml:space="preserve"> SEQ Table \* ARABIC </w:instrText>
      </w:r>
      <w:r w:rsidR="001D78FA">
        <w:fldChar w:fldCharType="separate"/>
      </w:r>
      <w:r w:rsidR="0096718A" w:rsidRPr="00346867">
        <w:t>7</w:t>
      </w:r>
      <w:r w:rsidR="001D78FA">
        <w:fldChar w:fldCharType="end"/>
      </w:r>
      <w:bookmarkEnd w:id="28"/>
      <w:r w:rsidRPr="00F92E56">
        <w:t>: Primary efficacy results: DFS – by use of prior NAC</w:t>
      </w:r>
    </w:p>
    <w:tbl>
      <w:tblPr>
        <w:tblStyle w:val="TableGrid"/>
        <w:tblW w:w="5000" w:type="pct"/>
        <w:tblLook w:val="04A0" w:firstRow="1" w:lastRow="0" w:firstColumn="1" w:lastColumn="0" w:noHBand="0" w:noVBand="1"/>
      </w:tblPr>
      <w:tblGrid>
        <w:gridCol w:w="2911"/>
        <w:gridCol w:w="1527"/>
        <w:gridCol w:w="1524"/>
        <w:gridCol w:w="1529"/>
        <w:gridCol w:w="1526"/>
      </w:tblGrid>
      <w:tr w:rsidR="001820F0" w:rsidRPr="00F92E56" w14:paraId="3CEE8210" w14:textId="77777777" w:rsidTr="009A2CF2">
        <w:trPr>
          <w:trHeight w:val="123"/>
        </w:trPr>
        <w:tc>
          <w:tcPr>
            <w:tcW w:w="1614" w:type="pct"/>
            <w:vMerge w:val="restart"/>
            <w:shd w:val="clear" w:color="auto" w:fill="auto"/>
          </w:tcPr>
          <w:p w14:paraId="7E3E53B3" w14:textId="77777777" w:rsidR="001820F0" w:rsidRPr="00F92E56" w:rsidRDefault="001820F0" w:rsidP="00553EDF">
            <w:pPr>
              <w:pStyle w:val="TableText0"/>
              <w:rPr>
                <w:b/>
                <w:bCs w:val="0"/>
              </w:rPr>
            </w:pPr>
            <w:r w:rsidRPr="00F92E56">
              <w:rPr>
                <w:b/>
                <w:bCs w:val="0"/>
              </w:rPr>
              <w:t xml:space="preserve">DFS parameters </w:t>
            </w:r>
          </w:p>
        </w:tc>
        <w:tc>
          <w:tcPr>
            <w:tcW w:w="1692" w:type="pct"/>
            <w:gridSpan w:val="2"/>
            <w:shd w:val="clear" w:color="auto" w:fill="auto"/>
          </w:tcPr>
          <w:p w14:paraId="381DF0A4" w14:textId="77777777" w:rsidR="001820F0" w:rsidRPr="00F92E56" w:rsidRDefault="001820F0" w:rsidP="00553EDF">
            <w:pPr>
              <w:pStyle w:val="TableText0"/>
              <w:rPr>
                <w:b/>
                <w:bCs w:val="0"/>
              </w:rPr>
            </w:pPr>
            <w:r w:rsidRPr="00F92E56">
              <w:rPr>
                <w:b/>
                <w:bCs w:val="0"/>
              </w:rPr>
              <w:t xml:space="preserve">Prior NAC </w:t>
            </w:r>
          </w:p>
        </w:tc>
        <w:tc>
          <w:tcPr>
            <w:tcW w:w="1694" w:type="pct"/>
            <w:gridSpan w:val="2"/>
            <w:shd w:val="clear" w:color="auto" w:fill="auto"/>
          </w:tcPr>
          <w:p w14:paraId="6FA58BBB" w14:textId="77777777" w:rsidR="001820F0" w:rsidRPr="00F92E56" w:rsidRDefault="001820F0" w:rsidP="00553EDF">
            <w:pPr>
              <w:pStyle w:val="TableText0"/>
              <w:rPr>
                <w:b/>
                <w:bCs w:val="0"/>
              </w:rPr>
            </w:pPr>
            <w:r w:rsidRPr="00F92E56">
              <w:rPr>
                <w:b/>
                <w:bCs w:val="0"/>
              </w:rPr>
              <w:t>No prior NAC</w:t>
            </w:r>
          </w:p>
        </w:tc>
      </w:tr>
      <w:tr w:rsidR="001820F0" w:rsidRPr="00F92E56" w14:paraId="54F33825" w14:textId="77777777" w:rsidTr="009A2CF2">
        <w:trPr>
          <w:trHeight w:val="123"/>
        </w:trPr>
        <w:tc>
          <w:tcPr>
            <w:tcW w:w="1614" w:type="pct"/>
            <w:vMerge/>
            <w:shd w:val="clear" w:color="auto" w:fill="auto"/>
          </w:tcPr>
          <w:p w14:paraId="250086D7" w14:textId="77777777" w:rsidR="001820F0" w:rsidRPr="00F92E56" w:rsidRDefault="001820F0" w:rsidP="00553EDF">
            <w:pPr>
              <w:pStyle w:val="TableText0"/>
              <w:rPr>
                <w:b/>
                <w:bCs w:val="0"/>
              </w:rPr>
            </w:pPr>
          </w:p>
        </w:tc>
        <w:tc>
          <w:tcPr>
            <w:tcW w:w="847" w:type="pct"/>
            <w:shd w:val="clear" w:color="auto" w:fill="auto"/>
          </w:tcPr>
          <w:p w14:paraId="2041B695" w14:textId="77777777" w:rsidR="001820F0" w:rsidRPr="00F92E56" w:rsidRDefault="001820F0" w:rsidP="00553EDF">
            <w:pPr>
              <w:pStyle w:val="TableText0"/>
              <w:rPr>
                <w:b/>
                <w:bCs w:val="0"/>
              </w:rPr>
            </w:pPr>
            <w:r w:rsidRPr="00F92E56">
              <w:rPr>
                <w:b/>
                <w:bCs w:val="0"/>
              </w:rPr>
              <w:t>NIVO (N=156)</w:t>
            </w:r>
          </w:p>
        </w:tc>
        <w:tc>
          <w:tcPr>
            <w:tcW w:w="845" w:type="pct"/>
            <w:shd w:val="clear" w:color="auto" w:fill="auto"/>
          </w:tcPr>
          <w:p w14:paraId="140628C1" w14:textId="77777777" w:rsidR="001820F0" w:rsidRPr="00F92E56" w:rsidRDefault="001820F0" w:rsidP="00553EDF">
            <w:pPr>
              <w:pStyle w:val="TableText0"/>
              <w:rPr>
                <w:b/>
                <w:bCs w:val="0"/>
              </w:rPr>
            </w:pPr>
            <w:r w:rsidRPr="00F92E56">
              <w:rPr>
                <w:b/>
                <w:bCs w:val="0"/>
              </w:rPr>
              <w:t>PBO (N=158)</w:t>
            </w:r>
          </w:p>
        </w:tc>
        <w:tc>
          <w:tcPr>
            <w:tcW w:w="848" w:type="pct"/>
            <w:shd w:val="clear" w:color="auto" w:fill="auto"/>
          </w:tcPr>
          <w:p w14:paraId="4B56378C" w14:textId="77777777" w:rsidR="001820F0" w:rsidRPr="00F92E56" w:rsidRDefault="001820F0" w:rsidP="00553EDF">
            <w:pPr>
              <w:pStyle w:val="TableText0"/>
              <w:rPr>
                <w:b/>
                <w:bCs w:val="0"/>
              </w:rPr>
            </w:pPr>
            <w:r w:rsidRPr="00F92E56">
              <w:rPr>
                <w:b/>
                <w:bCs w:val="0"/>
              </w:rPr>
              <w:t>NIVO (N=197)</w:t>
            </w:r>
          </w:p>
        </w:tc>
        <w:tc>
          <w:tcPr>
            <w:tcW w:w="846" w:type="pct"/>
            <w:shd w:val="clear" w:color="auto" w:fill="auto"/>
          </w:tcPr>
          <w:p w14:paraId="459DE1FB" w14:textId="77777777" w:rsidR="001820F0" w:rsidRPr="00F92E56" w:rsidRDefault="001820F0" w:rsidP="00553EDF">
            <w:pPr>
              <w:pStyle w:val="TableText0"/>
              <w:rPr>
                <w:b/>
                <w:bCs w:val="0"/>
              </w:rPr>
            </w:pPr>
            <w:r w:rsidRPr="00F92E56">
              <w:rPr>
                <w:b/>
                <w:bCs w:val="0"/>
              </w:rPr>
              <w:t>PBO (N=198)</w:t>
            </w:r>
          </w:p>
        </w:tc>
      </w:tr>
      <w:tr w:rsidR="001820F0" w:rsidRPr="00F92E56" w14:paraId="526B4553" w14:textId="77777777" w:rsidTr="009A2CF2">
        <w:tc>
          <w:tcPr>
            <w:tcW w:w="1614" w:type="pct"/>
            <w:shd w:val="clear" w:color="auto" w:fill="auto"/>
          </w:tcPr>
          <w:p w14:paraId="11BDB4BE" w14:textId="77777777" w:rsidR="001820F0" w:rsidRPr="00F92E56" w:rsidRDefault="001820F0" w:rsidP="00553EDF">
            <w:pPr>
              <w:pStyle w:val="TableText0"/>
            </w:pPr>
            <w:r w:rsidRPr="00F92E56">
              <w:t>Events, n (%)</w:t>
            </w:r>
          </w:p>
        </w:tc>
        <w:tc>
          <w:tcPr>
            <w:tcW w:w="847" w:type="pct"/>
            <w:shd w:val="clear" w:color="auto" w:fill="auto"/>
          </w:tcPr>
          <w:p w14:paraId="35CB9392" w14:textId="77777777" w:rsidR="001820F0" w:rsidRPr="00F92E56" w:rsidRDefault="001820F0" w:rsidP="00553EDF">
            <w:pPr>
              <w:pStyle w:val="TableText0"/>
            </w:pPr>
            <w:r w:rsidRPr="00F92E56">
              <w:t>82 (52.6)</w:t>
            </w:r>
          </w:p>
        </w:tc>
        <w:tc>
          <w:tcPr>
            <w:tcW w:w="845" w:type="pct"/>
            <w:shd w:val="clear" w:color="auto" w:fill="auto"/>
          </w:tcPr>
          <w:p w14:paraId="5DE92ADE" w14:textId="77777777" w:rsidR="001820F0" w:rsidRPr="00F92E56" w:rsidRDefault="001820F0" w:rsidP="00553EDF">
            <w:pPr>
              <w:pStyle w:val="TableText0"/>
            </w:pPr>
            <w:r w:rsidRPr="00F92E56">
              <w:t>113 (71.5)</w:t>
            </w:r>
          </w:p>
        </w:tc>
        <w:tc>
          <w:tcPr>
            <w:tcW w:w="848" w:type="pct"/>
            <w:shd w:val="clear" w:color="auto" w:fill="auto"/>
          </w:tcPr>
          <w:p w14:paraId="551E76E4" w14:textId="77777777" w:rsidR="001820F0" w:rsidRPr="00F92E56" w:rsidRDefault="001820F0" w:rsidP="00553EDF">
            <w:pPr>
              <w:pStyle w:val="TableText0"/>
            </w:pPr>
            <w:r w:rsidRPr="00F92E56">
              <w:t>113 (57.3)</w:t>
            </w:r>
          </w:p>
        </w:tc>
        <w:tc>
          <w:tcPr>
            <w:tcW w:w="846" w:type="pct"/>
            <w:shd w:val="clear" w:color="auto" w:fill="auto"/>
          </w:tcPr>
          <w:p w14:paraId="0CC3E66B" w14:textId="77777777" w:rsidR="001820F0" w:rsidRPr="00F92E56" w:rsidRDefault="001820F0" w:rsidP="00553EDF">
            <w:pPr>
              <w:pStyle w:val="TableText0"/>
            </w:pPr>
            <w:r w:rsidRPr="00F92E56">
              <w:t>120 (60.6)</w:t>
            </w:r>
          </w:p>
        </w:tc>
      </w:tr>
      <w:tr w:rsidR="001820F0" w:rsidRPr="00F92E56" w14:paraId="411CF0FE" w14:textId="77777777" w:rsidTr="009A2CF2">
        <w:tc>
          <w:tcPr>
            <w:tcW w:w="1614" w:type="pct"/>
            <w:shd w:val="clear" w:color="auto" w:fill="auto"/>
          </w:tcPr>
          <w:p w14:paraId="784F72AA" w14:textId="77777777" w:rsidR="001820F0" w:rsidRPr="00F92E56" w:rsidRDefault="001820F0" w:rsidP="00553EDF">
            <w:pPr>
              <w:pStyle w:val="TableText0"/>
            </w:pPr>
            <w:r w:rsidRPr="00F92E56">
              <w:t>Median DFS (95% CI), months</w:t>
            </w:r>
            <w:r w:rsidRPr="00F92E56">
              <w:rPr>
                <w:vertAlign w:val="superscript"/>
              </w:rPr>
              <w:t>a</w:t>
            </w:r>
          </w:p>
        </w:tc>
        <w:tc>
          <w:tcPr>
            <w:tcW w:w="847" w:type="pct"/>
            <w:shd w:val="clear" w:color="auto" w:fill="auto"/>
          </w:tcPr>
          <w:p w14:paraId="1AEEEB15" w14:textId="77777777" w:rsidR="001820F0" w:rsidRPr="00F92E56" w:rsidRDefault="001820F0" w:rsidP="00553EDF">
            <w:pPr>
              <w:pStyle w:val="TableText0"/>
            </w:pPr>
            <w:r w:rsidRPr="00F92E56">
              <w:t>25.8 (16.3, 55.2)</w:t>
            </w:r>
          </w:p>
        </w:tc>
        <w:tc>
          <w:tcPr>
            <w:tcW w:w="845" w:type="pct"/>
            <w:shd w:val="clear" w:color="auto" w:fill="auto"/>
          </w:tcPr>
          <w:p w14:paraId="5ABD39E7" w14:textId="77777777" w:rsidR="001820F0" w:rsidRPr="00F92E56" w:rsidRDefault="001820F0" w:rsidP="00553EDF">
            <w:pPr>
              <w:pStyle w:val="TableText0"/>
            </w:pPr>
            <w:r w:rsidRPr="00F92E56">
              <w:t>8.2 (5.6, 10.8)</w:t>
            </w:r>
          </w:p>
        </w:tc>
        <w:tc>
          <w:tcPr>
            <w:tcW w:w="848" w:type="pct"/>
            <w:shd w:val="clear" w:color="auto" w:fill="auto"/>
          </w:tcPr>
          <w:p w14:paraId="28633261" w14:textId="77777777" w:rsidR="001820F0" w:rsidRPr="00F92E56" w:rsidRDefault="001820F0" w:rsidP="00553EDF">
            <w:pPr>
              <w:pStyle w:val="TableText0"/>
            </w:pPr>
            <w:r w:rsidRPr="00F92E56">
              <w:t>21.2 (17.7, 28.3)</w:t>
            </w:r>
          </w:p>
        </w:tc>
        <w:tc>
          <w:tcPr>
            <w:tcW w:w="846" w:type="pct"/>
            <w:shd w:val="clear" w:color="auto" w:fill="auto"/>
          </w:tcPr>
          <w:p w14:paraId="00907674" w14:textId="77777777" w:rsidR="001820F0" w:rsidRPr="00F92E56" w:rsidRDefault="001820F0" w:rsidP="00553EDF">
            <w:pPr>
              <w:pStyle w:val="TableText0"/>
            </w:pPr>
            <w:r w:rsidRPr="00F92E56">
              <w:t>16.7 (8.5, 25.6)</w:t>
            </w:r>
          </w:p>
        </w:tc>
      </w:tr>
      <w:tr w:rsidR="001820F0" w:rsidRPr="00F92E56" w14:paraId="01D39C0D" w14:textId="77777777" w:rsidTr="009A2CF2">
        <w:tc>
          <w:tcPr>
            <w:tcW w:w="1614" w:type="pct"/>
            <w:shd w:val="clear" w:color="auto" w:fill="auto"/>
          </w:tcPr>
          <w:p w14:paraId="0E562A9A" w14:textId="77777777" w:rsidR="001820F0" w:rsidRPr="00F92E56" w:rsidRDefault="001820F0" w:rsidP="00553EDF">
            <w:pPr>
              <w:pStyle w:val="TableText0"/>
            </w:pPr>
            <w:r w:rsidRPr="00F92E56">
              <w:t>HR</w:t>
            </w:r>
            <w:r w:rsidRPr="00F92E56">
              <w:rPr>
                <w:vertAlign w:val="superscript"/>
              </w:rPr>
              <w:t>b</w:t>
            </w:r>
            <w:r w:rsidRPr="00F92E56">
              <w:t xml:space="preserve"> (95% CI); p-value</w:t>
            </w:r>
            <w:r w:rsidRPr="00F92E56">
              <w:rPr>
                <w:vertAlign w:val="superscript"/>
              </w:rPr>
              <w:t>c</w:t>
            </w:r>
          </w:p>
        </w:tc>
        <w:tc>
          <w:tcPr>
            <w:tcW w:w="1692" w:type="pct"/>
            <w:gridSpan w:val="2"/>
            <w:shd w:val="clear" w:color="auto" w:fill="auto"/>
          </w:tcPr>
          <w:p w14:paraId="1AAD0B39" w14:textId="77777777" w:rsidR="001820F0" w:rsidRPr="00F92E56" w:rsidRDefault="001820F0" w:rsidP="00553EDF">
            <w:pPr>
              <w:pStyle w:val="TableText0"/>
            </w:pPr>
            <w:r w:rsidRPr="00F92E56">
              <w:t>0.54 (0.41, 0.72); p&lt;0.0001</w:t>
            </w:r>
          </w:p>
        </w:tc>
        <w:tc>
          <w:tcPr>
            <w:tcW w:w="1694" w:type="pct"/>
            <w:gridSpan w:val="2"/>
            <w:shd w:val="clear" w:color="auto" w:fill="auto"/>
          </w:tcPr>
          <w:p w14:paraId="7B9442CD" w14:textId="77777777" w:rsidR="001820F0" w:rsidRPr="00F92E56" w:rsidRDefault="001820F0" w:rsidP="00553EDF">
            <w:pPr>
              <w:pStyle w:val="TableText0"/>
            </w:pPr>
            <w:r w:rsidRPr="00F92E56">
              <w:t>0.88 (0.68, 1.14); p=0.3336</w:t>
            </w:r>
          </w:p>
        </w:tc>
      </w:tr>
      <w:tr w:rsidR="001820F0" w:rsidRPr="00F92E56" w14:paraId="14FCCDA7" w14:textId="77777777" w:rsidTr="009A2CF2">
        <w:tc>
          <w:tcPr>
            <w:tcW w:w="1614" w:type="pct"/>
            <w:shd w:val="clear" w:color="auto" w:fill="auto"/>
          </w:tcPr>
          <w:p w14:paraId="2E164FA7" w14:textId="77777777" w:rsidR="001820F0" w:rsidRPr="00F92E56" w:rsidRDefault="001820F0" w:rsidP="00553EDF">
            <w:pPr>
              <w:pStyle w:val="TableText0"/>
            </w:pPr>
            <w:r w:rsidRPr="00F92E56">
              <w:t>Rate at 3 months</w:t>
            </w:r>
            <w:r w:rsidRPr="00F92E56">
              <w:rPr>
                <w:vertAlign w:val="superscript"/>
              </w:rPr>
              <w:t>a</w:t>
            </w:r>
            <w:r w:rsidRPr="00F92E56">
              <w:t>, % (95% CI)</w:t>
            </w:r>
          </w:p>
        </w:tc>
        <w:tc>
          <w:tcPr>
            <w:tcW w:w="847" w:type="pct"/>
            <w:shd w:val="clear" w:color="auto" w:fill="auto"/>
          </w:tcPr>
          <w:p w14:paraId="28FA849A" w14:textId="77777777" w:rsidR="001820F0" w:rsidRPr="00F92E56" w:rsidRDefault="001820F0" w:rsidP="00553EDF">
            <w:pPr>
              <w:pStyle w:val="TableText0"/>
            </w:pPr>
            <w:r w:rsidRPr="00F92E56">
              <w:t>87.5 (81.1, 91.8)</w:t>
            </w:r>
          </w:p>
        </w:tc>
        <w:tc>
          <w:tcPr>
            <w:tcW w:w="845" w:type="pct"/>
            <w:shd w:val="clear" w:color="auto" w:fill="auto"/>
          </w:tcPr>
          <w:p w14:paraId="2DBDC4A4" w14:textId="77777777" w:rsidR="001820F0" w:rsidRPr="00F92E56" w:rsidRDefault="001820F0" w:rsidP="00553EDF">
            <w:pPr>
              <w:pStyle w:val="TableText0"/>
            </w:pPr>
            <w:r w:rsidRPr="00F92E56">
              <w:t>68.0 (60.0, 74.7)</w:t>
            </w:r>
          </w:p>
        </w:tc>
        <w:tc>
          <w:tcPr>
            <w:tcW w:w="848" w:type="pct"/>
            <w:shd w:val="clear" w:color="auto" w:fill="auto"/>
          </w:tcPr>
          <w:p w14:paraId="642D7FFF" w14:textId="77777777" w:rsidR="001820F0" w:rsidRPr="00F92E56" w:rsidRDefault="001820F0" w:rsidP="00553EDF">
            <w:pPr>
              <w:pStyle w:val="TableText0"/>
            </w:pPr>
            <w:r w:rsidRPr="00F92E56">
              <w:t>86.4 (80.7, 90.5)</w:t>
            </w:r>
          </w:p>
        </w:tc>
        <w:tc>
          <w:tcPr>
            <w:tcW w:w="846" w:type="pct"/>
            <w:shd w:val="clear" w:color="auto" w:fill="auto"/>
          </w:tcPr>
          <w:p w14:paraId="40945139" w14:textId="77777777" w:rsidR="001820F0" w:rsidRPr="00F92E56" w:rsidRDefault="001820F0" w:rsidP="00553EDF">
            <w:pPr>
              <w:pStyle w:val="TableText0"/>
            </w:pPr>
            <w:r w:rsidRPr="00F92E56">
              <w:t>76.4 (69.7, 81.8)</w:t>
            </w:r>
          </w:p>
        </w:tc>
      </w:tr>
      <w:tr w:rsidR="001820F0" w:rsidRPr="00F92E56" w14:paraId="104A36E4" w14:textId="77777777" w:rsidTr="009A2CF2">
        <w:tc>
          <w:tcPr>
            <w:tcW w:w="1614" w:type="pct"/>
            <w:shd w:val="clear" w:color="auto" w:fill="auto"/>
          </w:tcPr>
          <w:p w14:paraId="416A4042" w14:textId="77777777" w:rsidR="001820F0" w:rsidRPr="00F92E56" w:rsidRDefault="001820F0" w:rsidP="00553EDF">
            <w:pPr>
              <w:pStyle w:val="TableText0"/>
            </w:pPr>
            <w:r w:rsidRPr="00F92E56">
              <w:t>Rate at 6 months</w:t>
            </w:r>
            <w:r w:rsidRPr="00F92E56">
              <w:rPr>
                <w:vertAlign w:val="superscript"/>
              </w:rPr>
              <w:t>a</w:t>
            </w:r>
            <w:r w:rsidRPr="00F92E56">
              <w:t>, % (95% CI)</w:t>
            </w:r>
          </w:p>
        </w:tc>
        <w:tc>
          <w:tcPr>
            <w:tcW w:w="847" w:type="pct"/>
            <w:shd w:val="clear" w:color="auto" w:fill="auto"/>
          </w:tcPr>
          <w:p w14:paraId="242FED7C" w14:textId="77777777" w:rsidR="001820F0" w:rsidRPr="00F92E56" w:rsidRDefault="001820F0" w:rsidP="00553EDF">
            <w:pPr>
              <w:pStyle w:val="TableText0"/>
            </w:pPr>
            <w:r w:rsidRPr="00F92E56">
              <w:t>78.2 (70.7, 84.0)</w:t>
            </w:r>
          </w:p>
        </w:tc>
        <w:tc>
          <w:tcPr>
            <w:tcW w:w="845" w:type="pct"/>
            <w:shd w:val="clear" w:color="auto" w:fill="auto"/>
          </w:tcPr>
          <w:p w14:paraId="5DB668CA" w14:textId="77777777" w:rsidR="001820F0" w:rsidRPr="00F92E56" w:rsidRDefault="001820F0" w:rsidP="00553EDF">
            <w:pPr>
              <w:pStyle w:val="TableText0"/>
            </w:pPr>
            <w:r w:rsidRPr="00F92E56">
              <w:t>53.9 (45.7, 61.3)</w:t>
            </w:r>
          </w:p>
        </w:tc>
        <w:tc>
          <w:tcPr>
            <w:tcW w:w="848" w:type="pct"/>
            <w:shd w:val="clear" w:color="auto" w:fill="auto"/>
          </w:tcPr>
          <w:p w14:paraId="39DEF6CF" w14:textId="77777777" w:rsidR="001820F0" w:rsidRPr="00F92E56" w:rsidRDefault="001820F0" w:rsidP="00553EDF">
            <w:pPr>
              <w:pStyle w:val="TableText0"/>
            </w:pPr>
            <w:r w:rsidRPr="00F92E56">
              <w:t>72.7 (65.8, 78.5)</w:t>
            </w:r>
          </w:p>
        </w:tc>
        <w:tc>
          <w:tcPr>
            <w:tcW w:w="846" w:type="pct"/>
            <w:shd w:val="clear" w:color="auto" w:fill="auto"/>
          </w:tcPr>
          <w:p w14:paraId="39AF2C7B" w14:textId="77777777" w:rsidR="001820F0" w:rsidRPr="00F92E56" w:rsidRDefault="001820F0" w:rsidP="00553EDF">
            <w:pPr>
              <w:pStyle w:val="TableText0"/>
            </w:pPr>
            <w:r w:rsidRPr="00F92E56">
              <w:t>64.8 (57.6, 71.2)</w:t>
            </w:r>
          </w:p>
        </w:tc>
      </w:tr>
      <w:tr w:rsidR="00EA6180" w:rsidRPr="00F92E56" w14:paraId="2B14E262" w14:textId="77777777" w:rsidTr="00340673">
        <w:tc>
          <w:tcPr>
            <w:tcW w:w="1614" w:type="pct"/>
            <w:shd w:val="clear" w:color="auto" w:fill="auto"/>
            <w:vAlign w:val="center"/>
          </w:tcPr>
          <w:p w14:paraId="0C149394" w14:textId="6A627E8E" w:rsidR="00EA6180" w:rsidRPr="00F92E56" w:rsidRDefault="00EA6180" w:rsidP="00EA6180">
            <w:pPr>
              <w:pStyle w:val="TableText0"/>
              <w:rPr>
                <w:bCs w:val="0"/>
                <w:iCs/>
                <w:szCs w:val="20"/>
              </w:rPr>
            </w:pPr>
            <w:r w:rsidRPr="00F92E56">
              <w:rPr>
                <w:rFonts w:eastAsiaTheme="minorHAnsi"/>
                <w:bCs w:val="0"/>
                <w:iCs/>
                <w:color w:val="000000" w:themeColor="text1"/>
                <w:szCs w:val="20"/>
              </w:rPr>
              <w:t>Rate at 12 months</w:t>
            </w:r>
            <w:r w:rsidRPr="00F92E56">
              <w:rPr>
                <w:rFonts w:eastAsiaTheme="minorHAnsi"/>
                <w:bCs w:val="0"/>
                <w:iCs/>
                <w:color w:val="000000" w:themeColor="text1"/>
                <w:szCs w:val="20"/>
                <w:vertAlign w:val="superscript"/>
              </w:rPr>
              <w:t>a,d</w:t>
            </w:r>
            <w:r w:rsidRPr="00F92E56">
              <w:rPr>
                <w:rFonts w:eastAsiaTheme="minorHAnsi"/>
                <w:bCs w:val="0"/>
                <w:iCs/>
                <w:color w:val="000000" w:themeColor="text1"/>
                <w:szCs w:val="20"/>
              </w:rPr>
              <w:t>, %</w:t>
            </w:r>
            <w:r w:rsidR="00BD3049" w:rsidRPr="00F92E56">
              <w:rPr>
                <w:rFonts w:eastAsiaTheme="minorHAnsi"/>
                <w:bCs w:val="0"/>
                <w:iCs/>
                <w:color w:val="000000" w:themeColor="text1"/>
                <w:szCs w:val="20"/>
              </w:rPr>
              <w:t xml:space="preserve"> </w:t>
            </w:r>
            <w:r w:rsidR="00BD3049" w:rsidRPr="00F92E56">
              <w:rPr>
                <w:iCs/>
              </w:rPr>
              <w:t>(95% CI)</w:t>
            </w:r>
          </w:p>
        </w:tc>
        <w:tc>
          <w:tcPr>
            <w:tcW w:w="847" w:type="pct"/>
            <w:shd w:val="clear" w:color="auto" w:fill="auto"/>
            <w:vAlign w:val="center"/>
          </w:tcPr>
          <w:p w14:paraId="0C6E42A0" w14:textId="4417FDB1" w:rsidR="00EA6180" w:rsidRPr="00F92E56" w:rsidRDefault="00EA6180" w:rsidP="00EA6180">
            <w:pPr>
              <w:pStyle w:val="TableText0"/>
              <w:rPr>
                <w:iCs/>
              </w:rPr>
            </w:pPr>
            <w:r w:rsidRPr="00F92E56">
              <w:rPr>
                <w:iCs/>
              </w:rPr>
              <w:t>67.4 (59.2, 74.3)</w:t>
            </w:r>
          </w:p>
        </w:tc>
        <w:tc>
          <w:tcPr>
            <w:tcW w:w="845" w:type="pct"/>
            <w:shd w:val="clear" w:color="auto" w:fill="auto"/>
            <w:vAlign w:val="center"/>
          </w:tcPr>
          <w:p w14:paraId="7CFEADE4" w14:textId="4D3A4195" w:rsidR="00EA6180" w:rsidRPr="00F92E56" w:rsidRDefault="00EA6180" w:rsidP="00EA6180">
            <w:pPr>
              <w:pStyle w:val="TableText0"/>
              <w:rPr>
                <w:iCs/>
              </w:rPr>
            </w:pPr>
            <w:r w:rsidRPr="00F92E56">
              <w:rPr>
                <w:iCs/>
              </w:rPr>
              <w:t>39.5 (31.8, 47.1)</w:t>
            </w:r>
          </w:p>
        </w:tc>
        <w:tc>
          <w:tcPr>
            <w:tcW w:w="848" w:type="pct"/>
            <w:shd w:val="clear" w:color="auto" w:fill="auto"/>
          </w:tcPr>
          <w:p w14:paraId="516205C1" w14:textId="7B27BF0B" w:rsidR="00EA6180" w:rsidRPr="00F92E56" w:rsidRDefault="00EA6180" w:rsidP="00EA6180">
            <w:pPr>
              <w:pStyle w:val="TableText0"/>
              <w:rPr>
                <w:iCs/>
              </w:rPr>
            </w:pPr>
            <w:r w:rsidRPr="00F92E56">
              <w:rPr>
                <w:iCs/>
              </w:rPr>
              <w:t>60.4 (53.0, 66.9)</w:t>
            </w:r>
          </w:p>
        </w:tc>
        <w:tc>
          <w:tcPr>
            <w:tcW w:w="846" w:type="pct"/>
            <w:shd w:val="clear" w:color="auto" w:fill="auto"/>
          </w:tcPr>
          <w:p w14:paraId="388395C1" w14:textId="61DC31AD" w:rsidR="00EA6180" w:rsidRPr="00F92E56" w:rsidRDefault="00EA6180" w:rsidP="00EA6180">
            <w:pPr>
              <w:pStyle w:val="TableText0"/>
              <w:rPr>
                <w:iCs/>
              </w:rPr>
            </w:pPr>
            <w:r w:rsidRPr="00F92E56">
              <w:rPr>
                <w:iCs/>
              </w:rPr>
              <w:t>53.5 (46.1, 60.3)</w:t>
            </w:r>
          </w:p>
        </w:tc>
      </w:tr>
      <w:tr w:rsidR="00EA6180" w:rsidRPr="00F92E56" w14:paraId="3306AFB3" w14:textId="77777777" w:rsidTr="00340673">
        <w:tc>
          <w:tcPr>
            <w:tcW w:w="1614" w:type="pct"/>
            <w:shd w:val="clear" w:color="auto" w:fill="auto"/>
            <w:vAlign w:val="center"/>
          </w:tcPr>
          <w:p w14:paraId="6C08767B" w14:textId="7DA75C22" w:rsidR="00EA6180" w:rsidRPr="00F92E56" w:rsidRDefault="00EA6180" w:rsidP="00EA6180">
            <w:pPr>
              <w:pStyle w:val="TableText0"/>
              <w:rPr>
                <w:bCs w:val="0"/>
                <w:iCs/>
                <w:szCs w:val="20"/>
              </w:rPr>
            </w:pPr>
            <w:r w:rsidRPr="00F92E56">
              <w:rPr>
                <w:rFonts w:eastAsiaTheme="minorHAnsi"/>
                <w:bCs w:val="0"/>
                <w:iCs/>
                <w:color w:val="000000" w:themeColor="text1"/>
                <w:szCs w:val="20"/>
              </w:rPr>
              <w:t>Rate at 24 months</w:t>
            </w:r>
            <w:r w:rsidRPr="00F92E56">
              <w:rPr>
                <w:rFonts w:eastAsiaTheme="minorHAnsi"/>
                <w:bCs w:val="0"/>
                <w:iCs/>
                <w:color w:val="000000" w:themeColor="text1"/>
                <w:szCs w:val="20"/>
                <w:vertAlign w:val="superscript"/>
              </w:rPr>
              <w:t>a,d</w:t>
            </w:r>
            <w:r w:rsidRPr="00F92E56">
              <w:rPr>
                <w:rFonts w:eastAsiaTheme="minorHAnsi"/>
                <w:bCs w:val="0"/>
                <w:iCs/>
                <w:color w:val="000000" w:themeColor="text1"/>
                <w:szCs w:val="20"/>
              </w:rPr>
              <w:t>, %</w:t>
            </w:r>
            <w:r w:rsidR="00BD3049" w:rsidRPr="00F92E56">
              <w:rPr>
                <w:rFonts w:eastAsiaTheme="minorHAnsi"/>
                <w:bCs w:val="0"/>
                <w:iCs/>
                <w:color w:val="000000" w:themeColor="text1"/>
                <w:szCs w:val="20"/>
              </w:rPr>
              <w:t xml:space="preserve"> </w:t>
            </w:r>
            <w:r w:rsidR="00BD3049" w:rsidRPr="00F92E56">
              <w:rPr>
                <w:iCs/>
              </w:rPr>
              <w:t>(95% CI)</w:t>
            </w:r>
          </w:p>
        </w:tc>
        <w:tc>
          <w:tcPr>
            <w:tcW w:w="847" w:type="pct"/>
            <w:shd w:val="clear" w:color="auto" w:fill="auto"/>
            <w:vAlign w:val="center"/>
          </w:tcPr>
          <w:p w14:paraId="1BB64DCA" w14:textId="676C46D1" w:rsidR="00EA6180" w:rsidRPr="00F92E56" w:rsidRDefault="00EA6180" w:rsidP="00EA6180">
            <w:pPr>
              <w:pStyle w:val="TableText0"/>
              <w:rPr>
                <w:iCs/>
              </w:rPr>
            </w:pPr>
            <w:r w:rsidRPr="00F92E56">
              <w:rPr>
                <w:iCs/>
              </w:rPr>
              <w:t>50.8 (42.5, 58.5)</w:t>
            </w:r>
          </w:p>
        </w:tc>
        <w:tc>
          <w:tcPr>
            <w:tcW w:w="845" w:type="pct"/>
            <w:shd w:val="clear" w:color="auto" w:fill="auto"/>
            <w:vAlign w:val="center"/>
          </w:tcPr>
          <w:p w14:paraId="3BD30797" w14:textId="13649E70" w:rsidR="00EA6180" w:rsidRPr="00F92E56" w:rsidRDefault="00EA6180" w:rsidP="00EA6180">
            <w:pPr>
              <w:pStyle w:val="TableText0"/>
              <w:rPr>
                <w:iCs/>
              </w:rPr>
            </w:pPr>
            <w:r w:rsidRPr="00F92E56">
              <w:rPr>
                <w:iCs/>
              </w:rPr>
              <w:t>33.5 (26.1, 41.0)</w:t>
            </w:r>
            <w:r w:rsidR="00785872" w:rsidRPr="00785872">
              <w:rPr>
                <w:iCs/>
              </w:rPr>
              <w:t xml:space="preserve"> </w:t>
            </w:r>
            <w:r w:rsidRPr="00F92E56">
              <w:rPr>
                <w:iCs/>
              </w:rPr>
              <w:t xml:space="preserve"> </w:t>
            </w:r>
          </w:p>
        </w:tc>
        <w:tc>
          <w:tcPr>
            <w:tcW w:w="848" w:type="pct"/>
            <w:shd w:val="clear" w:color="auto" w:fill="auto"/>
          </w:tcPr>
          <w:p w14:paraId="29D6F117" w14:textId="3ED8F21F" w:rsidR="00EA6180" w:rsidRPr="00F92E56" w:rsidRDefault="00EA6180" w:rsidP="00EA6180">
            <w:pPr>
              <w:pStyle w:val="TableText0"/>
              <w:rPr>
                <w:iCs/>
              </w:rPr>
            </w:pPr>
            <w:r w:rsidRPr="00F92E56">
              <w:rPr>
                <w:iCs/>
              </w:rPr>
              <w:t>46.4 (39.0, 53.5)</w:t>
            </w:r>
          </w:p>
        </w:tc>
        <w:tc>
          <w:tcPr>
            <w:tcW w:w="846" w:type="pct"/>
            <w:shd w:val="clear" w:color="auto" w:fill="auto"/>
          </w:tcPr>
          <w:p w14:paraId="35EBD2E7" w14:textId="576A9EDA" w:rsidR="00EA6180" w:rsidRPr="00F92E56" w:rsidRDefault="00EA6180" w:rsidP="00EA6180">
            <w:pPr>
              <w:pStyle w:val="TableText0"/>
              <w:rPr>
                <w:iCs/>
              </w:rPr>
            </w:pPr>
            <w:r w:rsidRPr="00F92E56">
              <w:rPr>
                <w:iCs/>
              </w:rPr>
              <w:t>43.3 (36.0, 50.3)</w:t>
            </w:r>
          </w:p>
        </w:tc>
      </w:tr>
      <w:tr w:rsidR="00EA6180" w:rsidRPr="00F92E56" w14:paraId="43F650BF" w14:textId="77777777" w:rsidTr="00340673">
        <w:trPr>
          <w:trHeight w:val="173"/>
        </w:trPr>
        <w:tc>
          <w:tcPr>
            <w:tcW w:w="1614" w:type="pct"/>
            <w:shd w:val="clear" w:color="auto" w:fill="auto"/>
            <w:vAlign w:val="center"/>
          </w:tcPr>
          <w:p w14:paraId="7069203F" w14:textId="4374B232" w:rsidR="00EA6180" w:rsidRPr="00F92E56" w:rsidRDefault="00EA6180" w:rsidP="00EA6180">
            <w:pPr>
              <w:pStyle w:val="TableText0"/>
              <w:rPr>
                <w:bCs w:val="0"/>
                <w:iCs/>
                <w:szCs w:val="20"/>
              </w:rPr>
            </w:pPr>
            <w:r w:rsidRPr="00F92E56">
              <w:rPr>
                <w:rFonts w:eastAsiaTheme="minorHAnsi"/>
                <w:bCs w:val="0"/>
                <w:iCs/>
                <w:color w:val="000000" w:themeColor="text1"/>
                <w:szCs w:val="20"/>
              </w:rPr>
              <w:t>Rate at 30 months</w:t>
            </w:r>
            <w:r w:rsidRPr="00F92E56">
              <w:rPr>
                <w:rFonts w:eastAsiaTheme="minorHAnsi"/>
                <w:bCs w:val="0"/>
                <w:iCs/>
                <w:color w:val="000000" w:themeColor="text1"/>
                <w:szCs w:val="20"/>
                <w:vertAlign w:val="superscript"/>
              </w:rPr>
              <w:t>a,d</w:t>
            </w:r>
            <w:r w:rsidRPr="00F92E56">
              <w:rPr>
                <w:rFonts w:eastAsiaTheme="minorHAnsi"/>
                <w:bCs w:val="0"/>
                <w:iCs/>
                <w:color w:val="000000" w:themeColor="text1"/>
                <w:szCs w:val="20"/>
              </w:rPr>
              <w:t>, %</w:t>
            </w:r>
            <w:r w:rsidR="00BD3049" w:rsidRPr="00F92E56">
              <w:rPr>
                <w:rFonts w:eastAsiaTheme="minorHAnsi"/>
                <w:bCs w:val="0"/>
                <w:iCs/>
                <w:color w:val="000000" w:themeColor="text1"/>
                <w:szCs w:val="20"/>
              </w:rPr>
              <w:t xml:space="preserve"> </w:t>
            </w:r>
            <w:r w:rsidR="00BD3049" w:rsidRPr="00F92E56">
              <w:rPr>
                <w:iCs/>
              </w:rPr>
              <w:t>(95% CI)</w:t>
            </w:r>
          </w:p>
        </w:tc>
        <w:tc>
          <w:tcPr>
            <w:tcW w:w="847" w:type="pct"/>
            <w:shd w:val="clear" w:color="auto" w:fill="auto"/>
          </w:tcPr>
          <w:p w14:paraId="0C071450" w14:textId="3FE59FC2" w:rsidR="00EA6180" w:rsidRPr="00F92E56" w:rsidRDefault="00EA6180" w:rsidP="00EA6180">
            <w:pPr>
              <w:pStyle w:val="TableText0"/>
              <w:rPr>
                <w:iCs/>
              </w:rPr>
            </w:pPr>
            <w:r w:rsidRPr="00F92E56">
              <w:rPr>
                <w:iCs/>
              </w:rPr>
              <w:t>49.4 (41.1, 57.2)</w:t>
            </w:r>
          </w:p>
        </w:tc>
        <w:tc>
          <w:tcPr>
            <w:tcW w:w="845" w:type="pct"/>
            <w:shd w:val="clear" w:color="auto" w:fill="auto"/>
          </w:tcPr>
          <w:p w14:paraId="06A30B9F" w14:textId="53CE98DA" w:rsidR="00EA6180" w:rsidRPr="00F92E56" w:rsidRDefault="00EA6180" w:rsidP="00EA6180">
            <w:pPr>
              <w:pStyle w:val="TableText0"/>
              <w:rPr>
                <w:iCs/>
              </w:rPr>
            </w:pPr>
            <w:r w:rsidRPr="00F92E56">
              <w:rPr>
                <w:iCs/>
              </w:rPr>
              <w:t>30.6 (23.4, 38.0)</w:t>
            </w:r>
          </w:p>
        </w:tc>
        <w:tc>
          <w:tcPr>
            <w:tcW w:w="848" w:type="pct"/>
            <w:shd w:val="clear" w:color="auto" w:fill="auto"/>
          </w:tcPr>
          <w:p w14:paraId="38017BF9" w14:textId="23CD631C" w:rsidR="00EA6180" w:rsidRPr="00F92E56" w:rsidRDefault="00EA6180" w:rsidP="00EA6180">
            <w:pPr>
              <w:pStyle w:val="TableText0"/>
              <w:rPr>
                <w:iCs/>
              </w:rPr>
            </w:pPr>
            <w:r w:rsidRPr="00F92E56">
              <w:rPr>
                <w:iCs/>
              </w:rPr>
              <w:t>42.1 (34.8, 49.2)</w:t>
            </w:r>
          </w:p>
        </w:tc>
        <w:tc>
          <w:tcPr>
            <w:tcW w:w="846" w:type="pct"/>
            <w:shd w:val="clear" w:color="auto" w:fill="auto"/>
          </w:tcPr>
          <w:p w14:paraId="2BFDD58D" w14:textId="305CE557" w:rsidR="00EA6180" w:rsidRPr="00F92E56" w:rsidRDefault="00EA6180" w:rsidP="00EA6180">
            <w:pPr>
              <w:pStyle w:val="TableText0"/>
              <w:rPr>
                <w:iCs/>
              </w:rPr>
            </w:pPr>
            <w:r w:rsidRPr="00F92E56">
              <w:rPr>
                <w:iCs/>
              </w:rPr>
              <w:t xml:space="preserve">40.4 (33.2, 47.4) </w:t>
            </w:r>
          </w:p>
        </w:tc>
      </w:tr>
    </w:tbl>
    <w:p w14:paraId="0A2871E4" w14:textId="7E5538A3" w:rsidR="001820F0" w:rsidRPr="00F92E56" w:rsidRDefault="001820F0" w:rsidP="001820F0">
      <w:pPr>
        <w:pStyle w:val="TableFooter"/>
        <w:rPr>
          <w:rFonts w:eastAsiaTheme="minorHAnsi"/>
        </w:rPr>
      </w:pPr>
      <w:r w:rsidRPr="00F92E56">
        <w:rPr>
          <w:rFonts w:eastAsiaTheme="minorHAnsi"/>
        </w:rPr>
        <w:t>Source: Table 23, p64 of the resubmission</w:t>
      </w:r>
      <w:r w:rsidR="00FD49BF" w:rsidRPr="00F92E56">
        <w:rPr>
          <w:rFonts w:eastAsiaTheme="minorHAnsi"/>
        </w:rPr>
        <w:t xml:space="preserve"> and Galsky et al (2023)</w:t>
      </w:r>
      <w:r w:rsidRPr="00F92E56">
        <w:rPr>
          <w:rFonts w:eastAsiaTheme="minorHAnsi"/>
        </w:rPr>
        <w:t>.</w:t>
      </w:r>
    </w:p>
    <w:p w14:paraId="4CA5FFFC" w14:textId="77777777" w:rsidR="001820F0" w:rsidRPr="00F92E56" w:rsidRDefault="001820F0" w:rsidP="001820F0">
      <w:pPr>
        <w:pStyle w:val="TableFooter"/>
        <w:rPr>
          <w:rFonts w:eastAsiaTheme="minorHAnsi"/>
        </w:rPr>
      </w:pPr>
      <w:r w:rsidRPr="00F92E56">
        <w:rPr>
          <w:rFonts w:eastAsiaTheme="minorHAnsi"/>
        </w:rPr>
        <w:t>CI = confidence interval; DFS = disease-free survival; HR = hazard ratio; NAC = neoadjuvant platinum-based chemotherapy; NIVO = nivolumab; PBO = placebo.</w:t>
      </w:r>
    </w:p>
    <w:p w14:paraId="5950E54E" w14:textId="77777777" w:rsidR="00577EA4" w:rsidRPr="00F92E56" w:rsidRDefault="00FD49BF" w:rsidP="00577EA4">
      <w:pPr>
        <w:pStyle w:val="TableFooter"/>
        <w:rPr>
          <w:rFonts w:eastAsiaTheme="minorHAnsi"/>
        </w:rPr>
      </w:pPr>
      <w:r w:rsidRPr="00F92E56">
        <w:rPr>
          <w:rFonts w:eastAsiaTheme="minorHAnsi"/>
        </w:rPr>
        <w:t>Notes</w:t>
      </w:r>
      <w:r w:rsidR="00577EA4" w:rsidRPr="00F92E56">
        <w:rPr>
          <w:rFonts w:eastAsiaTheme="minorHAnsi"/>
        </w:rPr>
        <w:t>: DFS was defined as: the time between the date of randomisation and the date of first recurrence (local recurrence in the urothelial tract, local recurrence outside the urothelial tract, or distant recurrence) or death, whichever occurred first.</w:t>
      </w:r>
    </w:p>
    <w:p w14:paraId="52F99401" w14:textId="66FB3447" w:rsidR="00FD49BF" w:rsidRPr="00F92E56" w:rsidRDefault="00577EA4" w:rsidP="001820F0">
      <w:pPr>
        <w:pStyle w:val="TableFooter"/>
        <w:rPr>
          <w:rFonts w:eastAsiaTheme="minorHAnsi"/>
        </w:rPr>
      </w:pPr>
      <w:r w:rsidRPr="00F92E56">
        <w:rPr>
          <w:rFonts w:eastAsiaTheme="minorHAnsi"/>
        </w:rPr>
        <w:t>Data based on the extended follow-up (data cutoff on 08 September 2022). Median follow-up 36.1 months</w:t>
      </w:r>
      <w:r w:rsidR="004C6E97" w:rsidRPr="00F92E56">
        <w:rPr>
          <w:rFonts w:eastAsiaTheme="minorHAnsi"/>
        </w:rPr>
        <w:t xml:space="preserve"> for the ITT population</w:t>
      </w:r>
      <w:r w:rsidRPr="00F92E56">
        <w:rPr>
          <w:rFonts w:eastAsiaTheme="minorHAnsi"/>
        </w:rPr>
        <w:t xml:space="preserve"> (</w:t>
      </w:r>
      <w:r w:rsidRPr="00F92E56">
        <w:rPr>
          <w:rFonts w:eastAsiaTheme="minorHAnsi"/>
          <w:bCs/>
        </w:rPr>
        <w:t>NIVO: 37.4 months;</w:t>
      </w:r>
      <w:r w:rsidRPr="00F92E56">
        <w:rPr>
          <w:rFonts w:eastAsiaTheme="minorHAnsi"/>
        </w:rPr>
        <w:t xml:space="preserve"> PBO: 33.9 months). Median follow-up duration by arm sourced from Galsky MD et al. Extended follow-up results from the CheckMate 274 trial. ASCO Genitourinary Cancers Symposium 2023. Abstract LBA443)</w:t>
      </w:r>
    </w:p>
    <w:p w14:paraId="175A3D51" w14:textId="77777777" w:rsidR="001820F0" w:rsidRPr="00F92E56" w:rsidRDefault="001820F0" w:rsidP="001820F0">
      <w:pPr>
        <w:pStyle w:val="TableFooter"/>
        <w:rPr>
          <w:rFonts w:eastAsiaTheme="minorHAnsi"/>
        </w:rPr>
      </w:pPr>
      <w:r w:rsidRPr="00F92E56">
        <w:rPr>
          <w:rFonts w:eastAsiaTheme="minorHAnsi"/>
          <w:vertAlign w:val="superscript"/>
        </w:rPr>
        <w:t>a</w:t>
      </w:r>
      <w:r w:rsidRPr="00F92E56">
        <w:rPr>
          <w:rFonts w:eastAsiaTheme="minorHAnsi"/>
        </w:rPr>
        <w:t xml:space="preserve"> Based on Kaplan-Meier estimates.</w:t>
      </w:r>
    </w:p>
    <w:p w14:paraId="7BEF0CF0" w14:textId="77777777" w:rsidR="001820F0" w:rsidRPr="00F92E56" w:rsidRDefault="001820F0" w:rsidP="001820F0">
      <w:pPr>
        <w:pStyle w:val="TableFooter"/>
        <w:rPr>
          <w:rFonts w:eastAsiaTheme="minorHAnsi"/>
        </w:rPr>
      </w:pPr>
      <w:r w:rsidRPr="00F92E56">
        <w:rPr>
          <w:rFonts w:eastAsiaTheme="minorHAnsi"/>
          <w:vertAlign w:val="superscript"/>
        </w:rPr>
        <w:t>b</w:t>
      </w:r>
      <w:r w:rsidRPr="00F92E56">
        <w:rPr>
          <w:rFonts w:eastAsiaTheme="minorHAnsi"/>
        </w:rPr>
        <w:t xml:space="preserve"> Unstratified Cox proportional hazards model. HR is NIVO over PBO.</w:t>
      </w:r>
    </w:p>
    <w:p w14:paraId="1CD03C17" w14:textId="401FFBA8" w:rsidR="001820F0" w:rsidRPr="00F92E56" w:rsidRDefault="001820F0" w:rsidP="001820F0">
      <w:pPr>
        <w:pStyle w:val="TableFooter"/>
        <w:rPr>
          <w:rFonts w:eastAsiaTheme="minorHAnsi"/>
        </w:rPr>
      </w:pPr>
      <w:r w:rsidRPr="00F92E56">
        <w:rPr>
          <w:rFonts w:eastAsiaTheme="minorHAnsi"/>
          <w:vertAlign w:val="superscript"/>
        </w:rPr>
        <w:t>c</w:t>
      </w:r>
      <w:r w:rsidRPr="00F92E56">
        <w:rPr>
          <w:rFonts w:eastAsiaTheme="minorHAnsi"/>
        </w:rPr>
        <w:t xml:space="preserve"> Unstratified log-rank test.</w:t>
      </w:r>
    </w:p>
    <w:p w14:paraId="26062E4E" w14:textId="58E60647" w:rsidR="00340673" w:rsidRPr="00F92E56" w:rsidRDefault="00340673" w:rsidP="00C76B7E">
      <w:pPr>
        <w:pStyle w:val="TableFooter"/>
        <w:spacing w:after="120"/>
        <w:rPr>
          <w:rFonts w:eastAsiaTheme="minorHAnsi"/>
          <w:iCs/>
        </w:rPr>
      </w:pPr>
      <w:r w:rsidRPr="00F92E56">
        <w:rPr>
          <w:rFonts w:eastAsiaTheme="minorHAnsi"/>
          <w:iCs/>
          <w:vertAlign w:val="superscript"/>
        </w:rPr>
        <w:t>d</w:t>
      </w:r>
      <w:r w:rsidRPr="00F92E56">
        <w:rPr>
          <w:rFonts w:eastAsiaTheme="minorHAnsi"/>
          <w:iCs/>
        </w:rPr>
        <w:t xml:space="preserve"> Provided in </w:t>
      </w:r>
      <w:r w:rsidR="005D1B32" w:rsidRPr="00F92E56">
        <w:rPr>
          <w:rFonts w:eastAsiaTheme="minorHAnsi"/>
          <w:iCs/>
        </w:rPr>
        <w:t xml:space="preserve">Table 1 </w:t>
      </w:r>
      <w:r w:rsidR="000D7DC8" w:rsidRPr="00F92E56">
        <w:rPr>
          <w:rFonts w:eastAsiaTheme="minorHAnsi"/>
          <w:iCs/>
        </w:rPr>
        <w:t xml:space="preserve">of </w:t>
      </w:r>
      <w:r w:rsidRPr="00F92E56">
        <w:rPr>
          <w:rFonts w:eastAsiaTheme="minorHAnsi"/>
          <w:iCs/>
        </w:rPr>
        <w:t>PSCR</w:t>
      </w:r>
    </w:p>
    <w:p w14:paraId="14D3EB25" w14:textId="2BAAD552" w:rsidR="000B447E" w:rsidRPr="00346867" w:rsidRDefault="000B447E" w:rsidP="00236876">
      <w:pPr>
        <w:pStyle w:val="3-BodyText"/>
        <w:rPr>
          <w:snapToGrid/>
        </w:rPr>
      </w:pPr>
      <w:r w:rsidRPr="00346867">
        <w:rPr>
          <w:snapToGrid/>
        </w:rPr>
        <w:t xml:space="preserve">For patients who had received prior NAC, the median duration of DFS was 25.8 months in the nivolumab arm (95% confidence interval (CI): 16.3, 55.2) and 8.2 months in the placebo arm (95% CI: 5.6, 10.8). This difference (17.6 months) corresponded to a statistically significant 46% reduction in the hazard of recurrence or death </w:t>
      </w:r>
      <w:r w:rsidR="00D835A7" w:rsidRPr="00D835A7">
        <w:rPr>
          <w:snapToGrid/>
        </w:rPr>
        <w:t>favouring</w:t>
      </w:r>
      <w:r w:rsidRPr="00346867">
        <w:rPr>
          <w:snapToGrid/>
        </w:rPr>
        <w:t xml:space="preserve"> nivolumab (hazard ratio (HR)</w:t>
      </w:r>
      <w:r w:rsidR="00577EA4" w:rsidRPr="00346867">
        <w:rPr>
          <w:snapToGrid/>
        </w:rPr>
        <w:t>:</w:t>
      </w:r>
      <w:r w:rsidRPr="00346867">
        <w:rPr>
          <w:snapToGrid/>
        </w:rPr>
        <w:t xml:space="preserve"> 0.54, 95% CI: 0.41, 0.72). At 6 months, the DFS rates (</w:t>
      </w:r>
      <w:r w:rsidR="00577EA4" w:rsidRPr="00346867">
        <w:rPr>
          <w:snapToGrid/>
        </w:rPr>
        <w:t>Kaplan Meier (</w:t>
      </w:r>
      <w:r w:rsidRPr="00346867">
        <w:rPr>
          <w:snapToGrid/>
        </w:rPr>
        <w:t>KM</w:t>
      </w:r>
      <w:r w:rsidR="00577EA4" w:rsidRPr="00346867">
        <w:rPr>
          <w:snapToGrid/>
        </w:rPr>
        <w:t>)</w:t>
      </w:r>
      <w:r w:rsidRPr="00346867">
        <w:rPr>
          <w:snapToGrid/>
        </w:rPr>
        <w:t xml:space="preserve"> event</w:t>
      </w:r>
      <w:r w:rsidR="002B4C4E" w:rsidRPr="00346867">
        <w:rPr>
          <w:snapToGrid/>
        </w:rPr>
        <w:t>-</w:t>
      </w:r>
      <w:r w:rsidRPr="00346867">
        <w:rPr>
          <w:snapToGrid/>
        </w:rPr>
        <w:t xml:space="preserve">free rates) were 78.2% and 53.9% (difference of 24.3%) in the nivolumab and placebo arms, respectively. </w:t>
      </w:r>
      <w:r w:rsidR="00340673" w:rsidRPr="00346867">
        <w:rPr>
          <w:snapToGrid/>
        </w:rPr>
        <w:t>The PSCR provided DFS rates up to 30 months (</w:t>
      </w:r>
      <w:r w:rsidR="00340673" w:rsidRPr="00F92E56">
        <w:rPr>
          <w:snapToGrid/>
        </w:rPr>
        <w:fldChar w:fldCharType="begin" w:fldLock="1"/>
      </w:r>
      <w:r w:rsidR="00340673" w:rsidRPr="00F92E56">
        <w:rPr>
          <w:snapToGrid/>
        </w:rPr>
        <w:instrText xml:space="preserve"> REF _Ref141541075 \h  \* MERGEFORMAT </w:instrText>
      </w:r>
      <w:r w:rsidR="00340673" w:rsidRPr="00F92E56">
        <w:rPr>
          <w:snapToGrid/>
        </w:rPr>
      </w:r>
      <w:r w:rsidR="00340673" w:rsidRPr="00F92E56">
        <w:rPr>
          <w:snapToGrid/>
        </w:rPr>
        <w:fldChar w:fldCharType="separate"/>
      </w:r>
      <w:r w:rsidR="0096718A" w:rsidRPr="00F92E56">
        <w:t xml:space="preserve">Table </w:t>
      </w:r>
      <w:r w:rsidR="0096718A" w:rsidRPr="00346867">
        <w:t>7</w:t>
      </w:r>
      <w:r w:rsidR="00340673" w:rsidRPr="00F92E56">
        <w:rPr>
          <w:snapToGrid/>
        </w:rPr>
        <w:fldChar w:fldCharType="end"/>
      </w:r>
      <w:r w:rsidR="00340673" w:rsidRPr="00F92E56">
        <w:rPr>
          <w:snapToGrid/>
        </w:rPr>
        <w:t>).</w:t>
      </w:r>
    </w:p>
    <w:p w14:paraId="53EE08A1" w14:textId="200D506A" w:rsidR="000B447E" w:rsidRPr="00F92E56" w:rsidRDefault="000B447E" w:rsidP="00236876">
      <w:pPr>
        <w:pStyle w:val="3-BodyText"/>
      </w:pPr>
      <w:r w:rsidRPr="00346867">
        <w:rPr>
          <w:snapToGrid/>
        </w:rPr>
        <w:t xml:space="preserve">The observed magnitude of DFS benefit associated with nivolumab </w:t>
      </w:r>
      <w:r w:rsidR="00577EA4" w:rsidRPr="00346867">
        <w:rPr>
          <w:snapToGrid/>
        </w:rPr>
        <w:t xml:space="preserve">over placebo </w:t>
      </w:r>
      <w:r w:rsidRPr="00346867">
        <w:rPr>
          <w:snapToGrid/>
        </w:rPr>
        <w:t>was much smaller in the complement ‘no prior NAC’ sub</w:t>
      </w:r>
      <w:r w:rsidR="00577EA4" w:rsidRPr="00346867">
        <w:rPr>
          <w:snapToGrid/>
        </w:rPr>
        <w:t>group</w:t>
      </w:r>
      <w:r w:rsidRPr="00346867">
        <w:rPr>
          <w:snapToGrid/>
        </w:rPr>
        <w:t>. The reduction in hazard of recurrence or death associated with nivolumab versus placebo was a modest 12% which was not statistically significant (difference in median DFS</w:t>
      </w:r>
      <w:r w:rsidR="00577EA4" w:rsidRPr="00346867">
        <w:rPr>
          <w:snapToGrid/>
        </w:rPr>
        <w:t>:</w:t>
      </w:r>
      <w:r w:rsidRPr="00346867">
        <w:rPr>
          <w:snapToGrid/>
        </w:rPr>
        <w:t xml:space="preserve"> 4.5 months; HR</w:t>
      </w:r>
      <w:r w:rsidR="00577EA4" w:rsidRPr="00346867">
        <w:rPr>
          <w:snapToGrid/>
        </w:rPr>
        <w:t>:</w:t>
      </w:r>
      <w:r w:rsidRPr="00346867">
        <w:rPr>
          <w:snapToGrid/>
        </w:rPr>
        <w:t xml:space="preserve"> 0.88, 95% CI: 0.68, 1.14). Notably, the median DFS duration in the placebo arm of the </w:t>
      </w:r>
      <w:r w:rsidR="00F75362" w:rsidRPr="00346867">
        <w:rPr>
          <w:snapToGrid/>
        </w:rPr>
        <w:t>‘</w:t>
      </w:r>
      <w:r w:rsidRPr="00346867">
        <w:rPr>
          <w:snapToGrid/>
        </w:rPr>
        <w:t>no prior NAC</w:t>
      </w:r>
      <w:r w:rsidR="00F75362" w:rsidRPr="00346867">
        <w:rPr>
          <w:snapToGrid/>
        </w:rPr>
        <w:t>’</w:t>
      </w:r>
      <w:r w:rsidRPr="00346867">
        <w:rPr>
          <w:snapToGrid/>
        </w:rPr>
        <w:t xml:space="preserve"> sub</w:t>
      </w:r>
      <w:r w:rsidR="00577EA4" w:rsidRPr="00346867">
        <w:rPr>
          <w:snapToGrid/>
        </w:rPr>
        <w:t>group</w:t>
      </w:r>
      <w:r w:rsidRPr="00346867">
        <w:rPr>
          <w:snapToGrid/>
        </w:rPr>
        <w:t xml:space="preserve"> (16.7 months) was at least two-fold longer that observed in the placebo arm of the prior NAC sub</w:t>
      </w:r>
      <w:r w:rsidR="00756E45" w:rsidRPr="00346867">
        <w:rPr>
          <w:snapToGrid/>
        </w:rPr>
        <w:t>group</w:t>
      </w:r>
      <w:r w:rsidRPr="00346867">
        <w:rPr>
          <w:snapToGrid/>
        </w:rPr>
        <w:t xml:space="preserve"> (8.2 months). On the other hand, the median DFS in the nivolumab arm was longer in the prior NAC (25.8 months) versus no prior NAC (21.2 months) sub</w:t>
      </w:r>
      <w:r w:rsidR="00756E45" w:rsidRPr="00346867">
        <w:rPr>
          <w:snapToGrid/>
        </w:rPr>
        <w:t>groups</w:t>
      </w:r>
      <w:r w:rsidRPr="00346867">
        <w:rPr>
          <w:snapToGrid/>
        </w:rPr>
        <w:t xml:space="preserve">. There were remarkable differences in baseline characteristics between the prior NAC and no prior NAC patient populations which </w:t>
      </w:r>
      <w:r w:rsidRPr="00346867">
        <w:rPr>
          <w:snapToGrid/>
        </w:rPr>
        <w:lastRenderedPageBreak/>
        <w:t>make comparisons difficult.</w:t>
      </w:r>
      <w:r w:rsidR="00D66C32" w:rsidRPr="00346867">
        <w:rPr>
          <w:snapToGrid/>
        </w:rPr>
        <w:t xml:space="preserve"> </w:t>
      </w:r>
      <w:r w:rsidR="004550AA" w:rsidRPr="00346867">
        <w:rPr>
          <w:snapToGrid/>
        </w:rPr>
        <w:t xml:space="preserve">For example, for the placebo arms in the prior NAC vs. no prior NAC subgroups, </w:t>
      </w:r>
      <w:r w:rsidR="00D66C32" w:rsidRPr="00346867">
        <w:rPr>
          <w:snapToGrid/>
        </w:rPr>
        <w:t xml:space="preserve">differences included (non-exhaustive) </w:t>
      </w:r>
      <w:r w:rsidR="004550AA" w:rsidRPr="00346867">
        <w:rPr>
          <w:snapToGrid/>
        </w:rPr>
        <w:t xml:space="preserve">patient’s </w:t>
      </w:r>
      <w:r w:rsidR="00D66C32" w:rsidRPr="00346867">
        <w:rPr>
          <w:snapToGrid/>
        </w:rPr>
        <w:t>age &lt; 65 years (53.2% vs. 26.3%), Asian race (12.7% vs. 27.8%), ECOG PS of 0 (69.6% vs. 56.1%), UTUC</w:t>
      </w:r>
      <w:r w:rsidR="004550AA" w:rsidRPr="00346867">
        <w:rPr>
          <w:snapToGrid/>
        </w:rPr>
        <w:t xml:space="preserve"> </w:t>
      </w:r>
      <w:r w:rsidR="004550AA" w:rsidRPr="00F92E56">
        <w:rPr>
          <w:snapToGrid/>
        </w:rPr>
        <w:t>tumour</w:t>
      </w:r>
      <w:r w:rsidR="004550AA" w:rsidRPr="00346867">
        <w:rPr>
          <w:snapToGrid/>
        </w:rPr>
        <w:t xml:space="preserve"> type</w:t>
      </w:r>
      <w:r w:rsidR="00D66C32" w:rsidRPr="00346867">
        <w:rPr>
          <w:snapToGrid/>
        </w:rPr>
        <w:t xml:space="preserve"> (8.2% vs. 31.3%), pathological stage pT3/pT4a at resection (58.9% vs 87.4%)</w:t>
      </w:r>
      <w:r w:rsidR="004550AA" w:rsidRPr="00346867">
        <w:rPr>
          <w:snapToGrid/>
        </w:rPr>
        <w:t>, and nodal stage at resection (N0/X with &lt;10 nodes removed: 16.5% vs. 36.9%; N3: 9.5% vs. 2.5%).</w:t>
      </w:r>
    </w:p>
    <w:p w14:paraId="4F2B799E" w14:textId="625DD47E" w:rsidR="000B447E" w:rsidRPr="00346867" w:rsidRDefault="000B447E" w:rsidP="00236876">
      <w:pPr>
        <w:pStyle w:val="3-BodyText"/>
      </w:pPr>
      <w:r w:rsidRPr="00346867">
        <w:rPr>
          <w:snapToGrid/>
        </w:rPr>
        <w:t xml:space="preserve">For comparative purposes, the </w:t>
      </w:r>
      <w:r w:rsidR="00756E45" w:rsidRPr="00346867">
        <w:rPr>
          <w:snapToGrid/>
        </w:rPr>
        <w:t>KM</w:t>
      </w:r>
      <w:r w:rsidRPr="00346867">
        <w:rPr>
          <w:snapToGrid/>
        </w:rPr>
        <w:t xml:space="preserve"> curves for DFS in the ITT population presented in the previous submission </w:t>
      </w:r>
      <w:r w:rsidR="00B90C14" w:rsidRPr="00346867">
        <w:rPr>
          <w:snapToGrid/>
        </w:rPr>
        <w:t xml:space="preserve">(data cutoff February 2021) </w:t>
      </w:r>
      <w:r w:rsidRPr="00346867">
        <w:rPr>
          <w:snapToGrid/>
        </w:rPr>
        <w:t xml:space="preserve">and the </w:t>
      </w:r>
      <w:r w:rsidR="00756E45" w:rsidRPr="00346867">
        <w:rPr>
          <w:snapToGrid/>
        </w:rPr>
        <w:t>KM</w:t>
      </w:r>
      <w:r w:rsidRPr="00346867">
        <w:rPr>
          <w:snapToGrid/>
        </w:rPr>
        <w:t xml:space="preserve"> curves for the prior NAC subgroup presented in the resubmission </w:t>
      </w:r>
      <w:r w:rsidR="00B90C14" w:rsidRPr="00346867">
        <w:rPr>
          <w:snapToGrid/>
        </w:rPr>
        <w:t xml:space="preserve">(data cutoff September 2022) </w:t>
      </w:r>
      <w:r w:rsidRPr="00346867">
        <w:rPr>
          <w:snapToGrid/>
        </w:rPr>
        <w:t xml:space="preserve">are depicted in </w:t>
      </w:r>
      <w:r w:rsidR="00A00FC9" w:rsidRPr="00346867">
        <w:rPr>
          <w:snapToGrid/>
        </w:rPr>
        <w:fldChar w:fldCharType="begin" w:fldLock="1"/>
      </w:r>
      <w:r w:rsidR="00A00FC9" w:rsidRPr="00346867">
        <w:rPr>
          <w:snapToGrid/>
        </w:rPr>
        <w:instrText xml:space="preserve"> REF _Ref141541849 \h </w:instrText>
      </w:r>
      <w:r w:rsidR="00101C8F" w:rsidRPr="00346867">
        <w:rPr>
          <w:snapToGrid/>
        </w:rPr>
        <w:instrText xml:space="preserve"> \* MERGEFORMAT </w:instrText>
      </w:r>
      <w:r w:rsidR="00A00FC9" w:rsidRPr="00346867">
        <w:rPr>
          <w:snapToGrid/>
        </w:rPr>
      </w:r>
      <w:r w:rsidR="00A00FC9" w:rsidRPr="00346867">
        <w:rPr>
          <w:snapToGrid/>
        </w:rPr>
        <w:fldChar w:fldCharType="separate"/>
      </w:r>
      <w:r w:rsidR="0096718A" w:rsidRPr="00F92E56">
        <w:t xml:space="preserve">Figure </w:t>
      </w:r>
      <w:r w:rsidR="0096718A" w:rsidRPr="00346867">
        <w:t>1</w:t>
      </w:r>
      <w:r w:rsidR="00A00FC9" w:rsidRPr="00346867">
        <w:rPr>
          <w:snapToGrid/>
        </w:rPr>
        <w:fldChar w:fldCharType="end"/>
      </w:r>
      <w:r w:rsidRPr="00346867">
        <w:rPr>
          <w:snapToGrid/>
        </w:rPr>
        <w:t>.</w:t>
      </w:r>
      <w:r w:rsidR="00101C8F" w:rsidRPr="00346867">
        <w:rPr>
          <w:snapToGrid/>
        </w:rPr>
        <w:t xml:space="preserve"> No </w:t>
      </w:r>
      <w:r w:rsidR="00756E45" w:rsidRPr="00346867">
        <w:rPr>
          <w:snapToGrid/>
        </w:rPr>
        <w:t>KM</w:t>
      </w:r>
      <w:r w:rsidR="00101C8F" w:rsidRPr="00346867">
        <w:rPr>
          <w:snapToGrid/>
        </w:rPr>
        <w:t xml:space="preserve"> curves for DFS were provided in the resubmission for the no </w:t>
      </w:r>
      <w:r w:rsidR="00F75362" w:rsidRPr="00346867">
        <w:rPr>
          <w:snapToGrid/>
        </w:rPr>
        <w:t xml:space="preserve">prior </w:t>
      </w:r>
      <w:r w:rsidR="00101C8F" w:rsidRPr="00346867">
        <w:rPr>
          <w:snapToGrid/>
        </w:rPr>
        <w:t xml:space="preserve">NAC </w:t>
      </w:r>
      <w:r w:rsidR="00F75362" w:rsidRPr="00346867">
        <w:rPr>
          <w:snapToGrid/>
        </w:rPr>
        <w:t>sub</w:t>
      </w:r>
      <w:r w:rsidR="00756E45" w:rsidRPr="00346867">
        <w:rPr>
          <w:snapToGrid/>
        </w:rPr>
        <w:t>group</w:t>
      </w:r>
      <w:r w:rsidR="00101C8F" w:rsidRPr="00346867">
        <w:rPr>
          <w:snapToGrid/>
        </w:rPr>
        <w:t>.</w:t>
      </w:r>
      <w:r w:rsidR="00A900CF" w:rsidRPr="00346867">
        <w:rPr>
          <w:snapToGrid/>
        </w:rPr>
        <w:t xml:space="preserve"> </w:t>
      </w:r>
    </w:p>
    <w:p w14:paraId="44BEB3EE" w14:textId="1E2F1E71" w:rsidR="000B447E" w:rsidRPr="00F92E56" w:rsidRDefault="000B447E" w:rsidP="000B447E">
      <w:pPr>
        <w:pStyle w:val="Caption"/>
      </w:pPr>
      <w:bookmarkStart w:id="29" w:name="_Ref141541849"/>
      <w:r w:rsidRPr="00F92E56">
        <w:t xml:space="preserve">Figure </w:t>
      </w:r>
      <w:r w:rsidR="001D78FA">
        <w:fldChar w:fldCharType="begin" w:fldLock="1"/>
      </w:r>
      <w:r w:rsidR="001D78FA">
        <w:instrText xml:space="preserve"> SEQ Figure \* ARABIC </w:instrText>
      </w:r>
      <w:r w:rsidR="001D78FA">
        <w:fldChar w:fldCharType="separate"/>
      </w:r>
      <w:r w:rsidR="0096718A" w:rsidRPr="00346867">
        <w:t>1</w:t>
      </w:r>
      <w:r w:rsidR="001D78FA">
        <w:fldChar w:fldCharType="end"/>
      </w:r>
      <w:bookmarkEnd w:id="29"/>
      <w:r w:rsidRPr="00F92E56">
        <w:t xml:space="preserve">: </w:t>
      </w:r>
      <w:bookmarkStart w:id="30" w:name="_Hlk141698942"/>
      <w:r w:rsidRPr="00F92E56">
        <w:t>CM274 – Kaplan-Meier curves for DFS – ITT population (previous submission) vs</w:t>
      </w:r>
      <w:r w:rsidR="00B90C14" w:rsidRPr="00F92E56">
        <w:t>.</w:t>
      </w:r>
      <w:r w:rsidRPr="00F92E56">
        <w:t xml:space="preserve"> prior NAC subgroup (resubmission)</w:t>
      </w:r>
    </w:p>
    <w:p w14:paraId="3F2B2874" w14:textId="4DFB9221" w:rsidR="007B5EAC" w:rsidRPr="00F92E56" w:rsidRDefault="007B5EAC" w:rsidP="007B5EAC">
      <w:r w:rsidRPr="00D27E62">
        <w:rPr>
          <w:noProof/>
        </w:rPr>
        <w:drawing>
          <wp:inline distT="0" distB="0" distL="0" distR="0" wp14:anchorId="4721D394" wp14:editId="58A97962">
            <wp:extent cx="5732145" cy="3295650"/>
            <wp:effectExtent l="0" t="0" r="1905" b="0"/>
            <wp:docPr id="12" name="Picture 12"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aph with numbers and lines&#10;&#10;Description automatically generated"/>
                    <pic:cNvPicPr/>
                  </pic:nvPicPr>
                  <pic:blipFill>
                    <a:blip r:embed="rId8"/>
                    <a:stretch>
                      <a:fillRect/>
                    </a:stretch>
                  </pic:blipFill>
                  <pic:spPr>
                    <a:xfrm>
                      <a:off x="0" y="0"/>
                      <a:ext cx="5732145" cy="3295650"/>
                    </a:xfrm>
                    <a:prstGeom prst="rect">
                      <a:avLst/>
                    </a:prstGeom>
                  </pic:spPr>
                </pic:pic>
              </a:graphicData>
            </a:graphic>
          </wp:inline>
        </w:drawing>
      </w:r>
    </w:p>
    <w:p w14:paraId="00379A64" w14:textId="2D3F4AD7" w:rsidR="000B447E" w:rsidRPr="00F92E56" w:rsidRDefault="000B447E" w:rsidP="000B447E">
      <w:pPr>
        <w:pStyle w:val="TableFooter"/>
      </w:pPr>
      <w:r w:rsidRPr="00F92E56">
        <w:t>Source: Compiled during the evaluation from Figure 5, p65 of the resubmission and Figure 12, p72 of the previous submission (</w:t>
      </w:r>
      <w:r w:rsidR="002D492E" w:rsidRPr="00F92E56">
        <w:t xml:space="preserve">considered at the </w:t>
      </w:r>
      <w:r w:rsidRPr="00F92E56">
        <w:t>July 2022 PBAC meeting).</w:t>
      </w:r>
    </w:p>
    <w:p w14:paraId="6810F8C4" w14:textId="77777777" w:rsidR="00B90C14" w:rsidRPr="00346867" w:rsidRDefault="00B90C14" w:rsidP="00B90C14">
      <w:pPr>
        <w:pStyle w:val="TableFooter"/>
      </w:pPr>
      <w:r w:rsidRPr="00F92E56">
        <w:t>DFS = disease-free survival; ITT = intention-to-treat; NAC = neoadjuvant platinum-based chemotherapy; Nivo = nivolumab; PBO = placebo</w:t>
      </w:r>
    </w:p>
    <w:p w14:paraId="702A991C" w14:textId="099DEC5A" w:rsidR="000B447E" w:rsidRPr="00F92E56" w:rsidRDefault="007B5EAC" w:rsidP="000B447E">
      <w:pPr>
        <w:pStyle w:val="TableFooter"/>
      </w:pPr>
      <w:r w:rsidRPr="00F92E56">
        <w:rPr>
          <w:vertAlign w:val="superscript"/>
        </w:rPr>
        <w:t>a</w:t>
      </w:r>
      <w:r w:rsidR="000B447E" w:rsidRPr="00F92E56">
        <w:t>Previous submission: Data cutoff was February 2021</w:t>
      </w:r>
      <w:r w:rsidRPr="00F92E56">
        <w:t xml:space="preserve"> (median follow-up Nivo 24.4 months and PBO 22.5 months)</w:t>
      </w:r>
    </w:p>
    <w:p w14:paraId="2D40BC83" w14:textId="3C46C181" w:rsidR="000B447E" w:rsidRPr="00F92E56" w:rsidRDefault="007B5EAC" w:rsidP="00C76B7E">
      <w:pPr>
        <w:pStyle w:val="TableFooter"/>
        <w:spacing w:after="120"/>
      </w:pPr>
      <w:r w:rsidRPr="00F92E56">
        <w:rPr>
          <w:vertAlign w:val="superscript"/>
        </w:rPr>
        <w:t>b</w:t>
      </w:r>
      <w:r w:rsidR="000B447E" w:rsidRPr="00F92E56">
        <w:t xml:space="preserve">Resubmission: Data cutoff </w:t>
      </w:r>
      <w:r w:rsidR="00250B90" w:rsidRPr="00F92E56">
        <w:t>was</w:t>
      </w:r>
      <w:r w:rsidR="000B447E" w:rsidRPr="00F92E56">
        <w:t xml:space="preserve"> </w:t>
      </w:r>
      <w:r w:rsidRPr="00F92E56">
        <w:t>September</w:t>
      </w:r>
      <w:r w:rsidR="000B447E" w:rsidRPr="00F92E56">
        <w:t xml:space="preserve"> 2022</w:t>
      </w:r>
      <w:r w:rsidR="0038566E" w:rsidRPr="00F92E56">
        <w:t>. Median follow-up for the ITT 36.1 months</w:t>
      </w:r>
      <w:r w:rsidR="00785872" w:rsidRPr="00785872">
        <w:t xml:space="preserve"> </w:t>
      </w:r>
      <w:r w:rsidRPr="00F92E56">
        <w:t>(Nivo 37.4 months and PBO 33.9 months)</w:t>
      </w:r>
    </w:p>
    <w:bookmarkEnd w:id="30"/>
    <w:p w14:paraId="5C9B739D" w14:textId="4E410C00" w:rsidR="00101C8F" w:rsidRPr="00F92E56" w:rsidRDefault="00101C8F" w:rsidP="00236876">
      <w:pPr>
        <w:pStyle w:val="3-BodyText"/>
      </w:pPr>
      <w:r w:rsidRPr="00F92E56">
        <w:t>Results for the secondary/exploratory outcomes of NUTRFS and DMFS by prior use of NAC</w:t>
      </w:r>
      <w:r w:rsidR="00E97DD6" w:rsidRPr="00F92E56">
        <w:t>, at the updated data cutoff September 2022,</w:t>
      </w:r>
      <w:r w:rsidRPr="00F92E56">
        <w:t xml:space="preserve"> are summarised in </w:t>
      </w:r>
      <w:r w:rsidRPr="00F92E56">
        <w:fldChar w:fldCharType="begin" w:fldLock="1"/>
      </w:r>
      <w:r w:rsidRPr="00F92E56">
        <w:instrText xml:space="preserve"> REF _Ref141542380 \h </w:instrText>
      </w:r>
      <w:r w:rsidR="00D82455" w:rsidRPr="00F92E56">
        <w:instrText xml:space="preserve"> \* MERGEFORMAT </w:instrText>
      </w:r>
      <w:r w:rsidRPr="00F92E56">
        <w:fldChar w:fldCharType="separate"/>
      </w:r>
      <w:r w:rsidR="0096718A" w:rsidRPr="00F92E56">
        <w:t xml:space="preserve">Table </w:t>
      </w:r>
      <w:r w:rsidR="0096718A" w:rsidRPr="00346867">
        <w:t>8</w:t>
      </w:r>
      <w:r w:rsidRPr="00F92E56">
        <w:fldChar w:fldCharType="end"/>
      </w:r>
      <w:r w:rsidRPr="00F92E56">
        <w:t xml:space="preserve">. The corresponding KM curves for NUTRFS and DMFS are presented in </w:t>
      </w:r>
      <w:r w:rsidRPr="00F92E56">
        <w:fldChar w:fldCharType="begin" w:fldLock="1"/>
      </w:r>
      <w:r w:rsidRPr="00F92E56">
        <w:instrText xml:space="preserve"> REF _Ref141542427 \h </w:instrText>
      </w:r>
      <w:r w:rsidR="00D82455" w:rsidRPr="00F92E56">
        <w:instrText xml:space="preserve"> \* MERGEFORMAT </w:instrText>
      </w:r>
      <w:r w:rsidRPr="00F92E56">
        <w:fldChar w:fldCharType="separate"/>
      </w:r>
      <w:r w:rsidR="0096718A" w:rsidRPr="00F92E56">
        <w:t xml:space="preserve">Figure </w:t>
      </w:r>
      <w:r w:rsidR="0096718A" w:rsidRPr="00346867">
        <w:t>2</w:t>
      </w:r>
      <w:r w:rsidRPr="00F92E56">
        <w:fldChar w:fldCharType="end"/>
      </w:r>
      <w:r w:rsidRPr="00F92E56">
        <w:t xml:space="preserve"> and </w:t>
      </w:r>
      <w:r w:rsidRPr="00F92E56">
        <w:fldChar w:fldCharType="begin" w:fldLock="1"/>
      </w:r>
      <w:r w:rsidRPr="00F92E56">
        <w:instrText xml:space="preserve"> REF _Ref141542430 \h </w:instrText>
      </w:r>
      <w:r w:rsidR="00D82455" w:rsidRPr="00F92E56">
        <w:instrText xml:space="preserve"> \* MERGEFORMAT </w:instrText>
      </w:r>
      <w:r w:rsidRPr="00F92E56">
        <w:fldChar w:fldCharType="separate"/>
      </w:r>
      <w:r w:rsidR="0096718A" w:rsidRPr="00F92E56">
        <w:t xml:space="preserve">Figure </w:t>
      </w:r>
      <w:r w:rsidR="0096718A" w:rsidRPr="00346867">
        <w:t>3</w:t>
      </w:r>
      <w:r w:rsidRPr="00F92E56">
        <w:fldChar w:fldCharType="end"/>
      </w:r>
      <w:r w:rsidRPr="00F92E56">
        <w:t>, respectively.</w:t>
      </w:r>
    </w:p>
    <w:p w14:paraId="296D9670" w14:textId="24A4CCD8" w:rsidR="00101C8F" w:rsidRPr="00F92E56" w:rsidRDefault="00101C8F" w:rsidP="00BE4591">
      <w:pPr>
        <w:pStyle w:val="Caption"/>
      </w:pPr>
      <w:bookmarkStart w:id="31" w:name="_Ref141542380"/>
      <w:r w:rsidRPr="00F92E56">
        <w:lastRenderedPageBreak/>
        <w:t xml:space="preserve">Table </w:t>
      </w:r>
      <w:r w:rsidR="001D78FA">
        <w:fldChar w:fldCharType="begin" w:fldLock="1"/>
      </w:r>
      <w:r w:rsidR="001D78FA">
        <w:instrText xml:space="preserve"> SEQ Table \* ARABIC </w:instrText>
      </w:r>
      <w:r w:rsidR="001D78FA">
        <w:fldChar w:fldCharType="separate"/>
      </w:r>
      <w:r w:rsidR="0096718A" w:rsidRPr="00346867">
        <w:t>8</w:t>
      </w:r>
      <w:r w:rsidR="001D78FA">
        <w:fldChar w:fldCharType="end"/>
      </w:r>
      <w:bookmarkEnd w:id="31"/>
      <w:r w:rsidRPr="00F92E56">
        <w:t xml:space="preserve">: CM274 - Secondary/exploratory outcomes of NUTRFS and DMFS – by use of prior </w:t>
      </w:r>
      <w:r w:rsidR="00E97DD6" w:rsidRPr="00F92E56">
        <w:t>NAC</w:t>
      </w:r>
    </w:p>
    <w:tbl>
      <w:tblPr>
        <w:tblStyle w:val="TableGrid3"/>
        <w:tblW w:w="5028" w:type="pct"/>
        <w:tblLook w:val="04A0" w:firstRow="1" w:lastRow="0" w:firstColumn="1" w:lastColumn="0" w:noHBand="0" w:noVBand="1"/>
      </w:tblPr>
      <w:tblGrid>
        <w:gridCol w:w="2968"/>
        <w:gridCol w:w="1547"/>
        <w:gridCol w:w="1549"/>
        <w:gridCol w:w="1549"/>
        <w:gridCol w:w="1454"/>
      </w:tblGrid>
      <w:tr w:rsidR="00101C8F" w:rsidRPr="00F92E56" w14:paraId="20D680E5" w14:textId="77777777" w:rsidTr="00EA6180">
        <w:trPr>
          <w:trHeight w:val="81"/>
        </w:trPr>
        <w:tc>
          <w:tcPr>
            <w:tcW w:w="1637" w:type="pct"/>
            <w:vMerge w:val="restart"/>
          </w:tcPr>
          <w:p w14:paraId="6C3118BB" w14:textId="77777777" w:rsidR="00101C8F" w:rsidRPr="00F92E56" w:rsidRDefault="00101C8F" w:rsidP="00BE4591">
            <w:pPr>
              <w:pStyle w:val="Tabletext"/>
              <w:keepNext/>
              <w:keepLines/>
              <w:rPr>
                <w:b/>
                <w:bCs/>
              </w:rPr>
            </w:pPr>
            <w:r w:rsidRPr="00F92E56">
              <w:rPr>
                <w:b/>
                <w:bCs/>
              </w:rPr>
              <w:t xml:space="preserve">Efficacy parameters </w:t>
            </w:r>
          </w:p>
        </w:tc>
        <w:tc>
          <w:tcPr>
            <w:tcW w:w="1707" w:type="pct"/>
            <w:gridSpan w:val="2"/>
          </w:tcPr>
          <w:p w14:paraId="328EBA2A" w14:textId="77777777" w:rsidR="00101C8F" w:rsidRPr="00F92E56" w:rsidRDefault="00101C8F" w:rsidP="00BE4591">
            <w:pPr>
              <w:pStyle w:val="Tabletext"/>
              <w:keepNext/>
              <w:keepLines/>
              <w:rPr>
                <w:b/>
                <w:bCs/>
              </w:rPr>
            </w:pPr>
            <w:r w:rsidRPr="00F92E56">
              <w:rPr>
                <w:b/>
                <w:bCs/>
              </w:rPr>
              <w:t xml:space="preserve">Prior NAC </w:t>
            </w:r>
          </w:p>
        </w:tc>
        <w:tc>
          <w:tcPr>
            <w:tcW w:w="1656" w:type="pct"/>
            <w:gridSpan w:val="2"/>
          </w:tcPr>
          <w:p w14:paraId="2888BD64" w14:textId="77777777" w:rsidR="00101C8F" w:rsidRPr="00F92E56" w:rsidRDefault="00101C8F" w:rsidP="00BE4591">
            <w:pPr>
              <w:pStyle w:val="Tabletext"/>
              <w:keepNext/>
              <w:keepLines/>
              <w:rPr>
                <w:b/>
                <w:bCs/>
              </w:rPr>
            </w:pPr>
            <w:r w:rsidRPr="00F92E56">
              <w:rPr>
                <w:b/>
                <w:bCs/>
              </w:rPr>
              <w:t>No prior NAC</w:t>
            </w:r>
          </w:p>
        </w:tc>
      </w:tr>
      <w:tr w:rsidR="00101C8F" w:rsidRPr="00F92E56" w14:paraId="0C4CA700" w14:textId="77777777" w:rsidTr="00EA6180">
        <w:trPr>
          <w:trHeight w:val="123"/>
        </w:trPr>
        <w:tc>
          <w:tcPr>
            <w:tcW w:w="1637" w:type="pct"/>
            <w:vMerge/>
          </w:tcPr>
          <w:p w14:paraId="601B8351" w14:textId="77777777" w:rsidR="00101C8F" w:rsidRPr="00F92E56" w:rsidRDefault="00101C8F" w:rsidP="00BE4591">
            <w:pPr>
              <w:pStyle w:val="Tabletext"/>
              <w:keepNext/>
              <w:keepLines/>
              <w:rPr>
                <w:b/>
                <w:bCs/>
              </w:rPr>
            </w:pPr>
          </w:p>
        </w:tc>
        <w:tc>
          <w:tcPr>
            <w:tcW w:w="853" w:type="pct"/>
          </w:tcPr>
          <w:p w14:paraId="1A89A820" w14:textId="77777777" w:rsidR="00101C8F" w:rsidRPr="00F92E56" w:rsidRDefault="00101C8F" w:rsidP="00BE4591">
            <w:pPr>
              <w:pStyle w:val="Tabletext"/>
              <w:keepNext/>
              <w:keepLines/>
              <w:rPr>
                <w:b/>
                <w:bCs/>
              </w:rPr>
            </w:pPr>
            <w:r w:rsidRPr="00F92E56">
              <w:rPr>
                <w:b/>
                <w:bCs/>
              </w:rPr>
              <w:t>NIVO (N=156)</w:t>
            </w:r>
          </w:p>
        </w:tc>
        <w:tc>
          <w:tcPr>
            <w:tcW w:w="854" w:type="pct"/>
          </w:tcPr>
          <w:p w14:paraId="2E03841B" w14:textId="77777777" w:rsidR="00101C8F" w:rsidRPr="00F92E56" w:rsidRDefault="00101C8F" w:rsidP="00BE4591">
            <w:pPr>
              <w:pStyle w:val="Tabletext"/>
              <w:keepNext/>
              <w:keepLines/>
              <w:rPr>
                <w:b/>
                <w:bCs/>
              </w:rPr>
            </w:pPr>
            <w:r w:rsidRPr="00F92E56">
              <w:rPr>
                <w:b/>
                <w:bCs/>
              </w:rPr>
              <w:t>PBO (N=158)</w:t>
            </w:r>
          </w:p>
        </w:tc>
        <w:tc>
          <w:tcPr>
            <w:tcW w:w="854" w:type="pct"/>
          </w:tcPr>
          <w:p w14:paraId="57EFC74A" w14:textId="77777777" w:rsidR="00101C8F" w:rsidRPr="00F92E56" w:rsidRDefault="00101C8F" w:rsidP="00BE4591">
            <w:pPr>
              <w:pStyle w:val="Tabletext"/>
              <w:keepNext/>
              <w:keepLines/>
              <w:rPr>
                <w:b/>
                <w:bCs/>
              </w:rPr>
            </w:pPr>
            <w:r w:rsidRPr="00F92E56">
              <w:rPr>
                <w:b/>
                <w:bCs/>
              </w:rPr>
              <w:t>NIVO (N=197)</w:t>
            </w:r>
          </w:p>
        </w:tc>
        <w:tc>
          <w:tcPr>
            <w:tcW w:w="802" w:type="pct"/>
          </w:tcPr>
          <w:p w14:paraId="24BD46AA" w14:textId="77777777" w:rsidR="00101C8F" w:rsidRPr="00F92E56" w:rsidRDefault="00101C8F" w:rsidP="00BE4591">
            <w:pPr>
              <w:pStyle w:val="Tabletext"/>
              <w:keepNext/>
              <w:keepLines/>
              <w:rPr>
                <w:b/>
                <w:bCs/>
              </w:rPr>
            </w:pPr>
            <w:r w:rsidRPr="00F92E56">
              <w:rPr>
                <w:b/>
                <w:bCs/>
              </w:rPr>
              <w:t>PBO (N=198)</w:t>
            </w:r>
          </w:p>
        </w:tc>
      </w:tr>
      <w:tr w:rsidR="00101C8F" w:rsidRPr="00F92E56" w14:paraId="2B88ABD2" w14:textId="77777777" w:rsidTr="00566A62">
        <w:trPr>
          <w:trHeight w:val="70"/>
        </w:trPr>
        <w:tc>
          <w:tcPr>
            <w:tcW w:w="5000" w:type="pct"/>
            <w:gridSpan w:val="5"/>
          </w:tcPr>
          <w:p w14:paraId="73AF6A29" w14:textId="77777777" w:rsidR="00101C8F" w:rsidRPr="00F92E56" w:rsidRDefault="00101C8F" w:rsidP="00BE4591">
            <w:pPr>
              <w:pStyle w:val="Tabletext"/>
              <w:keepNext/>
              <w:keepLines/>
              <w:rPr>
                <w:b/>
                <w:bCs/>
              </w:rPr>
            </w:pPr>
            <w:r w:rsidRPr="00F92E56">
              <w:rPr>
                <w:b/>
                <w:bCs/>
              </w:rPr>
              <w:t>NUTRFS</w:t>
            </w:r>
          </w:p>
        </w:tc>
      </w:tr>
      <w:tr w:rsidR="00101C8F" w:rsidRPr="00F92E56" w14:paraId="0AD4793C" w14:textId="77777777" w:rsidTr="00EA6180">
        <w:trPr>
          <w:trHeight w:val="70"/>
        </w:trPr>
        <w:tc>
          <w:tcPr>
            <w:tcW w:w="1637" w:type="pct"/>
          </w:tcPr>
          <w:p w14:paraId="353453C2" w14:textId="77777777" w:rsidR="00101C8F" w:rsidRPr="00F92E56" w:rsidRDefault="00101C8F" w:rsidP="00BE4591">
            <w:pPr>
              <w:pStyle w:val="Tabletext"/>
              <w:keepNext/>
              <w:keepLines/>
            </w:pPr>
            <w:r w:rsidRPr="00F92E56">
              <w:t>Events, n (%)</w:t>
            </w:r>
          </w:p>
        </w:tc>
        <w:tc>
          <w:tcPr>
            <w:tcW w:w="853" w:type="pct"/>
          </w:tcPr>
          <w:p w14:paraId="337E035B" w14:textId="77777777" w:rsidR="00101C8F" w:rsidRPr="00F92E56" w:rsidRDefault="00101C8F" w:rsidP="00BE4591">
            <w:pPr>
              <w:pStyle w:val="Tabletext"/>
              <w:keepNext/>
              <w:keepLines/>
            </w:pPr>
            <w:r w:rsidRPr="00F92E56">
              <w:t>80 (51.3)</w:t>
            </w:r>
          </w:p>
        </w:tc>
        <w:tc>
          <w:tcPr>
            <w:tcW w:w="854" w:type="pct"/>
          </w:tcPr>
          <w:p w14:paraId="045397A6" w14:textId="77777777" w:rsidR="00101C8F" w:rsidRPr="00F92E56" w:rsidRDefault="00101C8F" w:rsidP="00BE4591">
            <w:pPr>
              <w:pStyle w:val="Tabletext"/>
              <w:keepNext/>
              <w:keepLines/>
            </w:pPr>
            <w:r w:rsidRPr="00F92E56">
              <w:t>107 (67.7)</w:t>
            </w:r>
          </w:p>
        </w:tc>
        <w:tc>
          <w:tcPr>
            <w:tcW w:w="854" w:type="pct"/>
          </w:tcPr>
          <w:p w14:paraId="15ED69C3" w14:textId="77777777" w:rsidR="00101C8F" w:rsidRPr="00F92E56" w:rsidRDefault="00101C8F" w:rsidP="00BE4591">
            <w:pPr>
              <w:pStyle w:val="Tabletext"/>
              <w:keepNext/>
              <w:keepLines/>
            </w:pPr>
            <w:r w:rsidRPr="00F92E56">
              <w:t>104 (52.8)</w:t>
            </w:r>
          </w:p>
        </w:tc>
        <w:tc>
          <w:tcPr>
            <w:tcW w:w="802" w:type="pct"/>
          </w:tcPr>
          <w:p w14:paraId="4FFF28FE" w14:textId="77777777" w:rsidR="00101C8F" w:rsidRPr="00F92E56" w:rsidRDefault="00101C8F" w:rsidP="00BE4591">
            <w:pPr>
              <w:pStyle w:val="Tabletext"/>
              <w:keepNext/>
              <w:keepLines/>
            </w:pPr>
            <w:r w:rsidRPr="00F92E56">
              <w:t>110 (55.6)</w:t>
            </w:r>
          </w:p>
        </w:tc>
      </w:tr>
      <w:tr w:rsidR="00101C8F" w:rsidRPr="00F92E56" w14:paraId="690E0BD3" w14:textId="77777777" w:rsidTr="00EA6180">
        <w:tc>
          <w:tcPr>
            <w:tcW w:w="1637" w:type="pct"/>
          </w:tcPr>
          <w:p w14:paraId="143BA7ED" w14:textId="77777777" w:rsidR="00101C8F" w:rsidRPr="00F92E56" w:rsidRDefault="00101C8F" w:rsidP="00BE4591">
            <w:pPr>
              <w:pStyle w:val="Tabletext"/>
              <w:keepNext/>
              <w:keepLines/>
            </w:pPr>
            <w:r w:rsidRPr="00F92E56">
              <w:t>Median NUTRFS (95% CI), months</w:t>
            </w:r>
            <w:r w:rsidRPr="00F92E56">
              <w:rPr>
                <w:vertAlign w:val="superscript"/>
              </w:rPr>
              <w:t>a</w:t>
            </w:r>
          </w:p>
        </w:tc>
        <w:tc>
          <w:tcPr>
            <w:tcW w:w="853" w:type="pct"/>
          </w:tcPr>
          <w:p w14:paraId="4FA5DA41" w14:textId="44217B38" w:rsidR="00101C8F" w:rsidRPr="00F92E56" w:rsidRDefault="00101C8F" w:rsidP="00BE4591">
            <w:pPr>
              <w:pStyle w:val="Tabletext"/>
              <w:keepNext/>
              <w:keepLines/>
            </w:pPr>
            <w:r w:rsidRPr="00F92E56">
              <w:t>33.4 (16.5, NE)</w:t>
            </w:r>
          </w:p>
        </w:tc>
        <w:tc>
          <w:tcPr>
            <w:tcW w:w="854" w:type="pct"/>
          </w:tcPr>
          <w:p w14:paraId="28B2E16E" w14:textId="5380DB93" w:rsidR="00101C8F" w:rsidRPr="00F92E56" w:rsidRDefault="00101C8F" w:rsidP="00BE4591">
            <w:pPr>
              <w:pStyle w:val="Tabletext"/>
              <w:keepNext/>
              <w:keepLines/>
            </w:pPr>
            <w:r w:rsidRPr="00F92E56">
              <w:t>8.3 (5.8, 11.9)</w:t>
            </w:r>
          </w:p>
        </w:tc>
        <w:tc>
          <w:tcPr>
            <w:tcW w:w="854" w:type="pct"/>
          </w:tcPr>
          <w:p w14:paraId="717F0F6D" w14:textId="11747424" w:rsidR="00101C8F" w:rsidRPr="00F92E56" w:rsidRDefault="00101C8F" w:rsidP="00BE4591">
            <w:pPr>
              <w:pStyle w:val="Tabletext"/>
              <w:keepNext/>
              <w:keepLines/>
            </w:pPr>
            <w:r w:rsidRPr="00F92E56">
              <w:t>25.9 (19.4, 41.8)</w:t>
            </w:r>
          </w:p>
        </w:tc>
        <w:tc>
          <w:tcPr>
            <w:tcW w:w="802" w:type="pct"/>
          </w:tcPr>
          <w:p w14:paraId="327FB9F7" w14:textId="3B984579" w:rsidR="00101C8F" w:rsidRPr="00F92E56" w:rsidRDefault="00101C8F" w:rsidP="00BE4591">
            <w:pPr>
              <w:pStyle w:val="Tabletext"/>
              <w:keepNext/>
              <w:keepLines/>
            </w:pPr>
            <w:r w:rsidRPr="00F92E56">
              <w:t>21.2 (13.7, 39.9)</w:t>
            </w:r>
          </w:p>
        </w:tc>
      </w:tr>
      <w:tr w:rsidR="00101C8F" w:rsidRPr="00F92E56" w14:paraId="04FE7EB0" w14:textId="77777777" w:rsidTr="00EA6180">
        <w:tc>
          <w:tcPr>
            <w:tcW w:w="1637" w:type="pct"/>
          </w:tcPr>
          <w:p w14:paraId="5AE88859" w14:textId="77777777" w:rsidR="00101C8F" w:rsidRPr="00F92E56" w:rsidRDefault="00101C8F" w:rsidP="00BE4591">
            <w:pPr>
              <w:pStyle w:val="Tabletext"/>
              <w:keepNext/>
              <w:keepLines/>
            </w:pPr>
            <w:r w:rsidRPr="00F92E56">
              <w:t>HR</w:t>
            </w:r>
            <w:r w:rsidRPr="00F92E56">
              <w:rPr>
                <w:vertAlign w:val="superscript"/>
              </w:rPr>
              <w:t>b</w:t>
            </w:r>
            <w:r w:rsidRPr="00F92E56">
              <w:t xml:space="preserve"> (95% CI)</w:t>
            </w:r>
          </w:p>
        </w:tc>
        <w:tc>
          <w:tcPr>
            <w:tcW w:w="1707" w:type="pct"/>
            <w:gridSpan w:val="2"/>
          </w:tcPr>
          <w:p w14:paraId="25C3B159" w14:textId="77777777" w:rsidR="00101C8F" w:rsidRPr="00F92E56" w:rsidRDefault="00101C8F" w:rsidP="00BE4591">
            <w:pPr>
              <w:pStyle w:val="Tabletext"/>
              <w:keepNext/>
              <w:keepLines/>
            </w:pPr>
            <w:r w:rsidRPr="00F92E56">
              <w:t>0.57 (0.43, 0.76)</w:t>
            </w:r>
          </w:p>
        </w:tc>
        <w:tc>
          <w:tcPr>
            <w:tcW w:w="1656" w:type="pct"/>
            <w:gridSpan w:val="2"/>
          </w:tcPr>
          <w:p w14:paraId="5F777633" w14:textId="77777777" w:rsidR="00101C8F" w:rsidRPr="00F92E56" w:rsidRDefault="00101C8F" w:rsidP="00BE4591">
            <w:pPr>
              <w:pStyle w:val="Tabletext"/>
              <w:keepNext/>
              <w:keepLines/>
            </w:pPr>
            <w:r w:rsidRPr="00F92E56">
              <w:t>0.89 (0.68, 1.16)</w:t>
            </w:r>
          </w:p>
        </w:tc>
      </w:tr>
      <w:tr w:rsidR="00101C8F" w:rsidRPr="00F92E56" w14:paraId="0F0269D2" w14:textId="77777777" w:rsidTr="00EA6180">
        <w:tc>
          <w:tcPr>
            <w:tcW w:w="1637" w:type="pct"/>
          </w:tcPr>
          <w:p w14:paraId="15D7EA9B" w14:textId="5BADF5DE" w:rsidR="00101C8F" w:rsidRPr="00F92E56" w:rsidRDefault="00101C8F" w:rsidP="00BE4591">
            <w:pPr>
              <w:pStyle w:val="Tabletext"/>
              <w:keepNext/>
              <w:keepLines/>
            </w:pPr>
            <w:r w:rsidRPr="00F92E56">
              <w:t>Rate at 3 months</w:t>
            </w:r>
            <w:r w:rsidRPr="00F92E56">
              <w:rPr>
                <w:vertAlign w:val="superscript"/>
              </w:rPr>
              <w:t>a</w:t>
            </w:r>
            <w:r w:rsidRPr="00F92E56">
              <w:t>,</w:t>
            </w:r>
            <w:r w:rsidR="009A2CF2" w:rsidRPr="00F92E56">
              <w:t xml:space="preserve"> </w:t>
            </w:r>
            <w:r w:rsidRPr="00F92E56">
              <w:t>% (95% CI)</w:t>
            </w:r>
          </w:p>
        </w:tc>
        <w:tc>
          <w:tcPr>
            <w:tcW w:w="853" w:type="pct"/>
          </w:tcPr>
          <w:p w14:paraId="71A8D870" w14:textId="3BBE275B" w:rsidR="00101C8F" w:rsidRPr="00F92E56" w:rsidRDefault="00101C8F" w:rsidP="00BE4591">
            <w:pPr>
              <w:pStyle w:val="Tabletext"/>
              <w:keepNext/>
              <w:keepLines/>
            </w:pPr>
            <w:r w:rsidRPr="00F92E56">
              <w:t>87.5</w:t>
            </w:r>
            <w:r w:rsidR="009A2CF2" w:rsidRPr="00F92E56">
              <w:t xml:space="preserve"> </w:t>
            </w:r>
            <w:r w:rsidRPr="00F92E56">
              <w:t>(81.1, 91.8)</w:t>
            </w:r>
          </w:p>
        </w:tc>
        <w:tc>
          <w:tcPr>
            <w:tcW w:w="854" w:type="pct"/>
          </w:tcPr>
          <w:p w14:paraId="6BAC342A" w14:textId="08F8A282" w:rsidR="00101C8F" w:rsidRPr="00F92E56" w:rsidRDefault="00101C8F" w:rsidP="00BE4591">
            <w:pPr>
              <w:pStyle w:val="Tabletext"/>
              <w:keepNext/>
              <w:keepLines/>
            </w:pPr>
            <w:r w:rsidRPr="00F92E56">
              <w:t>70.3</w:t>
            </w:r>
            <w:r w:rsidR="009A2CF2" w:rsidRPr="00F92E56">
              <w:t xml:space="preserve"> </w:t>
            </w:r>
            <w:r w:rsidRPr="00F92E56">
              <w:t>(62.5, 76.9)</w:t>
            </w:r>
          </w:p>
        </w:tc>
        <w:tc>
          <w:tcPr>
            <w:tcW w:w="854" w:type="pct"/>
          </w:tcPr>
          <w:p w14:paraId="44D62AE5" w14:textId="457EFD8A" w:rsidR="00101C8F" w:rsidRPr="00F92E56" w:rsidRDefault="00101C8F" w:rsidP="00BE4591">
            <w:pPr>
              <w:pStyle w:val="Tabletext"/>
              <w:keepNext/>
              <w:keepLines/>
            </w:pPr>
            <w:r w:rsidRPr="00F92E56">
              <w:t>88.0</w:t>
            </w:r>
            <w:r w:rsidR="009A2CF2" w:rsidRPr="00F92E56">
              <w:t xml:space="preserve"> </w:t>
            </w:r>
            <w:r w:rsidRPr="00F92E56">
              <w:t>(82.4, 91.8)</w:t>
            </w:r>
          </w:p>
        </w:tc>
        <w:tc>
          <w:tcPr>
            <w:tcW w:w="802" w:type="pct"/>
          </w:tcPr>
          <w:p w14:paraId="77E45E4B" w14:textId="33D16655" w:rsidR="00101C8F" w:rsidRPr="00F92E56" w:rsidRDefault="00101C8F" w:rsidP="00BE4591">
            <w:pPr>
              <w:pStyle w:val="Tabletext"/>
              <w:keepNext/>
              <w:keepLines/>
            </w:pPr>
            <w:r w:rsidRPr="00F92E56">
              <w:t>80.6</w:t>
            </w:r>
            <w:r w:rsidR="009A2CF2" w:rsidRPr="00F92E56">
              <w:t xml:space="preserve"> </w:t>
            </w:r>
            <w:r w:rsidRPr="00F92E56">
              <w:t>(74.3, 85.6)</w:t>
            </w:r>
          </w:p>
        </w:tc>
      </w:tr>
      <w:tr w:rsidR="00101C8F" w:rsidRPr="00F92E56" w14:paraId="0E153BAB" w14:textId="77777777" w:rsidTr="00EA6180">
        <w:tc>
          <w:tcPr>
            <w:tcW w:w="1637" w:type="pct"/>
          </w:tcPr>
          <w:p w14:paraId="714EB1DF" w14:textId="034FA47F" w:rsidR="00101C8F" w:rsidRPr="00F92E56" w:rsidRDefault="00101C8F" w:rsidP="00BE4591">
            <w:pPr>
              <w:pStyle w:val="Tabletext"/>
              <w:keepNext/>
              <w:keepLines/>
            </w:pPr>
            <w:r w:rsidRPr="00F92E56">
              <w:t>Rate at 6 months</w:t>
            </w:r>
            <w:r w:rsidRPr="00F92E56">
              <w:rPr>
                <w:vertAlign w:val="superscript"/>
              </w:rPr>
              <w:t>a</w:t>
            </w:r>
            <w:r w:rsidRPr="00F92E56">
              <w:t>,</w:t>
            </w:r>
            <w:r w:rsidR="009A2CF2" w:rsidRPr="00F92E56">
              <w:t xml:space="preserve"> </w:t>
            </w:r>
            <w:r w:rsidRPr="00F92E56">
              <w:t>% (95% CI)</w:t>
            </w:r>
          </w:p>
        </w:tc>
        <w:tc>
          <w:tcPr>
            <w:tcW w:w="853" w:type="pct"/>
          </w:tcPr>
          <w:p w14:paraId="7A924705" w14:textId="216658E8" w:rsidR="00101C8F" w:rsidRPr="00F92E56" w:rsidRDefault="00101C8F" w:rsidP="00BE4591">
            <w:pPr>
              <w:pStyle w:val="Tabletext"/>
              <w:keepNext/>
              <w:keepLines/>
            </w:pPr>
            <w:r w:rsidRPr="00F92E56">
              <w:t>78.8</w:t>
            </w:r>
            <w:r w:rsidR="009A2CF2" w:rsidRPr="00F92E56">
              <w:t xml:space="preserve"> </w:t>
            </w:r>
            <w:r w:rsidRPr="00F92E56">
              <w:t>(71.4, 84.5)</w:t>
            </w:r>
          </w:p>
        </w:tc>
        <w:tc>
          <w:tcPr>
            <w:tcW w:w="854" w:type="pct"/>
          </w:tcPr>
          <w:p w14:paraId="2EC84571" w14:textId="6E6D7BAC" w:rsidR="00101C8F" w:rsidRPr="00F92E56" w:rsidRDefault="00101C8F" w:rsidP="00BE4591">
            <w:pPr>
              <w:pStyle w:val="Tabletext"/>
              <w:keepNext/>
              <w:keepLines/>
            </w:pPr>
            <w:r w:rsidRPr="00F92E56">
              <w:t>56.6</w:t>
            </w:r>
            <w:r w:rsidR="009A2CF2" w:rsidRPr="00F92E56">
              <w:t xml:space="preserve"> </w:t>
            </w:r>
            <w:r w:rsidRPr="00F92E56">
              <w:t>(48.4, 64.0)</w:t>
            </w:r>
          </w:p>
        </w:tc>
        <w:tc>
          <w:tcPr>
            <w:tcW w:w="854" w:type="pct"/>
          </w:tcPr>
          <w:p w14:paraId="717B3606" w14:textId="792E5996" w:rsidR="00101C8F" w:rsidRPr="00F92E56" w:rsidRDefault="00101C8F" w:rsidP="00BE4591">
            <w:pPr>
              <w:pStyle w:val="Tabletext"/>
              <w:keepNext/>
              <w:keepLines/>
            </w:pPr>
            <w:r w:rsidRPr="00F92E56">
              <w:t>75.8</w:t>
            </w:r>
            <w:r w:rsidR="009A2CF2" w:rsidRPr="00F92E56">
              <w:t xml:space="preserve"> </w:t>
            </w:r>
            <w:r w:rsidRPr="00F92E56">
              <w:t>(69.1, 81.3)</w:t>
            </w:r>
          </w:p>
        </w:tc>
        <w:tc>
          <w:tcPr>
            <w:tcW w:w="802" w:type="pct"/>
          </w:tcPr>
          <w:p w14:paraId="5874A61B" w14:textId="022FC31C" w:rsidR="00101C8F" w:rsidRPr="00F92E56" w:rsidRDefault="00101C8F" w:rsidP="00BE4591">
            <w:pPr>
              <w:pStyle w:val="Tabletext"/>
              <w:keepNext/>
              <w:keepLines/>
            </w:pPr>
            <w:r w:rsidRPr="00F92E56">
              <w:t>67.4</w:t>
            </w:r>
            <w:r w:rsidR="009A2CF2" w:rsidRPr="00F92E56">
              <w:t xml:space="preserve"> </w:t>
            </w:r>
            <w:r w:rsidRPr="00F92E56">
              <w:t>(60.2, 73.5)</w:t>
            </w:r>
          </w:p>
        </w:tc>
      </w:tr>
      <w:tr w:rsidR="00101C8F" w:rsidRPr="00F92E56" w14:paraId="69E3EA82" w14:textId="77777777" w:rsidTr="00566A62">
        <w:tc>
          <w:tcPr>
            <w:tcW w:w="5000" w:type="pct"/>
            <w:gridSpan w:val="5"/>
          </w:tcPr>
          <w:p w14:paraId="5F9ECB23" w14:textId="77777777" w:rsidR="00101C8F" w:rsidRPr="00F92E56" w:rsidRDefault="00101C8F" w:rsidP="00BE4591">
            <w:pPr>
              <w:pStyle w:val="Tabletext"/>
              <w:keepNext/>
              <w:keepLines/>
              <w:rPr>
                <w:b/>
                <w:bCs/>
              </w:rPr>
            </w:pPr>
            <w:r w:rsidRPr="00F92E56">
              <w:rPr>
                <w:b/>
                <w:bCs/>
              </w:rPr>
              <w:t>DMFS</w:t>
            </w:r>
          </w:p>
        </w:tc>
      </w:tr>
      <w:tr w:rsidR="00101C8F" w:rsidRPr="00F92E56" w14:paraId="6A7E5C30" w14:textId="77777777" w:rsidTr="00EA6180">
        <w:tc>
          <w:tcPr>
            <w:tcW w:w="1637" w:type="pct"/>
          </w:tcPr>
          <w:p w14:paraId="67A87389" w14:textId="77777777" w:rsidR="00101C8F" w:rsidRPr="00F92E56" w:rsidRDefault="00101C8F" w:rsidP="00BE4591">
            <w:pPr>
              <w:pStyle w:val="Tabletext"/>
              <w:keepNext/>
              <w:keepLines/>
            </w:pPr>
            <w:r w:rsidRPr="00F92E56">
              <w:t>Events, n (%)</w:t>
            </w:r>
          </w:p>
        </w:tc>
        <w:tc>
          <w:tcPr>
            <w:tcW w:w="853" w:type="pct"/>
          </w:tcPr>
          <w:p w14:paraId="446547B4" w14:textId="77777777" w:rsidR="00101C8F" w:rsidRPr="00F92E56" w:rsidRDefault="00101C8F" w:rsidP="00BE4591">
            <w:pPr>
              <w:pStyle w:val="Tabletext"/>
              <w:keepNext/>
              <w:keepLines/>
            </w:pPr>
            <w:r w:rsidRPr="00F92E56">
              <w:t>69 (44.2)</w:t>
            </w:r>
          </w:p>
        </w:tc>
        <w:tc>
          <w:tcPr>
            <w:tcW w:w="854" w:type="pct"/>
          </w:tcPr>
          <w:p w14:paraId="7C7CA4AC" w14:textId="77777777" w:rsidR="00101C8F" w:rsidRPr="00F92E56" w:rsidRDefault="00101C8F" w:rsidP="00BE4591">
            <w:pPr>
              <w:pStyle w:val="Tabletext"/>
              <w:keepNext/>
              <w:keepLines/>
            </w:pPr>
            <w:r w:rsidRPr="00F92E56">
              <w:t>85 (53.8)</w:t>
            </w:r>
          </w:p>
        </w:tc>
        <w:tc>
          <w:tcPr>
            <w:tcW w:w="854" w:type="pct"/>
          </w:tcPr>
          <w:p w14:paraId="54C643FC" w14:textId="77777777" w:rsidR="00101C8F" w:rsidRPr="00F92E56" w:rsidRDefault="00101C8F" w:rsidP="00BE4591">
            <w:pPr>
              <w:pStyle w:val="Tabletext"/>
              <w:keepNext/>
              <w:keepLines/>
            </w:pPr>
            <w:r w:rsidRPr="00F92E56">
              <w:t>86 (43.7)</w:t>
            </w:r>
          </w:p>
        </w:tc>
        <w:tc>
          <w:tcPr>
            <w:tcW w:w="802" w:type="pct"/>
          </w:tcPr>
          <w:p w14:paraId="552AEACB" w14:textId="77777777" w:rsidR="00101C8F" w:rsidRPr="00F92E56" w:rsidRDefault="00101C8F" w:rsidP="00BE4591">
            <w:pPr>
              <w:pStyle w:val="Tabletext"/>
              <w:keepNext/>
              <w:keepLines/>
            </w:pPr>
            <w:r w:rsidRPr="00F92E56">
              <w:t>92 (46.5)</w:t>
            </w:r>
          </w:p>
        </w:tc>
      </w:tr>
      <w:tr w:rsidR="00101C8F" w:rsidRPr="00F92E56" w14:paraId="3AAF6634" w14:textId="77777777" w:rsidTr="00EA6180">
        <w:tc>
          <w:tcPr>
            <w:tcW w:w="1637" w:type="pct"/>
          </w:tcPr>
          <w:p w14:paraId="0CA3939A" w14:textId="77777777" w:rsidR="00101C8F" w:rsidRPr="00F92E56" w:rsidRDefault="00101C8F" w:rsidP="00BE4591">
            <w:pPr>
              <w:pStyle w:val="Tabletext"/>
              <w:keepNext/>
              <w:keepLines/>
            </w:pPr>
            <w:r w:rsidRPr="00F92E56">
              <w:t>Median DMFS (95% CI), months</w:t>
            </w:r>
            <w:r w:rsidRPr="00F92E56">
              <w:rPr>
                <w:vertAlign w:val="superscript"/>
              </w:rPr>
              <w:t>a</w:t>
            </w:r>
          </w:p>
        </w:tc>
        <w:tc>
          <w:tcPr>
            <w:tcW w:w="853" w:type="pct"/>
          </w:tcPr>
          <w:p w14:paraId="262DF94B" w14:textId="6B506BDF" w:rsidR="00101C8F" w:rsidRPr="00F92E56" w:rsidRDefault="00101C8F" w:rsidP="00BE4591">
            <w:pPr>
              <w:pStyle w:val="Tabletext"/>
              <w:keepNext/>
              <w:keepLines/>
            </w:pPr>
            <w:r w:rsidRPr="00F92E56">
              <w:t>48.2</w:t>
            </w:r>
            <w:r w:rsidR="009A2CF2" w:rsidRPr="00F92E56">
              <w:t xml:space="preserve"> </w:t>
            </w:r>
            <w:r w:rsidRPr="00F92E56">
              <w:t>(21.9, N.A.)</w:t>
            </w:r>
          </w:p>
        </w:tc>
        <w:tc>
          <w:tcPr>
            <w:tcW w:w="854" w:type="pct"/>
          </w:tcPr>
          <w:p w14:paraId="34A72204" w14:textId="5261CF79" w:rsidR="00101C8F" w:rsidRPr="00F92E56" w:rsidRDefault="00101C8F" w:rsidP="00BE4591">
            <w:pPr>
              <w:pStyle w:val="Tabletext"/>
              <w:keepNext/>
              <w:keepLines/>
            </w:pPr>
            <w:r w:rsidRPr="00F92E56">
              <w:t>15.2</w:t>
            </w:r>
            <w:r w:rsidR="009A2CF2" w:rsidRPr="00F92E56">
              <w:t xml:space="preserve"> </w:t>
            </w:r>
            <w:r w:rsidRPr="00F92E56">
              <w:t>(8.3, 47.8)</w:t>
            </w:r>
          </w:p>
        </w:tc>
        <w:tc>
          <w:tcPr>
            <w:tcW w:w="854" w:type="pct"/>
          </w:tcPr>
          <w:p w14:paraId="048668C5" w14:textId="598ED7EF" w:rsidR="00101C8F" w:rsidRPr="00F92E56" w:rsidRDefault="00101C8F" w:rsidP="00BE4591">
            <w:pPr>
              <w:pStyle w:val="Tabletext"/>
              <w:keepNext/>
              <w:keepLines/>
            </w:pPr>
            <w:r w:rsidRPr="00F92E56">
              <w:t>41.1</w:t>
            </w:r>
            <w:r w:rsidR="009A2CF2" w:rsidRPr="00F92E56">
              <w:t xml:space="preserve"> </w:t>
            </w:r>
            <w:r w:rsidRPr="00F92E56">
              <w:t xml:space="preserve">(23.8, </w:t>
            </w:r>
            <w:r w:rsidR="00E97DD6" w:rsidRPr="00F92E56">
              <w:t>NE</w:t>
            </w:r>
            <w:r w:rsidRPr="00F92E56">
              <w:t>)</w:t>
            </w:r>
          </w:p>
        </w:tc>
        <w:tc>
          <w:tcPr>
            <w:tcW w:w="802" w:type="pct"/>
          </w:tcPr>
          <w:p w14:paraId="1FBD4291" w14:textId="682FA0C2" w:rsidR="00101C8F" w:rsidRPr="00F92E56" w:rsidRDefault="00101C8F" w:rsidP="00BE4591">
            <w:pPr>
              <w:pStyle w:val="Tabletext"/>
              <w:keepNext/>
              <w:keepLines/>
            </w:pPr>
            <w:r w:rsidRPr="00F92E56">
              <w:t>39.9</w:t>
            </w:r>
            <w:r w:rsidR="009A2CF2" w:rsidRPr="00F92E56">
              <w:t xml:space="preserve"> </w:t>
            </w:r>
            <w:r w:rsidRPr="00F92E56">
              <w:t xml:space="preserve">(20.0, </w:t>
            </w:r>
            <w:r w:rsidR="00E97DD6" w:rsidRPr="00F92E56">
              <w:t>NE</w:t>
            </w:r>
            <w:r w:rsidRPr="00F92E56">
              <w:t>)</w:t>
            </w:r>
          </w:p>
        </w:tc>
      </w:tr>
      <w:tr w:rsidR="00101C8F" w:rsidRPr="00F92E56" w14:paraId="307D07D1" w14:textId="77777777" w:rsidTr="00EA6180">
        <w:tc>
          <w:tcPr>
            <w:tcW w:w="1637" w:type="pct"/>
          </w:tcPr>
          <w:p w14:paraId="75F0B533" w14:textId="77777777" w:rsidR="00101C8F" w:rsidRPr="00F92E56" w:rsidRDefault="00101C8F" w:rsidP="00BE4591">
            <w:pPr>
              <w:pStyle w:val="Tabletext"/>
              <w:keepNext/>
              <w:keepLines/>
            </w:pPr>
            <w:r w:rsidRPr="00F92E56">
              <w:t>HR</w:t>
            </w:r>
            <w:r w:rsidRPr="00F92E56">
              <w:rPr>
                <w:vertAlign w:val="superscript"/>
              </w:rPr>
              <w:t>b</w:t>
            </w:r>
            <w:r w:rsidRPr="00F92E56">
              <w:t xml:space="preserve"> (95% CI)</w:t>
            </w:r>
          </w:p>
        </w:tc>
        <w:tc>
          <w:tcPr>
            <w:tcW w:w="1707" w:type="pct"/>
            <w:gridSpan w:val="2"/>
          </w:tcPr>
          <w:p w14:paraId="2E645D57" w14:textId="77777777" w:rsidR="00101C8F" w:rsidRPr="00F92E56" w:rsidRDefault="00101C8F" w:rsidP="00BE4591">
            <w:pPr>
              <w:pStyle w:val="Tabletext"/>
              <w:keepNext/>
              <w:keepLines/>
            </w:pPr>
            <w:r w:rsidRPr="00F92E56">
              <w:t>0.62 (0.45, 0.85)</w:t>
            </w:r>
          </w:p>
        </w:tc>
        <w:tc>
          <w:tcPr>
            <w:tcW w:w="1656" w:type="pct"/>
            <w:gridSpan w:val="2"/>
          </w:tcPr>
          <w:p w14:paraId="5B5D972A" w14:textId="77777777" w:rsidR="00101C8F" w:rsidRPr="00F92E56" w:rsidRDefault="00101C8F" w:rsidP="00BE4591">
            <w:pPr>
              <w:pStyle w:val="Tabletext"/>
              <w:keepNext/>
              <w:keepLines/>
            </w:pPr>
            <w:r w:rsidRPr="00F92E56">
              <w:t>0.88 (0.65, 1.18)</w:t>
            </w:r>
          </w:p>
        </w:tc>
      </w:tr>
      <w:tr w:rsidR="00101C8F" w:rsidRPr="00F92E56" w14:paraId="605FE9D8" w14:textId="77777777" w:rsidTr="00EA6180">
        <w:tc>
          <w:tcPr>
            <w:tcW w:w="1637" w:type="pct"/>
          </w:tcPr>
          <w:p w14:paraId="1F07B03E" w14:textId="06371071" w:rsidR="00101C8F" w:rsidRPr="00F92E56" w:rsidRDefault="00101C8F" w:rsidP="00BE4591">
            <w:pPr>
              <w:pStyle w:val="Tabletext"/>
              <w:keepNext/>
              <w:keepLines/>
            </w:pPr>
            <w:r w:rsidRPr="00F92E56">
              <w:t>Rate at 3 months</w:t>
            </w:r>
            <w:r w:rsidRPr="00F92E56">
              <w:rPr>
                <w:vertAlign w:val="superscript"/>
              </w:rPr>
              <w:t>a</w:t>
            </w:r>
            <w:r w:rsidRPr="00F92E56">
              <w:t>,</w:t>
            </w:r>
            <w:r w:rsidR="009A2CF2" w:rsidRPr="00F92E56">
              <w:t xml:space="preserve"> </w:t>
            </w:r>
            <w:r w:rsidRPr="00F92E56">
              <w:t>% (95% CI)</w:t>
            </w:r>
          </w:p>
        </w:tc>
        <w:tc>
          <w:tcPr>
            <w:tcW w:w="853" w:type="pct"/>
          </w:tcPr>
          <w:p w14:paraId="13C2191E" w14:textId="097E69FD" w:rsidR="00101C8F" w:rsidRPr="00F92E56" w:rsidRDefault="00101C8F" w:rsidP="00BE4591">
            <w:pPr>
              <w:pStyle w:val="Tabletext"/>
              <w:keepNext/>
              <w:keepLines/>
            </w:pPr>
            <w:r w:rsidRPr="00F92E56">
              <w:t>90.7</w:t>
            </w:r>
            <w:r w:rsidR="009A2CF2" w:rsidRPr="00F92E56">
              <w:t xml:space="preserve"> </w:t>
            </w:r>
            <w:r w:rsidRPr="00F92E56">
              <w:t>(84.8, 94.4)</w:t>
            </w:r>
          </w:p>
        </w:tc>
        <w:tc>
          <w:tcPr>
            <w:tcW w:w="854" w:type="pct"/>
          </w:tcPr>
          <w:p w14:paraId="7672AA98" w14:textId="51B4C575" w:rsidR="00101C8F" w:rsidRPr="00F92E56" w:rsidRDefault="00101C8F" w:rsidP="00BE4591">
            <w:pPr>
              <w:pStyle w:val="Tabletext"/>
              <w:keepNext/>
              <w:keepLines/>
            </w:pPr>
            <w:r w:rsidRPr="00F92E56">
              <w:t>75.5</w:t>
            </w:r>
            <w:r w:rsidR="009A2CF2" w:rsidRPr="00F92E56">
              <w:t xml:space="preserve"> </w:t>
            </w:r>
            <w:r w:rsidRPr="00F92E56">
              <w:t>(67.9, 81.5)</w:t>
            </w:r>
          </w:p>
        </w:tc>
        <w:tc>
          <w:tcPr>
            <w:tcW w:w="854" w:type="pct"/>
          </w:tcPr>
          <w:p w14:paraId="41CE6166" w14:textId="1F07FC56" w:rsidR="00101C8F" w:rsidRPr="00F92E56" w:rsidRDefault="00101C8F" w:rsidP="00BE4591">
            <w:pPr>
              <w:pStyle w:val="Tabletext"/>
              <w:keepNext/>
              <w:keepLines/>
            </w:pPr>
            <w:r w:rsidRPr="00F92E56">
              <w:t>91.1</w:t>
            </w:r>
            <w:r w:rsidR="009A2CF2" w:rsidRPr="00F92E56">
              <w:t xml:space="preserve"> </w:t>
            </w:r>
            <w:r w:rsidRPr="00F92E56">
              <w:t>(86.0, 94.4)</w:t>
            </w:r>
          </w:p>
        </w:tc>
        <w:tc>
          <w:tcPr>
            <w:tcW w:w="802" w:type="pct"/>
          </w:tcPr>
          <w:p w14:paraId="08C7499E" w14:textId="10683920" w:rsidR="00101C8F" w:rsidRPr="00F92E56" w:rsidRDefault="00101C8F" w:rsidP="00BE4591">
            <w:pPr>
              <w:pStyle w:val="Tabletext"/>
              <w:keepNext/>
              <w:keepLines/>
            </w:pPr>
            <w:r w:rsidRPr="00F92E56">
              <w:t>83.7</w:t>
            </w:r>
            <w:r w:rsidR="009A2CF2" w:rsidRPr="00F92E56">
              <w:t xml:space="preserve"> </w:t>
            </w:r>
            <w:r w:rsidRPr="00F92E56">
              <w:t>(77.6, 88.2)</w:t>
            </w:r>
          </w:p>
        </w:tc>
      </w:tr>
      <w:tr w:rsidR="00101C8F" w:rsidRPr="00F92E56" w14:paraId="250E0573" w14:textId="77777777" w:rsidTr="00EA6180">
        <w:tc>
          <w:tcPr>
            <w:tcW w:w="1637" w:type="pct"/>
          </w:tcPr>
          <w:p w14:paraId="048A55F5" w14:textId="096437DA" w:rsidR="00101C8F" w:rsidRPr="00F92E56" w:rsidRDefault="00101C8F" w:rsidP="00BE4591">
            <w:pPr>
              <w:pStyle w:val="Tabletext"/>
              <w:keepNext/>
              <w:keepLines/>
            </w:pPr>
            <w:r w:rsidRPr="00F92E56">
              <w:t>Rate at 6 months</w:t>
            </w:r>
            <w:r w:rsidRPr="00F92E56">
              <w:rPr>
                <w:vertAlign w:val="superscript"/>
              </w:rPr>
              <w:t>a</w:t>
            </w:r>
            <w:r w:rsidRPr="00F92E56">
              <w:t>,</w:t>
            </w:r>
            <w:r w:rsidR="009A2CF2" w:rsidRPr="00F92E56">
              <w:t xml:space="preserve"> </w:t>
            </w:r>
            <w:r w:rsidRPr="00F92E56">
              <w:t>% (95% CI)</w:t>
            </w:r>
          </w:p>
        </w:tc>
        <w:tc>
          <w:tcPr>
            <w:tcW w:w="853" w:type="pct"/>
          </w:tcPr>
          <w:p w14:paraId="6F68B121" w14:textId="64BF54A6" w:rsidR="00101C8F" w:rsidRPr="00F92E56" w:rsidRDefault="00101C8F" w:rsidP="00BE4591">
            <w:pPr>
              <w:pStyle w:val="Tabletext"/>
              <w:keepNext/>
              <w:keepLines/>
            </w:pPr>
            <w:r w:rsidRPr="00F92E56">
              <w:t>83.0</w:t>
            </w:r>
            <w:r w:rsidR="009A2CF2" w:rsidRPr="00F92E56">
              <w:t xml:space="preserve"> </w:t>
            </w:r>
            <w:r w:rsidRPr="00F92E56">
              <w:t>(75.9, 88.2)</w:t>
            </w:r>
          </w:p>
        </w:tc>
        <w:tc>
          <w:tcPr>
            <w:tcW w:w="854" w:type="pct"/>
          </w:tcPr>
          <w:p w14:paraId="68A24361" w14:textId="1B1F55D3" w:rsidR="00101C8F" w:rsidRPr="00F92E56" w:rsidRDefault="00101C8F" w:rsidP="00BE4591">
            <w:pPr>
              <w:pStyle w:val="Tabletext"/>
              <w:keepNext/>
              <w:keepLines/>
            </w:pPr>
            <w:r w:rsidRPr="00F92E56">
              <w:t>63.7</w:t>
            </w:r>
            <w:r w:rsidR="009A2CF2" w:rsidRPr="00F92E56">
              <w:t xml:space="preserve"> </w:t>
            </w:r>
            <w:r w:rsidRPr="00F92E56">
              <w:t>(55.4, 70.8)</w:t>
            </w:r>
          </w:p>
        </w:tc>
        <w:tc>
          <w:tcPr>
            <w:tcW w:w="854" w:type="pct"/>
          </w:tcPr>
          <w:p w14:paraId="78B15379" w14:textId="1C2C3A40" w:rsidR="00101C8F" w:rsidRPr="00F92E56" w:rsidRDefault="00101C8F" w:rsidP="00BE4591">
            <w:pPr>
              <w:pStyle w:val="Tabletext"/>
              <w:keepNext/>
              <w:keepLines/>
            </w:pPr>
            <w:r w:rsidRPr="00F92E56">
              <w:t>82.4</w:t>
            </w:r>
            <w:r w:rsidR="009A2CF2" w:rsidRPr="00F92E56">
              <w:t xml:space="preserve"> </w:t>
            </w:r>
            <w:r w:rsidRPr="00F92E56">
              <w:t>(76.1, 87.1)</w:t>
            </w:r>
          </w:p>
        </w:tc>
        <w:tc>
          <w:tcPr>
            <w:tcW w:w="802" w:type="pct"/>
          </w:tcPr>
          <w:p w14:paraId="2C6E7868" w14:textId="67C35E5F" w:rsidR="00101C8F" w:rsidRPr="00F92E56" w:rsidRDefault="00101C8F" w:rsidP="00BE4591">
            <w:pPr>
              <w:pStyle w:val="Tabletext"/>
              <w:keepNext/>
              <w:keepLines/>
            </w:pPr>
            <w:r w:rsidRPr="00F92E56">
              <w:t>74.1</w:t>
            </w:r>
            <w:r w:rsidR="009A2CF2" w:rsidRPr="00F92E56">
              <w:t xml:space="preserve"> </w:t>
            </w:r>
            <w:r w:rsidRPr="00F92E56">
              <w:t>(67.2, 79.8)</w:t>
            </w:r>
          </w:p>
        </w:tc>
      </w:tr>
      <w:tr w:rsidR="00EA6180" w:rsidRPr="00F92E56" w14:paraId="03A156A2" w14:textId="77777777" w:rsidTr="00EA6180">
        <w:tc>
          <w:tcPr>
            <w:tcW w:w="1637" w:type="pct"/>
            <w:vAlign w:val="center"/>
          </w:tcPr>
          <w:p w14:paraId="66924A3A" w14:textId="74BF7F9F" w:rsidR="00EA6180" w:rsidRPr="00F92E56" w:rsidRDefault="00EA6180" w:rsidP="00BE4591">
            <w:pPr>
              <w:keepNext/>
              <w:spacing w:before="20" w:after="20"/>
              <w:rPr>
                <w:rFonts w:ascii="Arial Narrow" w:eastAsiaTheme="minorHAnsi" w:hAnsi="Arial Narrow"/>
                <w:iCs/>
                <w:color w:val="000000" w:themeColor="text1"/>
                <w:sz w:val="20"/>
                <w:szCs w:val="20"/>
              </w:rPr>
            </w:pPr>
            <w:r w:rsidRPr="00F92E56">
              <w:rPr>
                <w:rFonts w:ascii="Arial Narrow" w:eastAsiaTheme="minorHAnsi" w:hAnsi="Arial Narrow"/>
                <w:iCs/>
                <w:color w:val="000000" w:themeColor="text1"/>
                <w:sz w:val="20"/>
                <w:szCs w:val="20"/>
              </w:rPr>
              <w:t>Rate at 12 months</w:t>
            </w:r>
            <w:r w:rsidRPr="00F92E56">
              <w:rPr>
                <w:rFonts w:ascii="Arial Narrow" w:eastAsiaTheme="minorHAnsi" w:hAnsi="Arial Narrow"/>
                <w:iCs/>
                <w:color w:val="000000" w:themeColor="text1"/>
                <w:sz w:val="20"/>
                <w:szCs w:val="20"/>
                <w:vertAlign w:val="superscript"/>
              </w:rPr>
              <w:t>a</w:t>
            </w:r>
            <w:r w:rsidRPr="00F92E56">
              <w:rPr>
                <w:rFonts w:ascii="Arial Narrow" w:eastAsiaTheme="minorHAnsi" w:hAnsi="Arial Narrow"/>
                <w:iCs/>
                <w:color w:val="000000" w:themeColor="text1"/>
                <w:sz w:val="20"/>
                <w:szCs w:val="20"/>
              </w:rPr>
              <w:t>,</w:t>
            </w:r>
            <w:r w:rsidR="00BD3049" w:rsidRPr="00F92E56">
              <w:rPr>
                <w:rFonts w:ascii="Arial Narrow" w:eastAsiaTheme="minorHAnsi" w:hAnsi="Arial Narrow"/>
                <w:iCs/>
                <w:color w:val="000000" w:themeColor="text1"/>
                <w:sz w:val="20"/>
                <w:szCs w:val="20"/>
              </w:rPr>
              <w:t xml:space="preserve"> </w:t>
            </w:r>
            <w:r w:rsidRPr="00F92E56">
              <w:rPr>
                <w:rFonts w:ascii="Arial Narrow" w:eastAsiaTheme="minorHAnsi" w:hAnsi="Arial Narrow"/>
                <w:iCs/>
                <w:color w:val="000000" w:themeColor="text1"/>
                <w:sz w:val="20"/>
                <w:szCs w:val="20"/>
              </w:rPr>
              <w:t>% (95% CI)</w:t>
            </w:r>
          </w:p>
        </w:tc>
        <w:tc>
          <w:tcPr>
            <w:tcW w:w="853" w:type="pct"/>
          </w:tcPr>
          <w:p w14:paraId="153684D0" w14:textId="5173D001" w:rsidR="00EA6180" w:rsidRPr="00F92E56" w:rsidRDefault="00EA6180" w:rsidP="00BE4591">
            <w:pPr>
              <w:keepNext/>
              <w:spacing w:before="20" w:after="20"/>
              <w:rPr>
                <w:rFonts w:ascii="Arial Narrow" w:eastAsiaTheme="minorHAnsi" w:hAnsi="Arial Narrow"/>
                <w:iCs/>
                <w:color w:val="000000" w:themeColor="text1"/>
                <w:sz w:val="20"/>
                <w:szCs w:val="20"/>
              </w:rPr>
            </w:pPr>
            <w:r w:rsidRPr="00F92E56">
              <w:rPr>
                <w:rFonts w:ascii="Arial Narrow" w:eastAsiaTheme="minorHAnsi" w:hAnsi="Arial Narrow"/>
                <w:iCs/>
                <w:color w:val="000000" w:themeColor="text1"/>
                <w:sz w:val="20"/>
                <w:szCs w:val="20"/>
              </w:rPr>
              <w:t>74.4 (66.4, 80.7)</w:t>
            </w:r>
          </w:p>
        </w:tc>
        <w:tc>
          <w:tcPr>
            <w:tcW w:w="854" w:type="pct"/>
          </w:tcPr>
          <w:p w14:paraId="6791EF0F" w14:textId="3B05095A" w:rsidR="00EA6180" w:rsidRPr="00F92E56" w:rsidRDefault="00EA6180" w:rsidP="00BE4591">
            <w:pPr>
              <w:keepNext/>
              <w:spacing w:before="20" w:after="20"/>
              <w:rPr>
                <w:rFonts w:ascii="Arial Narrow" w:eastAsiaTheme="minorHAnsi" w:hAnsi="Arial Narrow"/>
                <w:iCs/>
                <w:color w:val="000000" w:themeColor="text1"/>
                <w:sz w:val="20"/>
                <w:szCs w:val="20"/>
              </w:rPr>
            </w:pPr>
            <w:r w:rsidRPr="00F92E56">
              <w:rPr>
                <w:rFonts w:ascii="Arial Narrow" w:eastAsiaTheme="minorHAnsi" w:hAnsi="Arial Narrow"/>
                <w:iCs/>
                <w:color w:val="000000" w:themeColor="text1"/>
                <w:sz w:val="20"/>
                <w:szCs w:val="20"/>
              </w:rPr>
              <w:t>52.1</w:t>
            </w:r>
            <w:r w:rsidR="00BD3049" w:rsidRPr="00F92E56">
              <w:rPr>
                <w:rFonts w:ascii="Arial Narrow" w:eastAsiaTheme="minorHAnsi" w:hAnsi="Arial Narrow"/>
                <w:iCs/>
                <w:color w:val="000000" w:themeColor="text1"/>
                <w:sz w:val="20"/>
                <w:szCs w:val="20"/>
              </w:rPr>
              <w:t xml:space="preserve"> </w:t>
            </w:r>
            <w:r w:rsidRPr="00F92E56">
              <w:rPr>
                <w:rFonts w:ascii="Arial Narrow" w:eastAsiaTheme="minorHAnsi" w:hAnsi="Arial Narrow"/>
                <w:iCs/>
                <w:color w:val="000000" w:themeColor="text1"/>
                <w:sz w:val="20"/>
                <w:szCs w:val="20"/>
              </w:rPr>
              <w:t>(43.6, 60.0)</w:t>
            </w:r>
            <w:r w:rsidR="00785872" w:rsidRPr="00785872">
              <w:rPr>
                <w:rFonts w:ascii="Arial Narrow" w:eastAsiaTheme="minorHAnsi" w:hAnsi="Arial Narrow"/>
                <w:iCs/>
                <w:color w:val="000000" w:themeColor="text1"/>
                <w:sz w:val="20"/>
                <w:szCs w:val="20"/>
              </w:rPr>
              <w:t xml:space="preserve"> </w:t>
            </w:r>
            <w:r w:rsidRPr="00F92E56">
              <w:rPr>
                <w:rFonts w:ascii="Arial Narrow" w:eastAsiaTheme="minorHAnsi" w:hAnsi="Arial Narrow"/>
                <w:iCs/>
                <w:color w:val="000000" w:themeColor="text1"/>
                <w:sz w:val="20"/>
                <w:szCs w:val="20"/>
              </w:rPr>
              <w:t xml:space="preserve"> </w:t>
            </w:r>
          </w:p>
        </w:tc>
        <w:tc>
          <w:tcPr>
            <w:tcW w:w="854" w:type="pct"/>
          </w:tcPr>
          <w:p w14:paraId="648D07EF" w14:textId="66D7BA09" w:rsidR="00EA6180" w:rsidRPr="00F92E56" w:rsidRDefault="00EA6180" w:rsidP="00BE4591">
            <w:pPr>
              <w:keepNext/>
              <w:spacing w:before="20" w:after="20"/>
              <w:rPr>
                <w:rFonts w:ascii="Arial Narrow" w:eastAsiaTheme="minorHAnsi" w:hAnsi="Arial Narrow"/>
                <w:iCs/>
                <w:color w:val="000000" w:themeColor="text1"/>
                <w:sz w:val="20"/>
                <w:szCs w:val="20"/>
              </w:rPr>
            </w:pPr>
            <w:r w:rsidRPr="00F92E56">
              <w:rPr>
                <w:rFonts w:ascii="Arial Narrow" w:eastAsiaTheme="minorHAnsi" w:hAnsi="Arial Narrow"/>
                <w:iCs/>
                <w:color w:val="000000" w:themeColor="text1"/>
                <w:sz w:val="20"/>
                <w:szCs w:val="20"/>
              </w:rPr>
              <w:t>69.7</w:t>
            </w:r>
            <w:r w:rsidR="00BD3049" w:rsidRPr="00F92E56">
              <w:rPr>
                <w:rFonts w:ascii="Arial Narrow" w:eastAsiaTheme="minorHAnsi" w:hAnsi="Arial Narrow"/>
                <w:iCs/>
                <w:color w:val="000000" w:themeColor="text1"/>
                <w:sz w:val="20"/>
                <w:szCs w:val="20"/>
              </w:rPr>
              <w:t xml:space="preserve"> </w:t>
            </w:r>
            <w:r w:rsidRPr="00F92E56">
              <w:rPr>
                <w:rFonts w:ascii="Arial Narrow" w:eastAsiaTheme="minorHAnsi" w:hAnsi="Arial Narrow"/>
                <w:iCs/>
                <w:color w:val="000000" w:themeColor="text1"/>
                <w:sz w:val="20"/>
                <w:szCs w:val="20"/>
              </w:rPr>
              <w:t>(62.4, 75.9)</w:t>
            </w:r>
          </w:p>
        </w:tc>
        <w:tc>
          <w:tcPr>
            <w:tcW w:w="802" w:type="pct"/>
          </w:tcPr>
          <w:p w14:paraId="117654D6" w14:textId="2E8DA0C7" w:rsidR="00EA6180" w:rsidRPr="00F92E56" w:rsidRDefault="00EA6180" w:rsidP="00BE4591">
            <w:pPr>
              <w:keepNext/>
              <w:spacing w:before="20" w:after="20"/>
              <w:rPr>
                <w:rFonts w:ascii="Arial Narrow" w:eastAsiaTheme="minorHAnsi" w:hAnsi="Arial Narrow"/>
                <w:iCs/>
                <w:color w:val="000000" w:themeColor="text1"/>
                <w:sz w:val="20"/>
                <w:szCs w:val="20"/>
              </w:rPr>
            </w:pPr>
            <w:r w:rsidRPr="00F92E56">
              <w:rPr>
                <w:rFonts w:ascii="Arial Narrow" w:eastAsiaTheme="minorHAnsi" w:hAnsi="Arial Narrow"/>
                <w:iCs/>
                <w:color w:val="000000" w:themeColor="text1"/>
                <w:sz w:val="20"/>
                <w:szCs w:val="20"/>
              </w:rPr>
              <w:t>63.9</w:t>
            </w:r>
            <w:r w:rsidR="00483BD9" w:rsidRPr="00F92E56">
              <w:rPr>
                <w:rFonts w:ascii="Arial Narrow" w:eastAsiaTheme="minorHAnsi" w:hAnsi="Arial Narrow"/>
                <w:iCs/>
                <w:color w:val="000000" w:themeColor="text1"/>
                <w:sz w:val="20"/>
                <w:szCs w:val="20"/>
              </w:rPr>
              <w:t xml:space="preserve"> </w:t>
            </w:r>
            <w:r w:rsidRPr="00F92E56">
              <w:rPr>
                <w:rFonts w:ascii="Arial Narrow" w:eastAsiaTheme="minorHAnsi" w:hAnsi="Arial Narrow"/>
                <w:iCs/>
                <w:color w:val="000000" w:themeColor="text1"/>
                <w:sz w:val="20"/>
                <w:szCs w:val="20"/>
              </w:rPr>
              <w:t>(56.4, 70.5)</w:t>
            </w:r>
          </w:p>
        </w:tc>
      </w:tr>
      <w:tr w:rsidR="00EA6180" w:rsidRPr="00F92E56" w14:paraId="4BAB0A5D" w14:textId="77777777" w:rsidTr="00EA6180">
        <w:tc>
          <w:tcPr>
            <w:tcW w:w="1637" w:type="pct"/>
            <w:vAlign w:val="center"/>
          </w:tcPr>
          <w:p w14:paraId="5F8543DD" w14:textId="1E2CEE12" w:rsidR="00EA6180" w:rsidRPr="00F92E56" w:rsidRDefault="00EA6180" w:rsidP="00BE4591">
            <w:pPr>
              <w:keepNext/>
              <w:spacing w:before="20" w:after="20"/>
              <w:rPr>
                <w:rFonts w:ascii="Arial Narrow" w:eastAsiaTheme="minorHAnsi" w:hAnsi="Arial Narrow"/>
                <w:iCs/>
                <w:color w:val="000000" w:themeColor="text1"/>
                <w:sz w:val="20"/>
                <w:szCs w:val="20"/>
              </w:rPr>
            </w:pPr>
            <w:r w:rsidRPr="00F92E56">
              <w:rPr>
                <w:rFonts w:ascii="Arial Narrow" w:eastAsiaTheme="minorHAnsi" w:hAnsi="Arial Narrow"/>
                <w:iCs/>
                <w:color w:val="000000" w:themeColor="text1"/>
                <w:sz w:val="20"/>
                <w:szCs w:val="20"/>
              </w:rPr>
              <w:t>Rate at 24 months</w:t>
            </w:r>
            <w:r w:rsidRPr="00F92E56">
              <w:rPr>
                <w:rFonts w:ascii="Arial Narrow" w:eastAsiaTheme="minorHAnsi" w:hAnsi="Arial Narrow"/>
                <w:iCs/>
                <w:color w:val="000000" w:themeColor="text1"/>
                <w:sz w:val="20"/>
                <w:szCs w:val="20"/>
                <w:vertAlign w:val="superscript"/>
              </w:rPr>
              <w:t>a</w:t>
            </w:r>
            <w:r w:rsidRPr="00F92E56">
              <w:rPr>
                <w:rFonts w:ascii="Arial Narrow" w:eastAsiaTheme="minorHAnsi" w:hAnsi="Arial Narrow"/>
                <w:iCs/>
                <w:color w:val="000000" w:themeColor="text1"/>
                <w:sz w:val="20"/>
                <w:szCs w:val="20"/>
              </w:rPr>
              <w:t>,</w:t>
            </w:r>
            <w:r w:rsidR="00BD3049" w:rsidRPr="00F92E56">
              <w:rPr>
                <w:rFonts w:ascii="Arial Narrow" w:eastAsiaTheme="minorHAnsi" w:hAnsi="Arial Narrow"/>
                <w:iCs/>
                <w:color w:val="000000" w:themeColor="text1"/>
                <w:sz w:val="20"/>
                <w:szCs w:val="20"/>
              </w:rPr>
              <w:t xml:space="preserve"> </w:t>
            </w:r>
            <w:r w:rsidRPr="00F92E56">
              <w:rPr>
                <w:rFonts w:ascii="Arial Narrow" w:eastAsiaTheme="minorHAnsi" w:hAnsi="Arial Narrow"/>
                <w:iCs/>
                <w:color w:val="000000" w:themeColor="text1"/>
                <w:sz w:val="20"/>
                <w:szCs w:val="20"/>
              </w:rPr>
              <w:t>% (95% CI)</w:t>
            </w:r>
          </w:p>
        </w:tc>
        <w:tc>
          <w:tcPr>
            <w:tcW w:w="853" w:type="pct"/>
          </w:tcPr>
          <w:p w14:paraId="16896C46" w14:textId="0F618D9C" w:rsidR="00EA6180" w:rsidRPr="00F92E56" w:rsidRDefault="00EA6180" w:rsidP="00BE4591">
            <w:pPr>
              <w:keepNext/>
              <w:spacing w:before="20" w:after="20"/>
              <w:rPr>
                <w:rFonts w:ascii="Arial Narrow" w:eastAsiaTheme="minorHAnsi" w:hAnsi="Arial Narrow"/>
                <w:iCs/>
                <w:color w:val="000000" w:themeColor="text1"/>
                <w:sz w:val="20"/>
                <w:szCs w:val="20"/>
              </w:rPr>
            </w:pPr>
            <w:r w:rsidRPr="00F92E56">
              <w:rPr>
                <w:rFonts w:ascii="Arial Narrow" w:eastAsiaTheme="minorHAnsi" w:hAnsi="Arial Narrow"/>
                <w:iCs/>
                <w:color w:val="000000" w:themeColor="text1"/>
                <w:sz w:val="20"/>
                <w:szCs w:val="20"/>
              </w:rPr>
              <w:t>58.4</w:t>
            </w:r>
            <w:r w:rsidR="00BD3049" w:rsidRPr="00F92E56">
              <w:rPr>
                <w:rFonts w:ascii="Arial Narrow" w:eastAsiaTheme="minorHAnsi" w:hAnsi="Arial Narrow"/>
                <w:iCs/>
                <w:color w:val="000000" w:themeColor="text1"/>
                <w:sz w:val="20"/>
                <w:szCs w:val="20"/>
              </w:rPr>
              <w:t xml:space="preserve"> </w:t>
            </w:r>
            <w:r w:rsidRPr="00F92E56">
              <w:rPr>
                <w:rFonts w:ascii="Arial Narrow" w:eastAsiaTheme="minorHAnsi" w:hAnsi="Arial Narrow"/>
                <w:iCs/>
                <w:color w:val="000000" w:themeColor="text1"/>
                <w:sz w:val="20"/>
                <w:szCs w:val="20"/>
              </w:rPr>
              <w:t>(49.7, 66.1)</w:t>
            </w:r>
          </w:p>
        </w:tc>
        <w:tc>
          <w:tcPr>
            <w:tcW w:w="854" w:type="pct"/>
          </w:tcPr>
          <w:p w14:paraId="310B7DFE" w14:textId="20635BB7" w:rsidR="00EA6180" w:rsidRPr="00F92E56" w:rsidRDefault="00EA6180" w:rsidP="00BE4591">
            <w:pPr>
              <w:keepNext/>
              <w:spacing w:before="20" w:after="20"/>
              <w:rPr>
                <w:rFonts w:ascii="Arial Narrow" w:eastAsiaTheme="minorHAnsi" w:hAnsi="Arial Narrow"/>
                <w:iCs/>
                <w:color w:val="000000" w:themeColor="text1"/>
                <w:sz w:val="20"/>
                <w:szCs w:val="20"/>
              </w:rPr>
            </w:pPr>
            <w:r w:rsidRPr="00F92E56">
              <w:rPr>
                <w:rFonts w:ascii="Arial Narrow" w:eastAsiaTheme="minorHAnsi" w:hAnsi="Arial Narrow"/>
                <w:iCs/>
                <w:color w:val="000000" w:themeColor="text1"/>
                <w:sz w:val="20"/>
                <w:szCs w:val="20"/>
              </w:rPr>
              <w:t>46.9</w:t>
            </w:r>
            <w:r w:rsidR="00BD3049" w:rsidRPr="00F92E56">
              <w:rPr>
                <w:rFonts w:ascii="Arial Narrow" w:eastAsiaTheme="minorHAnsi" w:hAnsi="Arial Narrow"/>
                <w:iCs/>
                <w:color w:val="000000" w:themeColor="text1"/>
                <w:sz w:val="20"/>
                <w:szCs w:val="20"/>
              </w:rPr>
              <w:t xml:space="preserve"> </w:t>
            </w:r>
            <w:r w:rsidRPr="00F92E56">
              <w:rPr>
                <w:rFonts w:ascii="Arial Narrow" w:eastAsiaTheme="minorHAnsi" w:hAnsi="Arial Narrow"/>
                <w:iCs/>
                <w:color w:val="000000" w:themeColor="text1"/>
                <w:sz w:val="20"/>
                <w:szCs w:val="20"/>
              </w:rPr>
              <w:t>(38.3, 55.0)</w:t>
            </w:r>
            <w:r w:rsidR="00785872" w:rsidRPr="00785872">
              <w:rPr>
                <w:rFonts w:ascii="Arial Narrow" w:eastAsiaTheme="minorHAnsi" w:hAnsi="Arial Narrow"/>
                <w:iCs/>
                <w:color w:val="000000" w:themeColor="text1"/>
                <w:sz w:val="20"/>
                <w:szCs w:val="20"/>
              </w:rPr>
              <w:t xml:space="preserve"> </w:t>
            </w:r>
            <w:r w:rsidRPr="00F92E56">
              <w:rPr>
                <w:rFonts w:ascii="Arial Narrow" w:eastAsiaTheme="minorHAnsi" w:hAnsi="Arial Narrow"/>
                <w:iCs/>
                <w:color w:val="000000" w:themeColor="text1"/>
                <w:sz w:val="20"/>
                <w:szCs w:val="20"/>
              </w:rPr>
              <w:t xml:space="preserve"> </w:t>
            </w:r>
          </w:p>
        </w:tc>
        <w:tc>
          <w:tcPr>
            <w:tcW w:w="854" w:type="pct"/>
          </w:tcPr>
          <w:p w14:paraId="20ED3478" w14:textId="252DA5E5" w:rsidR="00EA6180" w:rsidRPr="00F92E56" w:rsidRDefault="00EA6180" w:rsidP="00BE4591">
            <w:pPr>
              <w:keepNext/>
              <w:spacing w:before="20" w:after="20"/>
              <w:rPr>
                <w:rFonts w:ascii="Arial Narrow" w:eastAsiaTheme="minorHAnsi" w:hAnsi="Arial Narrow"/>
                <w:iCs/>
                <w:color w:val="000000" w:themeColor="text1"/>
                <w:sz w:val="20"/>
                <w:szCs w:val="20"/>
              </w:rPr>
            </w:pPr>
            <w:r w:rsidRPr="00F92E56">
              <w:rPr>
                <w:rFonts w:ascii="Arial Narrow" w:eastAsiaTheme="minorHAnsi" w:hAnsi="Arial Narrow"/>
                <w:iCs/>
                <w:color w:val="000000" w:themeColor="text1"/>
                <w:sz w:val="20"/>
                <w:szCs w:val="20"/>
              </w:rPr>
              <w:t>57.4</w:t>
            </w:r>
            <w:r w:rsidR="00BD3049" w:rsidRPr="00F92E56">
              <w:rPr>
                <w:rFonts w:ascii="Arial Narrow" w:eastAsiaTheme="minorHAnsi" w:hAnsi="Arial Narrow"/>
                <w:iCs/>
                <w:color w:val="000000" w:themeColor="text1"/>
                <w:sz w:val="20"/>
                <w:szCs w:val="20"/>
              </w:rPr>
              <w:t xml:space="preserve"> </w:t>
            </w:r>
            <w:r w:rsidRPr="00F92E56">
              <w:rPr>
                <w:rFonts w:ascii="Arial Narrow" w:eastAsiaTheme="minorHAnsi" w:hAnsi="Arial Narrow"/>
                <w:iCs/>
                <w:color w:val="000000" w:themeColor="text1"/>
                <w:sz w:val="20"/>
                <w:szCs w:val="20"/>
              </w:rPr>
              <w:t>(49.5, 64.4)</w:t>
            </w:r>
          </w:p>
        </w:tc>
        <w:tc>
          <w:tcPr>
            <w:tcW w:w="802" w:type="pct"/>
          </w:tcPr>
          <w:p w14:paraId="4702A61A" w14:textId="0194803B" w:rsidR="00EA6180" w:rsidRPr="00F92E56" w:rsidRDefault="00EA6180" w:rsidP="00BE4591">
            <w:pPr>
              <w:keepNext/>
              <w:spacing w:before="20" w:after="20"/>
              <w:rPr>
                <w:rFonts w:ascii="Arial Narrow" w:eastAsiaTheme="minorHAnsi" w:hAnsi="Arial Narrow"/>
                <w:iCs/>
                <w:color w:val="000000" w:themeColor="text1"/>
                <w:sz w:val="20"/>
                <w:szCs w:val="20"/>
              </w:rPr>
            </w:pPr>
            <w:r w:rsidRPr="00F92E56">
              <w:rPr>
                <w:rFonts w:ascii="Arial Narrow" w:eastAsiaTheme="minorHAnsi" w:hAnsi="Arial Narrow"/>
                <w:iCs/>
                <w:color w:val="000000" w:themeColor="text1"/>
                <w:sz w:val="20"/>
                <w:szCs w:val="20"/>
              </w:rPr>
              <w:t>54.7</w:t>
            </w:r>
            <w:r w:rsidR="00483BD9" w:rsidRPr="00F92E56">
              <w:rPr>
                <w:rFonts w:ascii="Arial Narrow" w:eastAsiaTheme="minorHAnsi" w:hAnsi="Arial Narrow"/>
                <w:iCs/>
                <w:color w:val="000000" w:themeColor="text1"/>
                <w:sz w:val="20"/>
                <w:szCs w:val="20"/>
              </w:rPr>
              <w:t xml:space="preserve"> </w:t>
            </w:r>
            <w:r w:rsidRPr="00F92E56">
              <w:rPr>
                <w:rFonts w:ascii="Arial Narrow" w:eastAsiaTheme="minorHAnsi" w:hAnsi="Arial Narrow"/>
                <w:iCs/>
                <w:color w:val="000000" w:themeColor="text1"/>
                <w:sz w:val="20"/>
                <w:szCs w:val="20"/>
              </w:rPr>
              <w:t>(46.9, 61.9)</w:t>
            </w:r>
          </w:p>
        </w:tc>
      </w:tr>
      <w:tr w:rsidR="00EA6180" w:rsidRPr="00F92E56" w14:paraId="0E2A1486" w14:textId="77777777" w:rsidTr="00EA6180">
        <w:tc>
          <w:tcPr>
            <w:tcW w:w="1637" w:type="pct"/>
            <w:vAlign w:val="center"/>
          </w:tcPr>
          <w:p w14:paraId="03487691" w14:textId="356C576D" w:rsidR="00EA6180" w:rsidRPr="00F92E56" w:rsidRDefault="00EA6180" w:rsidP="00BE4591">
            <w:pPr>
              <w:keepNext/>
              <w:spacing w:before="20" w:after="20"/>
              <w:rPr>
                <w:rFonts w:ascii="Arial Narrow" w:eastAsiaTheme="minorHAnsi" w:hAnsi="Arial Narrow"/>
                <w:iCs/>
                <w:color w:val="000000" w:themeColor="text1"/>
                <w:sz w:val="20"/>
                <w:szCs w:val="20"/>
              </w:rPr>
            </w:pPr>
            <w:r w:rsidRPr="00F92E56">
              <w:rPr>
                <w:rFonts w:ascii="Arial Narrow" w:eastAsiaTheme="minorHAnsi" w:hAnsi="Arial Narrow"/>
                <w:iCs/>
                <w:color w:val="000000" w:themeColor="text1"/>
                <w:sz w:val="20"/>
                <w:szCs w:val="20"/>
              </w:rPr>
              <w:t>Rate at 30 months</w:t>
            </w:r>
            <w:r w:rsidRPr="00F92E56">
              <w:rPr>
                <w:rFonts w:ascii="Arial Narrow" w:eastAsiaTheme="minorHAnsi" w:hAnsi="Arial Narrow"/>
                <w:iCs/>
                <w:color w:val="000000" w:themeColor="text1"/>
                <w:sz w:val="20"/>
                <w:szCs w:val="20"/>
                <w:vertAlign w:val="superscript"/>
              </w:rPr>
              <w:t>a</w:t>
            </w:r>
            <w:r w:rsidRPr="00F92E56">
              <w:rPr>
                <w:rFonts w:ascii="Arial Narrow" w:eastAsiaTheme="minorHAnsi" w:hAnsi="Arial Narrow"/>
                <w:iCs/>
                <w:color w:val="000000" w:themeColor="text1"/>
                <w:sz w:val="20"/>
                <w:szCs w:val="20"/>
              </w:rPr>
              <w:t>,</w:t>
            </w:r>
            <w:r w:rsidR="00BD3049" w:rsidRPr="00F92E56">
              <w:rPr>
                <w:rFonts w:ascii="Arial Narrow" w:eastAsiaTheme="minorHAnsi" w:hAnsi="Arial Narrow"/>
                <w:iCs/>
                <w:color w:val="000000" w:themeColor="text1"/>
                <w:sz w:val="20"/>
                <w:szCs w:val="20"/>
              </w:rPr>
              <w:t xml:space="preserve"> </w:t>
            </w:r>
            <w:r w:rsidRPr="00F92E56">
              <w:rPr>
                <w:rFonts w:ascii="Arial Narrow" w:eastAsiaTheme="minorHAnsi" w:hAnsi="Arial Narrow"/>
                <w:iCs/>
                <w:color w:val="000000" w:themeColor="text1"/>
                <w:sz w:val="20"/>
                <w:szCs w:val="20"/>
              </w:rPr>
              <w:t>% (95% CI)</w:t>
            </w:r>
          </w:p>
        </w:tc>
        <w:tc>
          <w:tcPr>
            <w:tcW w:w="853" w:type="pct"/>
          </w:tcPr>
          <w:p w14:paraId="0DF95CB7" w14:textId="7D2A3A24" w:rsidR="00EA6180" w:rsidRPr="00F92E56" w:rsidRDefault="00EA6180" w:rsidP="00BE4591">
            <w:pPr>
              <w:keepNext/>
              <w:spacing w:before="20" w:after="20"/>
              <w:rPr>
                <w:rFonts w:ascii="Arial Narrow" w:eastAsiaTheme="minorHAnsi" w:hAnsi="Arial Narrow"/>
                <w:iCs/>
                <w:color w:val="000000" w:themeColor="text1"/>
                <w:sz w:val="20"/>
                <w:szCs w:val="20"/>
              </w:rPr>
            </w:pPr>
            <w:r w:rsidRPr="00F92E56">
              <w:rPr>
                <w:rFonts w:ascii="Arial Narrow" w:eastAsiaTheme="minorHAnsi" w:hAnsi="Arial Narrow"/>
                <w:iCs/>
                <w:color w:val="000000" w:themeColor="text1"/>
                <w:sz w:val="20"/>
                <w:szCs w:val="20"/>
              </w:rPr>
              <w:t>56.1</w:t>
            </w:r>
            <w:r w:rsidR="00BD3049" w:rsidRPr="00F92E56">
              <w:rPr>
                <w:rFonts w:ascii="Arial Narrow" w:eastAsiaTheme="minorHAnsi" w:hAnsi="Arial Narrow"/>
                <w:iCs/>
                <w:color w:val="000000" w:themeColor="text1"/>
                <w:sz w:val="20"/>
                <w:szCs w:val="20"/>
              </w:rPr>
              <w:t xml:space="preserve"> </w:t>
            </w:r>
            <w:r w:rsidRPr="00F92E56">
              <w:rPr>
                <w:rFonts w:ascii="Arial Narrow" w:eastAsiaTheme="minorHAnsi" w:hAnsi="Arial Narrow"/>
                <w:iCs/>
                <w:color w:val="000000" w:themeColor="text1"/>
                <w:sz w:val="20"/>
                <w:szCs w:val="20"/>
              </w:rPr>
              <w:t>(47.3, 63.9)</w:t>
            </w:r>
          </w:p>
        </w:tc>
        <w:tc>
          <w:tcPr>
            <w:tcW w:w="854" w:type="pct"/>
          </w:tcPr>
          <w:p w14:paraId="32668943" w14:textId="3D42654B" w:rsidR="00EA6180" w:rsidRPr="00F92E56" w:rsidRDefault="00EA6180" w:rsidP="00BE4591">
            <w:pPr>
              <w:keepNext/>
              <w:spacing w:before="20" w:after="20"/>
              <w:rPr>
                <w:rFonts w:ascii="Arial Narrow" w:eastAsiaTheme="minorHAnsi" w:hAnsi="Arial Narrow"/>
                <w:iCs/>
                <w:color w:val="000000" w:themeColor="text1"/>
                <w:sz w:val="20"/>
                <w:szCs w:val="20"/>
              </w:rPr>
            </w:pPr>
            <w:r w:rsidRPr="00F92E56">
              <w:rPr>
                <w:rFonts w:ascii="Arial Narrow" w:eastAsiaTheme="minorHAnsi" w:hAnsi="Arial Narrow"/>
                <w:iCs/>
                <w:color w:val="000000" w:themeColor="text1"/>
                <w:sz w:val="20"/>
                <w:szCs w:val="20"/>
              </w:rPr>
              <w:t>44.0</w:t>
            </w:r>
            <w:r w:rsidR="00BD3049" w:rsidRPr="00F92E56">
              <w:rPr>
                <w:rFonts w:ascii="Arial Narrow" w:eastAsiaTheme="minorHAnsi" w:hAnsi="Arial Narrow"/>
                <w:iCs/>
                <w:color w:val="000000" w:themeColor="text1"/>
                <w:sz w:val="20"/>
                <w:szCs w:val="20"/>
              </w:rPr>
              <w:t xml:space="preserve"> </w:t>
            </w:r>
            <w:r w:rsidRPr="00F92E56">
              <w:rPr>
                <w:rFonts w:ascii="Arial Narrow" w:eastAsiaTheme="minorHAnsi" w:hAnsi="Arial Narrow"/>
                <w:iCs/>
                <w:color w:val="000000" w:themeColor="text1"/>
                <w:sz w:val="20"/>
                <w:szCs w:val="20"/>
              </w:rPr>
              <w:t>(35.3, 52.2)</w:t>
            </w:r>
          </w:p>
        </w:tc>
        <w:tc>
          <w:tcPr>
            <w:tcW w:w="854" w:type="pct"/>
          </w:tcPr>
          <w:p w14:paraId="22ACA356" w14:textId="163CE44B" w:rsidR="00EA6180" w:rsidRPr="00F92E56" w:rsidRDefault="00EA6180" w:rsidP="00BE4591">
            <w:pPr>
              <w:keepNext/>
              <w:spacing w:before="20" w:after="20"/>
              <w:rPr>
                <w:rFonts w:ascii="Arial Narrow" w:eastAsiaTheme="minorHAnsi" w:hAnsi="Arial Narrow"/>
                <w:iCs/>
                <w:color w:val="000000" w:themeColor="text1"/>
                <w:sz w:val="20"/>
                <w:szCs w:val="20"/>
              </w:rPr>
            </w:pPr>
            <w:r w:rsidRPr="00F92E56">
              <w:rPr>
                <w:rFonts w:ascii="Arial Narrow" w:eastAsiaTheme="minorHAnsi" w:hAnsi="Arial Narrow"/>
                <w:iCs/>
                <w:color w:val="000000" w:themeColor="text1"/>
                <w:sz w:val="20"/>
                <w:szCs w:val="20"/>
              </w:rPr>
              <w:t>53.8</w:t>
            </w:r>
            <w:r w:rsidR="00483BD9" w:rsidRPr="00F92E56">
              <w:rPr>
                <w:rFonts w:ascii="Arial Narrow" w:eastAsiaTheme="minorHAnsi" w:hAnsi="Arial Narrow"/>
                <w:iCs/>
                <w:color w:val="000000" w:themeColor="text1"/>
                <w:sz w:val="20"/>
                <w:szCs w:val="20"/>
              </w:rPr>
              <w:t xml:space="preserve"> </w:t>
            </w:r>
            <w:r w:rsidRPr="00F92E56">
              <w:rPr>
                <w:rFonts w:ascii="Arial Narrow" w:eastAsiaTheme="minorHAnsi" w:hAnsi="Arial Narrow"/>
                <w:iCs/>
                <w:color w:val="000000" w:themeColor="text1"/>
                <w:sz w:val="20"/>
                <w:szCs w:val="20"/>
              </w:rPr>
              <w:t>(45.8, 61.0)</w:t>
            </w:r>
          </w:p>
        </w:tc>
        <w:tc>
          <w:tcPr>
            <w:tcW w:w="802" w:type="pct"/>
          </w:tcPr>
          <w:p w14:paraId="5402E578" w14:textId="447FE640" w:rsidR="00EA6180" w:rsidRPr="00F92E56" w:rsidRDefault="00EA6180" w:rsidP="00BE4591">
            <w:pPr>
              <w:keepNext/>
              <w:spacing w:before="20" w:after="20"/>
              <w:rPr>
                <w:rFonts w:ascii="Arial Narrow" w:eastAsiaTheme="minorHAnsi" w:hAnsi="Arial Narrow"/>
                <w:iCs/>
                <w:color w:val="000000" w:themeColor="text1"/>
                <w:sz w:val="20"/>
                <w:szCs w:val="20"/>
              </w:rPr>
            </w:pPr>
            <w:r w:rsidRPr="00F92E56">
              <w:rPr>
                <w:rFonts w:ascii="Arial Narrow" w:eastAsiaTheme="minorHAnsi" w:hAnsi="Arial Narrow"/>
                <w:iCs/>
                <w:color w:val="000000" w:themeColor="text1"/>
                <w:sz w:val="20"/>
                <w:szCs w:val="20"/>
              </w:rPr>
              <w:t>51.9</w:t>
            </w:r>
            <w:r w:rsidR="00483BD9" w:rsidRPr="00F92E56">
              <w:rPr>
                <w:rFonts w:ascii="Arial Narrow" w:eastAsiaTheme="minorHAnsi" w:hAnsi="Arial Narrow"/>
                <w:iCs/>
                <w:color w:val="000000" w:themeColor="text1"/>
                <w:sz w:val="20"/>
                <w:szCs w:val="20"/>
              </w:rPr>
              <w:t xml:space="preserve"> </w:t>
            </w:r>
            <w:r w:rsidRPr="00F92E56">
              <w:rPr>
                <w:rFonts w:ascii="Arial Narrow" w:eastAsiaTheme="minorHAnsi" w:hAnsi="Arial Narrow"/>
                <w:iCs/>
                <w:color w:val="000000" w:themeColor="text1"/>
                <w:sz w:val="20"/>
                <w:szCs w:val="20"/>
              </w:rPr>
              <w:t>(44.0, 59.2)</w:t>
            </w:r>
          </w:p>
        </w:tc>
      </w:tr>
    </w:tbl>
    <w:p w14:paraId="25F3D430" w14:textId="77777777" w:rsidR="00101C8F" w:rsidRPr="00F92E56" w:rsidRDefault="00101C8F" w:rsidP="00BE4591">
      <w:pPr>
        <w:pStyle w:val="TableFooter"/>
        <w:keepNext/>
        <w:keepLines/>
        <w:rPr>
          <w:rFonts w:eastAsiaTheme="minorHAnsi"/>
        </w:rPr>
      </w:pPr>
      <w:r w:rsidRPr="00F92E56">
        <w:rPr>
          <w:rFonts w:eastAsiaTheme="minorHAnsi"/>
        </w:rPr>
        <w:t>Source: Table 24, p66 of the resubmission</w:t>
      </w:r>
    </w:p>
    <w:p w14:paraId="161FECE3" w14:textId="77777777" w:rsidR="00101C8F" w:rsidRPr="00F92E56" w:rsidRDefault="00101C8F" w:rsidP="00BE4591">
      <w:pPr>
        <w:pStyle w:val="TableFooter"/>
        <w:keepNext/>
        <w:keepLines/>
        <w:rPr>
          <w:rFonts w:eastAsiaTheme="minorHAnsi"/>
        </w:rPr>
      </w:pPr>
      <w:r w:rsidRPr="00F92E56">
        <w:rPr>
          <w:rFonts w:eastAsiaTheme="minorHAnsi"/>
        </w:rPr>
        <w:t>CI = confidence interval; DMFS = distant metastasis-free survival; HR = hazard ratio; NAC = neoadjuvant platinum-based chemotherapy; NIVO = nivolumab; NE = not estimable (not reached); NUTRFS = non-urothelial tract recurrence-free survival; PBO = placebo.</w:t>
      </w:r>
    </w:p>
    <w:p w14:paraId="2FB3C5FF" w14:textId="34E4E9A9" w:rsidR="00566A62" w:rsidRPr="00F92E56" w:rsidRDefault="00566A62" w:rsidP="00BE4591">
      <w:pPr>
        <w:pStyle w:val="TableFooter"/>
        <w:keepNext/>
        <w:keepLines/>
        <w:rPr>
          <w:rFonts w:eastAsiaTheme="minorHAnsi"/>
        </w:rPr>
      </w:pPr>
      <w:r w:rsidRPr="00F92E56">
        <w:rPr>
          <w:rFonts w:eastAsiaTheme="minorHAnsi"/>
        </w:rPr>
        <w:t>Data cut-off September 2022. Median follow-up</w:t>
      </w:r>
      <w:r w:rsidR="00C45EB1" w:rsidRPr="00F92E56">
        <w:rPr>
          <w:rFonts w:eastAsiaTheme="minorHAnsi"/>
        </w:rPr>
        <w:t xml:space="preserve"> for the ITT population</w:t>
      </w:r>
      <w:r w:rsidRPr="00F92E56">
        <w:rPr>
          <w:rFonts w:eastAsiaTheme="minorHAnsi"/>
        </w:rPr>
        <w:t xml:space="preserve"> 36.1 months</w:t>
      </w:r>
      <w:r w:rsidR="00C45EB1" w:rsidRPr="00F92E56">
        <w:rPr>
          <w:rFonts w:eastAsiaTheme="minorHAnsi"/>
        </w:rPr>
        <w:t>.</w:t>
      </w:r>
    </w:p>
    <w:p w14:paraId="61CF83D3" w14:textId="471FF2D6" w:rsidR="00101C8F" w:rsidRPr="00F92E56" w:rsidRDefault="00101C8F" w:rsidP="00BE4591">
      <w:pPr>
        <w:pStyle w:val="TableFooter"/>
        <w:keepNext/>
        <w:keepLines/>
        <w:rPr>
          <w:rFonts w:eastAsiaTheme="minorHAnsi"/>
        </w:rPr>
      </w:pPr>
      <w:r w:rsidRPr="00F92E56">
        <w:rPr>
          <w:rFonts w:eastAsiaTheme="minorHAnsi"/>
          <w:vertAlign w:val="superscript"/>
        </w:rPr>
        <w:t xml:space="preserve">a </w:t>
      </w:r>
      <w:r w:rsidRPr="00F92E56">
        <w:rPr>
          <w:rFonts w:eastAsiaTheme="minorHAnsi"/>
        </w:rPr>
        <w:t>Based on Kaplan-Meier estimates.</w:t>
      </w:r>
    </w:p>
    <w:p w14:paraId="71011ACE" w14:textId="1898EC50" w:rsidR="00101C8F" w:rsidRPr="00F92E56" w:rsidRDefault="00101C8F" w:rsidP="00BE4591">
      <w:pPr>
        <w:pStyle w:val="TableFooter"/>
        <w:keepNext/>
        <w:keepLines/>
        <w:rPr>
          <w:rFonts w:eastAsiaTheme="minorHAnsi"/>
        </w:rPr>
      </w:pPr>
      <w:r w:rsidRPr="00F92E56">
        <w:rPr>
          <w:rFonts w:eastAsiaTheme="minorHAnsi"/>
          <w:vertAlign w:val="superscript"/>
        </w:rPr>
        <w:t xml:space="preserve">b </w:t>
      </w:r>
      <w:r w:rsidRPr="00F92E56">
        <w:rPr>
          <w:rFonts w:eastAsiaTheme="minorHAnsi"/>
        </w:rPr>
        <w:t>Unstratified Cox proportional hazard model. HR for NIVO versus PBO.</w:t>
      </w:r>
    </w:p>
    <w:p w14:paraId="526E32EB" w14:textId="7D6EEF93" w:rsidR="00101C8F" w:rsidRPr="00724199" w:rsidRDefault="00EA6180" w:rsidP="00724199">
      <w:pPr>
        <w:pStyle w:val="TableFooter"/>
        <w:spacing w:after="120"/>
        <w:rPr>
          <w:rFonts w:eastAsiaTheme="minorHAnsi"/>
          <w:iCs/>
        </w:rPr>
      </w:pPr>
      <w:r w:rsidRPr="00F92E56">
        <w:rPr>
          <w:rFonts w:eastAsiaTheme="minorHAnsi"/>
          <w:iCs/>
          <w:vertAlign w:val="superscript"/>
        </w:rPr>
        <w:t>c</w:t>
      </w:r>
      <w:r w:rsidRPr="00F92E56">
        <w:rPr>
          <w:rFonts w:eastAsiaTheme="minorHAnsi"/>
          <w:iCs/>
        </w:rPr>
        <w:t xml:space="preserve"> Provided in </w:t>
      </w:r>
      <w:r w:rsidR="000D7DC8" w:rsidRPr="00F92E56">
        <w:rPr>
          <w:rFonts w:eastAsiaTheme="minorHAnsi"/>
          <w:iCs/>
        </w:rPr>
        <w:t>Table 2</w:t>
      </w:r>
      <w:r w:rsidR="00785872" w:rsidRPr="00785872">
        <w:rPr>
          <w:rFonts w:eastAsiaTheme="minorHAnsi"/>
          <w:iCs/>
        </w:rPr>
        <w:t xml:space="preserve"> </w:t>
      </w:r>
      <w:r w:rsidR="000D7DC8" w:rsidRPr="00F92E56">
        <w:rPr>
          <w:rFonts w:eastAsiaTheme="minorHAnsi"/>
          <w:iCs/>
        </w:rPr>
        <w:t xml:space="preserve">of </w:t>
      </w:r>
      <w:r w:rsidRPr="00F92E56">
        <w:rPr>
          <w:rFonts w:eastAsiaTheme="minorHAnsi"/>
          <w:iCs/>
        </w:rPr>
        <w:t xml:space="preserve">PSCR </w:t>
      </w:r>
    </w:p>
    <w:p w14:paraId="7E2D278C" w14:textId="3A3D546C" w:rsidR="00101C8F" w:rsidRDefault="00101C8F" w:rsidP="00C76B7E">
      <w:pPr>
        <w:pStyle w:val="Caption"/>
      </w:pPr>
      <w:bookmarkStart w:id="32" w:name="_Ref141542427"/>
      <w:r w:rsidRPr="00F92E56">
        <w:lastRenderedPageBreak/>
        <w:t xml:space="preserve">Figure </w:t>
      </w:r>
      <w:r w:rsidR="001D78FA">
        <w:fldChar w:fldCharType="begin" w:fldLock="1"/>
      </w:r>
      <w:r w:rsidR="001D78FA">
        <w:instrText xml:space="preserve"> SEQ Figure \* ARABIC </w:instrText>
      </w:r>
      <w:r w:rsidR="001D78FA">
        <w:fldChar w:fldCharType="separate"/>
      </w:r>
      <w:r w:rsidR="0096718A" w:rsidRPr="00346867">
        <w:t>2</w:t>
      </w:r>
      <w:r w:rsidR="001D78FA">
        <w:fldChar w:fldCharType="end"/>
      </w:r>
      <w:bookmarkEnd w:id="32"/>
      <w:r w:rsidRPr="00F92E56">
        <w:t>: CM274 - Kaplan-Meier plot of NUTRFS –</w:t>
      </w:r>
      <w:r w:rsidR="00402784" w:rsidRPr="00F92E56">
        <w:t xml:space="preserve"> </w:t>
      </w:r>
      <w:r w:rsidRPr="00F92E56">
        <w:t>Prior neoadjuvant platinum-based chemotherapy population</w:t>
      </w:r>
    </w:p>
    <w:p w14:paraId="5DDC7E89" w14:textId="363C66FD" w:rsidR="00C76B7E" w:rsidRPr="00C76B7E" w:rsidRDefault="00C76B7E" w:rsidP="00C76B7E">
      <w:pPr>
        <w:rPr>
          <w:rFonts w:eastAsiaTheme="minorHAnsi"/>
        </w:rPr>
      </w:pPr>
      <w:r w:rsidRPr="00D27E62">
        <w:rPr>
          <w:rFonts w:eastAsiaTheme="minorHAnsi"/>
          <w:noProof/>
        </w:rPr>
        <w:drawing>
          <wp:inline distT="0" distB="0" distL="0" distR="0" wp14:anchorId="4647BF9E" wp14:editId="673C98B7">
            <wp:extent cx="5732145" cy="4826676"/>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4826676"/>
                    </a:xfrm>
                    <a:prstGeom prst="rect">
                      <a:avLst/>
                    </a:prstGeom>
                    <a:noFill/>
                    <a:ln>
                      <a:noFill/>
                    </a:ln>
                  </pic:spPr>
                </pic:pic>
              </a:graphicData>
            </a:graphic>
          </wp:inline>
        </w:drawing>
      </w:r>
    </w:p>
    <w:p w14:paraId="2553192D" w14:textId="77777777" w:rsidR="00101C8F" w:rsidRPr="00F92E56" w:rsidRDefault="00101C8F" w:rsidP="00C76B7E">
      <w:pPr>
        <w:pStyle w:val="TableFooter"/>
        <w:keepNext/>
        <w:keepLines/>
        <w:rPr>
          <w:rFonts w:eastAsiaTheme="minorHAnsi"/>
        </w:rPr>
      </w:pPr>
      <w:r w:rsidRPr="00F92E56">
        <w:rPr>
          <w:rFonts w:eastAsiaTheme="minorHAnsi"/>
        </w:rPr>
        <w:t>Source: Figure 6, p67 of the resubmission.</w:t>
      </w:r>
    </w:p>
    <w:p w14:paraId="7FF99BCD" w14:textId="79594167" w:rsidR="00101C8F" w:rsidRPr="00F92E56" w:rsidRDefault="00101C8F" w:rsidP="00C76B7E">
      <w:pPr>
        <w:pStyle w:val="TableFooter"/>
        <w:keepNext/>
        <w:keepLines/>
        <w:rPr>
          <w:rFonts w:eastAsiaTheme="minorHAnsi"/>
        </w:rPr>
      </w:pPr>
      <w:r w:rsidRPr="00F92E56">
        <w:rPr>
          <w:rFonts w:eastAsiaTheme="minorHAnsi"/>
        </w:rPr>
        <w:t>CI = confidence interval; HR = hazard ratio; NA = not estimable (not reached); NUTRFS = non-urothelial tract recurrence-free survival.</w:t>
      </w:r>
    </w:p>
    <w:p w14:paraId="25DAFA1D" w14:textId="17E16752" w:rsidR="00101C8F" w:rsidRPr="00F92E56" w:rsidRDefault="00101C8F" w:rsidP="00C76B7E">
      <w:pPr>
        <w:pStyle w:val="TableFooter"/>
        <w:keepNext/>
        <w:keepLines/>
        <w:rPr>
          <w:rFonts w:eastAsiaTheme="minorHAnsi"/>
        </w:rPr>
      </w:pPr>
      <w:r w:rsidRPr="00F92E56">
        <w:rPr>
          <w:rFonts w:eastAsiaTheme="minorHAnsi"/>
        </w:rPr>
        <w:t>Note</w:t>
      </w:r>
      <w:r w:rsidR="00E97DD6" w:rsidRPr="00F92E56">
        <w:rPr>
          <w:rFonts w:eastAsiaTheme="minorHAnsi"/>
        </w:rPr>
        <w:t>s</w:t>
      </w:r>
      <w:r w:rsidRPr="00F92E56">
        <w:rPr>
          <w:rFonts w:eastAsiaTheme="minorHAnsi"/>
        </w:rPr>
        <w:t>: Statistical model for hazard ratio and p-value - stratified Cox proportional hazard and stratified log-rank test.</w:t>
      </w:r>
    </w:p>
    <w:p w14:paraId="5CBA0113" w14:textId="77777777" w:rsidR="00101C8F" w:rsidRPr="00F92E56" w:rsidRDefault="00101C8F" w:rsidP="00C76B7E">
      <w:pPr>
        <w:pStyle w:val="TableFooter"/>
        <w:keepNext/>
        <w:keepLines/>
        <w:rPr>
          <w:rFonts w:eastAsiaTheme="minorHAnsi"/>
        </w:rPr>
      </w:pPr>
      <w:r w:rsidRPr="00F92E56">
        <w:rPr>
          <w:rFonts w:eastAsiaTheme="minorHAnsi"/>
        </w:rPr>
        <w:t>Symbols represent censored observations.</w:t>
      </w:r>
    </w:p>
    <w:p w14:paraId="66C82E3C" w14:textId="64938C53" w:rsidR="00101C8F" w:rsidRPr="00F92E56" w:rsidRDefault="00101C8F" w:rsidP="00C76B7E">
      <w:pPr>
        <w:pStyle w:val="TableFooter"/>
        <w:keepNext/>
        <w:keepLines/>
        <w:rPr>
          <w:rFonts w:eastAsiaTheme="minorHAnsi"/>
        </w:rPr>
      </w:pPr>
      <w:r w:rsidRPr="00F92E56">
        <w:rPr>
          <w:rFonts w:eastAsiaTheme="minorHAnsi"/>
        </w:rPr>
        <w:t>Unstratified Cox proportional hazards model. HR is NIVO over PBO.</w:t>
      </w:r>
    </w:p>
    <w:p w14:paraId="033C888F" w14:textId="444C1D5C" w:rsidR="00101C8F" w:rsidRPr="00F92E56" w:rsidRDefault="00101C8F" w:rsidP="00724199">
      <w:pPr>
        <w:pStyle w:val="TableFooter"/>
        <w:spacing w:after="120"/>
      </w:pPr>
      <w:r w:rsidRPr="00F92E56">
        <w:rPr>
          <w:rFonts w:eastAsiaTheme="minorHAnsi"/>
        </w:rPr>
        <w:t>Data based on the extended follow-up (Data cutoff on 08 September 2022, Median follow-up, 36.1 months)</w:t>
      </w:r>
    </w:p>
    <w:p w14:paraId="7BDA85D3" w14:textId="6B72ADF3" w:rsidR="00101C8F" w:rsidRPr="00F92E56" w:rsidRDefault="00101C8F" w:rsidP="00C76B7E">
      <w:pPr>
        <w:pStyle w:val="Caption"/>
        <w:rPr>
          <w:rFonts w:eastAsiaTheme="minorHAnsi"/>
        </w:rPr>
      </w:pPr>
      <w:bookmarkStart w:id="33" w:name="_Ref141542430"/>
      <w:r w:rsidRPr="00F92E56">
        <w:lastRenderedPageBreak/>
        <w:t xml:space="preserve">Figure </w:t>
      </w:r>
      <w:r w:rsidR="001D78FA">
        <w:fldChar w:fldCharType="begin" w:fldLock="1"/>
      </w:r>
      <w:r w:rsidR="001D78FA">
        <w:instrText xml:space="preserve"> SEQ Figure \* ARABIC </w:instrText>
      </w:r>
      <w:r w:rsidR="001D78FA">
        <w:fldChar w:fldCharType="separate"/>
      </w:r>
      <w:r w:rsidR="0096718A" w:rsidRPr="00F92E56">
        <w:t>3</w:t>
      </w:r>
      <w:r w:rsidR="001D78FA">
        <w:fldChar w:fldCharType="end"/>
      </w:r>
      <w:bookmarkEnd w:id="33"/>
      <w:r w:rsidRPr="00F92E56">
        <w:t>: CM274 - Kaplan-Meier plot of DMFS – Prior neoadjuvant platinum-based chemotherapy population</w:t>
      </w:r>
    </w:p>
    <w:p w14:paraId="094CE8F7" w14:textId="77777777" w:rsidR="00101C8F" w:rsidRPr="00F92E56" w:rsidRDefault="00101C8F" w:rsidP="00C76B7E">
      <w:pPr>
        <w:pStyle w:val="TableFooter"/>
        <w:keepNext/>
        <w:keepLines/>
        <w:rPr>
          <w:rFonts w:eastAsiaTheme="minorHAnsi"/>
        </w:rPr>
      </w:pPr>
      <w:r w:rsidRPr="00D27E62">
        <w:rPr>
          <w:rFonts w:ascii="Trebuchet MS" w:eastAsiaTheme="minorHAnsi" w:hAnsi="Trebuchet MS"/>
          <w:noProof/>
        </w:rPr>
        <w:drawing>
          <wp:inline distT="0" distB="0" distL="0" distR="0" wp14:anchorId="1EB12B15" wp14:editId="5FDB7091">
            <wp:extent cx="5715000" cy="5715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r w:rsidRPr="00F92E56">
        <w:rPr>
          <w:rFonts w:eastAsiaTheme="minorHAnsi"/>
        </w:rPr>
        <w:t>Source: Figure 7, p68 of the resubmission.</w:t>
      </w:r>
    </w:p>
    <w:p w14:paraId="66920234" w14:textId="03566221" w:rsidR="00101C8F" w:rsidRPr="00F92E56" w:rsidRDefault="00101C8F" w:rsidP="00C76B7E">
      <w:pPr>
        <w:pStyle w:val="TableFooter"/>
        <w:keepNext/>
        <w:keepLines/>
        <w:rPr>
          <w:rFonts w:eastAsiaTheme="minorHAnsi"/>
        </w:rPr>
      </w:pPr>
      <w:r w:rsidRPr="00F92E56">
        <w:rPr>
          <w:rFonts w:eastAsiaTheme="minorHAnsi"/>
        </w:rPr>
        <w:t>CI = confidence interval; DMFS = distant metastases-free survival; HR = hazard ratio; NA = not estimable (not reached)</w:t>
      </w:r>
    </w:p>
    <w:p w14:paraId="0A6B60C2" w14:textId="7FBC3B9F" w:rsidR="00101C8F" w:rsidRPr="00F92E56" w:rsidRDefault="00101C8F" w:rsidP="00C76B7E">
      <w:pPr>
        <w:pStyle w:val="TableFooter"/>
        <w:keepNext/>
        <w:keepLines/>
        <w:rPr>
          <w:rFonts w:eastAsiaTheme="minorHAnsi"/>
        </w:rPr>
      </w:pPr>
      <w:r w:rsidRPr="00F92E56">
        <w:rPr>
          <w:rFonts w:eastAsiaTheme="minorHAnsi"/>
        </w:rPr>
        <w:t>Note</w:t>
      </w:r>
      <w:r w:rsidR="009A2CF2" w:rsidRPr="00F92E56">
        <w:rPr>
          <w:rFonts w:eastAsiaTheme="minorHAnsi"/>
        </w:rPr>
        <w:t>s</w:t>
      </w:r>
      <w:r w:rsidRPr="00F92E56">
        <w:rPr>
          <w:rFonts w:eastAsiaTheme="minorHAnsi"/>
        </w:rPr>
        <w:t>: Statistical model for hazard ratio and p-value - stratified Cox proportional hazard and stratified log-rank test.</w:t>
      </w:r>
    </w:p>
    <w:p w14:paraId="546B9A1D" w14:textId="77777777" w:rsidR="00101C8F" w:rsidRPr="00F92E56" w:rsidRDefault="00101C8F" w:rsidP="00C76B7E">
      <w:pPr>
        <w:pStyle w:val="TableFooter"/>
        <w:keepNext/>
        <w:keepLines/>
        <w:rPr>
          <w:rFonts w:eastAsiaTheme="minorHAnsi"/>
        </w:rPr>
      </w:pPr>
      <w:r w:rsidRPr="00F92E56">
        <w:rPr>
          <w:rFonts w:eastAsiaTheme="minorHAnsi"/>
        </w:rPr>
        <w:t>Symbols represent censored observations.</w:t>
      </w:r>
    </w:p>
    <w:p w14:paraId="3F0427BF" w14:textId="23FF40D1" w:rsidR="00101C8F" w:rsidRPr="00F92E56" w:rsidRDefault="00101C8F" w:rsidP="00C76B7E">
      <w:pPr>
        <w:pStyle w:val="TableFooter"/>
        <w:keepNext/>
        <w:keepLines/>
        <w:rPr>
          <w:rFonts w:eastAsiaTheme="minorHAnsi"/>
        </w:rPr>
      </w:pPr>
      <w:r w:rsidRPr="00F92E56">
        <w:rPr>
          <w:rFonts w:eastAsiaTheme="minorHAnsi"/>
        </w:rPr>
        <w:t>Unstratified Cox proportional hazards model. HR is NIVO over PBO.</w:t>
      </w:r>
    </w:p>
    <w:p w14:paraId="10934A8E" w14:textId="077CFD1D" w:rsidR="0055587B" w:rsidRPr="00F92E56" w:rsidRDefault="00101C8F" w:rsidP="00101C8F">
      <w:pPr>
        <w:pStyle w:val="Tablenotes"/>
        <w:rPr>
          <w:rFonts w:ascii="Arial Narrow" w:eastAsiaTheme="minorHAnsi" w:hAnsi="Arial Narrow" w:cs="Arial"/>
          <w:sz w:val="18"/>
          <w:szCs w:val="24"/>
          <w:lang w:eastAsia="en-AU"/>
        </w:rPr>
      </w:pPr>
      <w:r w:rsidRPr="00F92E56">
        <w:rPr>
          <w:rFonts w:ascii="Arial Narrow" w:eastAsiaTheme="minorHAnsi" w:hAnsi="Arial Narrow" w:cs="Arial"/>
          <w:sz w:val="18"/>
          <w:szCs w:val="24"/>
          <w:lang w:eastAsia="en-AU"/>
        </w:rPr>
        <w:t>Data based on the extended follow-up (Data cut-off on 08 September 2022, Median follow-up, 36.1 months)</w:t>
      </w:r>
    </w:p>
    <w:p w14:paraId="394E5C92" w14:textId="640E417C" w:rsidR="00101C8F" w:rsidRPr="00F92E56" w:rsidRDefault="00101C8F" w:rsidP="00236876">
      <w:pPr>
        <w:pStyle w:val="3-BodyText"/>
      </w:pPr>
      <w:r w:rsidRPr="00F92E56">
        <w:t xml:space="preserve">In the prior NAC </w:t>
      </w:r>
      <w:r w:rsidR="009A2CF2" w:rsidRPr="00F92E56">
        <w:t>subgroup</w:t>
      </w:r>
      <w:r w:rsidRPr="00F92E56">
        <w:t>, nivolumab was associated with a statistically significant 43% reduction in the hazard of non-urothelial tract recurrence or death compared with placebo (HR</w:t>
      </w:r>
      <w:r w:rsidR="009A2CF2" w:rsidRPr="00F92E56">
        <w:t>:</w:t>
      </w:r>
      <w:r w:rsidRPr="00F92E56">
        <w:t xml:space="preserve"> 0.57, 95% CI: 0.43, 0.76). The median duration of NUTRFS was 33.4</w:t>
      </w:r>
      <w:r w:rsidR="00C76B7E">
        <w:t> </w:t>
      </w:r>
      <w:r w:rsidRPr="00F92E56">
        <w:t>months in the nivolumab arm and 8.3 months in the placebo arm (difference of 25.1 months). The NUTRFS event</w:t>
      </w:r>
      <w:r w:rsidR="009A2CF2" w:rsidRPr="00F92E56">
        <w:t>-</w:t>
      </w:r>
      <w:r w:rsidRPr="00F92E56">
        <w:t xml:space="preserve">free rate at 6 months was higher in the nivolumab arm (78.8%) than in the placebo arm (56.6%). </w:t>
      </w:r>
    </w:p>
    <w:p w14:paraId="1C0B09B4" w14:textId="148E2A11" w:rsidR="00101C8F" w:rsidRPr="00F92E56" w:rsidRDefault="00101C8F" w:rsidP="00236876">
      <w:pPr>
        <w:pStyle w:val="3-BodyText"/>
      </w:pPr>
      <w:r w:rsidRPr="00F92E56">
        <w:lastRenderedPageBreak/>
        <w:t xml:space="preserve">The observed magnitude of NUTRFS benefit associated with nivolumab over placebo was much smaller in the complement </w:t>
      </w:r>
      <w:r w:rsidR="00D82455" w:rsidRPr="00F92E56">
        <w:t xml:space="preserve">population with </w:t>
      </w:r>
      <w:r w:rsidRPr="00F92E56">
        <w:t>no prior NAC. The reduction in hazard of non-urothelial tract recurrence or death compared with placebo was 11% which was not statistically significant (difference in median DFS</w:t>
      </w:r>
      <w:r w:rsidR="009A2CF2" w:rsidRPr="00F92E56">
        <w:t>:</w:t>
      </w:r>
      <w:r w:rsidRPr="00F92E56">
        <w:t xml:space="preserve"> 4.7 months; HR 0.89, 95% CI: 0.68, 1.16). Notably</w:t>
      </w:r>
      <w:r w:rsidR="00D82455" w:rsidRPr="00F92E56">
        <w:t>,</w:t>
      </w:r>
      <w:r w:rsidRPr="00F92E56">
        <w:t xml:space="preserve"> as was the case for DFS, the median NUTRFS duration in the placebo arm was substantially longer in the no prior NAC (21.2 months) than in the prior NAC (8.3 months) subsets. On the other hand, the median NUTRFS duration in the nivolumab arm was longer in the prior NAC (33.4 months) versus no prior NAC (25.9 months) subsets.</w:t>
      </w:r>
    </w:p>
    <w:p w14:paraId="2D72A322" w14:textId="217E9211" w:rsidR="00101C8F" w:rsidRPr="00F92E56" w:rsidRDefault="00101C8F" w:rsidP="00236876">
      <w:pPr>
        <w:pStyle w:val="3-BodyText"/>
      </w:pPr>
      <w:r w:rsidRPr="00F92E56">
        <w:t xml:space="preserve">In the prior NAC </w:t>
      </w:r>
      <w:r w:rsidR="00F75362" w:rsidRPr="00F92E56">
        <w:t>subgroup</w:t>
      </w:r>
      <w:r w:rsidRPr="00F92E56">
        <w:t>, nivolumab was associated with a statistically significant 38% reduction in the hazard of distant metastases or death compared with placebo (HR</w:t>
      </w:r>
      <w:r w:rsidR="00C31F71" w:rsidRPr="00F92E56">
        <w:t>:</w:t>
      </w:r>
      <w:r w:rsidRPr="00F92E56">
        <w:t xml:space="preserve"> 0.62, 95% CI: 0.45, 0.85). The median duration of DMFS was longer in the nivolumab arm than in the placebo arm (48.2 months </w:t>
      </w:r>
      <w:r w:rsidR="00C31F71" w:rsidRPr="00F92E56">
        <w:rPr>
          <w:i/>
        </w:rPr>
        <w:t>vs.</w:t>
      </w:r>
      <w:r w:rsidR="00C31F71" w:rsidRPr="00F92E56">
        <w:t xml:space="preserve"> </w:t>
      </w:r>
      <w:r w:rsidRPr="00F92E56">
        <w:t>15.2 months; difference 33</w:t>
      </w:r>
      <w:r w:rsidR="00C76B7E">
        <w:t> </w:t>
      </w:r>
      <w:r w:rsidRPr="00F92E56">
        <w:t>months).</w:t>
      </w:r>
    </w:p>
    <w:p w14:paraId="7A55A98C" w14:textId="3CEF9780" w:rsidR="00A54083" w:rsidRPr="00F92E56" w:rsidRDefault="00101C8F" w:rsidP="00236876">
      <w:pPr>
        <w:pStyle w:val="3-BodyText"/>
      </w:pPr>
      <w:r w:rsidRPr="00F92E56">
        <w:t>As was the case for both DFS and NUTRFS, the observed magnitude of DMFS benefit associated with nivolumab over placebo was much smaller in the complement no prior NAC sub</w:t>
      </w:r>
      <w:r w:rsidR="00C31F71" w:rsidRPr="00F92E56">
        <w:t>group</w:t>
      </w:r>
      <w:r w:rsidRPr="00F92E56">
        <w:t>. The reduction in hazard of distant metastases or death versus placebo was 12% which was not statistically significant (median DFS</w:t>
      </w:r>
      <w:r w:rsidR="00C31F71" w:rsidRPr="00F92E56">
        <w:t>:</w:t>
      </w:r>
      <w:r w:rsidRPr="00F92E56">
        <w:t xml:space="preserve"> 41.1 months </w:t>
      </w:r>
      <w:r w:rsidR="00EC6998" w:rsidRPr="00F92E56">
        <w:t xml:space="preserve">vs. </w:t>
      </w:r>
      <w:r w:rsidRPr="00F92E56">
        <w:t>39.9</w:t>
      </w:r>
      <w:r w:rsidR="00C76B7E">
        <w:t> </w:t>
      </w:r>
      <w:r w:rsidRPr="00F92E56">
        <w:t>months (difference 1.2 months); HR</w:t>
      </w:r>
      <w:r w:rsidR="00C31F71" w:rsidRPr="00F92E56">
        <w:t>:</w:t>
      </w:r>
      <w:r w:rsidRPr="00F92E56">
        <w:t xml:space="preserve"> 0.8</w:t>
      </w:r>
      <w:r w:rsidR="00C31F71" w:rsidRPr="00F92E56">
        <w:t>8</w:t>
      </w:r>
      <w:r w:rsidRPr="00F92E56">
        <w:t>, 95% CI: 0.6</w:t>
      </w:r>
      <w:r w:rsidR="00C31F71" w:rsidRPr="00F92E56">
        <w:t>5</w:t>
      </w:r>
      <w:r w:rsidRPr="00F92E56">
        <w:t>, 1.1</w:t>
      </w:r>
      <w:r w:rsidR="00C31F71" w:rsidRPr="00F92E56">
        <w:t>8</w:t>
      </w:r>
      <w:r w:rsidRPr="00F92E56">
        <w:t>). The median DMFS duration in the placebo arm was substantially longer in the no prior NAC (39.9 months) than in the prior NAC (15.2 months) sub</w:t>
      </w:r>
      <w:r w:rsidR="00BE2F1D" w:rsidRPr="00F92E56">
        <w:t>group</w:t>
      </w:r>
      <w:r w:rsidRPr="00F92E56">
        <w:t>s. On the other hand, the median DMFS duration in the nivolumab arm was longer in the prior NAC (48.2 months) versus no prior NAC (41.1 months) sub</w:t>
      </w:r>
      <w:r w:rsidR="00BE2F1D" w:rsidRPr="00F92E56">
        <w:t>group</w:t>
      </w:r>
      <w:r w:rsidRPr="00F92E56">
        <w:t>s.</w:t>
      </w:r>
    </w:p>
    <w:p w14:paraId="50DD3876" w14:textId="47128534" w:rsidR="00A54083" w:rsidRPr="00F92E56" w:rsidRDefault="001756B0" w:rsidP="00236876">
      <w:pPr>
        <w:pStyle w:val="3-BodyText"/>
      </w:pPr>
      <w:r w:rsidRPr="00F92E56">
        <w:t>Health-related quality of life (</w:t>
      </w:r>
      <w:r w:rsidR="00A54083" w:rsidRPr="00F92E56">
        <w:t>HRQoL</w:t>
      </w:r>
      <w:r w:rsidRPr="00F92E56">
        <w:t>)</w:t>
      </w:r>
      <w:r w:rsidR="00A54083" w:rsidRPr="00F92E56">
        <w:t xml:space="preserve"> data from the CM274 trial were based on the September 2022 data cutoff. The resubmission noted that HRQoL outcomes were only available for all treated patients in the prior NAC sub</w:t>
      </w:r>
      <w:r w:rsidR="004121CC" w:rsidRPr="00F92E56">
        <w:t>group</w:t>
      </w:r>
      <w:r w:rsidR="00A54083" w:rsidRPr="00F92E56">
        <w:t>. The resubmission did not report on the percentage of patients that completed the EORTC QLQ</w:t>
      </w:r>
      <w:r w:rsidR="00A54083" w:rsidRPr="00F92E56">
        <w:rPr>
          <w:rStyle w:val="FootnoteReference"/>
        </w:rPr>
        <w:footnoteReference w:id="13"/>
      </w:r>
      <w:r w:rsidR="00A54083" w:rsidRPr="00F92E56">
        <w:t>-C30 in both treatment arms. The resubmission noted that at baseline, mean EORTC QLQ-C30 summary scores for all domains were comparable between treatment arms.</w:t>
      </w:r>
    </w:p>
    <w:p w14:paraId="51CBF2B0" w14:textId="28942234" w:rsidR="00A54083" w:rsidRPr="00F92E56" w:rsidRDefault="00A54083" w:rsidP="00236876">
      <w:pPr>
        <w:pStyle w:val="3-BodyText"/>
      </w:pPr>
      <w:r w:rsidRPr="00F92E56">
        <w:t xml:space="preserve">Overall, </w:t>
      </w:r>
      <w:r w:rsidR="00B11BA2" w:rsidRPr="00F92E56">
        <w:t xml:space="preserve">HRQoL </w:t>
      </w:r>
      <w:r w:rsidRPr="00F92E56">
        <w:t>results were similar to those presented for the ITT population in the previous submission. Changes from baseline in the EORTC QLQ-C30 global health status and the EQ-5D-3L visual analogue scale scores over time indicated that there was no meaningful difference in deterioration in quality of life (QoL) between patients who received nivolumab and those who received placebo. No statistical tests were performed on change from baseline scores between treatment arms.</w:t>
      </w:r>
    </w:p>
    <w:p w14:paraId="72DB915C" w14:textId="5C6486E0" w:rsidR="00247925" w:rsidRPr="00F92E56" w:rsidRDefault="00C30336" w:rsidP="00236876">
      <w:pPr>
        <w:pStyle w:val="3-BodyText"/>
      </w:pPr>
      <w:r w:rsidRPr="00F92E56">
        <w:t xml:space="preserve">In </w:t>
      </w:r>
      <w:r w:rsidR="009C44D6" w:rsidRPr="00F92E56">
        <w:t xml:space="preserve">the previous </w:t>
      </w:r>
      <w:r w:rsidRPr="00F92E56">
        <w:t xml:space="preserve">consideration of nivolumab for MIUC, </w:t>
      </w:r>
      <w:r w:rsidR="00E623D6" w:rsidRPr="00F92E56">
        <w:t>it was</w:t>
      </w:r>
      <w:r w:rsidRPr="00F92E56">
        <w:t xml:space="preserve"> noted that although </w:t>
      </w:r>
      <w:r w:rsidR="00A54083" w:rsidRPr="00F92E56">
        <w:t>EORTC QLQ-C30 and EQ-5D scales have become international standards for HRQoL measurement</w:t>
      </w:r>
      <w:r w:rsidRPr="00F92E56">
        <w:t xml:space="preserve">, </w:t>
      </w:r>
      <w:r w:rsidR="00A54083" w:rsidRPr="00F92E56">
        <w:t xml:space="preserve">these tools have several limitations in the context of novel therapies such as immune checkpoint inhibitors. For example, the QLQ-C30 includes questions </w:t>
      </w:r>
      <w:r w:rsidR="00A54083" w:rsidRPr="00F92E56">
        <w:lastRenderedPageBreak/>
        <w:t>pertaining to nausea and vomiting</w:t>
      </w:r>
      <w:r w:rsidRPr="00F92E56">
        <w:t xml:space="preserve"> usually</w:t>
      </w:r>
      <w:r w:rsidR="00A54083" w:rsidRPr="00F92E56">
        <w:t xml:space="preserve"> associated with cytotoxic chemotherapy (not a comparator in the CM274 trial) and immune checkpoint inhibitors are associated with a unique set of immune mediated adverse reactions. </w:t>
      </w:r>
      <w:r w:rsidR="00B11BA2" w:rsidRPr="00F92E56">
        <w:t>In July 2022, t</w:t>
      </w:r>
      <w:r w:rsidR="00A54083" w:rsidRPr="00F92E56">
        <w:t xml:space="preserve">he PBAC </w:t>
      </w:r>
      <w:r w:rsidR="00B11BA2" w:rsidRPr="00F92E56">
        <w:t>considered</w:t>
      </w:r>
      <w:r w:rsidRPr="00F92E56">
        <w:t xml:space="preserve"> that </w:t>
      </w:r>
      <w:r w:rsidR="00A54083" w:rsidRPr="00F92E56">
        <w:t>the HRQoL results did not reflect the higher rate of toxicity in the nivolumab treatment arm compared to placebo in the CM274 trial (para</w:t>
      </w:r>
      <w:r w:rsidR="00724199">
        <w:t>graph</w:t>
      </w:r>
      <w:r w:rsidR="00A54083" w:rsidRPr="00F92E56">
        <w:t xml:space="preserve"> 6.32, nivolumab PSD, July 2022 PBAC meeting).</w:t>
      </w:r>
      <w:r w:rsidRPr="00F92E56">
        <w:t xml:space="preserve"> This is a similar concern in the resubmission for the prior NAC patient population.</w:t>
      </w:r>
    </w:p>
    <w:p w14:paraId="3CC78604" w14:textId="32E12E50" w:rsidR="006D08C6" w:rsidRPr="00F92E56" w:rsidRDefault="00E623D6" w:rsidP="00236876">
      <w:pPr>
        <w:pStyle w:val="3-BodyText"/>
      </w:pPr>
      <w:r w:rsidRPr="00F92E56">
        <w:t xml:space="preserve">The PBAC </w:t>
      </w:r>
      <w:r w:rsidR="00324084" w:rsidRPr="00F92E56">
        <w:t xml:space="preserve">previously </w:t>
      </w:r>
      <w:r w:rsidRPr="00F92E56">
        <w:t>noted that a</w:t>
      </w:r>
      <w:r w:rsidR="006D08C6" w:rsidRPr="00F92E56">
        <w:t>tezolizumab (a PD-L1 inhibitor) has been assessed in a randomised controlled trial as an adjuvant treatment in a similar patient population with MIUC at a high risk of recurrence after radical cystectomy or nephroureterectomy (IMvigor010)</w:t>
      </w:r>
      <w:r w:rsidR="009C44D6" w:rsidRPr="00F92E56">
        <w:rPr>
          <w:rStyle w:val="FootnoteReference"/>
        </w:rPr>
        <w:footnoteReference w:id="14"/>
      </w:r>
      <w:r w:rsidR="006D08C6" w:rsidRPr="00F92E56">
        <w:t xml:space="preserve">. </w:t>
      </w:r>
      <w:r w:rsidR="004121CC" w:rsidRPr="00F92E56">
        <w:t xml:space="preserve">In this trial, </w:t>
      </w:r>
      <w:r w:rsidR="006D08C6" w:rsidRPr="00F92E56">
        <w:t>406 patients were assigned to the atezolizumab group and 403 were assigned to the observation group. The median duration of follow-up was 21.9 months. The median DFS was 19.4 months with atezolizumab and 16.6</w:t>
      </w:r>
      <w:r w:rsidR="00C76B7E">
        <w:t> </w:t>
      </w:r>
      <w:r w:rsidR="006D08C6" w:rsidRPr="00F92E56">
        <w:t>months with observation (HR</w:t>
      </w:r>
      <w:r w:rsidR="004121CC" w:rsidRPr="00F92E56">
        <w:t>:</w:t>
      </w:r>
      <w:r w:rsidR="006D08C6" w:rsidRPr="00F92E56">
        <w:t xml:space="preserve"> 0.89; 95% CI: 0.74, 1.08).</w:t>
      </w:r>
      <w:r w:rsidR="00324084" w:rsidRPr="00F92E56">
        <w:t xml:space="preserve"> The PBAC previously noted that the results for this trial did not support the use of atezolizumab in the trial population </w:t>
      </w:r>
      <w:r w:rsidR="00324084" w:rsidRPr="00F92E56">
        <w:rPr>
          <w:snapToGrid/>
        </w:rPr>
        <w:t>and considered that this indicated that there may be a lack of a class effect for PD-L1 inhibitor therapy (</w:t>
      </w:r>
      <w:r w:rsidR="00724199">
        <w:rPr>
          <w:snapToGrid/>
        </w:rPr>
        <w:t>paragraph</w:t>
      </w:r>
      <w:r w:rsidR="00324084" w:rsidRPr="00F92E56">
        <w:rPr>
          <w:snapToGrid/>
        </w:rPr>
        <w:t xml:space="preserve"> 4.9, nivolumab PSD, July 2022 PBAC meeting).</w:t>
      </w:r>
    </w:p>
    <w:p w14:paraId="7CC6338A" w14:textId="15CF112B" w:rsidR="006D08C6" w:rsidRPr="00F92E56" w:rsidRDefault="006D08C6" w:rsidP="00236876">
      <w:pPr>
        <w:pStyle w:val="3-BodyText"/>
      </w:pPr>
      <w:r w:rsidRPr="00F92E56">
        <w:t>In the prior NAC patient subgroup (n=385) of IMvigor010, the median DFS duration was 19.8 months with atezolizumab and 16.5 months with observation (HR</w:t>
      </w:r>
      <w:r w:rsidR="00A30DE5" w:rsidRPr="00F92E56">
        <w:t>:</w:t>
      </w:r>
      <w:r w:rsidRPr="00F92E56">
        <w:t xml:space="preserve"> 0.87</w:t>
      </w:r>
      <w:r w:rsidR="002B4C4E" w:rsidRPr="00F92E56">
        <w:t>,</w:t>
      </w:r>
      <w:r w:rsidRPr="00F92E56">
        <w:t xml:space="preserve"> 95% CI: 0.66, 1.15). In the no prior NAC subgroup (n=424), the median DFS duration was 16.8 months with atezolizumab and 19.4 months with observation (HR</w:t>
      </w:r>
      <w:r w:rsidR="00A30DE5" w:rsidRPr="00F92E56">
        <w:t>:</w:t>
      </w:r>
      <w:r w:rsidRPr="00F92E56">
        <w:t xml:space="preserve"> 0.98</w:t>
      </w:r>
      <w:r w:rsidR="002B4C4E" w:rsidRPr="00F92E56">
        <w:t>,</w:t>
      </w:r>
      <w:r w:rsidRPr="00F92E56">
        <w:t xml:space="preserve"> 95% CI: 0.75, 1.28).</w:t>
      </w:r>
    </w:p>
    <w:p w14:paraId="5BF31E77" w14:textId="68133827" w:rsidR="006D08C6" w:rsidRPr="00F92E56" w:rsidRDefault="006D08C6" w:rsidP="00236876">
      <w:pPr>
        <w:pStyle w:val="3-BodyText"/>
      </w:pPr>
      <w:r w:rsidRPr="00F92E56">
        <w:t>Results from an ongoing Phase III randomised controlled trial comparing pembrolizumab (PD-1 inhibitor) as an adjuvant treatment with observation in patients with MIUC at a high risk of recurrence (AMBASSADOR; NCT03244384) are expected in June 2025.</w:t>
      </w:r>
    </w:p>
    <w:p w14:paraId="5AA7E2BF" w14:textId="77777777" w:rsidR="00B60939" w:rsidRPr="00F92E56" w:rsidRDefault="00B60939" w:rsidP="00D86231">
      <w:pPr>
        <w:pStyle w:val="4-SubsectionHeading"/>
      </w:pPr>
      <w:bookmarkStart w:id="34" w:name="_Toc22897642"/>
      <w:bookmarkStart w:id="35" w:name="_Toc145496535"/>
      <w:r w:rsidRPr="00F92E56">
        <w:t>Comparative harms</w:t>
      </w:r>
      <w:bookmarkEnd w:id="34"/>
      <w:bookmarkEnd w:id="35"/>
    </w:p>
    <w:p w14:paraId="40DBAC5A" w14:textId="3B20C8AD" w:rsidR="00F14632" w:rsidRPr="00F92E56" w:rsidRDefault="00F14632" w:rsidP="00236876">
      <w:pPr>
        <w:pStyle w:val="3-BodyText"/>
      </w:pPr>
      <w:r w:rsidRPr="00F92E56">
        <w:fldChar w:fldCharType="begin" w:fldLock="1"/>
      </w:r>
      <w:r w:rsidRPr="00F92E56">
        <w:instrText xml:space="preserve"> REF _Ref141609692 \h </w:instrText>
      </w:r>
      <w:r w:rsidRPr="00F92E56">
        <w:fldChar w:fldCharType="separate"/>
      </w:r>
      <w:r w:rsidR="0096718A" w:rsidRPr="00F92E56">
        <w:t xml:space="preserve">Table </w:t>
      </w:r>
      <w:r w:rsidR="0096718A" w:rsidRPr="00346867">
        <w:t>9</w:t>
      </w:r>
      <w:r w:rsidRPr="00F92E56">
        <w:fldChar w:fldCharType="end"/>
      </w:r>
      <w:r w:rsidRPr="00F92E56">
        <w:t xml:space="preserve"> summarises the results of safety outcomes for the prior NAC subgroup in the CM274 trial during the on-treatment period (September 2022 data cutoff, median duration of follow-up 36.1 months; mean duration of nivolumab treatment 8.2</w:t>
      </w:r>
      <w:r w:rsidR="00C76B7E">
        <w:t> </w:t>
      </w:r>
      <w:r w:rsidRPr="00F92E56">
        <w:t xml:space="preserve">months </w:t>
      </w:r>
      <w:r w:rsidR="00EA57BF" w:rsidRPr="00F92E56">
        <w:t>[</w:t>
      </w:r>
      <w:r w:rsidR="001A2F16" w:rsidRPr="00F92E56">
        <w:t>based on the</w:t>
      </w:r>
      <w:r w:rsidRPr="00F92E56">
        <w:t xml:space="preserve"> Q2W dos</w:t>
      </w:r>
      <w:r w:rsidR="001A2F16" w:rsidRPr="00F92E56">
        <w:t>ing regimen</w:t>
      </w:r>
      <w:r w:rsidRPr="00F92E56">
        <w:t xml:space="preserve"> in the CM274 trial</w:t>
      </w:r>
      <w:r w:rsidR="00EA57BF" w:rsidRPr="00F92E56">
        <w:t>])</w:t>
      </w:r>
      <w:r w:rsidRPr="00F92E56">
        <w:t xml:space="preserve">. </w:t>
      </w:r>
    </w:p>
    <w:p w14:paraId="0DBBF6BF" w14:textId="159B1D6B" w:rsidR="00F14632" w:rsidRPr="00F92E56" w:rsidRDefault="00F14632" w:rsidP="00F14632">
      <w:pPr>
        <w:pStyle w:val="Caption"/>
        <w:rPr>
          <w:rFonts w:eastAsiaTheme="minorHAnsi"/>
        </w:rPr>
      </w:pPr>
      <w:bookmarkStart w:id="36" w:name="_Ref141609692"/>
      <w:r w:rsidRPr="00F92E56">
        <w:lastRenderedPageBreak/>
        <w:t xml:space="preserve">Table </w:t>
      </w:r>
      <w:r w:rsidR="001D78FA">
        <w:fldChar w:fldCharType="begin" w:fldLock="1"/>
      </w:r>
      <w:r w:rsidR="001D78FA">
        <w:instrText xml:space="preserve"> SEQ Table \* ARABIC </w:instrText>
      </w:r>
      <w:r w:rsidR="001D78FA">
        <w:fldChar w:fldCharType="separate"/>
      </w:r>
      <w:r w:rsidR="0096718A" w:rsidRPr="00346867">
        <w:t>9</w:t>
      </w:r>
      <w:r w:rsidR="001D78FA">
        <w:fldChar w:fldCharType="end"/>
      </w:r>
      <w:bookmarkEnd w:id="36"/>
      <w:r w:rsidRPr="00F92E56">
        <w:t xml:space="preserve">: CM274 – Overview of clinical AEs across treatment groups – </w:t>
      </w:r>
      <w:r w:rsidRPr="00F92E56">
        <w:rPr>
          <w:rFonts w:eastAsiaTheme="minorHAnsi"/>
        </w:rPr>
        <w:t xml:space="preserve">All treated </w:t>
      </w:r>
      <w:r w:rsidR="001C65B0" w:rsidRPr="00F92E56">
        <w:rPr>
          <w:rFonts w:eastAsiaTheme="minorHAnsi"/>
        </w:rPr>
        <w:t>patients</w:t>
      </w:r>
      <w:r w:rsidRPr="00F92E56">
        <w:rPr>
          <w:rFonts w:eastAsiaTheme="minorHAnsi"/>
        </w:rPr>
        <w:t xml:space="preserve"> with prior neoadjuvant platinum-based chemotherapy</w:t>
      </w:r>
    </w:p>
    <w:tbl>
      <w:tblPr>
        <w:tblStyle w:val="TableGrid3"/>
        <w:tblW w:w="5000" w:type="pct"/>
        <w:tblLook w:val="04A0" w:firstRow="1" w:lastRow="0" w:firstColumn="1" w:lastColumn="0" w:noHBand="0" w:noVBand="1"/>
      </w:tblPr>
      <w:tblGrid>
        <w:gridCol w:w="2901"/>
        <w:gridCol w:w="1463"/>
        <w:gridCol w:w="1394"/>
        <w:gridCol w:w="1540"/>
        <w:gridCol w:w="1719"/>
      </w:tblGrid>
      <w:tr w:rsidR="00F14632" w:rsidRPr="00F92E56" w14:paraId="512903CF" w14:textId="77777777" w:rsidTr="00F14632">
        <w:trPr>
          <w:cantSplit/>
        </w:trPr>
        <w:tc>
          <w:tcPr>
            <w:tcW w:w="1609" w:type="pct"/>
            <w:hideMark/>
          </w:tcPr>
          <w:p w14:paraId="7EF5AB9D" w14:textId="77777777" w:rsidR="00F14632" w:rsidRPr="00F92E56" w:rsidRDefault="00F14632" w:rsidP="00F14632">
            <w:pPr>
              <w:pStyle w:val="Tabletext"/>
              <w:keepNext/>
              <w:rPr>
                <w:b/>
              </w:rPr>
            </w:pPr>
            <w:r w:rsidRPr="00F92E56">
              <w:rPr>
                <w:b/>
              </w:rPr>
              <w:t xml:space="preserve">Category </w:t>
            </w:r>
          </w:p>
        </w:tc>
        <w:tc>
          <w:tcPr>
            <w:tcW w:w="811" w:type="pct"/>
            <w:hideMark/>
          </w:tcPr>
          <w:p w14:paraId="31C5A903" w14:textId="7B1EE03E" w:rsidR="00F14632" w:rsidRPr="00F92E56" w:rsidRDefault="00F14632" w:rsidP="002129F4">
            <w:pPr>
              <w:pStyle w:val="Tabletext"/>
              <w:keepNext/>
              <w:rPr>
                <w:b/>
              </w:rPr>
            </w:pPr>
            <w:r w:rsidRPr="00F92E56">
              <w:rPr>
                <w:b/>
              </w:rPr>
              <w:t>NIVO (N=155)</w:t>
            </w:r>
            <w:r w:rsidR="002129F4" w:rsidRPr="00F92E56">
              <w:t xml:space="preserve"> </w:t>
            </w:r>
            <w:r w:rsidR="002129F4" w:rsidRPr="00F92E56">
              <w:br/>
            </w:r>
            <w:r w:rsidR="002129F4" w:rsidRPr="00F92E56">
              <w:rPr>
                <w:b/>
              </w:rPr>
              <w:t>n (%)</w:t>
            </w:r>
          </w:p>
        </w:tc>
        <w:tc>
          <w:tcPr>
            <w:tcW w:w="773" w:type="pct"/>
          </w:tcPr>
          <w:p w14:paraId="06F19F0D" w14:textId="64672298" w:rsidR="00F14632" w:rsidRPr="00F92E56" w:rsidRDefault="00F14632" w:rsidP="00F14632">
            <w:pPr>
              <w:pStyle w:val="Tabletext"/>
              <w:keepNext/>
              <w:rPr>
                <w:b/>
              </w:rPr>
            </w:pPr>
            <w:r w:rsidRPr="00F92E56">
              <w:rPr>
                <w:b/>
              </w:rPr>
              <w:t>PBO (N=156)</w:t>
            </w:r>
            <w:r w:rsidR="002129F4" w:rsidRPr="00F92E56">
              <w:rPr>
                <w:b/>
              </w:rPr>
              <w:t>,</w:t>
            </w:r>
            <w:r w:rsidR="002129F4" w:rsidRPr="00F92E56">
              <w:rPr>
                <w:b/>
              </w:rPr>
              <w:br/>
            </w:r>
            <w:r w:rsidR="002129F4" w:rsidRPr="00F92E56">
              <w:rPr>
                <w:b/>
                <w:bCs/>
              </w:rPr>
              <w:t>n (%)</w:t>
            </w:r>
          </w:p>
        </w:tc>
        <w:tc>
          <w:tcPr>
            <w:tcW w:w="854" w:type="pct"/>
            <w:hideMark/>
          </w:tcPr>
          <w:p w14:paraId="7E6F69B8" w14:textId="77777777" w:rsidR="00F14632" w:rsidRPr="00F92E56" w:rsidRDefault="00F14632" w:rsidP="00F14632">
            <w:pPr>
              <w:pStyle w:val="Tabletext"/>
              <w:keepNext/>
              <w:rPr>
                <w:b/>
              </w:rPr>
            </w:pPr>
            <w:r w:rsidRPr="00F92E56">
              <w:rPr>
                <w:b/>
              </w:rPr>
              <w:t>Risk ratio</w:t>
            </w:r>
          </w:p>
          <w:p w14:paraId="1337BA4C" w14:textId="77777777" w:rsidR="00F14632" w:rsidRPr="00F92E56" w:rsidRDefault="00F14632" w:rsidP="00F14632">
            <w:pPr>
              <w:pStyle w:val="Tabletext"/>
              <w:keepNext/>
              <w:rPr>
                <w:b/>
              </w:rPr>
            </w:pPr>
            <w:r w:rsidRPr="00F92E56">
              <w:rPr>
                <w:b/>
              </w:rPr>
              <w:t>[95% CI]</w:t>
            </w:r>
            <w:r w:rsidRPr="00F92E56">
              <w:rPr>
                <w:b/>
                <w:vertAlign w:val="superscript"/>
              </w:rPr>
              <w:t xml:space="preserve"> </w:t>
            </w:r>
          </w:p>
        </w:tc>
        <w:tc>
          <w:tcPr>
            <w:tcW w:w="953" w:type="pct"/>
            <w:hideMark/>
          </w:tcPr>
          <w:p w14:paraId="5BF2B23A" w14:textId="77777777" w:rsidR="00F14632" w:rsidRPr="00F92E56" w:rsidRDefault="00F14632" w:rsidP="00F14632">
            <w:pPr>
              <w:pStyle w:val="Tabletext"/>
              <w:keepNext/>
              <w:rPr>
                <w:b/>
              </w:rPr>
            </w:pPr>
            <w:r w:rsidRPr="00F92E56">
              <w:rPr>
                <w:b/>
              </w:rPr>
              <w:t>Risk difference, proportion,</w:t>
            </w:r>
          </w:p>
          <w:p w14:paraId="08AC32E4" w14:textId="77777777" w:rsidR="00F14632" w:rsidRPr="00F92E56" w:rsidRDefault="00F14632" w:rsidP="00F14632">
            <w:pPr>
              <w:pStyle w:val="Tabletext"/>
              <w:keepNext/>
              <w:rPr>
                <w:b/>
              </w:rPr>
            </w:pPr>
            <w:r w:rsidRPr="00F92E56">
              <w:rPr>
                <w:b/>
              </w:rPr>
              <w:t>[95% CI]</w:t>
            </w:r>
            <w:r w:rsidRPr="00F92E56">
              <w:rPr>
                <w:b/>
                <w:vertAlign w:val="superscript"/>
              </w:rPr>
              <w:t xml:space="preserve"> </w:t>
            </w:r>
          </w:p>
        </w:tc>
      </w:tr>
      <w:tr w:rsidR="00F14632" w:rsidRPr="00F92E56" w14:paraId="3732F19C" w14:textId="77777777" w:rsidTr="00F14632">
        <w:trPr>
          <w:cantSplit/>
        </w:trPr>
        <w:tc>
          <w:tcPr>
            <w:tcW w:w="5000" w:type="pct"/>
            <w:gridSpan w:val="5"/>
          </w:tcPr>
          <w:p w14:paraId="3931666B" w14:textId="77777777" w:rsidR="00F14632" w:rsidRPr="00F92E56" w:rsidRDefault="00F14632" w:rsidP="00F14632">
            <w:pPr>
              <w:pStyle w:val="Tabletext"/>
              <w:keepNext/>
              <w:rPr>
                <w:b/>
              </w:rPr>
            </w:pPr>
            <w:r w:rsidRPr="00F92E56">
              <w:rPr>
                <w:b/>
              </w:rPr>
              <w:t>All causality</w:t>
            </w:r>
          </w:p>
        </w:tc>
      </w:tr>
      <w:tr w:rsidR="00F14632" w:rsidRPr="00F92E56" w14:paraId="4EE76BE0" w14:textId="77777777" w:rsidTr="00F14632">
        <w:trPr>
          <w:cantSplit/>
        </w:trPr>
        <w:tc>
          <w:tcPr>
            <w:tcW w:w="1609" w:type="pct"/>
            <w:hideMark/>
          </w:tcPr>
          <w:p w14:paraId="386BC63D" w14:textId="77777777" w:rsidR="00F14632" w:rsidRPr="00F92E56" w:rsidRDefault="00F14632" w:rsidP="00F14632">
            <w:pPr>
              <w:pStyle w:val="Tabletext"/>
              <w:keepNext/>
            </w:pPr>
            <w:r w:rsidRPr="00F92E56">
              <w:t>AE (any grade)</w:t>
            </w:r>
          </w:p>
        </w:tc>
        <w:tc>
          <w:tcPr>
            <w:tcW w:w="811" w:type="pct"/>
            <w:hideMark/>
          </w:tcPr>
          <w:p w14:paraId="19A0E076" w14:textId="77777777" w:rsidR="00F14632" w:rsidRPr="00F92E56" w:rsidRDefault="00F14632" w:rsidP="00F14632">
            <w:pPr>
              <w:pStyle w:val="Tabletext"/>
              <w:keepNext/>
            </w:pPr>
            <w:r w:rsidRPr="00F92E56">
              <w:t>153 (98.7%)</w:t>
            </w:r>
          </w:p>
        </w:tc>
        <w:tc>
          <w:tcPr>
            <w:tcW w:w="773" w:type="pct"/>
          </w:tcPr>
          <w:p w14:paraId="4BCFE196" w14:textId="77777777" w:rsidR="00F14632" w:rsidRPr="00F92E56" w:rsidRDefault="00F14632" w:rsidP="00F14632">
            <w:pPr>
              <w:pStyle w:val="Tabletext"/>
              <w:keepNext/>
              <w:rPr>
                <w:b/>
              </w:rPr>
            </w:pPr>
            <w:r w:rsidRPr="00F92E56">
              <w:t>149 (95.5%)</w:t>
            </w:r>
          </w:p>
        </w:tc>
        <w:tc>
          <w:tcPr>
            <w:tcW w:w="854" w:type="pct"/>
            <w:hideMark/>
          </w:tcPr>
          <w:p w14:paraId="010E25B7" w14:textId="77777777" w:rsidR="00F14632" w:rsidRPr="00F92E56" w:rsidRDefault="00F14632" w:rsidP="00F14632">
            <w:pPr>
              <w:pStyle w:val="Tabletext"/>
              <w:keepNext/>
              <w:rPr>
                <w:b/>
              </w:rPr>
            </w:pPr>
            <w:r w:rsidRPr="00F92E56">
              <w:t>1.0 [1.0, 1.1]</w:t>
            </w:r>
          </w:p>
        </w:tc>
        <w:tc>
          <w:tcPr>
            <w:tcW w:w="953" w:type="pct"/>
            <w:hideMark/>
          </w:tcPr>
          <w:p w14:paraId="16C99860" w14:textId="77777777" w:rsidR="00F14632" w:rsidRPr="00F92E56" w:rsidRDefault="00F14632" w:rsidP="00F14632">
            <w:pPr>
              <w:pStyle w:val="Tabletext"/>
              <w:keepNext/>
              <w:rPr>
                <w:b/>
              </w:rPr>
            </w:pPr>
            <w:r w:rsidRPr="00F92E56">
              <w:t>0.03 [-0.01, 0.07]</w:t>
            </w:r>
          </w:p>
        </w:tc>
      </w:tr>
      <w:tr w:rsidR="00F14632" w:rsidRPr="00F92E56" w14:paraId="7F0BA83B" w14:textId="77777777" w:rsidTr="00F14632">
        <w:trPr>
          <w:cantSplit/>
        </w:trPr>
        <w:tc>
          <w:tcPr>
            <w:tcW w:w="1609" w:type="pct"/>
            <w:hideMark/>
          </w:tcPr>
          <w:p w14:paraId="1F223CEB" w14:textId="77777777" w:rsidR="00F14632" w:rsidRPr="00F92E56" w:rsidRDefault="00F14632" w:rsidP="00F14632">
            <w:pPr>
              <w:pStyle w:val="Tabletext"/>
              <w:keepNext/>
            </w:pPr>
            <w:r w:rsidRPr="00F92E56">
              <w:t>Severe AE (grade 3 or 4)</w:t>
            </w:r>
          </w:p>
        </w:tc>
        <w:tc>
          <w:tcPr>
            <w:tcW w:w="811" w:type="pct"/>
            <w:hideMark/>
          </w:tcPr>
          <w:p w14:paraId="7F87B891" w14:textId="77777777" w:rsidR="00F14632" w:rsidRPr="00F92E56" w:rsidRDefault="00F14632" w:rsidP="00F14632">
            <w:pPr>
              <w:pStyle w:val="Tabletext"/>
              <w:keepNext/>
            </w:pPr>
            <w:r w:rsidRPr="00F92E56">
              <w:t>64 (41.3%)</w:t>
            </w:r>
          </w:p>
        </w:tc>
        <w:tc>
          <w:tcPr>
            <w:tcW w:w="773" w:type="pct"/>
          </w:tcPr>
          <w:p w14:paraId="14C09188" w14:textId="77777777" w:rsidR="00F14632" w:rsidRPr="00F92E56" w:rsidRDefault="00F14632" w:rsidP="00F14632">
            <w:pPr>
              <w:pStyle w:val="Tabletext"/>
              <w:keepNext/>
            </w:pPr>
            <w:r w:rsidRPr="00F92E56">
              <w:t>58 (37.2%)</w:t>
            </w:r>
          </w:p>
        </w:tc>
        <w:tc>
          <w:tcPr>
            <w:tcW w:w="854" w:type="pct"/>
            <w:hideMark/>
          </w:tcPr>
          <w:p w14:paraId="3A9BD5D0" w14:textId="77777777" w:rsidR="00F14632" w:rsidRPr="00F92E56" w:rsidRDefault="00F14632" w:rsidP="00F14632">
            <w:pPr>
              <w:pStyle w:val="Tabletext"/>
              <w:keepNext/>
            </w:pPr>
            <w:r w:rsidRPr="00F92E56">
              <w:t>1.1 [0.8, 1.5]</w:t>
            </w:r>
          </w:p>
        </w:tc>
        <w:tc>
          <w:tcPr>
            <w:tcW w:w="953" w:type="pct"/>
            <w:hideMark/>
          </w:tcPr>
          <w:p w14:paraId="07666A60" w14:textId="77777777" w:rsidR="00F14632" w:rsidRPr="00F92E56" w:rsidRDefault="00F14632" w:rsidP="00F14632">
            <w:pPr>
              <w:pStyle w:val="Tabletext"/>
              <w:keepNext/>
            </w:pPr>
            <w:r w:rsidRPr="00F92E56">
              <w:t>0.04 [-0.07, 0.15]</w:t>
            </w:r>
          </w:p>
        </w:tc>
      </w:tr>
      <w:tr w:rsidR="00F14632" w:rsidRPr="00F92E56" w14:paraId="5C3D28B8" w14:textId="77777777" w:rsidTr="00F14632">
        <w:trPr>
          <w:cantSplit/>
        </w:trPr>
        <w:tc>
          <w:tcPr>
            <w:tcW w:w="1609" w:type="pct"/>
            <w:hideMark/>
          </w:tcPr>
          <w:p w14:paraId="7D41EAF2" w14:textId="77777777" w:rsidR="00F14632" w:rsidRPr="00F92E56" w:rsidRDefault="00F14632" w:rsidP="00F14632">
            <w:pPr>
              <w:pStyle w:val="Tabletext"/>
              <w:keepNext/>
            </w:pPr>
            <w:r w:rsidRPr="00F92E56">
              <w:t>SAE (any grade)</w:t>
            </w:r>
          </w:p>
        </w:tc>
        <w:tc>
          <w:tcPr>
            <w:tcW w:w="811" w:type="pct"/>
            <w:hideMark/>
          </w:tcPr>
          <w:p w14:paraId="64DF4E82" w14:textId="77777777" w:rsidR="00F14632" w:rsidRPr="00F92E56" w:rsidRDefault="00F14632" w:rsidP="00F14632">
            <w:pPr>
              <w:pStyle w:val="Tabletext"/>
              <w:keepNext/>
            </w:pPr>
            <w:r w:rsidRPr="00F92E56">
              <w:t>47 (30.3%)</w:t>
            </w:r>
          </w:p>
        </w:tc>
        <w:tc>
          <w:tcPr>
            <w:tcW w:w="773" w:type="pct"/>
          </w:tcPr>
          <w:p w14:paraId="65D3B029" w14:textId="77777777" w:rsidR="00F14632" w:rsidRPr="00F92E56" w:rsidRDefault="00F14632" w:rsidP="00F14632">
            <w:pPr>
              <w:pStyle w:val="Tabletext"/>
              <w:keepNext/>
            </w:pPr>
            <w:r w:rsidRPr="00F92E56">
              <w:t>50 (32.1%)</w:t>
            </w:r>
          </w:p>
        </w:tc>
        <w:tc>
          <w:tcPr>
            <w:tcW w:w="854" w:type="pct"/>
            <w:hideMark/>
          </w:tcPr>
          <w:p w14:paraId="0519F40F" w14:textId="77777777" w:rsidR="00F14632" w:rsidRPr="00F92E56" w:rsidRDefault="00F14632" w:rsidP="00F14632">
            <w:pPr>
              <w:pStyle w:val="Tabletext"/>
              <w:keepNext/>
            </w:pPr>
            <w:r w:rsidRPr="00F92E56">
              <w:t>1.0 [0.7, 1.3]</w:t>
            </w:r>
          </w:p>
        </w:tc>
        <w:tc>
          <w:tcPr>
            <w:tcW w:w="953" w:type="pct"/>
            <w:hideMark/>
          </w:tcPr>
          <w:p w14:paraId="4FB48AC9" w14:textId="77777777" w:rsidR="00F14632" w:rsidRPr="00F92E56" w:rsidRDefault="00F14632" w:rsidP="00F14632">
            <w:pPr>
              <w:pStyle w:val="Tabletext"/>
              <w:keepNext/>
            </w:pPr>
            <w:r w:rsidRPr="00F92E56">
              <w:t>-0.02 [-0.12, 0.09]</w:t>
            </w:r>
          </w:p>
        </w:tc>
      </w:tr>
      <w:tr w:rsidR="00F14632" w:rsidRPr="00F92E56" w14:paraId="09E8444F" w14:textId="77777777" w:rsidTr="00F14632">
        <w:trPr>
          <w:cantSplit/>
        </w:trPr>
        <w:tc>
          <w:tcPr>
            <w:tcW w:w="1609" w:type="pct"/>
            <w:hideMark/>
          </w:tcPr>
          <w:p w14:paraId="315003AB" w14:textId="77777777" w:rsidR="00F14632" w:rsidRPr="00F92E56" w:rsidRDefault="00F14632" w:rsidP="00F14632">
            <w:pPr>
              <w:pStyle w:val="Tabletext"/>
              <w:keepNext/>
            </w:pPr>
            <w:r w:rsidRPr="00F92E56">
              <w:t>Severe SAE (grade 3 or 4)</w:t>
            </w:r>
          </w:p>
        </w:tc>
        <w:tc>
          <w:tcPr>
            <w:tcW w:w="811" w:type="pct"/>
            <w:hideMark/>
          </w:tcPr>
          <w:p w14:paraId="65A99561" w14:textId="77777777" w:rsidR="00F14632" w:rsidRPr="00F92E56" w:rsidRDefault="00F14632" w:rsidP="00F14632">
            <w:pPr>
              <w:pStyle w:val="Tabletext"/>
              <w:keepNext/>
            </w:pPr>
            <w:r w:rsidRPr="00F92E56">
              <w:t>39 (25.2%)</w:t>
            </w:r>
          </w:p>
        </w:tc>
        <w:tc>
          <w:tcPr>
            <w:tcW w:w="773" w:type="pct"/>
          </w:tcPr>
          <w:p w14:paraId="35D49769" w14:textId="77777777" w:rsidR="00F14632" w:rsidRPr="00F92E56" w:rsidRDefault="00F14632" w:rsidP="00F14632">
            <w:pPr>
              <w:pStyle w:val="Tabletext"/>
              <w:keepNext/>
            </w:pPr>
            <w:r w:rsidRPr="00F92E56">
              <w:t>32 (20.5%)</w:t>
            </w:r>
          </w:p>
        </w:tc>
        <w:tc>
          <w:tcPr>
            <w:tcW w:w="854" w:type="pct"/>
            <w:hideMark/>
          </w:tcPr>
          <w:p w14:paraId="37C16392" w14:textId="77777777" w:rsidR="00F14632" w:rsidRPr="00F92E56" w:rsidRDefault="00F14632" w:rsidP="00F14632">
            <w:pPr>
              <w:pStyle w:val="Tabletext"/>
              <w:keepNext/>
            </w:pPr>
            <w:r w:rsidRPr="00F92E56">
              <w:t>1.2 [0.8, 1.9]</w:t>
            </w:r>
          </w:p>
        </w:tc>
        <w:tc>
          <w:tcPr>
            <w:tcW w:w="953" w:type="pct"/>
            <w:hideMark/>
          </w:tcPr>
          <w:p w14:paraId="1115BC5F" w14:textId="77777777" w:rsidR="00F14632" w:rsidRPr="00F92E56" w:rsidRDefault="00F14632" w:rsidP="00F14632">
            <w:pPr>
              <w:pStyle w:val="Tabletext"/>
              <w:keepNext/>
            </w:pPr>
            <w:r w:rsidRPr="00F92E56">
              <w:t>0.05 [-0.05, 0.14]</w:t>
            </w:r>
          </w:p>
        </w:tc>
      </w:tr>
      <w:tr w:rsidR="00F14632" w:rsidRPr="00F92E56" w14:paraId="69105107" w14:textId="77777777" w:rsidTr="00F14632">
        <w:trPr>
          <w:cantSplit/>
        </w:trPr>
        <w:tc>
          <w:tcPr>
            <w:tcW w:w="1609" w:type="pct"/>
            <w:hideMark/>
          </w:tcPr>
          <w:p w14:paraId="2E913C3A" w14:textId="77777777" w:rsidR="00F14632" w:rsidRPr="00F92E56" w:rsidRDefault="00F14632" w:rsidP="00F14632">
            <w:pPr>
              <w:pStyle w:val="Tabletext"/>
              <w:keepNext/>
            </w:pPr>
            <w:r w:rsidRPr="00F92E56">
              <w:t>Discontinuation of study treatment due to</w:t>
            </w:r>
          </w:p>
          <w:p w14:paraId="14C05963" w14:textId="1A879F11" w:rsidR="00F14632" w:rsidRPr="00F92E56" w:rsidRDefault="00785872" w:rsidP="00F14632">
            <w:pPr>
              <w:pStyle w:val="Tabletext"/>
              <w:keepNext/>
            </w:pPr>
            <w:r w:rsidRPr="00785872">
              <w:t xml:space="preserve"> </w:t>
            </w:r>
            <w:r w:rsidR="00F14632" w:rsidRPr="00F92E56">
              <w:t>AEs (any grade)</w:t>
            </w:r>
          </w:p>
          <w:p w14:paraId="3231D60D" w14:textId="4AB19DC7" w:rsidR="00F14632" w:rsidRPr="00F92E56" w:rsidRDefault="00785872" w:rsidP="00F14632">
            <w:pPr>
              <w:pStyle w:val="Tabletext"/>
              <w:keepNext/>
            </w:pPr>
            <w:r w:rsidRPr="00785872">
              <w:t xml:space="preserve"> </w:t>
            </w:r>
            <w:r w:rsidR="00F14632" w:rsidRPr="00F92E56">
              <w:t>Severe AEs (grade 3 or 4)</w:t>
            </w:r>
          </w:p>
        </w:tc>
        <w:tc>
          <w:tcPr>
            <w:tcW w:w="811" w:type="pct"/>
          </w:tcPr>
          <w:p w14:paraId="3CED7535" w14:textId="77777777" w:rsidR="00F14632" w:rsidRPr="00F92E56" w:rsidRDefault="00F14632" w:rsidP="00F14632">
            <w:pPr>
              <w:pStyle w:val="Tabletext"/>
              <w:keepNext/>
            </w:pPr>
          </w:p>
          <w:p w14:paraId="7CB64CD7" w14:textId="77777777" w:rsidR="00F14632" w:rsidRPr="00F92E56" w:rsidRDefault="00F14632" w:rsidP="00F14632">
            <w:pPr>
              <w:pStyle w:val="Tabletext"/>
              <w:keepNext/>
            </w:pPr>
          </w:p>
          <w:p w14:paraId="78AEC518" w14:textId="77777777" w:rsidR="00F14632" w:rsidRPr="00F92E56" w:rsidRDefault="00F14632" w:rsidP="00F14632">
            <w:pPr>
              <w:pStyle w:val="Tabletext"/>
              <w:keepNext/>
            </w:pPr>
            <w:r w:rsidRPr="00F92E56">
              <w:t>28 (18.1%)</w:t>
            </w:r>
          </w:p>
          <w:p w14:paraId="63CC269F" w14:textId="77777777" w:rsidR="00F14632" w:rsidRPr="00F92E56" w:rsidRDefault="00F14632" w:rsidP="00F14632">
            <w:pPr>
              <w:pStyle w:val="Tabletext"/>
              <w:keepNext/>
            </w:pPr>
            <w:r w:rsidRPr="00F92E56">
              <w:t>15 (9.7%)</w:t>
            </w:r>
          </w:p>
        </w:tc>
        <w:tc>
          <w:tcPr>
            <w:tcW w:w="773" w:type="pct"/>
          </w:tcPr>
          <w:p w14:paraId="29F29A2C" w14:textId="77777777" w:rsidR="00F14632" w:rsidRPr="00F92E56" w:rsidRDefault="00F14632" w:rsidP="00F14632">
            <w:pPr>
              <w:pStyle w:val="Tabletext"/>
              <w:keepNext/>
            </w:pPr>
          </w:p>
          <w:p w14:paraId="5B115FDA" w14:textId="77777777" w:rsidR="00F14632" w:rsidRPr="00F92E56" w:rsidRDefault="00F14632" w:rsidP="00F14632">
            <w:pPr>
              <w:pStyle w:val="Tabletext"/>
              <w:keepNext/>
            </w:pPr>
          </w:p>
          <w:p w14:paraId="44970E2E" w14:textId="77777777" w:rsidR="00F14632" w:rsidRPr="00F92E56" w:rsidRDefault="00F14632" w:rsidP="00F14632">
            <w:pPr>
              <w:pStyle w:val="Tabletext"/>
              <w:keepNext/>
            </w:pPr>
            <w:r w:rsidRPr="00F92E56">
              <w:t>17 (10.9%)</w:t>
            </w:r>
          </w:p>
          <w:p w14:paraId="7207C855" w14:textId="77777777" w:rsidR="00F14632" w:rsidRPr="00F92E56" w:rsidRDefault="00F14632" w:rsidP="00F14632">
            <w:pPr>
              <w:pStyle w:val="Tabletext"/>
              <w:keepNext/>
            </w:pPr>
            <w:r w:rsidRPr="00F92E56">
              <w:t>10 (6.4%)</w:t>
            </w:r>
          </w:p>
        </w:tc>
        <w:tc>
          <w:tcPr>
            <w:tcW w:w="854" w:type="pct"/>
            <w:hideMark/>
          </w:tcPr>
          <w:p w14:paraId="2F9D6BFA" w14:textId="77777777" w:rsidR="00F14632" w:rsidRPr="00F92E56" w:rsidRDefault="00F14632" w:rsidP="00F14632">
            <w:pPr>
              <w:pStyle w:val="Tabletext"/>
              <w:keepNext/>
            </w:pPr>
          </w:p>
          <w:p w14:paraId="45441C7A" w14:textId="77777777" w:rsidR="00F14632" w:rsidRPr="00F92E56" w:rsidRDefault="00F14632" w:rsidP="00F14632">
            <w:pPr>
              <w:pStyle w:val="Tabletext"/>
              <w:keepNext/>
            </w:pPr>
          </w:p>
          <w:p w14:paraId="6105592C" w14:textId="77777777" w:rsidR="00F14632" w:rsidRPr="00F92E56" w:rsidRDefault="00F14632" w:rsidP="00F14632">
            <w:pPr>
              <w:pStyle w:val="Tabletext"/>
              <w:keepNext/>
            </w:pPr>
            <w:r w:rsidRPr="00F92E56">
              <w:t>1.6 [1.0, 2.9]</w:t>
            </w:r>
          </w:p>
          <w:p w14:paraId="253AD98F" w14:textId="77777777" w:rsidR="00F14632" w:rsidRPr="00F92E56" w:rsidRDefault="00F14632" w:rsidP="00F14632">
            <w:pPr>
              <w:pStyle w:val="Tabletext"/>
              <w:keepNext/>
            </w:pPr>
            <w:r w:rsidRPr="00F92E56">
              <w:t>1.5 [0.7, 3.3]</w:t>
            </w:r>
          </w:p>
        </w:tc>
        <w:tc>
          <w:tcPr>
            <w:tcW w:w="953" w:type="pct"/>
            <w:hideMark/>
          </w:tcPr>
          <w:p w14:paraId="5DB8FDFE" w14:textId="77777777" w:rsidR="00F14632" w:rsidRPr="00F92E56" w:rsidRDefault="00F14632" w:rsidP="00F14632">
            <w:pPr>
              <w:pStyle w:val="Tabletext"/>
              <w:keepNext/>
            </w:pPr>
          </w:p>
          <w:p w14:paraId="1CF4D836" w14:textId="77777777" w:rsidR="00F14632" w:rsidRPr="00F92E56" w:rsidRDefault="00F14632" w:rsidP="00F14632">
            <w:pPr>
              <w:pStyle w:val="Tabletext"/>
              <w:keepNext/>
            </w:pPr>
          </w:p>
          <w:p w14:paraId="78174869" w14:textId="77777777" w:rsidR="00F14632" w:rsidRPr="00F92E56" w:rsidRDefault="00F14632" w:rsidP="00F14632">
            <w:pPr>
              <w:pStyle w:val="Tabletext"/>
              <w:keepNext/>
            </w:pPr>
            <w:r w:rsidRPr="00F92E56">
              <w:t>0.07 [-0.01, 0.15]</w:t>
            </w:r>
          </w:p>
          <w:p w14:paraId="3041D836" w14:textId="77777777" w:rsidR="00F14632" w:rsidRPr="00F92E56" w:rsidRDefault="00F14632" w:rsidP="00F14632">
            <w:pPr>
              <w:pStyle w:val="Tabletext"/>
              <w:keepNext/>
            </w:pPr>
            <w:r w:rsidRPr="00F92E56">
              <w:t>0.03 [-0.03, 0.09]</w:t>
            </w:r>
          </w:p>
        </w:tc>
      </w:tr>
      <w:tr w:rsidR="00F14632" w:rsidRPr="00F92E56" w14:paraId="6A05863F" w14:textId="77777777" w:rsidTr="00F14632">
        <w:trPr>
          <w:cantSplit/>
        </w:trPr>
        <w:tc>
          <w:tcPr>
            <w:tcW w:w="1609" w:type="pct"/>
            <w:hideMark/>
          </w:tcPr>
          <w:p w14:paraId="32016956" w14:textId="77777777" w:rsidR="00F14632" w:rsidRPr="00F92E56" w:rsidRDefault="00F14632" w:rsidP="00F14632">
            <w:pPr>
              <w:pStyle w:val="Tabletext"/>
              <w:keepNext/>
            </w:pPr>
            <w:r w:rsidRPr="00F92E56">
              <w:t>Death</w:t>
            </w:r>
          </w:p>
        </w:tc>
        <w:tc>
          <w:tcPr>
            <w:tcW w:w="811" w:type="pct"/>
            <w:hideMark/>
          </w:tcPr>
          <w:p w14:paraId="7B32E261" w14:textId="77777777" w:rsidR="00F14632" w:rsidRPr="00F92E56" w:rsidRDefault="00F14632" w:rsidP="00F14632">
            <w:pPr>
              <w:pStyle w:val="Tabletext"/>
              <w:keepNext/>
            </w:pPr>
            <w:r w:rsidRPr="00F92E56">
              <w:t>95 (27.1%)</w:t>
            </w:r>
          </w:p>
        </w:tc>
        <w:tc>
          <w:tcPr>
            <w:tcW w:w="773" w:type="pct"/>
          </w:tcPr>
          <w:p w14:paraId="6A2390C8" w14:textId="77777777" w:rsidR="00F14632" w:rsidRPr="00F92E56" w:rsidRDefault="00F14632" w:rsidP="00F14632">
            <w:pPr>
              <w:pStyle w:val="Tabletext"/>
              <w:keepNext/>
            </w:pPr>
            <w:r w:rsidRPr="00F92E56">
              <w:t>107 (30.7%)</w:t>
            </w:r>
          </w:p>
        </w:tc>
        <w:tc>
          <w:tcPr>
            <w:tcW w:w="854" w:type="pct"/>
            <w:hideMark/>
          </w:tcPr>
          <w:p w14:paraId="71763812" w14:textId="77777777" w:rsidR="00F14632" w:rsidRPr="00F92E56" w:rsidRDefault="00F14632" w:rsidP="00F14632">
            <w:pPr>
              <w:pStyle w:val="Tabletext"/>
              <w:keepNext/>
            </w:pPr>
            <w:r w:rsidRPr="00F92E56">
              <w:t>0.9 [0.7, 1.1]</w:t>
            </w:r>
          </w:p>
        </w:tc>
        <w:tc>
          <w:tcPr>
            <w:tcW w:w="953" w:type="pct"/>
            <w:hideMark/>
          </w:tcPr>
          <w:p w14:paraId="5F520E90" w14:textId="77777777" w:rsidR="00F14632" w:rsidRPr="00F92E56" w:rsidRDefault="00F14632" w:rsidP="00F14632">
            <w:pPr>
              <w:pStyle w:val="Tabletext"/>
              <w:keepNext/>
            </w:pPr>
            <w:r w:rsidRPr="00F92E56">
              <w:t>-0.04 [-0.10, 0.03]</w:t>
            </w:r>
          </w:p>
        </w:tc>
      </w:tr>
      <w:tr w:rsidR="00F14632" w:rsidRPr="00F92E56" w14:paraId="1286AF70" w14:textId="77777777" w:rsidTr="00F14632">
        <w:trPr>
          <w:cantSplit/>
        </w:trPr>
        <w:tc>
          <w:tcPr>
            <w:tcW w:w="5000" w:type="pct"/>
            <w:gridSpan w:val="5"/>
          </w:tcPr>
          <w:p w14:paraId="70FC1A37" w14:textId="77777777" w:rsidR="00F14632" w:rsidRPr="00F92E56" w:rsidRDefault="00F14632" w:rsidP="00F14632">
            <w:pPr>
              <w:pStyle w:val="Tabletext"/>
              <w:keepNext/>
              <w:rPr>
                <w:b/>
              </w:rPr>
            </w:pPr>
            <w:r w:rsidRPr="00F92E56">
              <w:rPr>
                <w:b/>
              </w:rPr>
              <w:t>Study drug related</w:t>
            </w:r>
          </w:p>
        </w:tc>
      </w:tr>
      <w:tr w:rsidR="00F14632" w:rsidRPr="00F92E56" w14:paraId="60222E32" w14:textId="77777777" w:rsidTr="00F14632">
        <w:trPr>
          <w:cantSplit/>
        </w:trPr>
        <w:tc>
          <w:tcPr>
            <w:tcW w:w="1609" w:type="pct"/>
            <w:hideMark/>
          </w:tcPr>
          <w:p w14:paraId="54050E1D" w14:textId="77777777" w:rsidR="00F14632" w:rsidRPr="00F92E56" w:rsidRDefault="00F14632" w:rsidP="00F14632">
            <w:pPr>
              <w:pStyle w:val="Tabletext"/>
              <w:keepNext/>
            </w:pPr>
            <w:r w:rsidRPr="00F92E56">
              <w:t>AE (any grade)</w:t>
            </w:r>
          </w:p>
        </w:tc>
        <w:tc>
          <w:tcPr>
            <w:tcW w:w="811" w:type="pct"/>
            <w:hideMark/>
          </w:tcPr>
          <w:p w14:paraId="60FB51BD" w14:textId="77777777" w:rsidR="00F14632" w:rsidRPr="00F92E56" w:rsidRDefault="00F14632" w:rsidP="00F14632">
            <w:pPr>
              <w:pStyle w:val="Tabletext"/>
              <w:keepNext/>
            </w:pPr>
            <w:r w:rsidRPr="00F92E56">
              <w:t>127 (81.9%)</w:t>
            </w:r>
          </w:p>
        </w:tc>
        <w:tc>
          <w:tcPr>
            <w:tcW w:w="773" w:type="pct"/>
          </w:tcPr>
          <w:p w14:paraId="247BAC62" w14:textId="77777777" w:rsidR="00F14632" w:rsidRPr="00F92E56" w:rsidRDefault="00F14632" w:rsidP="00F14632">
            <w:pPr>
              <w:pStyle w:val="Tabletext"/>
              <w:keepNext/>
              <w:rPr>
                <w:b/>
              </w:rPr>
            </w:pPr>
            <w:r w:rsidRPr="00F92E56">
              <w:t>82 (52.6%)</w:t>
            </w:r>
          </w:p>
        </w:tc>
        <w:tc>
          <w:tcPr>
            <w:tcW w:w="854" w:type="pct"/>
            <w:hideMark/>
          </w:tcPr>
          <w:p w14:paraId="3790F495" w14:textId="77777777" w:rsidR="00F14632" w:rsidRPr="00F92E56" w:rsidRDefault="00F14632" w:rsidP="00F14632">
            <w:pPr>
              <w:pStyle w:val="Tabletext"/>
              <w:keepNext/>
              <w:rPr>
                <w:b/>
                <w:bCs/>
              </w:rPr>
            </w:pPr>
            <w:r w:rsidRPr="00F92E56">
              <w:rPr>
                <w:b/>
                <w:bCs/>
              </w:rPr>
              <w:t>1.6 [1.3, 1.8]</w:t>
            </w:r>
          </w:p>
        </w:tc>
        <w:tc>
          <w:tcPr>
            <w:tcW w:w="953" w:type="pct"/>
            <w:hideMark/>
          </w:tcPr>
          <w:p w14:paraId="4F03CED2" w14:textId="77777777" w:rsidR="00F14632" w:rsidRPr="00F92E56" w:rsidRDefault="00F14632" w:rsidP="00F14632">
            <w:pPr>
              <w:pStyle w:val="Tabletext"/>
              <w:keepNext/>
              <w:rPr>
                <w:b/>
                <w:bCs/>
              </w:rPr>
            </w:pPr>
            <w:r w:rsidRPr="00F92E56">
              <w:rPr>
                <w:b/>
                <w:bCs/>
              </w:rPr>
              <w:t>0.30 [0.20, 0.40]</w:t>
            </w:r>
          </w:p>
        </w:tc>
      </w:tr>
      <w:tr w:rsidR="00F14632" w:rsidRPr="00F92E56" w14:paraId="69EC0846" w14:textId="77777777" w:rsidTr="00F14632">
        <w:trPr>
          <w:cantSplit/>
        </w:trPr>
        <w:tc>
          <w:tcPr>
            <w:tcW w:w="1609" w:type="pct"/>
            <w:hideMark/>
          </w:tcPr>
          <w:p w14:paraId="1A532130" w14:textId="77777777" w:rsidR="00F14632" w:rsidRPr="00F92E56" w:rsidRDefault="00F14632" w:rsidP="00F14632">
            <w:pPr>
              <w:pStyle w:val="Tabletext"/>
              <w:keepNext/>
            </w:pPr>
            <w:r w:rsidRPr="00F92E56">
              <w:t>Severe AE (grade 3 or 4)</w:t>
            </w:r>
          </w:p>
        </w:tc>
        <w:tc>
          <w:tcPr>
            <w:tcW w:w="811" w:type="pct"/>
            <w:hideMark/>
          </w:tcPr>
          <w:p w14:paraId="022CECEF" w14:textId="77777777" w:rsidR="00F14632" w:rsidRPr="00F92E56" w:rsidRDefault="00F14632" w:rsidP="00F14632">
            <w:pPr>
              <w:pStyle w:val="Tabletext"/>
              <w:keepNext/>
            </w:pPr>
            <w:r w:rsidRPr="00F92E56">
              <w:t>23 (14.8%)</w:t>
            </w:r>
          </w:p>
        </w:tc>
        <w:tc>
          <w:tcPr>
            <w:tcW w:w="773" w:type="pct"/>
          </w:tcPr>
          <w:p w14:paraId="108A2CAC" w14:textId="77777777" w:rsidR="00F14632" w:rsidRPr="00F92E56" w:rsidRDefault="00F14632" w:rsidP="00F14632">
            <w:pPr>
              <w:pStyle w:val="Tabletext"/>
              <w:keepNext/>
              <w:rPr>
                <w:b/>
              </w:rPr>
            </w:pPr>
            <w:r w:rsidRPr="00F92E56">
              <w:t>6 (3.8%)</w:t>
            </w:r>
          </w:p>
        </w:tc>
        <w:tc>
          <w:tcPr>
            <w:tcW w:w="854" w:type="pct"/>
            <w:hideMark/>
          </w:tcPr>
          <w:p w14:paraId="1FE07D88" w14:textId="77777777" w:rsidR="00F14632" w:rsidRPr="00F92E56" w:rsidRDefault="00F14632" w:rsidP="00F14632">
            <w:pPr>
              <w:pStyle w:val="Tabletext"/>
              <w:keepNext/>
              <w:rPr>
                <w:b/>
                <w:bCs/>
              </w:rPr>
            </w:pPr>
            <w:r w:rsidRPr="00F92E56">
              <w:rPr>
                <w:b/>
                <w:bCs/>
              </w:rPr>
              <w:t>3.9 [1.6, 9.2]</w:t>
            </w:r>
          </w:p>
        </w:tc>
        <w:tc>
          <w:tcPr>
            <w:tcW w:w="953" w:type="pct"/>
            <w:hideMark/>
          </w:tcPr>
          <w:p w14:paraId="023C99FC" w14:textId="77777777" w:rsidR="00F14632" w:rsidRPr="00F92E56" w:rsidRDefault="00F14632" w:rsidP="00F14632">
            <w:pPr>
              <w:pStyle w:val="Tabletext"/>
              <w:keepNext/>
              <w:rPr>
                <w:b/>
                <w:bCs/>
              </w:rPr>
            </w:pPr>
            <w:r w:rsidRPr="00F92E56">
              <w:rPr>
                <w:b/>
                <w:bCs/>
              </w:rPr>
              <w:t>0.11 [0.05, 0.17]</w:t>
            </w:r>
          </w:p>
        </w:tc>
      </w:tr>
      <w:tr w:rsidR="00F14632" w:rsidRPr="00F92E56" w14:paraId="3D97D364" w14:textId="77777777" w:rsidTr="00F14632">
        <w:trPr>
          <w:cantSplit/>
        </w:trPr>
        <w:tc>
          <w:tcPr>
            <w:tcW w:w="1609" w:type="pct"/>
            <w:hideMark/>
          </w:tcPr>
          <w:p w14:paraId="1F065A53" w14:textId="77777777" w:rsidR="00F14632" w:rsidRPr="00F92E56" w:rsidRDefault="00F14632" w:rsidP="00F14632">
            <w:pPr>
              <w:pStyle w:val="Tabletext"/>
              <w:keepNext/>
            </w:pPr>
            <w:r w:rsidRPr="00F92E56">
              <w:t>SAE (any grade)</w:t>
            </w:r>
          </w:p>
        </w:tc>
        <w:tc>
          <w:tcPr>
            <w:tcW w:w="811" w:type="pct"/>
            <w:hideMark/>
          </w:tcPr>
          <w:p w14:paraId="51C3D40E" w14:textId="77777777" w:rsidR="00F14632" w:rsidRPr="00F92E56" w:rsidRDefault="00F14632" w:rsidP="00F14632">
            <w:pPr>
              <w:pStyle w:val="Tabletext"/>
              <w:keepNext/>
            </w:pPr>
            <w:r w:rsidRPr="00F92E56">
              <w:t>11 (7.1%)</w:t>
            </w:r>
          </w:p>
        </w:tc>
        <w:tc>
          <w:tcPr>
            <w:tcW w:w="773" w:type="pct"/>
          </w:tcPr>
          <w:p w14:paraId="60AAF5E0" w14:textId="77777777" w:rsidR="00F14632" w:rsidRPr="00F92E56" w:rsidRDefault="00F14632" w:rsidP="00F14632">
            <w:pPr>
              <w:pStyle w:val="Tabletext"/>
              <w:keepNext/>
              <w:rPr>
                <w:b/>
              </w:rPr>
            </w:pPr>
            <w:r w:rsidRPr="00F92E56">
              <w:t>3 (1.9%)</w:t>
            </w:r>
          </w:p>
        </w:tc>
        <w:tc>
          <w:tcPr>
            <w:tcW w:w="854" w:type="pct"/>
            <w:hideMark/>
          </w:tcPr>
          <w:p w14:paraId="19A77595" w14:textId="77777777" w:rsidR="00F14632" w:rsidRPr="00F92E56" w:rsidRDefault="00F14632" w:rsidP="00F14632">
            <w:pPr>
              <w:pStyle w:val="Tabletext"/>
              <w:keepNext/>
              <w:rPr>
                <w:b/>
                <w:bCs/>
              </w:rPr>
            </w:pPr>
            <w:r w:rsidRPr="00F92E56">
              <w:rPr>
                <w:b/>
                <w:bCs/>
              </w:rPr>
              <w:t>3.7 [1.1, 13.0]</w:t>
            </w:r>
          </w:p>
        </w:tc>
        <w:tc>
          <w:tcPr>
            <w:tcW w:w="953" w:type="pct"/>
            <w:hideMark/>
          </w:tcPr>
          <w:p w14:paraId="48569B7D" w14:textId="77777777" w:rsidR="00F14632" w:rsidRPr="00F92E56" w:rsidRDefault="00F14632" w:rsidP="00F14632">
            <w:pPr>
              <w:pStyle w:val="Tabletext"/>
              <w:keepNext/>
              <w:rPr>
                <w:b/>
                <w:bCs/>
              </w:rPr>
            </w:pPr>
            <w:r w:rsidRPr="00F92E56">
              <w:rPr>
                <w:b/>
                <w:bCs/>
              </w:rPr>
              <w:t>0.05 [0.01, 0.10]</w:t>
            </w:r>
          </w:p>
        </w:tc>
      </w:tr>
      <w:tr w:rsidR="00F14632" w:rsidRPr="00F92E56" w14:paraId="6F68B980" w14:textId="77777777" w:rsidTr="00F14632">
        <w:trPr>
          <w:cantSplit/>
        </w:trPr>
        <w:tc>
          <w:tcPr>
            <w:tcW w:w="1609" w:type="pct"/>
            <w:hideMark/>
          </w:tcPr>
          <w:p w14:paraId="04957A06" w14:textId="77777777" w:rsidR="00F14632" w:rsidRPr="00F92E56" w:rsidRDefault="00F14632" w:rsidP="00F14632">
            <w:pPr>
              <w:pStyle w:val="Tabletext"/>
              <w:keepNext/>
            </w:pPr>
            <w:r w:rsidRPr="00F92E56">
              <w:t>Severe SAE (grade 3 or 4)</w:t>
            </w:r>
          </w:p>
        </w:tc>
        <w:tc>
          <w:tcPr>
            <w:tcW w:w="811" w:type="pct"/>
            <w:hideMark/>
          </w:tcPr>
          <w:p w14:paraId="7576F1B9" w14:textId="77777777" w:rsidR="00F14632" w:rsidRPr="00F92E56" w:rsidRDefault="00F14632" w:rsidP="00F14632">
            <w:pPr>
              <w:pStyle w:val="Tabletext"/>
              <w:keepNext/>
            </w:pPr>
            <w:r w:rsidRPr="00F92E56">
              <w:t>10 (6.5%)</w:t>
            </w:r>
          </w:p>
        </w:tc>
        <w:tc>
          <w:tcPr>
            <w:tcW w:w="773" w:type="pct"/>
          </w:tcPr>
          <w:p w14:paraId="6F24333A" w14:textId="77777777" w:rsidR="00F14632" w:rsidRPr="00F92E56" w:rsidRDefault="00F14632" w:rsidP="00F14632">
            <w:pPr>
              <w:pStyle w:val="Tabletext"/>
              <w:keepNext/>
              <w:rPr>
                <w:b/>
              </w:rPr>
            </w:pPr>
            <w:r w:rsidRPr="00F92E56">
              <w:t>2 (1.3%)</w:t>
            </w:r>
          </w:p>
        </w:tc>
        <w:tc>
          <w:tcPr>
            <w:tcW w:w="854" w:type="pct"/>
            <w:hideMark/>
          </w:tcPr>
          <w:p w14:paraId="5ACE1CFF" w14:textId="77777777" w:rsidR="00F14632" w:rsidRPr="00F92E56" w:rsidRDefault="00F14632" w:rsidP="00F14632">
            <w:pPr>
              <w:pStyle w:val="Tabletext"/>
              <w:keepNext/>
              <w:rPr>
                <w:b/>
                <w:bCs/>
              </w:rPr>
            </w:pPr>
            <w:r w:rsidRPr="00F92E56">
              <w:rPr>
                <w:b/>
                <w:bCs/>
              </w:rPr>
              <w:t>5.0 [1.1, 22.6]</w:t>
            </w:r>
          </w:p>
        </w:tc>
        <w:tc>
          <w:tcPr>
            <w:tcW w:w="953" w:type="pct"/>
            <w:hideMark/>
          </w:tcPr>
          <w:p w14:paraId="303B5641" w14:textId="77777777" w:rsidR="00F14632" w:rsidRPr="00F92E56" w:rsidRDefault="00F14632" w:rsidP="00F14632">
            <w:pPr>
              <w:pStyle w:val="Tabletext"/>
              <w:keepNext/>
              <w:rPr>
                <w:b/>
                <w:bCs/>
              </w:rPr>
            </w:pPr>
            <w:r w:rsidRPr="00F92E56">
              <w:rPr>
                <w:b/>
                <w:bCs/>
              </w:rPr>
              <w:t>0.05 [0.01, 0.09]</w:t>
            </w:r>
          </w:p>
        </w:tc>
      </w:tr>
      <w:tr w:rsidR="00F14632" w:rsidRPr="00F92E56" w14:paraId="140F4DC3" w14:textId="77777777" w:rsidTr="00F14632">
        <w:trPr>
          <w:cantSplit/>
        </w:trPr>
        <w:tc>
          <w:tcPr>
            <w:tcW w:w="1609" w:type="pct"/>
            <w:hideMark/>
          </w:tcPr>
          <w:p w14:paraId="1FA1650E" w14:textId="77777777" w:rsidR="00F14632" w:rsidRPr="00F92E56" w:rsidRDefault="00F14632" w:rsidP="00F14632">
            <w:pPr>
              <w:pStyle w:val="Tabletext"/>
              <w:keepNext/>
            </w:pPr>
            <w:r w:rsidRPr="00F92E56">
              <w:t>Discontinuation of study treatment due to</w:t>
            </w:r>
          </w:p>
          <w:p w14:paraId="0DAE7FD0" w14:textId="37F0911A" w:rsidR="00F14632" w:rsidRPr="00F92E56" w:rsidRDefault="00785872" w:rsidP="00F14632">
            <w:pPr>
              <w:pStyle w:val="Tabletext"/>
              <w:keepNext/>
            </w:pPr>
            <w:r w:rsidRPr="00785872">
              <w:t xml:space="preserve"> </w:t>
            </w:r>
            <w:r w:rsidR="00F14632" w:rsidRPr="00F92E56">
              <w:t>AEs (any grade)</w:t>
            </w:r>
          </w:p>
          <w:p w14:paraId="7A6A0B1A" w14:textId="22AC9BBC" w:rsidR="00F14632" w:rsidRPr="00F92E56" w:rsidRDefault="00785872" w:rsidP="00F14632">
            <w:pPr>
              <w:pStyle w:val="Tabletext"/>
              <w:keepNext/>
            </w:pPr>
            <w:r w:rsidRPr="00785872">
              <w:t xml:space="preserve"> </w:t>
            </w:r>
            <w:r w:rsidR="00F14632" w:rsidRPr="00F92E56">
              <w:t>Severe AEs (grade 3 or 4)</w:t>
            </w:r>
          </w:p>
        </w:tc>
        <w:tc>
          <w:tcPr>
            <w:tcW w:w="811" w:type="pct"/>
          </w:tcPr>
          <w:p w14:paraId="5138DBA8" w14:textId="77777777" w:rsidR="00F14632" w:rsidRPr="00F92E56" w:rsidRDefault="00F14632" w:rsidP="00F14632">
            <w:pPr>
              <w:pStyle w:val="Tabletext"/>
              <w:keepNext/>
            </w:pPr>
          </w:p>
          <w:p w14:paraId="0D4F9593" w14:textId="77777777" w:rsidR="00F14632" w:rsidRPr="00F92E56" w:rsidRDefault="00F14632" w:rsidP="00F14632">
            <w:pPr>
              <w:pStyle w:val="Tabletext"/>
              <w:keepNext/>
            </w:pPr>
          </w:p>
          <w:p w14:paraId="4129DE33" w14:textId="77777777" w:rsidR="00F14632" w:rsidRPr="00F92E56" w:rsidRDefault="00F14632" w:rsidP="00F14632">
            <w:pPr>
              <w:pStyle w:val="Tabletext"/>
              <w:keepNext/>
            </w:pPr>
            <w:r w:rsidRPr="00F92E56">
              <w:t>18 (11.6%)</w:t>
            </w:r>
          </w:p>
          <w:p w14:paraId="7E3E3466" w14:textId="77777777" w:rsidR="00F14632" w:rsidRPr="00F92E56" w:rsidRDefault="00F14632" w:rsidP="00F14632">
            <w:pPr>
              <w:pStyle w:val="Tabletext"/>
              <w:keepNext/>
            </w:pPr>
            <w:r w:rsidRPr="00F92E56">
              <w:t>8 (5.2%)</w:t>
            </w:r>
          </w:p>
        </w:tc>
        <w:tc>
          <w:tcPr>
            <w:tcW w:w="773" w:type="pct"/>
          </w:tcPr>
          <w:p w14:paraId="336D2025" w14:textId="77777777" w:rsidR="00F14632" w:rsidRPr="00F92E56" w:rsidRDefault="00F14632" w:rsidP="00F14632">
            <w:pPr>
              <w:pStyle w:val="Tabletext"/>
              <w:keepNext/>
            </w:pPr>
          </w:p>
          <w:p w14:paraId="7C770547" w14:textId="77777777" w:rsidR="00F14632" w:rsidRPr="00F92E56" w:rsidRDefault="00F14632" w:rsidP="00F14632">
            <w:pPr>
              <w:pStyle w:val="Tabletext"/>
              <w:keepNext/>
            </w:pPr>
          </w:p>
          <w:p w14:paraId="7D126CD3" w14:textId="77777777" w:rsidR="00F14632" w:rsidRPr="00F92E56" w:rsidRDefault="00F14632" w:rsidP="00F14632">
            <w:pPr>
              <w:pStyle w:val="Tabletext"/>
              <w:keepNext/>
            </w:pPr>
            <w:r w:rsidRPr="00F92E56">
              <w:t>1 (0.6%)</w:t>
            </w:r>
          </w:p>
          <w:p w14:paraId="46E5DA8E" w14:textId="77777777" w:rsidR="00F14632" w:rsidRPr="00F92E56" w:rsidRDefault="00F14632" w:rsidP="00F14632">
            <w:pPr>
              <w:pStyle w:val="Tabletext"/>
              <w:keepNext/>
              <w:rPr>
                <w:b/>
              </w:rPr>
            </w:pPr>
            <w:r w:rsidRPr="00F92E56">
              <w:t>0</w:t>
            </w:r>
          </w:p>
        </w:tc>
        <w:tc>
          <w:tcPr>
            <w:tcW w:w="854" w:type="pct"/>
            <w:hideMark/>
          </w:tcPr>
          <w:p w14:paraId="7AFE55D2" w14:textId="77777777" w:rsidR="00F14632" w:rsidRPr="00F92E56" w:rsidRDefault="00F14632" w:rsidP="00F14632">
            <w:pPr>
              <w:pStyle w:val="Tabletext"/>
              <w:keepNext/>
              <w:rPr>
                <w:b/>
              </w:rPr>
            </w:pPr>
          </w:p>
          <w:p w14:paraId="0A2F4A22" w14:textId="77777777" w:rsidR="00F14632" w:rsidRPr="00F92E56" w:rsidRDefault="00F14632" w:rsidP="00F14632">
            <w:pPr>
              <w:pStyle w:val="Tabletext"/>
              <w:keepNext/>
              <w:rPr>
                <w:b/>
              </w:rPr>
            </w:pPr>
          </w:p>
          <w:p w14:paraId="533BC31B" w14:textId="77777777" w:rsidR="00F14632" w:rsidRPr="00F92E56" w:rsidRDefault="00F14632" w:rsidP="00F14632">
            <w:pPr>
              <w:pStyle w:val="Tabletext"/>
              <w:keepNext/>
              <w:rPr>
                <w:b/>
              </w:rPr>
            </w:pPr>
            <w:r w:rsidRPr="00F92E56">
              <w:rPr>
                <w:b/>
              </w:rPr>
              <w:t>18.1 [2.5, 134.0]</w:t>
            </w:r>
          </w:p>
          <w:p w14:paraId="36B8CAF6" w14:textId="77777777" w:rsidR="00F14632" w:rsidRPr="00F92E56" w:rsidRDefault="00F14632" w:rsidP="00F14632">
            <w:pPr>
              <w:pStyle w:val="Tabletext"/>
              <w:keepNext/>
              <w:rPr>
                <w:b/>
              </w:rPr>
            </w:pPr>
            <w:r w:rsidRPr="00F92E56">
              <w:rPr>
                <w:b/>
              </w:rPr>
              <w:t>17.1 [1.0, 293.9]</w:t>
            </w:r>
          </w:p>
        </w:tc>
        <w:tc>
          <w:tcPr>
            <w:tcW w:w="953" w:type="pct"/>
            <w:hideMark/>
          </w:tcPr>
          <w:p w14:paraId="6A4F0546" w14:textId="77777777" w:rsidR="00F14632" w:rsidRPr="00F92E56" w:rsidRDefault="00F14632" w:rsidP="00F14632">
            <w:pPr>
              <w:pStyle w:val="Tabletext"/>
              <w:keepNext/>
              <w:rPr>
                <w:b/>
              </w:rPr>
            </w:pPr>
          </w:p>
          <w:p w14:paraId="748A3A53" w14:textId="77777777" w:rsidR="00F14632" w:rsidRPr="00F92E56" w:rsidRDefault="00F14632" w:rsidP="00F14632">
            <w:pPr>
              <w:pStyle w:val="Tabletext"/>
              <w:keepNext/>
              <w:rPr>
                <w:b/>
              </w:rPr>
            </w:pPr>
          </w:p>
          <w:p w14:paraId="75EC7191" w14:textId="77777777" w:rsidR="00F14632" w:rsidRPr="00F92E56" w:rsidRDefault="00F14632" w:rsidP="00F14632">
            <w:pPr>
              <w:pStyle w:val="Tabletext"/>
              <w:keepNext/>
              <w:rPr>
                <w:b/>
              </w:rPr>
            </w:pPr>
            <w:r w:rsidRPr="00F92E56">
              <w:rPr>
                <w:b/>
              </w:rPr>
              <w:t>0.11 [0.06, 0.16]</w:t>
            </w:r>
          </w:p>
          <w:p w14:paraId="0ACDCBC7" w14:textId="77777777" w:rsidR="00F14632" w:rsidRPr="00F92E56" w:rsidRDefault="00F14632" w:rsidP="00F14632">
            <w:pPr>
              <w:pStyle w:val="Tabletext"/>
              <w:keepNext/>
              <w:rPr>
                <w:b/>
              </w:rPr>
            </w:pPr>
            <w:r w:rsidRPr="00F92E56">
              <w:rPr>
                <w:b/>
              </w:rPr>
              <w:t>0.05 [0.01, 0.09]</w:t>
            </w:r>
          </w:p>
        </w:tc>
      </w:tr>
    </w:tbl>
    <w:p w14:paraId="2A26FBB9" w14:textId="77777777" w:rsidR="00F14632" w:rsidRPr="00F92E56" w:rsidRDefault="00F14632" w:rsidP="00F14632">
      <w:pPr>
        <w:pStyle w:val="TableFooter"/>
        <w:rPr>
          <w:rFonts w:eastAsiaTheme="minorHAnsi"/>
        </w:rPr>
      </w:pPr>
      <w:r w:rsidRPr="00F92E56">
        <w:rPr>
          <w:rFonts w:eastAsiaTheme="minorHAnsi"/>
        </w:rPr>
        <w:t>Source: Table 25, p72 of the resubmission</w:t>
      </w:r>
    </w:p>
    <w:p w14:paraId="34939F6E" w14:textId="77777777" w:rsidR="00F14632" w:rsidRPr="00F92E56" w:rsidRDefault="00F14632" w:rsidP="00F14632">
      <w:pPr>
        <w:pStyle w:val="TableFooter"/>
        <w:rPr>
          <w:rFonts w:eastAsiaTheme="minorHAnsi"/>
        </w:rPr>
      </w:pPr>
      <w:r w:rsidRPr="00F92E56">
        <w:rPr>
          <w:rFonts w:eastAsiaTheme="minorHAnsi"/>
        </w:rPr>
        <w:t xml:space="preserve">AE = adverse event; CI = confidence interval; SAE = serious adverse event; NIVO = nivolumab; PBO = placebo. </w:t>
      </w:r>
    </w:p>
    <w:p w14:paraId="1E5813C8" w14:textId="336B19B0" w:rsidR="00F14632" w:rsidRPr="00F92E56" w:rsidRDefault="002E156F" w:rsidP="00F14632">
      <w:pPr>
        <w:pStyle w:val="TableFooter"/>
        <w:rPr>
          <w:rFonts w:eastAsiaTheme="minorHAnsi"/>
        </w:rPr>
      </w:pPr>
      <w:r w:rsidRPr="00F92E56">
        <w:rPr>
          <w:rFonts w:eastAsiaTheme="minorHAnsi"/>
        </w:rPr>
        <w:t xml:space="preserve">Notes: </w:t>
      </w:r>
      <w:r w:rsidR="00F14632" w:rsidRPr="00F92E56">
        <w:rPr>
          <w:rFonts w:eastAsiaTheme="minorHAnsi"/>
        </w:rPr>
        <w:t xml:space="preserve">Results in </w:t>
      </w:r>
      <w:r w:rsidR="00F14632" w:rsidRPr="00F92E56">
        <w:rPr>
          <w:rFonts w:eastAsiaTheme="minorHAnsi"/>
          <w:b/>
          <w:bCs/>
        </w:rPr>
        <w:t xml:space="preserve">bold </w:t>
      </w:r>
      <w:r w:rsidR="00F14632" w:rsidRPr="00F92E56">
        <w:rPr>
          <w:rFonts w:eastAsiaTheme="minorHAnsi"/>
        </w:rPr>
        <w:t>indicate statistically significance (p &lt; 0.05).</w:t>
      </w:r>
    </w:p>
    <w:p w14:paraId="33FBAACF" w14:textId="77777777" w:rsidR="00F14632" w:rsidRPr="00F92E56" w:rsidRDefault="00F14632" w:rsidP="00F14632">
      <w:pPr>
        <w:pStyle w:val="TableFooter"/>
        <w:rPr>
          <w:rFonts w:eastAsiaTheme="minorHAnsi"/>
        </w:rPr>
      </w:pPr>
      <w:r w:rsidRPr="00F92E56">
        <w:rPr>
          <w:rFonts w:eastAsiaTheme="minorHAnsi"/>
        </w:rPr>
        <w:t>The risk ratios (RR) and risk differences (RD) were for nivolumab versus placebo. RR &gt; 1 and RD &gt; 0 favour placebo over nivolumab.</w:t>
      </w:r>
    </w:p>
    <w:p w14:paraId="58D4A828" w14:textId="1EE905A1" w:rsidR="00F14632" w:rsidRPr="00F92E56" w:rsidRDefault="00F14632" w:rsidP="00C76B7E">
      <w:pPr>
        <w:pStyle w:val="TableFooter"/>
        <w:spacing w:after="120"/>
        <w:rPr>
          <w:rFonts w:eastAsiaTheme="minorHAnsi"/>
        </w:rPr>
      </w:pPr>
      <w:r w:rsidRPr="00F92E56">
        <w:rPr>
          <w:rFonts w:eastAsiaTheme="minorHAnsi"/>
        </w:rPr>
        <w:t>Data based on September 2022 data cutoff</w:t>
      </w:r>
    </w:p>
    <w:p w14:paraId="67C81A31" w14:textId="2CBEF6BB" w:rsidR="00F14632" w:rsidRPr="00F92E56" w:rsidRDefault="003C123A" w:rsidP="00236876">
      <w:pPr>
        <w:pStyle w:val="3-BodyText"/>
      </w:pPr>
      <w:r w:rsidRPr="00F92E56">
        <w:t>The safety results should be interpreted with caution given that in the CM274 double-blinded trial, the placebo arm did not include active anti-cancer treatment during the on-treatment period. Furthermore, t</w:t>
      </w:r>
      <w:r w:rsidR="00F14632" w:rsidRPr="00F92E56">
        <w:t xml:space="preserve">he CM274 trial was not powered to detect statistically significant differences in </w:t>
      </w:r>
      <w:r w:rsidR="002E156F" w:rsidRPr="00F92E56">
        <w:t>adverse events (</w:t>
      </w:r>
      <w:r w:rsidR="00F14632" w:rsidRPr="00F92E56">
        <w:t>AEs</w:t>
      </w:r>
      <w:r w:rsidR="002E156F" w:rsidRPr="00F92E56">
        <w:t>)</w:t>
      </w:r>
      <w:r w:rsidR="00F14632" w:rsidRPr="00F92E56">
        <w:t xml:space="preserve"> between </w:t>
      </w:r>
      <w:r w:rsidRPr="00F92E56">
        <w:t xml:space="preserve">the </w:t>
      </w:r>
      <w:r w:rsidR="00F14632" w:rsidRPr="00F92E56">
        <w:t>nivolumab and placebo</w:t>
      </w:r>
      <w:r w:rsidRPr="00F92E56">
        <w:t xml:space="preserve"> arms</w:t>
      </w:r>
      <w:r w:rsidR="00F14632" w:rsidRPr="00F92E56">
        <w:t xml:space="preserve">. Thus, non-statistically significant </w:t>
      </w:r>
      <w:r w:rsidRPr="00F92E56">
        <w:t xml:space="preserve">differences </w:t>
      </w:r>
      <w:r w:rsidR="00484B53" w:rsidRPr="00F92E56">
        <w:t xml:space="preserve">are not necessarily </w:t>
      </w:r>
      <w:r w:rsidR="00B14514" w:rsidRPr="00F92E56">
        <w:t xml:space="preserve">reflective of </w:t>
      </w:r>
      <w:r w:rsidR="00F14632" w:rsidRPr="00F92E56">
        <w:t xml:space="preserve">clinically </w:t>
      </w:r>
      <w:r w:rsidR="00484B53" w:rsidRPr="00F92E56">
        <w:t>ir</w:t>
      </w:r>
      <w:r w:rsidR="00F14632" w:rsidRPr="00F92E56">
        <w:t>relevant</w:t>
      </w:r>
      <w:r w:rsidRPr="00F92E56">
        <w:t xml:space="preserve"> findings.</w:t>
      </w:r>
    </w:p>
    <w:p w14:paraId="356B2F0D" w14:textId="5E62770F" w:rsidR="003C123A" w:rsidRPr="00F92E56" w:rsidRDefault="003C123A" w:rsidP="00236876">
      <w:pPr>
        <w:pStyle w:val="3-BodyText"/>
      </w:pPr>
      <w:r w:rsidRPr="00F92E56">
        <w:t>AEs were reported in almost all prior NAC patients in both treatment arms (98.7% in the nivolumab arm, 95.5% in the placebo arm). The risk ratios (RRs) and risk differences (RDs) were statistically significant favouring placebo over nivolumab for the following study drug-related AEs:</w:t>
      </w:r>
    </w:p>
    <w:p w14:paraId="6BF8E4F4" w14:textId="7D180EAC" w:rsidR="003C123A" w:rsidRPr="00C76B7E" w:rsidRDefault="003C123A" w:rsidP="00C76B7E">
      <w:pPr>
        <w:pStyle w:val="ListParagraph"/>
      </w:pPr>
      <w:r w:rsidRPr="00C76B7E">
        <w:t xml:space="preserve">AEs </w:t>
      </w:r>
      <w:r w:rsidR="00C05ADF" w:rsidRPr="00C76B7E">
        <w:t xml:space="preserve">of </w:t>
      </w:r>
      <w:r w:rsidRPr="00C76B7E">
        <w:t>any grade (RR</w:t>
      </w:r>
      <w:r w:rsidR="00C05ADF" w:rsidRPr="00C76B7E">
        <w:t>:</w:t>
      </w:r>
      <w:r w:rsidRPr="00C76B7E">
        <w:t xml:space="preserve"> 1.6 [95% CI: 1.3, 1.8]).</w:t>
      </w:r>
    </w:p>
    <w:p w14:paraId="46745FAC" w14:textId="4A3BA70D" w:rsidR="003C123A" w:rsidRPr="00C76B7E" w:rsidRDefault="003C123A" w:rsidP="00C76B7E">
      <w:pPr>
        <w:pStyle w:val="ListParagraph"/>
      </w:pPr>
      <w:r w:rsidRPr="00C76B7E">
        <w:t>Serious AEs (SAE</w:t>
      </w:r>
      <w:r w:rsidR="00C05ADF" w:rsidRPr="00C76B7E">
        <w:t>s</w:t>
      </w:r>
      <w:r w:rsidRPr="00C76B7E">
        <w:t>), any grade (RR</w:t>
      </w:r>
      <w:r w:rsidR="00C05ADF" w:rsidRPr="00C76B7E">
        <w:t>:</w:t>
      </w:r>
      <w:r w:rsidRPr="00C76B7E">
        <w:t xml:space="preserve"> 3.7 [95% CI: 1.1, 13.0]).</w:t>
      </w:r>
    </w:p>
    <w:p w14:paraId="79872D36" w14:textId="0FD4D352" w:rsidR="003C123A" w:rsidRPr="00C76B7E" w:rsidRDefault="003C123A" w:rsidP="00C76B7E">
      <w:pPr>
        <w:pStyle w:val="ListParagraph"/>
      </w:pPr>
      <w:r w:rsidRPr="00C76B7E">
        <w:t>Severe Grade 3-4 AE</w:t>
      </w:r>
      <w:r w:rsidR="00C05ADF" w:rsidRPr="00C76B7E">
        <w:t>s</w:t>
      </w:r>
      <w:r w:rsidRPr="00C76B7E">
        <w:t xml:space="preserve"> (RR</w:t>
      </w:r>
      <w:r w:rsidR="00C05ADF" w:rsidRPr="00C76B7E">
        <w:t>:</w:t>
      </w:r>
      <w:r w:rsidRPr="00C76B7E">
        <w:t xml:space="preserve"> 3.9 [95% CI: 1.6, 9.2]).</w:t>
      </w:r>
    </w:p>
    <w:p w14:paraId="51DE67C1" w14:textId="77402126" w:rsidR="003C123A" w:rsidRPr="00C76B7E" w:rsidRDefault="003C123A" w:rsidP="00C76B7E">
      <w:pPr>
        <w:pStyle w:val="ListParagraph"/>
      </w:pPr>
      <w:r w:rsidRPr="00C76B7E">
        <w:t>Severe Grade 3-4 SAE</w:t>
      </w:r>
      <w:r w:rsidR="00C05ADF" w:rsidRPr="00C76B7E">
        <w:t>s</w:t>
      </w:r>
      <w:r w:rsidRPr="00C76B7E">
        <w:t xml:space="preserve"> (RR</w:t>
      </w:r>
      <w:r w:rsidR="00C05ADF" w:rsidRPr="00C76B7E">
        <w:t>:</w:t>
      </w:r>
      <w:r w:rsidRPr="00C76B7E">
        <w:t xml:space="preserve"> 5.0 [95% CI: 1.1, 22.6]); and </w:t>
      </w:r>
    </w:p>
    <w:p w14:paraId="5C3F29C2" w14:textId="24C9808C" w:rsidR="003C123A" w:rsidRPr="00C76B7E" w:rsidRDefault="002E7D16" w:rsidP="00C76B7E">
      <w:pPr>
        <w:pStyle w:val="ListParagraph"/>
      </w:pPr>
      <w:r w:rsidRPr="00C76B7E">
        <w:t xml:space="preserve">Treatment discontinuation </w:t>
      </w:r>
      <w:r w:rsidR="003C123A" w:rsidRPr="00C76B7E">
        <w:t>due to a Grade 3-4 severe AE (RR</w:t>
      </w:r>
      <w:r w:rsidR="00C05ADF" w:rsidRPr="00C76B7E">
        <w:t>:</w:t>
      </w:r>
      <w:r w:rsidR="003C123A" w:rsidRPr="00C76B7E">
        <w:t xml:space="preserve"> 17.1 [95% CI</w:t>
      </w:r>
      <w:r w:rsidRPr="00C76B7E">
        <w:t>:</w:t>
      </w:r>
      <w:r w:rsidR="003C123A" w:rsidRPr="00C76B7E">
        <w:t xml:space="preserve"> 1.0, 293.9]).</w:t>
      </w:r>
    </w:p>
    <w:p w14:paraId="154CD9A5" w14:textId="1719A652" w:rsidR="003C123A" w:rsidRPr="00F92E56" w:rsidRDefault="003C123A" w:rsidP="00236876">
      <w:pPr>
        <w:pStyle w:val="3-BodyText"/>
      </w:pPr>
      <w:r w:rsidRPr="00F92E56">
        <w:lastRenderedPageBreak/>
        <w:t xml:space="preserve">The most common drug-related AEs reported in the nivolumab versus placebo arms were pruritus (21.9% </w:t>
      </w:r>
      <w:r w:rsidR="00C05ADF" w:rsidRPr="00F92E56">
        <w:rPr>
          <w:i/>
        </w:rPr>
        <w:t>vs.</w:t>
      </w:r>
      <w:r w:rsidR="00C05ADF" w:rsidRPr="00F92E56">
        <w:t xml:space="preserve"> </w:t>
      </w:r>
      <w:r w:rsidRPr="00F92E56">
        <w:t xml:space="preserve">9.6%), fatigue (21.9% </w:t>
      </w:r>
      <w:r w:rsidR="00C05ADF" w:rsidRPr="00F92E56">
        <w:rPr>
          <w:i/>
        </w:rPr>
        <w:t>vs.</w:t>
      </w:r>
      <w:r w:rsidR="00C05ADF" w:rsidRPr="00F92E56">
        <w:t xml:space="preserve"> </w:t>
      </w:r>
      <w:r w:rsidRPr="00F92E56">
        <w:t xml:space="preserve">13.5%), diarrhoea (19.4% </w:t>
      </w:r>
      <w:r w:rsidR="00C05ADF" w:rsidRPr="00F92E56">
        <w:rPr>
          <w:i/>
        </w:rPr>
        <w:t>vs.</w:t>
      </w:r>
      <w:r w:rsidR="00C05ADF" w:rsidRPr="00F92E56">
        <w:t xml:space="preserve"> </w:t>
      </w:r>
      <w:r w:rsidRPr="00F92E56">
        <w:t xml:space="preserve">16.0%), rash (14.8% </w:t>
      </w:r>
      <w:r w:rsidR="00C05ADF" w:rsidRPr="00F92E56">
        <w:rPr>
          <w:i/>
        </w:rPr>
        <w:t>vs.</w:t>
      </w:r>
      <w:r w:rsidR="00C05ADF" w:rsidRPr="00F92E56">
        <w:t xml:space="preserve"> </w:t>
      </w:r>
      <w:r w:rsidRPr="00F92E56">
        <w:t xml:space="preserve">6.4%), and hypothyroidism (12.9% </w:t>
      </w:r>
      <w:r w:rsidR="00C05ADF" w:rsidRPr="00F92E56">
        <w:rPr>
          <w:i/>
        </w:rPr>
        <w:t>vs.</w:t>
      </w:r>
      <w:r w:rsidR="00C05ADF" w:rsidRPr="00F92E56">
        <w:t xml:space="preserve"> </w:t>
      </w:r>
      <w:r w:rsidRPr="00F92E56">
        <w:t xml:space="preserve">1.9%). Study drug-related severe AEs included increased lipase </w:t>
      </w:r>
      <w:r w:rsidR="00391F07" w:rsidRPr="00F92E56">
        <w:t xml:space="preserve">level </w:t>
      </w:r>
      <w:r w:rsidRPr="00F92E56">
        <w:t xml:space="preserve">(4.5% </w:t>
      </w:r>
      <w:r w:rsidR="00C05ADF" w:rsidRPr="00F92E56">
        <w:rPr>
          <w:i/>
        </w:rPr>
        <w:t>vs.</w:t>
      </w:r>
      <w:r w:rsidR="00C05ADF" w:rsidRPr="00F92E56">
        <w:t xml:space="preserve"> </w:t>
      </w:r>
      <w:r w:rsidRPr="00F92E56">
        <w:t xml:space="preserve">0.6%) and </w:t>
      </w:r>
      <w:r w:rsidR="00391F07" w:rsidRPr="00F92E56">
        <w:t xml:space="preserve">increased </w:t>
      </w:r>
      <w:r w:rsidRPr="00F92E56">
        <w:t xml:space="preserve">amylase </w:t>
      </w:r>
      <w:r w:rsidR="00391F07" w:rsidRPr="00F92E56">
        <w:t xml:space="preserve">level </w:t>
      </w:r>
      <w:r w:rsidRPr="00F92E56">
        <w:t xml:space="preserve">(3.2% </w:t>
      </w:r>
      <w:r w:rsidR="00C05ADF" w:rsidRPr="00F92E56">
        <w:t xml:space="preserve">vs. </w:t>
      </w:r>
      <w:r w:rsidRPr="00F92E56">
        <w:t>0.6%).</w:t>
      </w:r>
    </w:p>
    <w:p w14:paraId="6407022D" w14:textId="28E97D5A" w:rsidR="003C123A" w:rsidRPr="00F92E56" w:rsidRDefault="003C123A" w:rsidP="00236876">
      <w:pPr>
        <w:pStyle w:val="3-BodyText"/>
      </w:pPr>
      <w:r w:rsidRPr="00F92E56">
        <w:t xml:space="preserve">Adverse events of special interest (AESIs) were not discussed in the resubmission. </w:t>
      </w:r>
      <w:r w:rsidR="00B14514" w:rsidRPr="00F92E56">
        <w:t>I</w:t>
      </w:r>
      <w:r w:rsidRPr="00F92E56">
        <w:t>n the CM274 protocol, these were specified as demyelination, encephalitis, Guillain-Barré syndrome, myasthenic syndrome, myocarditis, myositis, pancreatitis, rhabdomyolysis, graft versus host disease and uveitis.</w:t>
      </w:r>
    </w:p>
    <w:p w14:paraId="6EF483A4" w14:textId="4879986A" w:rsidR="003C123A" w:rsidRPr="00F92E56" w:rsidRDefault="002E7D16" w:rsidP="00236876">
      <w:pPr>
        <w:pStyle w:val="3-BodyText"/>
      </w:pPr>
      <w:r w:rsidRPr="00F92E56">
        <w:t>From the</w:t>
      </w:r>
      <w:r w:rsidR="003C123A" w:rsidRPr="00F92E56">
        <w:t xml:space="preserve"> data presented in the resubmission</w:t>
      </w:r>
      <w:r w:rsidR="00C565C3" w:rsidRPr="00F92E56">
        <w:t>,</w:t>
      </w:r>
      <w:r w:rsidRPr="00F92E56">
        <w:t xml:space="preserve"> overall</w:t>
      </w:r>
      <w:r w:rsidR="003C123A" w:rsidRPr="00F92E56">
        <w:t xml:space="preserve">, no new safety issues were </w:t>
      </w:r>
      <w:r w:rsidRPr="00F92E56">
        <w:t>identified,</w:t>
      </w:r>
      <w:r w:rsidR="003C123A" w:rsidRPr="00F92E56">
        <w:t xml:space="preserve"> and the safety profile appears consistent with the previously documented safety profile of nivolumab monotherapy</w:t>
      </w:r>
      <w:r w:rsidRPr="00F92E56">
        <w:t>.</w:t>
      </w:r>
    </w:p>
    <w:p w14:paraId="0A0F78F2" w14:textId="77777777" w:rsidR="007F1017" w:rsidRPr="00F92E56" w:rsidRDefault="007F1017" w:rsidP="00D86231">
      <w:pPr>
        <w:pStyle w:val="4-SubsectionHeading"/>
      </w:pPr>
      <w:bookmarkStart w:id="37" w:name="_Toc22897643"/>
      <w:bookmarkStart w:id="38" w:name="_Toc145496536"/>
      <w:r w:rsidRPr="00F92E56">
        <w:t>Benefits/harms</w:t>
      </w:r>
      <w:bookmarkEnd w:id="37"/>
      <w:bookmarkEnd w:id="38"/>
    </w:p>
    <w:p w14:paraId="6DEE638C" w14:textId="2FA59323" w:rsidR="002E7D16" w:rsidRPr="00F92E56" w:rsidRDefault="002E7D16" w:rsidP="00236876">
      <w:pPr>
        <w:pStyle w:val="3-BodyText"/>
      </w:pPr>
      <w:r w:rsidRPr="00F92E56">
        <w:rPr>
          <w:snapToGrid/>
        </w:rPr>
        <w:t xml:space="preserve">A summary of the comparative benefits and harms for nivolumab versus placebo </w:t>
      </w:r>
      <w:r w:rsidR="001C65B0" w:rsidRPr="00F92E56">
        <w:rPr>
          <w:snapToGrid/>
        </w:rPr>
        <w:t xml:space="preserve">in the prior NAC subgroup </w:t>
      </w:r>
      <w:r w:rsidRPr="00F92E56">
        <w:rPr>
          <w:snapToGrid/>
        </w:rPr>
        <w:t>is presented in</w:t>
      </w:r>
      <w:r w:rsidR="006C69A2" w:rsidRPr="00F92E56">
        <w:rPr>
          <w:snapToGrid/>
        </w:rPr>
        <w:t xml:space="preserve"> </w:t>
      </w:r>
      <w:r w:rsidR="006C69A2" w:rsidRPr="00F92E56">
        <w:rPr>
          <w:snapToGrid/>
        </w:rPr>
        <w:fldChar w:fldCharType="begin" w:fldLock="1"/>
      </w:r>
      <w:r w:rsidR="006C69A2" w:rsidRPr="00F92E56">
        <w:rPr>
          <w:snapToGrid/>
        </w:rPr>
        <w:instrText xml:space="preserve"> REF _Ref141612752 \h  \* MERGEFORMAT </w:instrText>
      </w:r>
      <w:r w:rsidR="006C69A2" w:rsidRPr="00F92E56">
        <w:rPr>
          <w:snapToGrid/>
        </w:rPr>
      </w:r>
      <w:r w:rsidR="006C69A2" w:rsidRPr="00F92E56">
        <w:rPr>
          <w:snapToGrid/>
        </w:rPr>
        <w:fldChar w:fldCharType="separate"/>
      </w:r>
      <w:r w:rsidR="0096718A" w:rsidRPr="00F92E56">
        <w:t xml:space="preserve">Table </w:t>
      </w:r>
      <w:r w:rsidR="0096718A" w:rsidRPr="00346867">
        <w:t>10</w:t>
      </w:r>
      <w:r w:rsidR="006C69A2" w:rsidRPr="00F92E56">
        <w:rPr>
          <w:snapToGrid/>
        </w:rPr>
        <w:fldChar w:fldCharType="end"/>
      </w:r>
      <w:r w:rsidR="006C69A2" w:rsidRPr="00F92E56">
        <w:rPr>
          <w:snapToGrid/>
        </w:rPr>
        <w:t>.</w:t>
      </w:r>
    </w:p>
    <w:p w14:paraId="6448F6B7" w14:textId="51E8287A" w:rsidR="002E7D16" w:rsidRPr="00F92E56" w:rsidRDefault="001C65B0" w:rsidP="00C76B7E">
      <w:pPr>
        <w:pStyle w:val="Caption"/>
        <w:pageBreakBefore/>
      </w:pPr>
      <w:bookmarkStart w:id="39" w:name="_Ref141612752"/>
      <w:r w:rsidRPr="00F92E56">
        <w:lastRenderedPageBreak/>
        <w:t xml:space="preserve">Table </w:t>
      </w:r>
      <w:r w:rsidR="001D78FA">
        <w:fldChar w:fldCharType="begin" w:fldLock="1"/>
      </w:r>
      <w:r w:rsidR="001D78FA">
        <w:instrText xml:space="preserve"> SEQ Tab</w:instrText>
      </w:r>
      <w:r w:rsidR="001D78FA">
        <w:instrText xml:space="preserve">le \* ARABIC </w:instrText>
      </w:r>
      <w:r w:rsidR="001D78FA">
        <w:fldChar w:fldCharType="separate"/>
      </w:r>
      <w:r w:rsidR="0096718A" w:rsidRPr="00346867">
        <w:t>10</w:t>
      </w:r>
      <w:r w:rsidR="001D78FA">
        <w:fldChar w:fldCharType="end"/>
      </w:r>
      <w:bookmarkEnd w:id="39"/>
      <w:r w:rsidRPr="00F92E56">
        <w:t xml:space="preserve">: </w:t>
      </w:r>
      <w:r w:rsidR="002E7D16" w:rsidRPr="00F92E56">
        <w:t>Summary of the comparative benefits and harms for nivolumab versus placebo (proxy for watchful waiting)</w:t>
      </w:r>
      <w:r w:rsidRPr="00F92E56">
        <w:t xml:space="preserve"> </w:t>
      </w:r>
      <w:r w:rsidR="00C565C3" w:rsidRPr="00F92E56">
        <w:t>in the p</w:t>
      </w:r>
      <w:r w:rsidRPr="00F92E56">
        <w:t xml:space="preserve">rior neoadjuvant platinum-based chemotherapy population </w:t>
      </w:r>
    </w:p>
    <w:tbl>
      <w:tblPr>
        <w:tblStyle w:val="TableGrid"/>
        <w:tblpPr w:leftFromText="180" w:rightFromText="180" w:vertAnchor="text" w:horzAnchor="margin" w:tblpY="35"/>
        <w:tblW w:w="5000" w:type="pct"/>
        <w:tblCellMar>
          <w:left w:w="28" w:type="dxa"/>
          <w:right w:w="28" w:type="dxa"/>
        </w:tblCellMar>
        <w:tblLook w:val="04A0" w:firstRow="1" w:lastRow="0" w:firstColumn="1" w:lastColumn="0" w:noHBand="0" w:noVBand="1"/>
      </w:tblPr>
      <w:tblGrid>
        <w:gridCol w:w="1657"/>
        <w:gridCol w:w="974"/>
        <w:gridCol w:w="289"/>
        <w:gridCol w:w="1014"/>
        <w:gridCol w:w="647"/>
        <w:gridCol w:w="454"/>
        <w:gridCol w:w="1208"/>
        <w:gridCol w:w="85"/>
        <w:gridCol w:w="1046"/>
        <w:gridCol w:w="126"/>
        <w:gridCol w:w="1517"/>
      </w:tblGrid>
      <w:tr w:rsidR="002E7D16" w:rsidRPr="00F92E56" w14:paraId="196FDF2B" w14:textId="77777777" w:rsidTr="005D1A43">
        <w:trPr>
          <w:tblHeader/>
        </w:trPr>
        <w:tc>
          <w:tcPr>
            <w:tcW w:w="5000" w:type="pct"/>
            <w:gridSpan w:val="11"/>
            <w:tcBorders>
              <w:bottom w:val="single" w:sz="4" w:space="0" w:color="auto"/>
            </w:tcBorders>
            <w:shd w:val="clear" w:color="auto" w:fill="auto"/>
            <w:vAlign w:val="center"/>
          </w:tcPr>
          <w:p w14:paraId="5E2DADC2" w14:textId="615F4072" w:rsidR="002E7D16" w:rsidRPr="00F92E56" w:rsidRDefault="002E7D16" w:rsidP="00C76B7E">
            <w:pPr>
              <w:pStyle w:val="Tableheadingrow"/>
              <w:keepLines/>
              <w:rPr>
                <w:lang w:val="en-AU"/>
              </w:rPr>
            </w:pPr>
            <w:r w:rsidRPr="00F92E56">
              <w:rPr>
                <w:lang w:val="en-AU"/>
              </w:rPr>
              <w:t>Benefits</w:t>
            </w:r>
            <w:r w:rsidR="006C69A2" w:rsidRPr="00F92E56">
              <w:rPr>
                <w:lang w:val="en-AU"/>
              </w:rPr>
              <w:t xml:space="preserve"> </w:t>
            </w:r>
          </w:p>
        </w:tc>
      </w:tr>
      <w:tr w:rsidR="001E1A6D" w:rsidRPr="00F92E56" w14:paraId="4B77D2EA" w14:textId="77777777" w:rsidTr="005D1A43">
        <w:tc>
          <w:tcPr>
            <w:tcW w:w="1619" w:type="pct"/>
            <w:gridSpan w:val="3"/>
            <w:tcBorders>
              <w:bottom w:val="single" w:sz="4" w:space="0" w:color="auto"/>
            </w:tcBorders>
            <w:shd w:val="clear" w:color="auto" w:fill="auto"/>
            <w:vAlign w:val="center"/>
          </w:tcPr>
          <w:p w14:paraId="73D1397A" w14:textId="77777777" w:rsidR="002E7D16" w:rsidRPr="00F92E56" w:rsidRDefault="002E7D16" w:rsidP="00C76B7E">
            <w:pPr>
              <w:pStyle w:val="Tableheadingrow"/>
              <w:keepLines/>
              <w:rPr>
                <w:lang w:val="en-AU"/>
              </w:rPr>
            </w:pPr>
          </w:p>
        </w:tc>
        <w:tc>
          <w:tcPr>
            <w:tcW w:w="921" w:type="pct"/>
            <w:gridSpan w:val="2"/>
            <w:tcBorders>
              <w:bottom w:val="single" w:sz="4" w:space="0" w:color="auto"/>
            </w:tcBorders>
            <w:shd w:val="clear" w:color="auto" w:fill="auto"/>
            <w:vAlign w:val="center"/>
          </w:tcPr>
          <w:p w14:paraId="3C96FAC0" w14:textId="77777777" w:rsidR="002E7D16" w:rsidRPr="00F92E56" w:rsidRDefault="002E7D16" w:rsidP="00C76B7E">
            <w:pPr>
              <w:pStyle w:val="Tableheadingrow"/>
              <w:keepLines/>
              <w:jc w:val="center"/>
              <w:rPr>
                <w:lang w:val="en-AU"/>
              </w:rPr>
            </w:pPr>
            <w:r w:rsidRPr="00F92E56">
              <w:rPr>
                <w:lang w:val="en-AU"/>
              </w:rPr>
              <w:t>Nivolumab</w:t>
            </w:r>
          </w:p>
          <w:p w14:paraId="071E744A" w14:textId="78757CDB" w:rsidR="002E7D16" w:rsidRPr="00F92E56" w:rsidRDefault="002E7D16" w:rsidP="00C76B7E">
            <w:pPr>
              <w:pStyle w:val="Tableheadingrow"/>
              <w:keepLines/>
              <w:jc w:val="center"/>
              <w:rPr>
                <w:lang w:val="en-AU"/>
              </w:rPr>
            </w:pPr>
            <w:r w:rsidRPr="00F92E56">
              <w:rPr>
                <w:lang w:val="en-AU"/>
              </w:rPr>
              <w:t>N=</w:t>
            </w:r>
            <w:r w:rsidR="001C65B0" w:rsidRPr="00F92E56">
              <w:rPr>
                <w:lang w:val="en-AU"/>
              </w:rPr>
              <w:t>156</w:t>
            </w:r>
          </w:p>
        </w:tc>
        <w:tc>
          <w:tcPr>
            <w:tcW w:w="922" w:type="pct"/>
            <w:gridSpan w:val="2"/>
            <w:tcBorders>
              <w:bottom w:val="single" w:sz="4" w:space="0" w:color="auto"/>
            </w:tcBorders>
            <w:shd w:val="clear" w:color="auto" w:fill="auto"/>
            <w:vAlign w:val="center"/>
          </w:tcPr>
          <w:p w14:paraId="365FFADF" w14:textId="77777777" w:rsidR="002E7D16" w:rsidRPr="00F92E56" w:rsidRDefault="002E7D16" w:rsidP="00C76B7E">
            <w:pPr>
              <w:pStyle w:val="Tableheadingrow"/>
              <w:keepLines/>
              <w:jc w:val="center"/>
              <w:rPr>
                <w:lang w:val="en-AU"/>
              </w:rPr>
            </w:pPr>
            <w:r w:rsidRPr="00F92E56">
              <w:rPr>
                <w:lang w:val="en-AU"/>
              </w:rPr>
              <w:t>Placebo</w:t>
            </w:r>
          </w:p>
          <w:p w14:paraId="1B281B80" w14:textId="46050B00" w:rsidR="002E7D16" w:rsidRPr="00F92E56" w:rsidRDefault="002E7D16" w:rsidP="00C76B7E">
            <w:pPr>
              <w:pStyle w:val="Tableheadingrow"/>
              <w:keepLines/>
              <w:jc w:val="center"/>
              <w:rPr>
                <w:lang w:val="en-AU"/>
              </w:rPr>
            </w:pPr>
            <w:r w:rsidRPr="00F92E56">
              <w:rPr>
                <w:lang w:val="en-AU"/>
              </w:rPr>
              <w:t>N=</w:t>
            </w:r>
            <w:r w:rsidR="001C65B0" w:rsidRPr="00F92E56">
              <w:rPr>
                <w:lang w:val="en-AU"/>
              </w:rPr>
              <w:t>158</w:t>
            </w:r>
          </w:p>
        </w:tc>
        <w:tc>
          <w:tcPr>
            <w:tcW w:w="697" w:type="pct"/>
            <w:gridSpan w:val="3"/>
            <w:tcBorders>
              <w:bottom w:val="single" w:sz="4" w:space="0" w:color="auto"/>
            </w:tcBorders>
            <w:shd w:val="clear" w:color="auto" w:fill="auto"/>
            <w:vAlign w:val="center"/>
          </w:tcPr>
          <w:p w14:paraId="6CB3B2D9" w14:textId="77777777" w:rsidR="002E7D16" w:rsidRPr="00F92E56" w:rsidRDefault="002E7D16" w:rsidP="00C76B7E">
            <w:pPr>
              <w:pStyle w:val="Tableheadingrow"/>
              <w:keepLines/>
              <w:jc w:val="center"/>
              <w:rPr>
                <w:lang w:val="en-AU"/>
              </w:rPr>
            </w:pPr>
            <w:r w:rsidRPr="00F92E56">
              <w:rPr>
                <w:lang w:val="en-AU"/>
              </w:rPr>
              <w:t>Absolute difference</w:t>
            </w:r>
          </w:p>
        </w:tc>
        <w:tc>
          <w:tcPr>
            <w:tcW w:w="841" w:type="pct"/>
            <w:tcBorders>
              <w:bottom w:val="single" w:sz="4" w:space="0" w:color="auto"/>
            </w:tcBorders>
            <w:shd w:val="clear" w:color="auto" w:fill="auto"/>
            <w:vAlign w:val="center"/>
          </w:tcPr>
          <w:p w14:paraId="44E11542" w14:textId="77777777" w:rsidR="002E7D16" w:rsidRPr="00F92E56" w:rsidRDefault="002E7D16" w:rsidP="00C76B7E">
            <w:pPr>
              <w:pStyle w:val="Tableheadingrow"/>
              <w:keepLines/>
              <w:jc w:val="center"/>
              <w:rPr>
                <w:lang w:val="en-AU"/>
              </w:rPr>
            </w:pPr>
            <w:r w:rsidRPr="00F92E56">
              <w:rPr>
                <w:lang w:val="en-AU"/>
              </w:rPr>
              <w:t xml:space="preserve">HR </w:t>
            </w:r>
          </w:p>
          <w:p w14:paraId="09F96A82" w14:textId="77777777" w:rsidR="002E7D16" w:rsidRPr="00F92E56" w:rsidRDefault="002E7D16" w:rsidP="00C76B7E">
            <w:pPr>
              <w:pStyle w:val="Tableheadingrow"/>
              <w:keepLines/>
              <w:jc w:val="center"/>
              <w:rPr>
                <w:lang w:val="en-AU"/>
              </w:rPr>
            </w:pPr>
            <w:r w:rsidRPr="00F92E56">
              <w:rPr>
                <w:lang w:val="en-AU"/>
              </w:rPr>
              <w:t>(95% CI)</w:t>
            </w:r>
          </w:p>
          <w:p w14:paraId="4077B56C" w14:textId="13FDC920" w:rsidR="002E7D16" w:rsidRPr="00F92E56" w:rsidRDefault="002E7D16" w:rsidP="00C76B7E">
            <w:pPr>
              <w:pStyle w:val="Tableheadingrow"/>
              <w:keepLines/>
              <w:jc w:val="center"/>
              <w:rPr>
                <w:lang w:val="en-AU"/>
              </w:rPr>
            </w:pPr>
            <w:r w:rsidRPr="00F92E56">
              <w:rPr>
                <w:lang w:val="en-AU"/>
              </w:rPr>
              <w:t>p-value</w:t>
            </w:r>
          </w:p>
        </w:tc>
      </w:tr>
      <w:tr w:rsidR="002E7D16" w:rsidRPr="00F92E56" w14:paraId="7EB40BE3" w14:textId="77777777" w:rsidTr="005D1A43">
        <w:tc>
          <w:tcPr>
            <w:tcW w:w="5000" w:type="pct"/>
            <w:gridSpan w:val="11"/>
            <w:tcBorders>
              <w:bottom w:val="single" w:sz="4" w:space="0" w:color="auto"/>
            </w:tcBorders>
            <w:shd w:val="clear" w:color="auto" w:fill="auto"/>
          </w:tcPr>
          <w:p w14:paraId="4EE33D50" w14:textId="6C11E1FC" w:rsidR="002E7D16" w:rsidRPr="00F92E56" w:rsidRDefault="002E7D16" w:rsidP="00C76B7E">
            <w:pPr>
              <w:pStyle w:val="Tableheadingrow"/>
              <w:keepLines/>
              <w:rPr>
                <w:lang w:val="en-AU"/>
              </w:rPr>
            </w:pPr>
            <w:r w:rsidRPr="00F92E56">
              <w:rPr>
                <w:lang w:val="en-AU"/>
              </w:rPr>
              <w:t xml:space="preserve">DFS </w:t>
            </w:r>
            <w:r w:rsidR="00014C06" w:rsidRPr="00F92E56">
              <w:rPr>
                <w:lang w:val="en-AU"/>
              </w:rPr>
              <w:t>(primary outcome)</w:t>
            </w:r>
          </w:p>
        </w:tc>
      </w:tr>
      <w:tr w:rsidR="005F6FEB" w:rsidRPr="00F92E56" w14:paraId="37C50DDE" w14:textId="77777777" w:rsidTr="005D1A43">
        <w:tc>
          <w:tcPr>
            <w:tcW w:w="1619" w:type="pct"/>
            <w:gridSpan w:val="3"/>
            <w:tcBorders>
              <w:bottom w:val="single" w:sz="4" w:space="0" w:color="auto"/>
              <w:right w:val="single" w:sz="4" w:space="0" w:color="auto"/>
            </w:tcBorders>
            <w:shd w:val="clear" w:color="auto" w:fill="auto"/>
          </w:tcPr>
          <w:p w14:paraId="5C38FDE5" w14:textId="77777777" w:rsidR="005F6FEB" w:rsidRPr="00F92E56" w:rsidRDefault="005F6FEB" w:rsidP="00C76B7E">
            <w:pPr>
              <w:pStyle w:val="TableText0"/>
              <w:keepLines/>
            </w:pPr>
            <w:r w:rsidRPr="00F92E56">
              <w:t>Recurrence or death, n (%)</w:t>
            </w:r>
          </w:p>
        </w:tc>
        <w:tc>
          <w:tcPr>
            <w:tcW w:w="921" w:type="pct"/>
            <w:gridSpan w:val="2"/>
            <w:tcBorders>
              <w:left w:val="single" w:sz="4" w:space="0" w:color="auto"/>
              <w:bottom w:val="single" w:sz="4" w:space="0" w:color="auto"/>
              <w:right w:val="single" w:sz="4" w:space="0" w:color="auto"/>
            </w:tcBorders>
            <w:shd w:val="clear" w:color="auto" w:fill="auto"/>
          </w:tcPr>
          <w:p w14:paraId="117132E7" w14:textId="483519E8" w:rsidR="005F6FEB" w:rsidRPr="00F92E56" w:rsidRDefault="005F6FEB" w:rsidP="00C76B7E">
            <w:pPr>
              <w:pStyle w:val="TableText0"/>
              <w:keepLines/>
              <w:jc w:val="center"/>
            </w:pPr>
            <w:r w:rsidRPr="00F92E56">
              <w:t>82 (52.6)</w:t>
            </w:r>
          </w:p>
        </w:tc>
        <w:tc>
          <w:tcPr>
            <w:tcW w:w="922" w:type="pct"/>
            <w:gridSpan w:val="2"/>
            <w:tcBorders>
              <w:left w:val="single" w:sz="4" w:space="0" w:color="auto"/>
              <w:bottom w:val="single" w:sz="4" w:space="0" w:color="auto"/>
              <w:right w:val="single" w:sz="4" w:space="0" w:color="auto"/>
            </w:tcBorders>
            <w:shd w:val="clear" w:color="auto" w:fill="auto"/>
          </w:tcPr>
          <w:p w14:paraId="3EBA934C" w14:textId="19C0B4E2" w:rsidR="005F6FEB" w:rsidRPr="00F92E56" w:rsidRDefault="005F6FEB" w:rsidP="00C76B7E">
            <w:pPr>
              <w:pStyle w:val="TableText0"/>
              <w:keepLines/>
              <w:jc w:val="center"/>
            </w:pPr>
            <w:r w:rsidRPr="00F92E56">
              <w:t>113 (71.5)</w:t>
            </w:r>
          </w:p>
        </w:tc>
        <w:tc>
          <w:tcPr>
            <w:tcW w:w="697" w:type="pct"/>
            <w:gridSpan w:val="3"/>
            <w:tcBorders>
              <w:left w:val="single" w:sz="4" w:space="0" w:color="auto"/>
              <w:bottom w:val="single" w:sz="4" w:space="0" w:color="auto"/>
              <w:right w:val="single" w:sz="4" w:space="0" w:color="auto"/>
            </w:tcBorders>
            <w:shd w:val="clear" w:color="auto" w:fill="auto"/>
          </w:tcPr>
          <w:p w14:paraId="16B19A1C" w14:textId="77777777" w:rsidR="005F6FEB" w:rsidRPr="00F92E56" w:rsidRDefault="005F6FEB" w:rsidP="00C76B7E">
            <w:pPr>
              <w:pStyle w:val="TableText0"/>
              <w:keepLines/>
              <w:jc w:val="center"/>
            </w:pPr>
          </w:p>
        </w:tc>
        <w:tc>
          <w:tcPr>
            <w:tcW w:w="841" w:type="pct"/>
            <w:vMerge w:val="restart"/>
            <w:tcBorders>
              <w:left w:val="single" w:sz="4" w:space="0" w:color="auto"/>
            </w:tcBorders>
            <w:shd w:val="clear" w:color="auto" w:fill="auto"/>
            <w:vAlign w:val="center"/>
          </w:tcPr>
          <w:p w14:paraId="2B218FEE" w14:textId="77777777" w:rsidR="005F6FEB" w:rsidRPr="00F92E56" w:rsidRDefault="005F6FEB" w:rsidP="00C76B7E">
            <w:pPr>
              <w:pStyle w:val="TableText0"/>
              <w:keepLines/>
              <w:jc w:val="center"/>
              <w:rPr>
                <w:szCs w:val="20"/>
              </w:rPr>
            </w:pPr>
            <w:r w:rsidRPr="00F92E56">
              <w:rPr>
                <w:szCs w:val="20"/>
              </w:rPr>
              <w:t>0.54</w:t>
            </w:r>
          </w:p>
          <w:p w14:paraId="3671F34C" w14:textId="3BEA6B42" w:rsidR="005F6FEB" w:rsidRPr="00F92E56" w:rsidRDefault="005F6FEB" w:rsidP="00C76B7E">
            <w:pPr>
              <w:pStyle w:val="TableText0"/>
              <w:keepLines/>
              <w:jc w:val="center"/>
              <w:rPr>
                <w:szCs w:val="20"/>
              </w:rPr>
            </w:pPr>
            <w:r w:rsidRPr="00F92E56">
              <w:rPr>
                <w:szCs w:val="20"/>
              </w:rPr>
              <w:t>(0.41, 0.72)</w:t>
            </w:r>
          </w:p>
          <w:p w14:paraId="4C8F7D41" w14:textId="762F7462" w:rsidR="005F6FEB" w:rsidRPr="00F92E56" w:rsidRDefault="005F6FEB" w:rsidP="00C76B7E">
            <w:pPr>
              <w:pStyle w:val="TableText0"/>
              <w:keepLines/>
              <w:jc w:val="center"/>
              <w:rPr>
                <w:szCs w:val="20"/>
                <w:vertAlign w:val="superscript"/>
              </w:rPr>
            </w:pPr>
            <w:r w:rsidRPr="00F92E56">
              <w:t>p&lt;0.0001</w:t>
            </w:r>
            <w:r w:rsidRPr="00F92E56">
              <w:rPr>
                <w:vertAlign w:val="superscript"/>
              </w:rPr>
              <w:t>a</w:t>
            </w:r>
          </w:p>
        </w:tc>
      </w:tr>
      <w:tr w:rsidR="005F6FEB" w:rsidRPr="00F92E56" w14:paraId="6A3A6EF6" w14:textId="77777777" w:rsidTr="005D1A43">
        <w:tc>
          <w:tcPr>
            <w:tcW w:w="1619" w:type="pct"/>
            <w:gridSpan w:val="3"/>
            <w:tcBorders>
              <w:bottom w:val="single" w:sz="4" w:space="0" w:color="auto"/>
              <w:right w:val="single" w:sz="4" w:space="0" w:color="auto"/>
            </w:tcBorders>
            <w:shd w:val="clear" w:color="auto" w:fill="auto"/>
          </w:tcPr>
          <w:p w14:paraId="1DB1BCAA" w14:textId="77777777" w:rsidR="005F6FEB" w:rsidRPr="00F92E56" w:rsidRDefault="005F6FEB" w:rsidP="00C76B7E">
            <w:pPr>
              <w:pStyle w:val="TableText0"/>
              <w:keepLines/>
            </w:pPr>
            <w:r w:rsidRPr="00F92E56">
              <w:t>Median DFS, months (95% CI)</w:t>
            </w:r>
          </w:p>
        </w:tc>
        <w:tc>
          <w:tcPr>
            <w:tcW w:w="921" w:type="pct"/>
            <w:gridSpan w:val="2"/>
            <w:tcBorders>
              <w:left w:val="single" w:sz="4" w:space="0" w:color="auto"/>
              <w:bottom w:val="single" w:sz="4" w:space="0" w:color="auto"/>
              <w:right w:val="single" w:sz="4" w:space="0" w:color="auto"/>
            </w:tcBorders>
            <w:shd w:val="clear" w:color="auto" w:fill="auto"/>
          </w:tcPr>
          <w:p w14:paraId="469F9661" w14:textId="3076E167" w:rsidR="005F6FEB" w:rsidRPr="00F92E56" w:rsidRDefault="005F6FEB" w:rsidP="00C76B7E">
            <w:pPr>
              <w:pStyle w:val="TableText0"/>
              <w:keepLines/>
              <w:jc w:val="center"/>
              <w:rPr>
                <w:rFonts w:cs="Times New Roman"/>
                <w:szCs w:val="20"/>
              </w:rPr>
            </w:pPr>
            <w:r w:rsidRPr="00F92E56">
              <w:t>25.8 (16.3, 55.2)</w:t>
            </w:r>
          </w:p>
        </w:tc>
        <w:tc>
          <w:tcPr>
            <w:tcW w:w="922" w:type="pct"/>
            <w:gridSpan w:val="2"/>
            <w:tcBorders>
              <w:left w:val="single" w:sz="4" w:space="0" w:color="auto"/>
              <w:bottom w:val="single" w:sz="4" w:space="0" w:color="auto"/>
              <w:right w:val="single" w:sz="4" w:space="0" w:color="auto"/>
            </w:tcBorders>
            <w:shd w:val="clear" w:color="auto" w:fill="auto"/>
          </w:tcPr>
          <w:p w14:paraId="7358F228" w14:textId="5317D827" w:rsidR="005F6FEB" w:rsidRPr="00F92E56" w:rsidRDefault="005F6FEB" w:rsidP="00C76B7E">
            <w:pPr>
              <w:pStyle w:val="TableText0"/>
              <w:keepLines/>
              <w:jc w:val="center"/>
              <w:rPr>
                <w:rFonts w:cs="Times New Roman"/>
                <w:szCs w:val="20"/>
              </w:rPr>
            </w:pPr>
            <w:r w:rsidRPr="00F92E56">
              <w:t>8.2 (5.6, 10.8)</w:t>
            </w:r>
          </w:p>
        </w:tc>
        <w:tc>
          <w:tcPr>
            <w:tcW w:w="697" w:type="pct"/>
            <w:gridSpan w:val="3"/>
            <w:tcBorders>
              <w:left w:val="single" w:sz="4" w:space="0" w:color="auto"/>
              <w:bottom w:val="single" w:sz="4" w:space="0" w:color="auto"/>
              <w:right w:val="single" w:sz="4" w:space="0" w:color="auto"/>
            </w:tcBorders>
            <w:shd w:val="clear" w:color="auto" w:fill="auto"/>
          </w:tcPr>
          <w:p w14:paraId="364EF074" w14:textId="66DACD17" w:rsidR="005F6FEB" w:rsidRPr="00F92E56" w:rsidRDefault="005F6FEB" w:rsidP="00C76B7E">
            <w:pPr>
              <w:pStyle w:val="TableText0"/>
              <w:keepLines/>
              <w:jc w:val="center"/>
            </w:pPr>
            <w:r w:rsidRPr="00F92E56">
              <w:t>17.6 months</w:t>
            </w:r>
          </w:p>
        </w:tc>
        <w:tc>
          <w:tcPr>
            <w:tcW w:w="841" w:type="pct"/>
            <w:vMerge/>
            <w:tcBorders>
              <w:left w:val="single" w:sz="4" w:space="0" w:color="auto"/>
            </w:tcBorders>
            <w:shd w:val="clear" w:color="auto" w:fill="auto"/>
            <w:vAlign w:val="center"/>
          </w:tcPr>
          <w:p w14:paraId="0D6B58CD" w14:textId="77777777" w:rsidR="005F6FEB" w:rsidRPr="00F92E56" w:rsidRDefault="005F6FEB" w:rsidP="00C76B7E">
            <w:pPr>
              <w:pStyle w:val="TableText0"/>
              <w:keepLines/>
              <w:jc w:val="center"/>
              <w:rPr>
                <w:szCs w:val="20"/>
              </w:rPr>
            </w:pPr>
          </w:p>
        </w:tc>
      </w:tr>
      <w:tr w:rsidR="005F6FEB" w:rsidRPr="00F92E56" w14:paraId="292BFB93" w14:textId="77777777" w:rsidTr="005D1A43">
        <w:trPr>
          <w:trHeight w:val="136"/>
        </w:trPr>
        <w:tc>
          <w:tcPr>
            <w:tcW w:w="1619" w:type="pct"/>
            <w:gridSpan w:val="3"/>
            <w:tcBorders>
              <w:top w:val="single" w:sz="4" w:space="0" w:color="auto"/>
              <w:right w:val="single" w:sz="4" w:space="0" w:color="auto"/>
            </w:tcBorders>
            <w:shd w:val="clear" w:color="auto" w:fill="auto"/>
          </w:tcPr>
          <w:p w14:paraId="5EBFBFF0" w14:textId="0A199809" w:rsidR="005F6FEB" w:rsidRPr="00F92E56" w:rsidRDefault="005F6FEB" w:rsidP="00C76B7E">
            <w:pPr>
              <w:pStyle w:val="TableText0"/>
              <w:keepLines/>
              <w:rPr>
                <w:vertAlign w:val="superscript"/>
              </w:rPr>
            </w:pPr>
            <w:r w:rsidRPr="00F92E56">
              <w:t>DFS rate at 6 months, % (95% CI)</w:t>
            </w:r>
            <w:r w:rsidRPr="00F92E56">
              <w:rPr>
                <w:vertAlign w:val="superscript"/>
              </w:rPr>
              <w:t>b</w:t>
            </w:r>
          </w:p>
        </w:tc>
        <w:tc>
          <w:tcPr>
            <w:tcW w:w="921" w:type="pct"/>
            <w:gridSpan w:val="2"/>
            <w:tcBorders>
              <w:top w:val="single" w:sz="4" w:space="0" w:color="auto"/>
              <w:left w:val="single" w:sz="4" w:space="0" w:color="auto"/>
              <w:right w:val="single" w:sz="4" w:space="0" w:color="auto"/>
            </w:tcBorders>
          </w:tcPr>
          <w:p w14:paraId="7D333B97" w14:textId="412DC7B1" w:rsidR="005F6FEB" w:rsidRPr="00F92E56" w:rsidRDefault="005F6FEB" w:rsidP="00C76B7E">
            <w:pPr>
              <w:pStyle w:val="TableText0"/>
              <w:keepLines/>
              <w:jc w:val="center"/>
            </w:pPr>
            <w:r w:rsidRPr="00F92E56">
              <w:t>78.2 (39.0, 50.7)</w:t>
            </w:r>
          </w:p>
        </w:tc>
        <w:tc>
          <w:tcPr>
            <w:tcW w:w="922" w:type="pct"/>
            <w:gridSpan w:val="2"/>
            <w:tcBorders>
              <w:top w:val="single" w:sz="4" w:space="0" w:color="auto"/>
              <w:left w:val="single" w:sz="4" w:space="0" w:color="auto"/>
              <w:right w:val="single" w:sz="4" w:space="0" w:color="auto"/>
            </w:tcBorders>
          </w:tcPr>
          <w:p w14:paraId="31821527" w14:textId="385586AA" w:rsidR="005F6FEB" w:rsidRPr="00F92E56" w:rsidRDefault="005F6FEB" w:rsidP="00C76B7E">
            <w:pPr>
              <w:pStyle w:val="TableText0"/>
              <w:keepLines/>
              <w:jc w:val="center"/>
            </w:pPr>
            <w:r w:rsidRPr="00F92E56">
              <w:t>53.9 (45.7, 61.3)</w:t>
            </w:r>
          </w:p>
        </w:tc>
        <w:tc>
          <w:tcPr>
            <w:tcW w:w="697" w:type="pct"/>
            <w:gridSpan w:val="3"/>
            <w:tcBorders>
              <w:top w:val="single" w:sz="4" w:space="0" w:color="auto"/>
              <w:left w:val="single" w:sz="4" w:space="0" w:color="auto"/>
              <w:right w:val="single" w:sz="4" w:space="0" w:color="auto"/>
            </w:tcBorders>
            <w:shd w:val="clear" w:color="auto" w:fill="auto"/>
          </w:tcPr>
          <w:p w14:paraId="66725866" w14:textId="3A50E998" w:rsidR="005F6FEB" w:rsidRPr="00F92E56" w:rsidRDefault="005F6FEB" w:rsidP="00C76B7E">
            <w:pPr>
              <w:pStyle w:val="TableText0"/>
              <w:keepLines/>
              <w:jc w:val="center"/>
            </w:pPr>
            <w:r w:rsidRPr="00F92E56">
              <w:t>24.3%</w:t>
            </w:r>
          </w:p>
        </w:tc>
        <w:tc>
          <w:tcPr>
            <w:tcW w:w="841" w:type="pct"/>
            <w:vMerge/>
            <w:tcBorders>
              <w:left w:val="single" w:sz="4" w:space="0" w:color="auto"/>
            </w:tcBorders>
            <w:shd w:val="clear" w:color="auto" w:fill="auto"/>
            <w:vAlign w:val="center"/>
          </w:tcPr>
          <w:p w14:paraId="4BB63C16" w14:textId="77777777" w:rsidR="005F6FEB" w:rsidRPr="00F92E56" w:rsidRDefault="005F6FEB" w:rsidP="00C76B7E">
            <w:pPr>
              <w:pStyle w:val="TableText0"/>
              <w:keepLines/>
              <w:jc w:val="center"/>
            </w:pPr>
          </w:p>
        </w:tc>
      </w:tr>
      <w:tr w:rsidR="00234FA0" w:rsidRPr="00F92E56" w14:paraId="011A5141" w14:textId="77777777" w:rsidTr="005D1A43">
        <w:trPr>
          <w:trHeight w:val="136"/>
        </w:trPr>
        <w:tc>
          <w:tcPr>
            <w:tcW w:w="1619" w:type="pct"/>
            <w:gridSpan w:val="3"/>
            <w:tcBorders>
              <w:top w:val="single" w:sz="4" w:space="0" w:color="auto"/>
              <w:right w:val="single" w:sz="4" w:space="0" w:color="auto"/>
            </w:tcBorders>
            <w:shd w:val="clear" w:color="auto" w:fill="auto"/>
            <w:vAlign w:val="center"/>
          </w:tcPr>
          <w:p w14:paraId="0946A58D" w14:textId="1CEFC309" w:rsidR="00234FA0" w:rsidRPr="00F92E56" w:rsidRDefault="00234FA0" w:rsidP="00C76B7E">
            <w:pPr>
              <w:pStyle w:val="TableText0"/>
              <w:keepLines/>
            </w:pPr>
            <w:r w:rsidRPr="00F92E56">
              <w:rPr>
                <w:rFonts w:eastAsiaTheme="minorHAnsi"/>
                <w:bCs w:val="0"/>
                <w:iCs/>
                <w:color w:val="000000" w:themeColor="text1"/>
                <w:szCs w:val="20"/>
              </w:rPr>
              <w:t xml:space="preserve">DFS rate at 12 months, % </w:t>
            </w:r>
            <w:r w:rsidRPr="00F92E56">
              <w:rPr>
                <w:iCs/>
              </w:rPr>
              <w:t>(95% CI)</w:t>
            </w:r>
            <w:r w:rsidRPr="00F92E56">
              <w:rPr>
                <w:iCs/>
                <w:vertAlign w:val="superscript"/>
              </w:rPr>
              <w:t>b,c</w:t>
            </w:r>
          </w:p>
        </w:tc>
        <w:tc>
          <w:tcPr>
            <w:tcW w:w="921" w:type="pct"/>
            <w:gridSpan w:val="2"/>
            <w:tcBorders>
              <w:top w:val="single" w:sz="4" w:space="0" w:color="auto"/>
              <w:left w:val="single" w:sz="4" w:space="0" w:color="auto"/>
              <w:right w:val="single" w:sz="4" w:space="0" w:color="auto"/>
            </w:tcBorders>
            <w:vAlign w:val="center"/>
          </w:tcPr>
          <w:p w14:paraId="7649BF7A" w14:textId="58743E2D" w:rsidR="00234FA0" w:rsidRPr="00F92E56" w:rsidRDefault="00234FA0" w:rsidP="00C76B7E">
            <w:pPr>
              <w:pStyle w:val="TableText0"/>
              <w:keepLines/>
              <w:jc w:val="center"/>
            </w:pPr>
            <w:r w:rsidRPr="00F92E56">
              <w:rPr>
                <w:iCs/>
              </w:rPr>
              <w:t>67.4 (59.2, 74.3)</w:t>
            </w:r>
          </w:p>
        </w:tc>
        <w:tc>
          <w:tcPr>
            <w:tcW w:w="922" w:type="pct"/>
            <w:gridSpan w:val="2"/>
            <w:tcBorders>
              <w:top w:val="single" w:sz="4" w:space="0" w:color="auto"/>
              <w:left w:val="single" w:sz="4" w:space="0" w:color="auto"/>
              <w:right w:val="single" w:sz="4" w:space="0" w:color="auto"/>
            </w:tcBorders>
            <w:vAlign w:val="center"/>
          </w:tcPr>
          <w:p w14:paraId="0643A070" w14:textId="7E822EE4" w:rsidR="00234FA0" w:rsidRPr="00F92E56" w:rsidRDefault="00234FA0" w:rsidP="00C76B7E">
            <w:pPr>
              <w:pStyle w:val="TableText0"/>
              <w:keepLines/>
              <w:jc w:val="center"/>
            </w:pPr>
            <w:r w:rsidRPr="00F92E56">
              <w:rPr>
                <w:iCs/>
              </w:rPr>
              <w:t>39.5 (31.8, 47.1)</w:t>
            </w:r>
          </w:p>
        </w:tc>
        <w:tc>
          <w:tcPr>
            <w:tcW w:w="697" w:type="pct"/>
            <w:gridSpan w:val="3"/>
            <w:tcBorders>
              <w:top w:val="single" w:sz="4" w:space="0" w:color="auto"/>
              <w:left w:val="single" w:sz="4" w:space="0" w:color="auto"/>
              <w:right w:val="single" w:sz="4" w:space="0" w:color="auto"/>
            </w:tcBorders>
            <w:shd w:val="clear" w:color="auto" w:fill="auto"/>
            <w:vAlign w:val="bottom"/>
          </w:tcPr>
          <w:p w14:paraId="6B6E9890" w14:textId="27C7678D" w:rsidR="00234FA0" w:rsidRPr="00F92E56" w:rsidRDefault="00234FA0" w:rsidP="00C76B7E">
            <w:pPr>
              <w:pStyle w:val="TableText0"/>
              <w:keepLines/>
              <w:jc w:val="center"/>
              <w:rPr>
                <w:iCs/>
                <w:vertAlign w:val="superscript"/>
              </w:rPr>
            </w:pPr>
            <w:r w:rsidRPr="00F92E56">
              <w:rPr>
                <w:iCs/>
              </w:rPr>
              <w:t>27.9%</w:t>
            </w:r>
            <w:r w:rsidR="00B7337D" w:rsidRPr="00F92E56">
              <w:rPr>
                <w:iCs/>
              </w:rPr>
              <w:t xml:space="preserve"> </w:t>
            </w:r>
            <w:r w:rsidRPr="00F92E56">
              <w:rPr>
                <w:iCs/>
                <w:vertAlign w:val="superscript"/>
              </w:rPr>
              <w:t>d</w:t>
            </w:r>
          </w:p>
        </w:tc>
        <w:tc>
          <w:tcPr>
            <w:tcW w:w="841" w:type="pct"/>
            <w:vMerge/>
            <w:tcBorders>
              <w:left w:val="single" w:sz="4" w:space="0" w:color="auto"/>
            </w:tcBorders>
            <w:shd w:val="clear" w:color="auto" w:fill="auto"/>
            <w:vAlign w:val="center"/>
          </w:tcPr>
          <w:p w14:paraId="0CDFCF24" w14:textId="77777777" w:rsidR="00234FA0" w:rsidRPr="00F92E56" w:rsidRDefault="00234FA0" w:rsidP="00C76B7E">
            <w:pPr>
              <w:pStyle w:val="TableText0"/>
              <w:keepLines/>
              <w:jc w:val="center"/>
            </w:pPr>
          </w:p>
        </w:tc>
      </w:tr>
      <w:tr w:rsidR="00234FA0" w:rsidRPr="00F92E56" w14:paraId="786537B4" w14:textId="77777777" w:rsidTr="005D1A43">
        <w:trPr>
          <w:trHeight w:val="136"/>
        </w:trPr>
        <w:tc>
          <w:tcPr>
            <w:tcW w:w="1619" w:type="pct"/>
            <w:gridSpan w:val="3"/>
            <w:tcBorders>
              <w:top w:val="single" w:sz="4" w:space="0" w:color="auto"/>
              <w:right w:val="single" w:sz="4" w:space="0" w:color="auto"/>
            </w:tcBorders>
            <w:shd w:val="clear" w:color="auto" w:fill="auto"/>
            <w:vAlign w:val="center"/>
          </w:tcPr>
          <w:p w14:paraId="58268F67" w14:textId="0CF8BA02" w:rsidR="00234FA0" w:rsidRPr="00F92E56" w:rsidRDefault="00234FA0" w:rsidP="00C76B7E">
            <w:pPr>
              <w:pStyle w:val="TableText0"/>
              <w:keepLines/>
            </w:pPr>
            <w:r w:rsidRPr="00F92E56">
              <w:rPr>
                <w:rFonts w:eastAsiaTheme="minorHAnsi"/>
                <w:bCs w:val="0"/>
                <w:iCs/>
                <w:color w:val="000000" w:themeColor="text1"/>
                <w:szCs w:val="20"/>
              </w:rPr>
              <w:t xml:space="preserve">DFS rate at 24 months, % </w:t>
            </w:r>
            <w:r w:rsidRPr="00F92E56">
              <w:rPr>
                <w:iCs/>
              </w:rPr>
              <w:t>(95% CI</w:t>
            </w:r>
            <w:r w:rsidRPr="00F92E56">
              <w:rPr>
                <w:iCs/>
                <w:vertAlign w:val="superscript"/>
              </w:rPr>
              <w:t xml:space="preserve"> b,c</w:t>
            </w:r>
          </w:p>
        </w:tc>
        <w:tc>
          <w:tcPr>
            <w:tcW w:w="921" w:type="pct"/>
            <w:gridSpan w:val="2"/>
            <w:tcBorders>
              <w:top w:val="single" w:sz="4" w:space="0" w:color="auto"/>
              <w:left w:val="single" w:sz="4" w:space="0" w:color="auto"/>
              <w:right w:val="single" w:sz="4" w:space="0" w:color="auto"/>
            </w:tcBorders>
            <w:vAlign w:val="center"/>
          </w:tcPr>
          <w:p w14:paraId="5A58459F" w14:textId="634DEC45" w:rsidR="00234FA0" w:rsidRPr="00F92E56" w:rsidRDefault="00234FA0" w:rsidP="00C76B7E">
            <w:pPr>
              <w:pStyle w:val="TableText0"/>
              <w:keepLines/>
              <w:jc w:val="center"/>
            </w:pPr>
            <w:r w:rsidRPr="00F92E56">
              <w:rPr>
                <w:iCs/>
              </w:rPr>
              <w:t>50.8 (42.5, 58.5)</w:t>
            </w:r>
          </w:p>
        </w:tc>
        <w:tc>
          <w:tcPr>
            <w:tcW w:w="922" w:type="pct"/>
            <w:gridSpan w:val="2"/>
            <w:tcBorders>
              <w:top w:val="single" w:sz="4" w:space="0" w:color="auto"/>
              <w:left w:val="single" w:sz="4" w:space="0" w:color="auto"/>
              <w:right w:val="single" w:sz="4" w:space="0" w:color="auto"/>
            </w:tcBorders>
            <w:vAlign w:val="center"/>
          </w:tcPr>
          <w:p w14:paraId="0773D17D" w14:textId="5C8454E1" w:rsidR="00234FA0" w:rsidRPr="00F92E56" w:rsidRDefault="00234FA0" w:rsidP="00C76B7E">
            <w:pPr>
              <w:pStyle w:val="TableText0"/>
              <w:keepLines/>
              <w:jc w:val="center"/>
            </w:pPr>
            <w:r w:rsidRPr="00F92E56">
              <w:rPr>
                <w:iCs/>
              </w:rPr>
              <w:t>33.5 (26.1, 41.0)</w:t>
            </w:r>
            <w:r w:rsidR="00785872" w:rsidRPr="00785872">
              <w:rPr>
                <w:iCs/>
              </w:rPr>
              <w:t xml:space="preserve"> </w:t>
            </w:r>
            <w:r w:rsidRPr="00F92E56">
              <w:rPr>
                <w:iCs/>
              </w:rPr>
              <w:t xml:space="preserve"> </w:t>
            </w:r>
          </w:p>
        </w:tc>
        <w:tc>
          <w:tcPr>
            <w:tcW w:w="697" w:type="pct"/>
            <w:gridSpan w:val="3"/>
            <w:tcBorders>
              <w:top w:val="single" w:sz="4" w:space="0" w:color="auto"/>
              <w:left w:val="single" w:sz="4" w:space="0" w:color="auto"/>
              <w:right w:val="single" w:sz="4" w:space="0" w:color="auto"/>
            </w:tcBorders>
            <w:shd w:val="clear" w:color="auto" w:fill="auto"/>
            <w:vAlign w:val="bottom"/>
          </w:tcPr>
          <w:p w14:paraId="01384B08" w14:textId="6C3D7F7D" w:rsidR="00234FA0" w:rsidRPr="00F92E56" w:rsidRDefault="00234FA0" w:rsidP="00C76B7E">
            <w:pPr>
              <w:pStyle w:val="TableText0"/>
              <w:keepLines/>
              <w:jc w:val="center"/>
              <w:rPr>
                <w:iCs/>
              </w:rPr>
            </w:pPr>
            <w:r w:rsidRPr="00F92E56">
              <w:rPr>
                <w:iCs/>
              </w:rPr>
              <w:t>17.3%</w:t>
            </w:r>
            <w:r w:rsidRPr="00F92E56">
              <w:rPr>
                <w:iCs/>
                <w:vertAlign w:val="superscript"/>
              </w:rPr>
              <w:t xml:space="preserve"> d</w:t>
            </w:r>
          </w:p>
        </w:tc>
        <w:tc>
          <w:tcPr>
            <w:tcW w:w="841" w:type="pct"/>
            <w:vMerge/>
            <w:tcBorders>
              <w:left w:val="single" w:sz="4" w:space="0" w:color="auto"/>
            </w:tcBorders>
            <w:shd w:val="clear" w:color="auto" w:fill="auto"/>
            <w:vAlign w:val="center"/>
          </w:tcPr>
          <w:p w14:paraId="67A3223C" w14:textId="77777777" w:rsidR="00234FA0" w:rsidRPr="00F92E56" w:rsidRDefault="00234FA0" w:rsidP="00C76B7E">
            <w:pPr>
              <w:pStyle w:val="TableText0"/>
              <w:keepLines/>
              <w:jc w:val="center"/>
            </w:pPr>
          </w:p>
        </w:tc>
      </w:tr>
      <w:tr w:rsidR="00234FA0" w:rsidRPr="00F92E56" w14:paraId="28783F6A" w14:textId="77777777" w:rsidTr="005D1A43">
        <w:trPr>
          <w:trHeight w:val="136"/>
        </w:trPr>
        <w:tc>
          <w:tcPr>
            <w:tcW w:w="1619" w:type="pct"/>
            <w:gridSpan w:val="3"/>
            <w:tcBorders>
              <w:top w:val="single" w:sz="4" w:space="0" w:color="auto"/>
              <w:right w:val="single" w:sz="4" w:space="0" w:color="auto"/>
            </w:tcBorders>
            <w:shd w:val="clear" w:color="auto" w:fill="auto"/>
            <w:vAlign w:val="center"/>
          </w:tcPr>
          <w:p w14:paraId="0EA9AD71" w14:textId="03942664" w:rsidR="00234FA0" w:rsidRPr="00F92E56" w:rsidRDefault="00234FA0" w:rsidP="00C76B7E">
            <w:pPr>
              <w:pStyle w:val="TableText0"/>
              <w:keepLines/>
            </w:pPr>
            <w:r w:rsidRPr="00F92E56">
              <w:rPr>
                <w:rFonts w:eastAsiaTheme="minorHAnsi"/>
                <w:bCs w:val="0"/>
                <w:iCs/>
                <w:color w:val="000000" w:themeColor="text1"/>
                <w:szCs w:val="20"/>
              </w:rPr>
              <w:t xml:space="preserve">DFS rate at 30 months, % </w:t>
            </w:r>
            <w:r w:rsidRPr="00F92E56">
              <w:rPr>
                <w:iCs/>
              </w:rPr>
              <w:t>(95% CI)</w:t>
            </w:r>
            <w:r w:rsidRPr="00F92E56">
              <w:rPr>
                <w:iCs/>
                <w:vertAlign w:val="superscript"/>
              </w:rPr>
              <w:t>b,c</w:t>
            </w:r>
          </w:p>
        </w:tc>
        <w:tc>
          <w:tcPr>
            <w:tcW w:w="921" w:type="pct"/>
            <w:gridSpan w:val="2"/>
            <w:tcBorders>
              <w:top w:val="single" w:sz="4" w:space="0" w:color="auto"/>
              <w:left w:val="single" w:sz="4" w:space="0" w:color="auto"/>
              <w:right w:val="single" w:sz="4" w:space="0" w:color="auto"/>
            </w:tcBorders>
          </w:tcPr>
          <w:p w14:paraId="1E6F6E6B" w14:textId="775A0F9F" w:rsidR="00234FA0" w:rsidRPr="00F92E56" w:rsidRDefault="00234FA0" w:rsidP="00C76B7E">
            <w:pPr>
              <w:pStyle w:val="TableText0"/>
              <w:keepLines/>
              <w:jc w:val="center"/>
            </w:pPr>
            <w:r w:rsidRPr="00F92E56">
              <w:rPr>
                <w:iCs/>
              </w:rPr>
              <w:t>49.4 (41.1, 57.2)</w:t>
            </w:r>
          </w:p>
        </w:tc>
        <w:tc>
          <w:tcPr>
            <w:tcW w:w="922" w:type="pct"/>
            <w:gridSpan w:val="2"/>
            <w:tcBorders>
              <w:top w:val="single" w:sz="4" w:space="0" w:color="auto"/>
              <w:left w:val="single" w:sz="4" w:space="0" w:color="auto"/>
              <w:right w:val="single" w:sz="4" w:space="0" w:color="auto"/>
            </w:tcBorders>
          </w:tcPr>
          <w:p w14:paraId="33EBB259" w14:textId="55164910" w:rsidR="00234FA0" w:rsidRPr="00F92E56" w:rsidRDefault="00234FA0" w:rsidP="00C76B7E">
            <w:pPr>
              <w:pStyle w:val="TableText0"/>
              <w:keepLines/>
              <w:jc w:val="center"/>
            </w:pPr>
            <w:r w:rsidRPr="00F92E56">
              <w:rPr>
                <w:iCs/>
              </w:rPr>
              <w:t>30.6 (23.4, 38.0)</w:t>
            </w:r>
          </w:p>
        </w:tc>
        <w:tc>
          <w:tcPr>
            <w:tcW w:w="697" w:type="pct"/>
            <w:gridSpan w:val="3"/>
            <w:tcBorders>
              <w:top w:val="single" w:sz="4" w:space="0" w:color="auto"/>
              <w:left w:val="single" w:sz="4" w:space="0" w:color="auto"/>
              <w:right w:val="single" w:sz="4" w:space="0" w:color="auto"/>
            </w:tcBorders>
            <w:shd w:val="clear" w:color="auto" w:fill="auto"/>
            <w:vAlign w:val="bottom"/>
          </w:tcPr>
          <w:p w14:paraId="7425D200" w14:textId="2D72604B" w:rsidR="00234FA0" w:rsidRPr="00F92E56" w:rsidRDefault="00234FA0" w:rsidP="00C76B7E">
            <w:pPr>
              <w:pStyle w:val="TableText0"/>
              <w:keepLines/>
              <w:jc w:val="center"/>
              <w:rPr>
                <w:iCs/>
              </w:rPr>
            </w:pPr>
            <w:r w:rsidRPr="00F92E56">
              <w:rPr>
                <w:iCs/>
              </w:rPr>
              <w:t>18.8%</w:t>
            </w:r>
            <w:r w:rsidRPr="00F92E56">
              <w:rPr>
                <w:iCs/>
                <w:vertAlign w:val="superscript"/>
              </w:rPr>
              <w:t xml:space="preserve"> d</w:t>
            </w:r>
          </w:p>
        </w:tc>
        <w:tc>
          <w:tcPr>
            <w:tcW w:w="841" w:type="pct"/>
            <w:vMerge/>
            <w:tcBorders>
              <w:left w:val="single" w:sz="4" w:space="0" w:color="auto"/>
            </w:tcBorders>
            <w:shd w:val="clear" w:color="auto" w:fill="auto"/>
            <w:vAlign w:val="center"/>
          </w:tcPr>
          <w:p w14:paraId="69F649C0" w14:textId="77777777" w:rsidR="00234FA0" w:rsidRPr="00F92E56" w:rsidRDefault="00234FA0" w:rsidP="00C76B7E">
            <w:pPr>
              <w:pStyle w:val="TableText0"/>
              <w:keepLines/>
              <w:jc w:val="center"/>
            </w:pPr>
          </w:p>
        </w:tc>
      </w:tr>
      <w:tr w:rsidR="002E7D16" w:rsidRPr="00F92E56" w14:paraId="318C73E6" w14:textId="77777777" w:rsidTr="005D1A43">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14:paraId="175EF93E" w14:textId="703C8255" w:rsidR="002E7D16" w:rsidRPr="00F92E56" w:rsidRDefault="006C69A2" w:rsidP="00C76B7E">
            <w:pPr>
              <w:pStyle w:val="Tableheadingrow"/>
              <w:keepLines/>
              <w:rPr>
                <w:lang w:val="en-AU"/>
              </w:rPr>
            </w:pPr>
            <w:r w:rsidRPr="00F92E56">
              <w:rPr>
                <w:lang w:val="en-AU"/>
              </w:rPr>
              <w:t>DMFS</w:t>
            </w:r>
            <w:r w:rsidR="00014C06" w:rsidRPr="00F92E56">
              <w:rPr>
                <w:lang w:val="en-AU"/>
              </w:rPr>
              <w:t xml:space="preserve"> (exploratory outcome)</w:t>
            </w:r>
          </w:p>
        </w:tc>
      </w:tr>
      <w:tr w:rsidR="008F7103" w:rsidRPr="00F92E56" w14:paraId="1E5CD18A" w14:textId="77777777" w:rsidTr="005D1A43">
        <w:tc>
          <w:tcPr>
            <w:tcW w:w="1619" w:type="pct"/>
            <w:gridSpan w:val="3"/>
            <w:tcBorders>
              <w:top w:val="single" w:sz="4" w:space="0" w:color="auto"/>
              <w:left w:val="single" w:sz="4" w:space="0" w:color="auto"/>
              <w:bottom w:val="single" w:sz="4" w:space="0" w:color="auto"/>
              <w:right w:val="single" w:sz="4" w:space="0" w:color="auto"/>
            </w:tcBorders>
            <w:shd w:val="clear" w:color="auto" w:fill="auto"/>
          </w:tcPr>
          <w:p w14:paraId="7447171E" w14:textId="2FED24A9" w:rsidR="008F7103" w:rsidRPr="00F92E56" w:rsidRDefault="008F7103" w:rsidP="00C76B7E">
            <w:pPr>
              <w:pStyle w:val="TableText0"/>
              <w:keepLines/>
            </w:pPr>
            <w:r w:rsidRPr="00F92E56">
              <w:t xml:space="preserve">Distant recurrence or death, n (%) </w:t>
            </w:r>
          </w:p>
        </w:tc>
        <w:tc>
          <w:tcPr>
            <w:tcW w:w="921" w:type="pct"/>
            <w:gridSpan w:val="2"/>
            <w:tcBorders>
              <w:top w:val="single" w:sz="4" w:space="0" w:color="auto"/>
              <w:left w:val="single" w:sz="4" w:space="0" w:color="auto"/>
              <w:bottom w:val="single" w:sz="4" w:space="0" w:color="auto"/>
              <w:right w:val="single" w:sz="4" w:space="0" w:color="auto"/>
            </w:tcBorders>
          </w:tcPr>
          <w:p w14:paraId="664ECE8F" w14:textId="7745C6AC" w:rsidR="008F7103" w:rsidRPr="00F92E56" w:rsidRDefault="008F7103" w:rsidP="00C76B7E">
            <w:pPr>
              <w:pStyle w:val="TableText0"/>
              <w:keepLines/>
              <w:jc w:val="center"/>
            </w:pPr>
            <w:r w:rsidRPr="00F92E56">
              <w:t>69 (44.2)</w:t>
            </w:r>
          </w:p>
        </w:tc>
        <w:tc>
          <w:tcPr>
            <w:tcW w:w="922" w:type="pct"/>
            <w:gridSpan w:val="2"/>
            <w:tcBorders>
              <w:top w:val="single" w:sz="4" w:space="0" w:color="auto"/>
              <w:left w:val="single" w:sz="4" w:space="0" w:color="auto"/>
              <w:bottom w:val="single" w:sz="4" w:space="0" w:color="auto"/>
              <w:right w:val="single" w:sz="4" w:space="0" w:color="auto"/>
            </w:tcBorders>
          </w:tcPr>
          <w:p w14:paraId="78573D1B" w14:textId="1C3B99D3" w:rsidR="008F7103" w:rsidRPr="00F92E56" w:rsidRDefault="008F7103" w:rsidP="00C76B7E">
            <w:pPr>
              <w:pStyle w:val="TableText0"/>
              <w:keepLines/>
              <w:jc w:val="center"/>
            </w:pPr>
            <w:r w:rsidRPr="00F92E56">
              <w:t>85 (53.8)</w:t>
            </w:r>
          </w:p>
        </w:tc>
        <w:tc>
          <w:tcPr>
            <w:tcW w:w="697" w:type="pct"/>
            <w:gridSpan w:val="3"/>
            <w:tcBorders>
              <w:top w:val="single" w:sz="4" w:space="0" w:color="auto"/>
              <w:left w:val="single" w:sz="4" w:space="0" w:color="auto"/>
              <w:bottom w:val="single" w:sz="4" w:space="0" w:color="auto"/>
              <w:right w:val="single" w:sz="4" w:space="0" w:color="auto"/>
            </w:tcBorders>
            <w:shd w:val="clear" w:color="auto" w:fill="auto"/>
          </w:tcPr>
          <w:p w14:paraId="45D029FF" w14:textId="77777777" w:rsidR="008F7103" w:rsidRPr="00F92E56" w:rsidRDefault="008F7103" w:rsidP="00C76B7E">
            <w:pPr>
              <w:pStyle w:val="TableText0"/>
              <w:keepLines/>
              <w:jc w:val="center"/>
            </w:pPr>
          </w:p>
        </w:tc>
        <w:tc>
          <w:tcPr>
            <w:tcW w:w="841" w:type="pct"/>
            <w:vMerge w:val="restart"/>
            <w:tcBorders>
              <w:top w:val="single" w:sz="4" w:space="0" w:color="auto"/>
              <w:left w:val="single" w:sz="4" w:space="0" w:color="auto"/>
              <w:right w:val="single" w:sz="4" w:space="0" w:color="auto"/>
            </w:tcBorders>
            <w:shd w:val="clear" w:color="auto" w:fill="auto"/>
            <w:vAlign w:val="center"/>
          </w:tcPr>
          <w:p w14:paraId="4555B0CE" w14:textId="452B3E98" w:rsidR="008F7103" w:rsidRPr="00F92E56" w:rsidRDefault="008F7103" w:rsidP="00C76B7E">
            <w:pPr>
              <w:pStyle w:val="TableText0"/>
              <w:keepLines/>
              <w:jc w:val="center"/>
              <w:rPr>
                <w:szCs w:val="20"/>
              </w:rPr>
            </w:pPr>
            <w:r w:rsidRPr="00F92E56">
              <w:rPr>
                <w:szCs w:val="20"/>
              </w:rPr>
              <w:t>0.62</w:t>
            </w:r>
          </w:p>
          <w:p w14:paraId="00281FE9" w14:textId="6779091A" w:rsidR="008F7103" w:rsidRPr="00F92E56" w:rsidRDefault="008F7103" w:rsidP="00C76B7E">
            <w:pPr>
              <w:pStyle w:val="TableText0"/>
              <w:keepLines/>
              <w:jc w:val="center"/>
              <w:rPr>
                <w:szCs w:val="20"/>
              </w:rPr>
            </w:pPr>
            <w:r w:rsidRPr="00F92E56">
              <w:rPr>
                <w:szCs w:val="20"/>
              </w:rPr>
              <w:t>(0.45, 0.85)</w:t>
            </w:r>
          </w:p>
        </w:tc>
      </w:tr>
      <w:tr w:rsidR="008F7103" w:rsidRPr="00F92E56" w14:paraId="3AAE9AFE" w14:textId="77777777" w:rsidTr="005D1A43">
        <w:tc>
          <w:tcPr>
            <w:tcW w:w="1619" w:type="pct"/>
            <w:gridSpan w:val="3"/>
            <w:tcBorders>
              <w:top w:val="single" w:sz="4" w:space="0" w:color="auto"/>
              <w:left w:val="single" w:sz="4" w:space="0" w:color="auto"/>
              <w:bottom w:val="single" w:sz="4" w:space="0" w:color="auto"/>
              <w:right w:val="single" w:sz="4" w:space="0" w:color="auto"/>
            </w:tcBorders>
            <w:shd w:val="clear" w:color="auto" w:fill="auto"/>
          </w:tcPr>
          <w:p w14:paraId="69DF4ED5" w14:textId="075A4686" w:rsidR="008F7103" w:rsidRPr="00F92E56" w:rsidRDefault="008F7103" w:rsidP="00C76B7E">
            <w:pPr>
              <w:pStyle w:val="TableText0"/>
              <w:keepLines/>
            </w:pPr>
            <w:r w:rsidRPr="00F92E56">
              <w:t>Median DMFS, months (95% CI)</w:t>
            </w:r>
          </w:p>
        </w:tc>
        <w:tc>
          <w:tcPr>
            <w:tcW w:w="921" w:type="pct"/>
            <w:gridSpan w:val="2"/>
            <w:tcBorders>
              <w:top w:val="single" w:sz="4" w:space="0" w:color="auto"/>
              <w:left w:val="single" w:sz="4" w:space="0" w:color="auto"/>
              <w:bottom w:val="single" w:sz="4" w:space="0" w:color="auto"/>
              <w:right w:val="single" w:sz="4" w:space="0" w:color="auto"/>
            </w:tcBorders>
          </w:tcPr>
          <w:p w14:paraId="36E03658" w14:textId="7A3F877F" w:rsidR="008F7103" w:rsidRPr="00F92E56" w:rsidRDefault="008F7103" w:rsidP="00C76B7E">
            <w:pPr>
              <w:pStyle w:val="TableText0"/>
              <w:keepLines/>
              <w:jc w:val="center"/>
              <w:rPr>
                <w:rFonts w:cs="Times New Roman"/>
                <w:szCs w:val="20"/>
              </w:rPr>
            </w:pPr>
            <w:r w:rsidRPr="00F92E56">
              <w:t>48.2 (21.9, NE)</w:t>
            </w:r>
          </w:p>
        </w:tc>
        <w:tc>
          <w:tcPr>
            <w:tcW w:w="922" w:type="pct"/>
            <w:gridSpan w:val="2"/>
            <w:tcBorders>
              <w:top w:val="single" w:sz="4" w:space="0" w:color="auto"/>
              <w:left w:val="single" w:sz="4" w:space="0" w:color="auto"/>
              <w:bottom w:val="single" w:sz="4" w:space="0" w:color="auto"/>
              <w:right w:val="single" w:sz="4" w:space="0" w:color="auto"/>
            </w:tcBorders>
          </w:tcPr>
          <w:p w14:paraId="52919633" w14:textId="723E0EC4" w:rsidR="008F7103" w:rsidRPr="00F92E56" w:rsidRDefault="008F7103" w:rsidP="00C76B7E">
            <w:pPr>
              <w:pStyle w:val="TableText0"/>
              <w:keepLines/>
              <w:jc w:val="center"/>
              <w:rPr>
                <w:rFonts w:cs="Times New Roman"/>
                <w:szCs w:val="20"/>
              </w:rPr>
            </w:pPr>
            <w:r w:rsidRPr="00F92E56">
              <w:t>15.2 (8.3, 47.8)</w:t>
            </w:r>
          </w:p>
        </w:tc>
        <w:tc>
          <w:tcPr>
            <w:tcW w:w="697" w:type="pct"/>
            <w:gridSpan w:val="3"/>
            <w:tcBorders>
              <w:top w:val="single" w:sz="4" w:space="0" w:color="auto"/>
              <w:left w:val="single" w:sz="4" w:space="0" w:color="auto"/>
              <w:bottom w:val="single" w:sz="4" w:space="0" w:color="auto"/>
              <w:right w:val="single" w:sz="4" w:space="0" w:color="auto"/>
            </w:tcBorders>
            <w:shd w:val="clear" w:color="auto" w:fill="auto"/>
          </w:tcPr>
          <w:p w14:paraId="363C0043" w14:textId="5E571235" w:rsidR="008F7103" w:rsidRPr="00F92E56" w:rsidRDefault="008F7103" w:rsidP="00C76B7E">
            <w:pPr>
              <w:pStyle w:val="TableText0"/>
              <w:keepLines/>
              <w:jc w:val="center"/>
            </w:pPr>
            <w:r w:rsidRPr="00F92E56">
              <w:t>33.0 months</w:t>
            </w:r>
          </w:p>
        </w:tc>
        <w:tc>
          <w:tcPr>
            <w:tcW w:w="841" w:type="pct"/>
            <w:vMerge/>
            <w:tcBorders>
              <w:left w:val="single" w:sz="4" w:space="0" w:color="auto"/>
              <w:right w:val="single" w:sz="4" w:space="0" w:color="auto"/>
            </w:tcBorders>
            <w:shd w:val="clear" w:color="auto" w:fill="auto"/>
          </w:tcPr>
          <w:p w14:paraId="36E2ED19" w14:textId="77777777" w:rsidR="008F7103" w:rsidRPr="00F92E56" w:rsidRDefault="008F7103" w:rsidP="00C76B7E">
            <w:pPr>
              <w:pStyle w:val="TableText0"/>
              <w:keepLines/>
              <w:jc w:val="center"/>
              <w:rPr>
                <w:szCs w:val="20"/>
              </w:rPr>
            </w:pPr>
          </w:p>
        </w:tc>
      </w:tr>
      <w:tr w:rsidR="008F7103" w:rsidRPr="00F92E56" w14:paraId="14CD4CD0" w14:textId="77777777" w:rsidTr="005D1A43">
        <w:tc>
          <w:tcPr>
            <w:tcW w:w="1619" w:type="pct"/>
            <w:gridSpan w:val="3"/>
            <w:tcBorders>
              <w:top w:val="single" w:sz="4" w:space="0" w:color="auto"/>
              <w:left w:val="single" w:sz="4" w:space="0" w:color="auto"/>
              <w:bottom w:val="single" w:sz="4" w:space="0" w:color="auto"/>
              <w:right w:val="single" w:sz="4" w:space="0" w:color="auto"/>
            </w:tcBorders>
            <w:shd w:val="clear" w:color="auto" w:fill="auto"/>
          </w:tcPr>
          <w:p w14:paraId="577CE3FB" w14:textId="12EA48B8" w:rsidR="008F7103" w:rsidRPr="00F92E56" w:rsidRDefault="008F7103" w:rsidP="00C76B7E">
            <w:pPr>
              <w:pStyle w:val="TableText0"/>
              <w:keepLines/>
            </w:pPr>
            <w:r w:rsidRPr="00F92E56">
              <w:t>DMFS rate at 6 months,% (95% CI)</w:t>
            </w:r>
            <w:r w:rsidRPr="00F92E56">
              <w:rPr>
                <w:vertAlign w:val="superscript"/>
              </w:rPr>
              <w:t>b</w:t>
            </w:r>
            <w:r w:rsidRPr="00F92E56">
              <w:t xml:space="preserve"> </w:t>
            </w:r>
          </w:p>
        </w:tc>
        <w:tc>
          <w:tcPr>
            <w:tcW w:w="921" w:type="pct"/>
            <w:gridSpan w:val="2"/>
          </w:tcPr>
          <w:p w14:paraId="6D42E8A0" w14:textId="6099912A" w:rsidR="008F7103" w:rsidRPr="00F92E56" w:rsidRDefault="008F7103" w:rsidP="00C76B7E">
            <w:pPr>
              <w:pStyle w:val="Tabletext"/>
              <w:keepNext/>
              <w:keepLines/>
              <w:jc w:val="center"/>
            </w:pPr>
            <w:r w:rsidRPr="00F92E56">
              <w:t>83.0 (75.9, 88.2)</w:t>
            </w:r>
          </w:p>
        </w:tc>
        <w:tc>
          <w:tcPr>
            <w:tcW w:w="922" w:type="pct"/>
            <w:gridSpan w:val="2"/>
          </w:tcPr>
          <w:p w14:paraId="3AE3372A" w14:textId="2FE39D9A" w:rsidR="008F7103" w:rsidRPr="00F92E56" w:rsidRDefault="008F7103" w:rsidP="00C76B7E">
            <w:pPr>
              <w:pStyle w:val="Tabletext"/>
              <w:keepNext/>
              <w:keepLines/>
              <w:jc w:val="center"/>
            </w:pPr>
            <w:r w:rsidRPr="00F92E56">
              <w:t>63.7 (55.4, 70.8)</w:t>
            </w:r>
          </w:p>
        </w:tc>
        <w:tc>
          <w:tcPr>
            <w:tcW w:w="697" w:type="pct"/>
            <w:gridSpan w:val="3"/>
            <w:tcBorders>
              <w:top w:val="single" w:sz="4" w:space="0" w:color="auto"/>
              <w:left w:val="single" w:sz="4" w:space="0" w:color="auto"/>
              <w:bottom w:val="single" w:sz="4" w:space="0" w:color="auto"/>
              <w:right w:val="single" w:sz="4" w:space="0" w:color="auto"/>
            </w:tcBorders>
            <w:shd w:val="clear" w:color="auto" w:fill="auto"/>
          </w:tcPr>
          <w:p w14:paraId="39C8159C" w14:textId="6141E3D2" w:rsidR="008F7103" w:rsidRPr="00F92E56" w:rsidRDefault="008F7103" w:rsidP="00C76B7E">
            <w:pPr>
              <w:pStyle w:val="TableText0"/>
              <w:keepLines/>
              <w:jc w:val="center"/>
            </w:pPr>
            <w:r w:rsidRPr="00F92E56">
              <w:t>19.3%</w:t>
            </w:r>
          </w:p>
        </w:tc>
        <w:tc>
          <w:tcPr>
            <w:tcW w:w="841" w:type="pct"/>
            <w:vMerge/>
            <w:tcBorders>
              <w:left w:val="single" w:sz="4" w:space="0" w:color="auto"/>
              <w:right w:val="single" w:sz="4" w:space="0" w:color="auto"/>
            </w:tcBorders>
            <w:shd w:val="clear" w:color="auto" w:fill="auto"/>
          </w:tcPr>
          <w:p w14:paraId="4BF1C2DC" w14:textId="77777777" w:rsidR="008F7103" w:rsidRPr="00F92E56" w:rsidRDefault="008F7103" w:rsidP="00C76B7E">
            <w:pPr>
              <w:pStyle w:val="TableText0"/>
              <w:keepLines/>
              <w:jc w:val="center"/>
            </w:pPr>
          </w:p>
        </w:tc>
      </w:tr>
      <w:tr w:rsidR="008F7103" w:rsidRPr="00F92E56" w14:paraId="58535302" w14:textId="77777777" w:rsidTr="005D1A43">
        <w:tc>
          <w:tcPr>
            <w:tcW w:w="16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AC8A14" w14:textId="64326198" w:rsidR="008F7103" w:rsidRPr="00F92E56" w:rsidRDefault="008F7103" w:rsidP="00C76B7E">
            <w:pPr>
              <w:pStyle w:val="TableText0"/>
              <w:keepLines/>
            </w:pPr>
            <w:r w:rsidRPr="00F92E56">
              <w:rPr>
                <w:rFonts w:eastAsiaTheme="minorHAnsi"/>
                <w:bCs w:val="0"/>
                <w:iCs/>
                <w:color w:val="000000" w:themeColor="text1"/>
                <w:szCs w:val="20"/>
              </w:rPr>
              <w:t xml:space="preserve">DMFS rate at 12 months, % </w:t>
            </w:r>
            <w:r w:rsidRPr="00F92E56">
              <w:rPr>
                <w:iCs/>
              </w:rPr>
              <w:t>(95% CI)</w:t>
            </w:r>
            <w:r w:rsidRPr="00F92E56">
              <w:rPr>
                <w:iCs/>
                <w:vertAlign w:val="superscript"/>
              </w:rPr>
              <w:t>b,c</w:t>
            </w:r>
          </w:p>
        </w:tc>
        <w:tc>
          <w:tcPr>
            <w:tcW w:w="921" w:type="pct"/>
            <w:gridSpan w:val="2"/>
          </w:tcPr>
          <w:p w14:paraId="0139DC77" w14:textId="6A6F30D3" w:rsidR="008F7103" w:rsidRPr="00F92E56" w:rsidRDefault="008F7103" w:rsidP="00C76B7E">
            <w:pPr>
              <w:pStyle w:val="Tabletext"/>
              <w:keepNext/>
              <w:keepLines/>
              <w:jc w:val="center"/>
            </w:pPr>
            <w:r w:rsidRPr="00F92E56">
              <w:rPr>
                <w:rFonts w:eastAsiaTheme="minorHAnsi"/>
                <w:iCs/>
                <w:color w:val="000000" w:themeColor="text1"/>
                <w:szCs w:val="20"/>
              </w:rPr>
              <w:t>74.4 (66.4, 80.7)</w:t>
            </w:r>
          </w:p>
        </w:tc>
        <w:tc>
          <w:tcPr>
            <w:tcW w:w="922" w:type="pct"/>
            <w:gridSpan w:val="2"/>
          </w:tcPr>
          <w:p w14:paraId="23CB6160" w14:textId="65D9C7CF" w:rsidR="008F7103" w:rsidRPr="00F92E56" w:rsidRDefault="008F7103" w:rsidP="00C76B7E">
            <w:pPr>
              <w:pStyle w:val="Tabletext"/>
              <w:keepNext/>
              <w:keepLines/>
              <w:jc w:val="center"/>
            </w:pPr>
            <w:r w:rsidRPr="00F92E56">
              <w:rPr>
                <w:rFonts w:eastAsiaTheme="minorHAnsi"/>
                <w:iCs/>
                <w:color w:val="000000" w:themeColor="text1"/>
                <w:szCs w:val="20"/>
              </w:rPr>
              <w:t>52.1 (43.6, 60.0)</w:t>
            </w:r>
            <w:r w:rsidR="00785872" w:rsidRPr="00785872">
              <w:rPr>
                <w:rFonts w:eastAsiaTheme="minorHAnsi"/>
                <w:iCs/>
                <w:color w:val="000000" w:themeColor="text1"/>
                <w:szCs w:val="20"/>
              </w:rPr>
              <w:t xml:space="preserve"> </w:t>
            </w:r>
            <w:r w:rsidRPr="00F92E56">
              <w:rPr>
                <w:rFonts w:eastAsiaTheme="minorHAnsi"/>
                <w:iCs/>
                <w:color w:val="000000" w:themeColor="text1"/>
                <w:szCs w:val="20"/>
              </w:rPr>
              <w:t xml:space="preserve"> </w:t>
            </w:r>
          </w:p>
        </w:tc>
        <w:tc>
          <w:tcPr>
            <w:tcW w:w="69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6376CB" w14:textId="132B6D3B" w:rsidR="008F7103" w:rsidRPr="00F92E56" w:rsidRDefault="008F7103" w:rsidP="00C76B7E">
            <w:pPr>
              <w:pStyle w:val="TableText0"/>
              <w:keepLines/>
              <w:jc w:val="center"/>
              <w:rPr>
                <w:iCs/>
              </w:rPr>
            </w:pPr>
            <w:r w:rsidRPr="00F92E56">
              <w:rPr>
                <w:iCs/>
              </w:rPr>
              <w:t>22.3%</w:t>
            </w:r>
            <w:r w:rsidRPr="00F92E56">
              <w:rPr>
                <w:iCs/>
                <w:vertAlign w:val="superscript"/>
              </w:rPr>
              <w:t xml:space="preserve"> d</w:t>
            </w:r>
          </w:p>
        </w:tc>
        <w:tc>
          <w:tcPr>
            <w:tcW w:w="841" w:type="pct"/>
            <w:vMerge/>
            <w:tcBorders>
              <w:left w:val="single" w:sz="4" w:space="0" w:color="auto"/>
              <w:right w:val="single" w:sz="4" w:space="0" w:color="auto"/>
            </w:tcBorders>
            <w:shd w:val="clear" w:color="auto" w:fill="auto"/>
          </w:tcPr>
          <w:p w14:paraId="1ED123B3" w14:textId="77777777" w:rsidR="008F7103" w:rsidRPr="00F92E56" w:rsidRDefault="008F7103" w:rsidP="00C76B7E">
            <w:pPr>
              <w:pStyle w:val="TableText0"/>
              <w:keepLines/>
              <w:jc w:val="center"/>
            </w:pPr>
          </w:p>
        </w:tc>
      </w:tr>
      <w:tr w:rsidR="008F7103" w:rsidRPr="00F92E56" w14:paraId="0DA291A2" w14:textId="77777777" w:rsidTr="005D1A43">
        <w:tc>
          <w:tcPr>
            <w:tcW w:w="16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2ED5E8" w14:textId="061DF225" w:rsidR="008F7103" w:rsidRPr="00F92E56" w:rsidRDefault="008F7103" w:rsidP="00C76B7E">
            <w:pPr>
              <w:pStyle w:val="TableText0"/>
              <w:keepLines/>
            </w:pPr>
            <w:r w:rsidRPr="00F92E56">
              <w:rPr>
                <w:rFonts w:eastAsiaTheme="minorHAnsi"/>
                <w:bCs w:val="0"/>
                <w:iCs/>
                <w:color w:val="000000" w:themeColor="text1"/>
                <w:szCs w:val="20"/>
              </w:rPr>
              <w:t xml:space="preserve">DMFS rate at 24 months, % </w:t>
            </w:r>
            <w:r w:rsidRPr="00F92E56">
              <w:rPr>
                <w:iCs/>
              </w:rPr>
              <w:t>(95% CI</w:t>
            </w:r>
            <w:r w:rsidRPr="00F92E56">
              <w:rPr>
                <w:iCs/>
                <w:vertAlign w:val="superscript"/>
              </w:rPr>
              <w:t xml:space="preserve"> b,c</w:t>
            </w:r>
          </w:p>
        </w:tc>
        <w:tc>
          <w:tcPr>
            <w:tcW w:w="921" w:type="pct"/>
            <w:gridSpan w:val="2"/>
          </w:tcPr>
          <w:p w14:paraId="62D0F753" w14:textId="0EE79803" w:rsidR="008F7103" w:rsidRPr="00F92E56" w:rsidRDefault="008F7103" w:rsidP="00C76B7E">
            <w:pPr>
              <w:pStyle w:val="Tabletext"/>
              <w:keepNext/>
              <w:keepLines/>
              <w:jc w:val="center"/>
            </w:pPr>
            <w:r w:rsidRPr="00F92E56">
              <w:rPr>
                <w:rFonts w:eastAsiaTheme="minorHAnsi"/>
                <w:iCs/>
                <w:color w:val="000000" w:themeColor="text1"/>
                <w:szCs w:val="20"/>
              </w:rPr>
              <w:t>58.4 (49.7, 66.1)</w:t>
            </w:r>
          </w:p>
        </w:tc>
        <w:tc>
          <w:tcPr>
            <w:tcW w:w="922" w:type="pct"/>
            <w:gridSpan w:val="2"/>
          </w:tcPr>
          <w:p w14:paraId="05AD2763" w14:textId="36A46BEF" w:rsidR="008F7103" w:rsidRPr="00F92E56" w:rsidRDefault="008F7103" w:rsidP="00C76B7E">
            <w:pPr>
              <w:pStyle w:val="Tabletext"/>
              <w:keepNext/>
              <w:keepLines/>
              <w:jc w:val="center"/>
            </w:pPr>
            <w:r w:rsidRPr="00F92E56">
              <w:rPr>
                <w:rFonts w:eastAsiaTheme="minorHAnsi"/>
                <w:iCs/>
                <w:color w:val="000000" w:themeColor="text1"/>
                <w:szCs w:val="20"/>
              </w:rPr>
              <w:t>46.9 (38.3, 55.0)</w:t>
            </w:r>
            <w:r w:rsidR="00785872" w:rsidRPr="00785872">
              <w:rPr>
                <w:rFonts w:eastAsiaTheme="minorHAnsi"/>
                <w:iCs/>
                <w:color w:val="000000" w:themeColor="text1"/>
                <w:szCs w:val="20"/>
              </w:rPr>
              <w:t xml:space="preserve"> </w:t>
            </w:r>
            <w:r w:rsidRPr="00F92E56">
              <w:rPr>
                <w:rFonts w:eastAsiaTheme="minorHAnsi"/>
                <w:iCs/>
                <w:color w:val="000000" w:themeColor="text1"/>
                <w:szCs w:val="20"/>
              </w:rPr>
              <w:t xml:space="preserve"> </w:t>
            </w:r>
          </w:p>
        </w:tc>
        <w:tc>
          <w:tcPr>
            <w:tcW w:w="69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CCBA95" w14:textId="1757CD8E" w:rsidR="008F7103" w:rsidRPr="00F92E56" w:rsidRDefault="008F7103" w:rsidP="00C76B7E">
            <w:pPr>
              <w:pStyle w:val="TableText0"/>
              <w:keepLines/>
              <w:jc w:val="center"/>
              <w:rPr>
                <w:iCs/>
              </w:rPr>
            </w:pPr>
            <w:r w:rsidRPr="00F92E56">
              <w:rPr>
                <w:iCs/>
              </w:rPr>
              <w:t>11.5%</w:t>
            </w:r>
            <w:r w:rsidRPr="00F92E56">
              <w:rPr>
                <w:iCs/>
                <w:vertAlign w:val="superscript"/>
              </w:rPr>
              <w:t xml:space="preserve"> d</w:t>
            </w:r>
          </w:p>
        </w:tc>
        <w:tc>
          <w:tcPr>
            <w:tcW w:w="841" w:type="pct"/>
            <w:vMerge/>
            <w:tcBorders>
              <w:left w:val="single" w:sz="4" w:space="0" w:color="auto"/>
              <w:right w:val="single" w:sz="4" w:space="0" w:color="auto"/>
            </w:tcBorders>
            <w:shd w:val="clear" w:color="auto" w:fill="auto"/>
          </w:tcPr>
          <w:p w14:paraId="6F1EDA1E" w14:textId="77777777" w:rsidR="008F7103" w:rsidRPr="00F92E56" w:rsidRDefault="008F7103" w:rsidP="00C76B7E">
            <w:pPr>
              <w:pStyle w:val="TableText0"/>
              <w:keepLines/>
              <w:jc w:val="center"/>
            </w:pPr>
          </w:p>
        </w:tc>
      </w:tr>
      <w:tr w:rsidR="008F7103" w:rsidRPr="00F92E56" w14:paraId="4099023E" w14:textId="77777777" w:rsidTr="005D1A43">
        <w:tc>
          <w:tcPr>
            <w:tcW w:w="16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9FED56" w14:textId="08AFDFF8" w:rsidR="008F7103" w:rsidRPr="00F92E56" w:rsidRDefault="008F7103" w:rsidP="00C76B7E">
            <w:pPr>
              <w:pStyle w:val="TableText0"/>
              <w:keepLines/>
            </w:pPr>
            <w:r w:rsidRPr="00F92E56">
              <w:rPr>
                <w:rFonts w:eastAsiaTheme="minorHAnsi"/>
                <w:bCs w:val="0"/>
                <w:iCs/>
                <w:color w:val="000000" w:themeColor="text1"/>
                <w:szCs w:val="20"/>
              </w:rPr>
              <w:t xml:space="preserve">DMFS rate at 30 months, % </w:t>
            </w:r>
            <w:r w:rsidRPr="00F92E56">
              <w:rPr>
                <w:iCs/>
              </w:rPr>
              <w:t>(95% CI)</w:t>
            </w:r>
            <w:r w:rsidRPr="00F92E56">
              <w:rPr>
                <w:iCs/>
                <w:vertAlign w:val="superscript"/>
              </w:rPr>
              <w:t>b,c</w:t>
            </w:r>
          </w:p>
        </w:tc>
        <w:tc>
          <w:tcPr>
            <w:tcW w:w="921" w:type="pct"/>
            <w:gridSpan w:val="2"/>
          </w:tcPr>
          <w:p w14:paraId="5D60CC6A" w14:textId="7CCC0D9E" w:rsidR="008F7103" w:rsidRPr="00F92E56" w:rsidRDefault="008F7103" w:rsidP="00C76B7E">
            <w:pPr>
              <w:pStyle w:val="Tabletext"/>
              <w:keepNext/>
              <w:keepLines/>
              <w:jc w:val="center"/>
            </w:pPr>
            <w:r w:rsidRPr="00F92E56">
              <w:rPr>
                <w:rFonts w:eastAsiaTheme="minorHAnsi"/>
                <w:iCs/>
                <w:color w:val="000000" w:themeColor="text1"/>
                <w:szCs w:val="20"/>
              </w:rPr>
              <w:t>56.1 (47.3, 63.9)</w:t>
            </w:r>
          </w:p>
        </w:tc>
        <w:tc>
          <w:tcPr>
            <w:tcW w:w="922" w:type="pct"/>
            <w:gridSpan w:val="2"/>
          </w:tcPr>
          <w:p w14:paraId="658EE5FB" w14:textId="3B3352AC" w:rsidR="008F7103" w:rsidRPr="00F92E56" w:rsidRDefault="008F7103" w:rsidP="00C76B7E">
            <w:pPr>
              <w:pStyle w:val="Tabletext"/>
              <w:keepNext/>
              <w:keepLines/>
              <w:jc w:val="center"/>
            </w:pPr>
            <w:r w:rsidRPr="00F92E56">
              <w:rPr>
                <w:rFonts w:eastAsiaTheme="minorHAnsi"/>
                <w:iCs/>
                <w:color w:val="000000" w:themeColor="text1"/>
                <w:szCs w:val="20"/>
              </w:rPr>
              <w:t>44.0 (35.3, 52.2)</w:t>
            </w:r>
          </w:p>
        </w:tc>
        <w:tc>
          <w:tcPr>
            <w:tcW w:w="69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19C878" w14:textId="1E84725C" w:rsidR="008F7103" w:rsidRPr="00F92E56" w:rsidRDefault="008F7103" w:rsidP="00C76B7E">
            <w:pPr>
              <w:pStyle w:val="TableText0"/>
              <w:keepLines/>
              <w:jc w:val="center"/>
              <w:rPr>
                <w:iCs/>
              </w:rPr>
            </w:pPr>
            <w:r w:rsidRPr="00F92E56">
              <w:rPr>
                <w:iCs/>
              </w:rPr>
              <w:t>12.1%</w:t>
            </w:r>
            <w:r w:rsidRPr="00F92E56">
              <w:rPr>
                <w:iCs/>
                <w:vertAlign w:val="superscript"/>
              </w:rPr>
              <w:t xml:space="preserve"> d</w:t>
            </w:r>
          </w:p>
        </w:tc>
        <w:tc>
          <w:tcPr>
            <w:tcW w:w="841" w:type="pct"/>
            <w:vMerge/>
            <w:tcBorders>
              <w:left w:val="single" w:sz="4" w:space="0" w:color="auto"/>
              <w:right w:val="single" w:sz="4" w:space="0" w:color="auto"/>
            </w:tcBorders>
            <w:shd w:val="clear" w:color="auto" w:fill="auto"/>
          </w:tcPr>
          <w:p w14:paraId="162C67DB" w14:textId="77777777" w:rsidR="008F7103" w:rsidRPr="00F92E56" w:rsidRDefault="008F7103" w:rsidP="00C76B7E">
            <w:pPr>
              <w:pStyle w:val="TableText0"/>
              <w:keepLines/>
              <w:jc w:val="center"/>
            </w:pPr>
          </w:p>
        </w:tc>
      </w:tr>
      <w:tr w:rsidR="002E7D16" w:rsidRPr="00F92E56" w14:paraId="194ACA74" w14:textId="77777777" w:rsidTr="005D1A43">
        <w:tc>
          <w:tcPr>
            <w:tcW w:w="5000" w:type="pct"/>
            <w:gridSpan w:val="11"/>
            <w:tcBorders>
              <w:top w:val="double" w:sz="4" w:space="0" w:color="auto"/>
              <w:left w:val="single" w:sz="4" w:space="0" w:color="auto"/>
              <w:bottom w:val="single" w:sz="4" w:space="0" w:color="auto"/>
              <w:right w:val="single" w:sz="4" w:space="0" w:color="auto"/>
            </w:tcBorders>
            <w:shd w:val="clear" w:color="auto" w:fill="auto"/>
          </w:tcPr>
          <w:p w14:paraId="230887B4" w14:textId="09453C9C" w:rsidR="002E7D16" w:rsidRPr="00F92E56" w:rsidRDefault="002E7D16" w:rsidP="00C76B7E">
            <w:pPr>
              <w:pStyle w:val="TableText0"/>
              <w:keepLines/>
              <w:rPr>
                <w:b/>
                <w:bCs w:val="0"/>
              </w:rPr>
            </w:pPr>
            <w:r w:rsidRPr="00F92E56">
              <w:rPr>
                <w:b/>
                <w:bCs w:val="0"/>
              </w:rPr>
              <w:t>Harms</w:t>
            </w:r>
            <w:r w:rsidR="00785872" w:rsidRPr="00785872">
              <w:t xml:space="preserve"> </w:t>
            </w:r>
            <w:r w:rsidRPr="00F92E56">
              <w:rPr>
                <w:b/>
                <w:bCs w:val="0"/>
              </w:rPr>
              <w:t>– Safety evaluable population</w:t>
            </w:r>
            <w:r w:rsidR="004D5B98" w:rsidRPr="00F92E56">
              <w:rPr>
                <w:b/>
                <w:bCs w:val="0"/>
              </w:rPr>
              <w:t xml:space="preserve"> (mean </w:t>
            </w:r>
            <w:r w:rsidR="001A2F16" w:rsidRPr="00F92E56">
              <w:rPr>
                <w:b/>
                <w:bCs w:val="0"/>
              </w:rPr>
              <w:t xml:space="preserve">duration of treatment: </w:t>
            </w:r>
            <w:r w:rsidR="00066B4F" w:rsidRPr="00F92E56">
              <w:rPr>
                <w:b/>
                <w:bCs w:val="0"/>
              </w:rPr>
              <w:t>n</w:t>
            </w:r>
            <w:r w:rsidR="00066B4F" w:rsidRPr="00F92E56">
              <w:rPr>
                <w:b/>
              </w:rPr>
              <w:t xml:space="preserve">ivolumab </w:t>
            </w:r>
            <w:r w:rsidR="004D5B98" w:rsidRPr="00F92E56">
              <w:rPr>
                <w:b/>
                <w:bCs w:val="0"/>
              </w:rPr>
              <w:t>8.2 months</w:t>
            </w:r>
            <w:r w:rsidR="00066B4F" w:rsidRPr="00F92E56">
              <w:rPr>
                <w:b/>
                <w:bCs w:val="0"/>
              </w:rPr>
              <w:t xml:space="preserve"> </w:t>
            </w:r>
            <w:r w:rsidR="00066B4F" w:rsidRPr="00F92E56">
              <w:rPr>
                <w:b/>
              </w:rPr>
              <w:t>(based on Q2W</w:t>
            </w:r>
            <w:r w:rsidR="001A2F16" w:rsidRPr="00F92E56">
              <w:rPr>
                <w:b/>
              </w:rPr>
              <w:t xml:space="preserve"> dosing regimen</w:t>
            </w:r>
            <w:r w:rsidR="00066B4F" w:rsidRPr="00F92E56">
              <w:rPr>
                <w:b/>
              </w:rPr>
              <w:t>)</w:t>
            </w:r>
            <w:r w:rsidR="004D5B98" w:rsidRPr="00F92E56">
              <w:rPr>
                <w:b/>
                <w:bCs w:val="0"/>
              </w:rPr>
              <w:t>)</w:t>
            </w:r>
          </w:p>
        </w:tc>
      </w:tr>
      <w:tr w:rsidR="001E1A6D" w:rsidRPr="00F92E56" w14:paraId="5B3C4CEE" w14:textId="77777777" w:rsidTr="005D1A43">
        <w:tc>
          <w:tcPr>
            <w:tcW w:w="919" w:type="pct"/>
            <w:vMerge w:val="restart"/>
            <w:tcBorders>
              <w:top w:val="single" w:sz="4" w:space="0" w:color="auto"/>
              <w:left w:val="single" w:sz="4" w:space="0" w:color="auto"/>
              <w:right w:val="single" w:sz="4" w:space="0" w:color="auto"/>
            </w:tcBorders>
            <w:shd w:val="clear" w:color="auto" w:fill="auto"/>
            <w:vAlign w:val="center"/>
          </w:tcPr>
          <w:p w14:paraId="6545713F" w14:textId="77777777" w:rsidR="002E7D16" w:rsidRPr="00F92E56" w:rsidRDefault="002E7D16" w:rsidP="00C76B7E">
            <w:pPr>
              <w:pStyle w:val="TableText0"/>
              <w:keepLines/>
              <w:rPr>
                <w:b/>
                <w:bCs w:val="0"/>
              </w:rPr>
            </w:pPr>
            <w:r w:rsidRPr="00F92E56">
              <w:rPr>
                <w:b/>
                <w:bCs w:val="0"/>
              </w:rPr>
              <w:t>Event</w:t>
            </w:r>
          </w:p>
        </w:tc>
        <w:tc>
          <w:tcPr>
            <w:tcW w:w="540" w:type="pct"/>
            <w:vMerge w:val="restart"/>
            <w:tcBorders>
              <w:top w:val="single" w:sz="4" w:space="0" w:color="auto"/>
              <w:left w:val="single" w:sz="4" w:space="0" w:color="auto"/>
              <w:right w:val="single" w:sz="4" w:space="0" w:color="auto"/>
            </w:tcBorders>
            <w:shd w:val="clear" w:color="auto" w:fill="auto"/>
          </w:tcPr>
          <w:p w14:paraId="34166510" w14:textId="77777777" w:rsidR="002E7D16" w:rsidRPr="00F92E56" w:rsidRDefault="002E7D16" w:rsidP="00C76B7E">
            <w:pPr>
              <w:pStyle w:val="TableText0"/>
              <w:keepLines/>
              <w:jc w:val="center"/>
              <w:rPr>
                <w:b/>
                <w:bCs w:val="0"/>
              </w:rPr>
            </w:pPr>
            <w:r w:rsidRPr="00F92E56">
              <w:rPr>
                <w:b/>
                <w:bCs w:val="0"/>
              </w:rPr>
              <w:t>Nivolumab</w:t>
            </w:r>
          </w:p>
          <w:p w14:paraId="5A2FF539" w14:textId="77777777" w:rsidR="002E7D16" w:rsidRPr="00F92E56" w:rsidRDefault="002E7D16" w:rsidP="00C76B7E">
            <w:pPr>
              <w:pStyle w:val="TableText0"/>
              <w:keepLines/>
              <w:jc w:val="center"/>
            </w:pPr>
            <w:r w:rsidRPr="00F92E56">
              <w:rPr>
                <w:b/>
                <w:bCs w:val="0"/>
              </w:rPr>
              <w:t>n/N</w:t>
            </w:r>
          </w:p>
        </w:tc>
        <w:tc>
          <w:tcPr>
            <w:tcW w:w="722" w:type="pct"/>
            <w:gridSpan w:val="2"/>
            <w:vMerge w:val="restart"/>
            <w:tcBorders>
              <w:top w:val="single" w:sz="4" w:space="0" w:color="auto"/>
              <w:left w:val="single" w:sz="4" w:space="0" w:color="auto"/>
              <w:right w:val="single" w:sz="4" w:space="0" w:color="auto"/>
            </w:tcBorders>
            <w:shd w:val="clear" w:color="auto" w:fill="auto"/>
          </w:tcPr>
          <w:p w14:paraId="7CDF6073" w14:textId="77777777" w:rsidR="002E7D16" w:rsidRPr="00F92E56" w:rsidRDefault="002E7D16" w:rsidP="00C76B7E">
            <w:pPr>
              <w:pStyle w:val="TableText0"/>
              <w:keepLines/>
              <w:jc w:val="center"/>
              <w:rPr>
                <w:b/>
                <w:bCs w:val="0"/>
              </w:rPr>
            </w:pPr>
            <w:r w:rsidRPr="00F92E56">
              <w:rPr>
                <w:b/>
                <w:bCs w:val="0"/>
              </w:rPr>
              <w:t>Placebo</w:t>
            </w:r>
          </w:p>
          <w:p w14:paraId="20840654" w14:textId="77777777" w:rsidR="002E7D16" w:rsidRPr="00F92E56" w:rsidRDefault="002E7D16" w:rsidP="00C76B7E">
            <w:pPr>
              <w:pStyle w:val="TableText0"/>
              <w:keepLines/>
              <w:jc w:val="center"/>
            </w:pPr>
            <w:r w:rsidRPr="00F92E56">
              <w:rPr>
                <w:b/>
                <w:bCs w:val="0"/>
              </w:rPr>
              <w:t>n/N</w:t>
            </w:r>
          </w:p>
        </w:tc>
        <w:tc>
          <w:tcPr>
            <w:tcW w:w="611" w:type="pct"/>
            <w:gridSpan w:val="2"/>
            <w:vMerge w:val="restart"/>
            <w:tcBorders>
              <w:top w:val="single" w:sz="4" w:space="0" w:color="auto"/>
              <w:left w:val="single" w:sz="4" w:space="0" w:color="auto"/>
              <w:right w:val="single" w:sz="4" w:space="0" w:color="auto"/>
            </w:tcBorders>
            <w:shd w:val="clear" w:color="auto" w:fill="auto"/>
          </w:tcPr>
          <w:p w14:paraId="03F38362" w14:textId="77777777" w:rsidR="002E7D16" w:rsidRPr="00F92E56" w:rsidRDefault="002E7D16" w:rsidP="00C76B7E">
            <w:pPr>
              <w:pStyle w:val="TableText0"/>
              <w:keepLines/>
              <w:jc w:val="center"/>
              <w:rPr>
                <w:b/>
                <w:bCs w:val="0"/>
              </w:rPr>
            </w:pPr>
            <w:r w:rsidRPr="00F92E56">
              <w:rPr>
                <w:b/>
                <w:bCs w:val="0"/>
              </w:rPr>
              <w:t>RR</w:t>
            </w:r>
          </w:p>
          <w:p w14:paraId="3004094A" w14:textId="77777777" w:rsidR="002E7D16" w:rsidRPr="00F92E56" w:rsidRDefault="002E7D16" w:rsidP="00C76B7E">
            <w:pPr>
              <w:pStyle w:val="TableText0"/>
              <w:keepLines/>
              <w:jc w:val="center"/>
            </w:pPr>
            <w:r w:rsidRPr="00F92E56">
              <w:rPr>
                <w:b/>
                <w:bCs w:val="0"/>
              </w:rPr>
              <w:t>(95% CI)</w:t>
            </w:r>
          </w:p>
        </w:tc>
        <w:tc>
          <w:tcPr>
            <w:tcW w:w="1297" w:type="pct"/>
            <w:gridSpan w:val="3"/>
            <w:tcBorders>
              <w:top w:val="single" w:sz="4" w:space="0" w:color="auto"/>
              <w:left w:val="single" w:sz="4" w:space="0" w:color="auto"/>
              <w:bottom w:val="single" w:sz="4" w:space="0" w:color="auto"/>
              <w:right w:val="single" w:sz="4" w:space="0" w:color="auto"/>
            </w:tcBorders>
            <w:shd w:val="clear" w:color="auto" w:fill="auto"/>
          </w:tcPr>
          <w:p w14:paraId="25E528B0" w14:textId="77777777" w:rsidR="002E7D16" w:rsidRPr="00F92E56" w:rsidRDefault="002E7D16" w:rsidP="00C76B7E">
            <w:pPr>
              <w:pStyle w:val="TableText0"/>
              <w:keepLines/>
              <w:jc w:val="center"/>
              <w:rPr>
                <w:b/>
                <w:bCs w:val="0"/>
              </w:rPr>
            </w:pPr>
            <w:r w:rsidRPr="00F92E56">
              <w:rPr>
                <w:b/>
                <w:bCs w:val="0"/>
              </w:rPr>
              <w:t>Event rate/100 patients</w:t>
            </w:r>
          </w:p>
        </w:tc>
        <w:tc>
          <w:tcPr>
            <w:tcW w:w="911" w:type="pct"/>
            <w:gridSpan w:val="2"/>
            <w:vMerge w:val="restart"/>
            <w:tcBorders>
              <w:top w:val="single" w:sz="4" w:space="0" w:color="auto"/>
              <w:left w:val="single" w:sz="4" w:space="0" w:color="auto"/>
              <w:right w:val="single" w:sz="4" w:space="0" w:color="auto"/>
            </w:tcBorders>
            <w:shd w:val="clear" w:color="auto" w:fill="auto"/>
          </w:tcPr>
          <w:p w14:paraId="6356A261" w14:textId="77777777" w:rsidR="002E7D16" w:rsidRPr="00F92E56" w:rsidRDefault="002E7D16" w:rsidP="00C76B7E">
            <w:pPr>
              <w:pStyle w:val="TableText0"/>
              <w:keepLines/>
              <w:jc w:val="center"/>
              <w:rPr>
                <w:b/>
                <w:bCs w:val="0"/>
                <w:vertAlign w:val="superscript"/>
              </w:rPr>
            </w:pPr>
            <w:r w:rsidRPr="00F92E56">
              <w:rPr>
                <w:b/>
                <w:bCs w:val="0"/>
              </w:rPr>
              <w:t>RD</w:t>
            </w:r>
          </w:p>
          <w:p w14:paraId="0DA05728" w14:textId="77777777" w:rsidR="002E7D16" w:rsidRPr="00F92E56" w:rsidRDefault="002E7D16" w:rsidP="00C76B7E">
            <w:pPr>
              <w:pStyle w:val="TableText0"/>
              <w:keepLines/>
              <w:jc w:val="center"/>
            </w:pPr>
            <w:r w:rsidRPr="00F92E56">
              <w:rPr>
                <w:b/>
                <w:bCs w:val="0"/>
              </w:rPr>
              <w:t>(95% CI)</w:t>
            </w:r>
          </w:p>
        </w:tc>
      </w:tr>
      <w:tr w:rsidR="001E1A6D" w:rsidRPr="00F92E56" w14:paraId="1B45FCE3" w14:textId="77777777" w:rsidTr="005D1A43">
        <w:tc>
          <w:tcPr>
            <w:tcW w:w="919" w:type="pct"/>
            <w:vMerge/>
            <w:tcBorders>
              <w:left w:val="single" w:sz="4" w:space="0" w:color="auto"/>
              <w:bottom w:val="single" w:sz="4" w:space="0" w:color="auto"/>
              <w:right w:val="single" w:sz="4" w:space="0" w:color="auto"/>
            </w:tcBorders>
            <w:shd w:val="clear" w:color="auto" w:fill="auto"/>
          </w:tcPr>
          <w:p w14:paraId="33603787" w14:textId="77777777" w:rsidR="002E7D16" w:rsidRPr="00F92E56" w:rsidRDefault="002E7D16" w:rsidP="00C76B7E">
            <w:pPr>
              <w:pStyle w:val="TableText0"/>
              <w:keepLines/>
              <w:jc w:val="center"/>
              <w:rPr>
                <w:highlight w:val="yellow"/>
              </w:rPr>
            </w:pPr>
          </w:p>
        </w:tc>
        <w:tc>
          <w:tcPr>
            <w:tcW w:w="540" w:type="pct"/>
            <w:vMerge/>
            <w:tcBorders>
              <w:left w:val="single" w:sz="4" w:space="0" w:color="auto"/>
              <w:bottom w:val="single" w:sz="4" w:space="0" w:color="auto"/>
              <w:right w:val="single" w:sz="4" w:space="0" w:color="auto"/>
            </w:tcBorders>
            <w:shd w:val="clear" w:color="auto" w:fill="auto"/>
          </w:tcPr>
          <w:p w14:paraId="0D3F138F" w14:textId="77777777" w:rsidR="002E7D16" w:rsidRPr="00F92E56" w:rsidRDefault="002E7D16" w:rsidP="00C76B7E">
            <w:pPr>
              <w:pStyle w:val="TableText0"/>
              <w:keepLines/>
              <w:jc w:val="center"/>
              <w:rPr>
                <w:highlight w:val="yellow"/>
              </w:rPr>
            </w:pPr>
          </w:p>
        </w:tc>
        <w:tc>
          <w:tcPr>
            <w:tcW w:w="722" w:type="pct"/>
            <w:gridSpan w:val="2"/>
            <w:vMerge/>
            <w:tcBorders>
              <w:left w:val="single" w:sz="4" w:space="0" w:color="auto"/>
              <w:bottom w:val="single" w:sz="4" w:space="0" w:color="auto"/>
              <w:right w:val="single" w:sz="4" w:space="0" w:color="auto"/>
            </w:tcBorders>
            <w:shd w:val="clear" w:color="auto" w:fill="auto"/>
          </w:tcPr>
          <w:p w14:paraId="47DDFC70" w14:textId="77777777" w:rsidR="002E7D16" w:rsidRPr="00F92E56" w:rsidRDefault="002E7D16" w:rsidP="00C76B7E">
            <w:pPr>
              <w:pStyle w:val="TableText0"/>
              <w:keepLines/>
              <w:jc w:val="center"/>
              <w:rPr>
                <w:highlight w:val="yellow"/>
              </w:rPr>
            </w:pPr>
          </w:p>
        </w:tc>
        <w:tc>
          <w:tcPr>
            <w:tcW w:w="611" w:type="pct"/>
            <w:gridSpan w:val="2"/>
            <w:vMerge/>
            <w:tcBorders>
              <w:left w:val="single" w:sz="4" w:space="0" w:color="auto"/>
              <w:bottom w:val="single" w:sz="4" w:space="0" w:color="auto"/>
              <w:right w:val="single" w:sz="4" w:space="0" w:color="auto"/>
            </w:tcBorders>
            <w:shd w:val="clear" w:color="auto" w:fill="auto"/>
          </w:tcPr>
          <w:p w14:paraId="2A2A23F7" w14:textId="77777777" w:rsidR="002E7D16" w:rsidRPr="00F92E56" w:rsidRDefault="002E7D16" w:rsidP="00C76B7E">
            <w:pPr>
              <w:pStyle w:val="TableText0"/>
              <w:keepLines/>
              <w:jc w:val="center"/>
              <w:rPr>
                <w:b/>
                <w:bCs w:val="0"/>
              </w:rPr>
            </w:pP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tcPr>
          <w:p w14:paraId="2DB274F4" w14:textId="77777777" w:rsidR="002E7D16" w:rsidRPr="00F92E56" w:rsidRDefault="002E7D16" w:rsidP="00C76B7E">
            <w:pPr>
              <w:pStyle w:val="TableText0"/>
              <w:keepLines/>
              <w:jc w:val="center"/>
              <w:rPr>
                <w:b/>
                <w:bCs w:val="0"/>
              </w:rPr>
            </w:pPr>
            <w:r w:rsidRPr="00F92E56">
              <w:rPr>
                <w:b/>
                <w:bCs w:val="0"/>
              </w:rPr>
              <w:t>Nivolumab</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23D6D4A" w14:textId="77777777" w:rsidR="002E7D16" w:rsidRPr="00F92E56" w:rsidRDefault="002E7D16" w:rsidP="00C76B7E">
            <w:pPr>
              <w:pStyle w:val="TableText0"/>
              <w:keepLines/>
              <w:jc w:val="center"/>
              <w:rPr>
                <w:b/>
                <w:bCs w:val="0"/>
              </w:rPr>
            </w:pPr>
            <w:r w:rsidRPr="00F92E56">
              <w:rPr>
                <w:b/>
                <w:bCs w:val="0"/>
              </w:rPr>
              <w:t>Placebo</w:t>
            </w:r>
          </w:p>
        </w:tc>
        <w:tc>
          <w:tcPr>
            <w:tcW w:w="911" w:type="pct"/>
            <w:gridSpan w:val="2"/>
            <w:vMerge/>
            <w:tcBorders>
              <w:left w:val="single" w:sz="4" w:space="0" w:color="auto"/>
              <w:bottom w:val="single" w:sz="4" w:space="0" w:color="auto"/>
              <w:right w:val="single" w:sz="4" w:space="0" w:color="auto"/>
            </w:tcBorders>
            <w:shd w:val="clear" w:color="auto" w:fill="auto"/>
          </w:tcPr>
          <w:p w14:paraId="79966FA5" w14:textId="77777777" w:rsidR="002E7D16" w:rsidRPr="00F92E56" w:rsidRDefault="002E7D16" w:rsidP="00C76B7E">
            <w:pPr>
              <w:pStyle w:val="TableText0"/>
              <w:keepLines/>
              <w:jc w:val="center"/>
              <w:rPr>
                <w:b/>
                <w:bCs w:val="0"/>
              </w:rPr>
            </w:pPr>
          </w:p>
        </w:tc>
      </w:tr>
      <w:tr w:rsidR="001E1A6D" w:rsidRPr="00F92E56" w14:paraId="0BE1302D" w14:textId="77777777" w:rsidTr="005D1A43">
        <w:tc>
          <w:tcPr>
            <w:tcW w:w="919" w:type="pct"/>
            <w:tcBorders>
              <w:left w:val="single" w:sz="4" w:space="0" w:color="auto"/>
              <w:bottom w:val="single" w:sz="4" w:space="0" w:color="auto"/>
              <w:right w:val="single" w:sz="4" w:space="0" w:color="auto"/>
            </w:tcBorders>
            <w:shd w:val="clear" w:color="auto" w:fill="auto"/>
            <w:vAlign w:val="center"/>
          </w:tcPr>
          <w:p w14:paraId="67035253" w14:textId="1380EF39" w:rsidR="002E7D16" w:rsidRPr="00F92E56" w:rsidRDefault="002E7D16" w:rsidP="00C76B7E">
            <w:pPr>
              <w:pStyle w:val="TableText0"/>
              <w:keepLines/>
            </w:pPr>
            <w:r w:rsidRPr="00F92E56">
              <w:t>Grade 3-4 study drug</w:t>
            </w:r>
            <w:r w:rsidR="00E465D2" w:rsidRPr="00F92E56">
              <w:t>-</w:t>
            </w:r>
            <w:r w:rsidRPr="00F92E56">
              <w:t>related severe AE</w:t>
            </w:r>
          </w:p>
        </w:tc>
        <w:tc>
          <w:tcPr>
            <w:tcW w:w="540" w:type="pct"/>
            <w:tcBorders>
              <w:left w:val="single" w:sz="4" w:space="0" w:color="auto"/>
              <w:bottom w:val="single" w:sz="4" w:space="0" w:color="auto"/>
              <w:right w:val="single" w:sz="4" w:space="0" w:color="auto"/>
            </w:tcBorders>
            <w:shd w:val="clear" w:color="auto" w:fill="auto"/>
            <w:vAlign w:val="center"/>
          </w:tcPr>
          <w:p w14:paraId="057A2D65" w14:textId="1D9F3FFB" w:rsidR="002E7D16" w:rsidRPr="00F92E56" w:rsidRDefault="002E7D16" w:rsidP="00C76B7E">
            <w:pPr>
              <w:pStyle w:val="TableText0"/>
              <w:keepLines/>
              <w:jc w:val="center"/>
            </w:pPr>
            <w:r w:rsidRPr="00F92E56">
              <w:t>2</w:t>
            </w:r>
            <w:r w:rsidR="00823AD9" w:rsidRPr="00F92E56">
              <w:t>3</w:t>
            </w:r>
            <w:r w:rsidRPr="00F92E56">
              <w:t>/</w:t>
            </w:r>
            <w:r w:rsidR="00823AD9" w:rsidRPr="00F92E56">
              <w:t>155</w:t>
            </w:r>
          </w:p>
        </w:tc>
        <w:tc>
          <w:tcPr>
            <w:tcW w:w="722" w:type="pct"/>
            <w:gridSpan w:val="2"/>
            <w:tcBorders>
              <w:left w:val="single" w:sz="4" w:space="0" w:color="auto"/>
              <w:bottom w:val="single" w:sz="4" w:space="0" w:color="auto"/>
              <w:right w:val="single" w:sz="4" w:space="0" w:color="auto"/>
            </w:tcBorders>
            <w:shd w:val="clear" w:color="auto" w:fill="auto"/>
            <w:vAlign w:val="center"/>
          </w:tcPr>
          <w:p w14:paraId="3B2C3D1B" w14:textId="45FDF155" w:rsidR="002E7D16" w:rsidRPr="00F92E56" w:rsidRDefault="002E7D16" w:rsidP="00C76B7E">
            <w:pPr>
              <w:pStyle w:val="TableText0"/>
              <w:keepLines/>
              <w:jc w:val="center"/>
            </w:pPr>
            <w:r w:rsidRPr="00F92E56">
              <w:t>6/</w:t>
            </w:r>
            <w:r w:rsidR="00823AD9" w:rsidRPr="00F92E56">
              <w:t>156</w:t>
            </w:r>
          </w:p>
        </w:tc>
        <w:tc>
          <w:tcPr>
            <w:tcW w:w="611" w:type="pct"/>
            <w:gridSpan w:val="2"/>
            <w:tcBorders>
              <w:left w:val="single" w:sz="4" w:space="0" w:color="auto"/>
              <w:bottom w:val="single" w:sz="4" w:space="0" w:color="auto"/>
              <w:right w:val="single" w:sz="4" w:space="0" w:color="auto"/>
            </w:tcBorders>
            <w:shd w:val="clear" w:color="auto" w:fill="auto"/>
          </w:tcPr>
          <w:p w14:paraId="2B30FE3D" w14:textId="5A8FC2D7" w:rsidR="002E7D16" w:rsidRPr="00F92E56" w:rsidRDefault="00823AD9" w:rsidP="00C76B7E">
            <w:pPr>
              <w:pStyle w:val="TableText0"/>
              <w:keepLines/>
              <w:jc w:val="center"/>
            </w:pPr>
            <w:r w:rsidRPr="00F92E56">
              <w:t>3.9</w:t>
            </w:r>
          </w:p>
          <w:p w14:paraId="1196444D" w14:textId="609AA1D3" w:rsidR="002E7D16" w:rsidRPr="00F92E56" w:rsidRDefault="002E7D16" w:rsidP="00C76B7E">
            <w:pPr>
              <w:pStyle w:val="TableText0"/>
              <w:keepLines/>
              <w:jc w:val="center"/>
            </w:pPr>
            <w:r w:rsidRPr="00F92E56">
              <w:t>(1.</w:t>
            </w:r>
            <w:r w:rsidR="00823AD9" w:rsidRPr="00F92E56">
              <w:t>6</w:t>
            </w:r>
            <w:r w:rsidRPr="00F92E56">
              <w:t xml:space="preserve">, </w:t>
            </w:r>
            <w:r w:rsidR="00823AD9" w:rsidRPr="00F92E56">
              <w:t>9.2</w:t>
            </w:r>
            <w:r w:rsidRPr="00F92E56">
              <w:t>)</w:t>
            </w: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70527" w14:textId="4DC5523E" w:rsidR="002E7D16" w:rsidRPr="00F92E56" w:rsidRDefault="00823AD9" w:rsidP="00C76B7E">
            <w:pPr>
              <w:pStyle w:val="TableText0"/>
              <w:keepLines/>
              <w:jc w:val="center"/>
              <w:rPr>
                <w:b/>
                <w:bCs w:val="0"/>
              </w:rPr>
            </w:pPr>
            <w:r w:rsidRPr="00F92E56">
              <w:t>14.8%</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A1D9871" w14:textId="25F0EA78" w:rsidR="002E7D16" w:rsidRPr="00F92E56" w:rsidRDefault="00823AD9" w:rsidP="00C76B7E">
            <w:pPr>
              <w:pStyle w:val="TableText0"/>
              <w:keepLines/>
              <w:jc w:val="center"/>
              <w:rPr>
                <w:b/>
                <w:bCs w:val="0"/>
              </w:rPr>
            </w:pPr>
            <w:r w:rsidRPr="00F92E56">
              <w:t>3.8%</w:t>
            </w:r>
          </w:p>
        </w:tc>
        <w:tc>
          <w:tcPr>
            <w:tcW w:w="911" w:type="pct"/>
            <w:gridSpan w:val="2"/>
            <w:tcBorders>
              <w:left w:val="single" w:sz="4" w:space="0" w:color="auto"/>
              <w:bottom w:val="single" w:sz="4" w:space="0" w:color="auto"/>
              <w:right w:val="single" w:sz="4" w:space="0" w:color="auto"/>
            </w:tcBorders>
            <w:shd w:val="clear" w:color="auto" w:fill="auto"/>
            <w:vAlign w:val="center"/>
          </w:tcPr>
          <w:p w14:paraId="60ACC06D" w14:textId="77777777" w:rsidR="00B14514" w:rsidRPr="00F92E56" w:rsidRDefault="00823AD9" w:rsidP="00C76B7E">
            <w:pPr>
              <w:pStyle w:val="TableText0"/>
              <w:keepLines/>
              <w:jc w:val="center"/>
            </w:pPr>
            <w:r w:rsidRPr="00F92E56">
              <w:t>11%</w:t>
            </w:r>
          </w:p>
          <w:p w14:paraId="2C6DD06A" w14:textId="371CA32D" w:rsidR="002E7D16" w:rsidRPr="00F92E56" w:rsidRDefault="002E7D16" w:rsidP="00C76B7E">
            <w:pPr>
              <w:pStyle w:val="TableText0"/>
              <w:keepLines/>
              <w:jc w:val="center"/>
              <w:rPr>
                <w:b/>
                <w:bCs w:val="0"/>
              </w:rPr>
            </w:pPr>
            <w:r w:rsidRPr="00F92E56">
              <w:t>(</w:t>
            </w:r>
            <w:r w:rsidR="00823AD9" w:rsidRPr="00F92E56">
              <w:t>5%</w:t>
            </w:r>
            <w:r w:rsidRPr="00F92E56">
              <w:t xml:space="preserve">, </w:t>
            </w:r>
            <w:r w:rsidR="00E465D2" w:rsidRPr="00F92E56">
              <w:t>17%</w:t>
            </w:r>
            <w:r w:rsidRPr="00F92E56">
              <w:t>)</w:t>
            </w:r>
          </w:p>
        </w:tc>
      </w:tr>
      <w:tr w:rsidR="001E1A6D" w:rsidRPr="00F92E56" w14:paraId="6D84AB0F" w14:textId="77777777" w:rsidTr="005D1A43">
        <w:tc>
          <w:tcPr>
            <w:tcW w:w="919" w:type="pct"/>
            <w:tcBorders>
              <w:left w:val="single" w:sz="4" w:space="0" w:color="auto"/>
              <w:bottom w:val="single" w:sz="4" w:space="0" w:color="auto"/>
              <w:right w:val="single" w:sz="4" w:space="0" w:color="auto"/>
            </w:tcBorders>
            <w:shd w:val="clear" w:color="auto" w:fill="auto"/>
            <w:vAlign w:val="center"/>
          </w:tcPr>
          <w:p w14:paraId="6FCDAC88" w14:textId="48D9F34E" w:rsidR="00E465D2" w:rsidRPr="00F92E56" w:rsidRDefault="00E465D2" w:rsidP="00C76B7E">
            <w:pPr>
              <w:pStyle w:val="TableText0"/>
              <w:keepLines/>
            </w:pPr>
            <w:r w:rsidRPr="00F92E56">
              <w:t>Grade 3-4 study drug-related severe SAE</w:t>
            </w:r>
          </w:p>
        </w:tc>
        <w:tc>
          <w:tcPr>
            <w:tcW w:w="540" w:type="pct"/>
            <w:tcBorders>
              <w:left w:val="single" w:sz="4" w:space="0" w:color="auto"/>
              <w:bottom w:val="single" w:sz="4" w:space="0" w:color="auto"/>
              <w:right w:val="single" w:sz="4" w:space="0" w:color="auto"/>
            </w:tcBorders>
            <w:shd w:val="clear" w:color="auto" w:fill="auto"/>
            <w:vAlign w:val="center"/>
          </w:tcPr>
          <w:p w14:paraId="4060DB83" w14:textId="4340D0ED" w:rsidR="00E465D2" w:rsidRPr="00F92E56" w:rsidRDefault="00E465D2" w:rsidP="00C76B7E">
            <w:pPr>
              <w:pStyle w:val="TableText0"/>
              <w:keepLines/>
              <w:jc w:val="center"/>
            </w:pPr>
            <w:r w:rsidRPr="00F92E56">
              <w:t>10/155</w:t>
            </w:r>
          </w:p>
        </w:tc>
        <w:tc>
          <w:tcPr>
            <w:tcW w:w="722" w:type="pct"/>
            <w:gridSpan w:val="2"/>
            <w:tcBorders>
              <w:left w:val="single" w:sz="4" w:space="0" w:color="auto"/>
              <w:bottom w:val="single" w:sz="4" w:space="0" w:color="auto"/>
              <w:right w:val="single" w:sz="4" w:space="0" w:color="auto"/>
            </w:tcBorders>
            <w:shd w:val="clear" w:color="auto" w:fill="auto"/>
            <w:vAlign w:val="center"/>
          </w:tcPr>
          <w:p w14:paraId="5ED1FF0A" w14:textId="1FD9CDA0" w:rsidR="00E465D2" w:rsidRPr="00F92E56" w:rsidRDefault="00E465D2" w:rsidP="00C76B7E">
            <w:pPr>
              <w:pStyle w:val="TableText0"/>
              <w:keepLines/>
              <w:jc w:val="center"/>
            </w:pPr>
            <w:r w:rsidRPr="00F92E56">
              <w:t>2/156</w:t>
            </w:r>
          </w:p>
        </w:tc>
        <w:tc>
          <w:tcPr>
            <w:tcW w:w="611" w:type="pct"/>
            <w:gridSpan w:val="2"/>
            <w:tcBorders>
              <w:left w:val="single" w:sz="4" w:space="0" w:color="auto"/>
              <w:bottom w:val="single" w:sz="4" w:space="0" w:color="auto"/>
              <w:right w:val="single" w:sz="4" w:space="0" w:color="auto"/>
            </w:tcBorders>
            <w:shd w:val="clear" w:color="auto" w:fill="auto"/>
          </w:tcPr>
          <w:p w14:paraId="6DF945F1" w14:textId="77777777" w:rsidR="00E465D2" w:rsidRPr="00F92E56" w:rsidRDefault="00E465D2" w:rsidP="00C76B7E">
            <w:pPr>
              <w:pStyle w:val="TableText0"/>
              <w:keepLines/>
              <w:jc w:val="center"/>
            </w:pPr>
            <w:r w:rsidRPr="00F92E56">
              <w:t>5.0</w:t>
            </w:r>
          </w:p>
          <w:p w14:paraId="3932034B" w14:textId="5990BEF1" w:rsidR="00E465D2" w:rsidRPr="00F92E56" w:rsidRDefault="00E465D2" w:rsidP="00C76B7E">
            <w:pPr>
              <w:pStyle w:val="TableText0"/>
              <w:keepLines/>
              <w:jc w:val="center"/>
            </w:pPr>
            <w:r w:rsidRPr="00F92E56">
              <w:t>(1.1, 22.6)</w:t>
            </w: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513DC" w14:textId="51A5DDFB" w:rsidR="00E465D2" w:rsidRPr="00F92E56" w:rsidRDefault="00E465D2" w:rsidP="00C76B7E">
            <w:pPr>
              <w:pStyle w:val="TableText0"/>
              <w:keepLines/>
              <w:jc w:val="center"/>
            </w:pPr>
            <w:r w:rsidRPr="00F92E56">
              <w:t>6.5%</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3C7C0EE" w14:textId="5C2185B0" w:rsidR="00E465D2" w:rsidRPr="00F92E56" w:rsidRDefault="00E465D2" w:rsidP="00C76B7E">
            <w:pPr>
              <w:pStyle w:val="TableText0"/>
              <w:keepLines/>
              <w:jc w:val="center"/>
            </w:pPr>
            <w:r w:rsidRPr="00F92E56">
              <w:t>1.3%</w:t>
            </w:r>
          </w:p>
        </w:tc>
        <w:tc>
          <w:tcPr>
            <w:tcW w:w="911" w:type="pct"/>
            <w:gridSpan w:val="2"/>
            <w:tcBorders>
              <w:left w:val="single" w:sz="4" w:space="0" w:color="auto"/>
              <w:bottom w:val="single" w:sz="4" w:space="0" w:color="auto"/>
              <w:right w:val="single" w:sz="4" w:space="0" w:color="auto"/>
            </w:tcBorders>
            <w:shd w:val="clear" w:color="auto" w:fill="auto"/>
            <w:vAlign w:val="center"/>
          </w:tcPr>
          <w:p w14:paraId="36410F98" w14:textId="77777777" w:rsidR="00B14514" w:rsidRPr="00F92E56" w:rsidRDefault="00E465D2" w:rsidP="00C76B7E">
            <w:pPr>
              <w:pStyle w:val="TableText0"/>
              <w:keepLines/>
              <w:jc w:val="center"/>
            </w:pPr>
            <w:r w:rsidRPr="00F92E56">
              <w:t>5%</w:t>
            </w:r>
          </w:p>
          <w:p w14:paraId="7141346A" w14:textId="7B1A2D19" w:rsidR="00E465D2" w:rsidRPr="00F92E56" w:rsidRDefault="00E465D2" w:rsidP="00C76B7E">
            <w:pPr>
              <w:pStyle w:val="TableText0"/>
              <w:keepLines/>
              <w:jc w:val="center"/>
            </w:pPr>
            <w:r w:rsidRPr="00F92E56">
              <w:t>(1%, 9%)</w:t>
            </w:r>
          </w:p>
        </w:tc>
      </w:tr>
      <w:tr w:rsidR="001E1A6D" w:rsidRPr="00F92E56" w14:paraId="08A93C4A" w14:textId="77777777" w:rsidTr="005D1A43">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901F4A1" w14:textId="15179FB2" w:rsidR="002E7D16" w:rsidRPr="00F92E56" w:rsidRDefault="002E7D16" w:rsidP="00C76B7E">
            <w:pPr>
              <w:pStyle w:val="TableText0"/>
              <w:keepLines/>
            </w:pPr>
            <w:r w:rsidRPr="00F92E56">
              <w:t xml:space="preserve">Any grade </w:t>
            </w:r>
            <w:r w:rsidR="00E465D2" w:rsidRPr="00F92E56">
              <w:t xml:space="preserve">study drug-related </w:t>
            </w:r>
            <w:r w:rsidRPr="00F92E56">
              <w:t>pruritus</w:t>
            </w:r>
          </w:p>
        </w:tc>
        <w:tc>
          <w:tcPr>
            <w:tcW w:w="540" w:type="pct"/>
            <w:tcBorders>
              <w:top w:val="single" w:sz="4" w:space="0" w:color="auto"/>
              <w:left w:val="single" w:sz="4" w:space="0" w:color="auto"/>
              <w:bottom w:val="single" w:sz="4" w:space="0" w:color="auto"/>
              <w:right w:val="single" w:sz="4" w:space="0" w:color="auto"/>
            </w:tcBorders>
            <w:vAlign w:val="center"/>
          </w:tcPr>
          <w:p w14:paraId="3B12ACDD" w14:textId="01A93F24" w:rsidR="002E7D16" w:rsidRPr="00F92E56" w:rsidRDefault="00E465D2" w:rsidP="00C76B7E">
            <w:pPr>
              <w:pStyle w:val="TableText0"/>
              <w:keepLines/>
              <w:jc w:val="center"/>
            </w:pPr>
            <w:r w:rsidRPr="00F92E56">
              <w:t>34</w:t>
            </w:r>
            <w:r w:rsidR="002E7D16" w:rsidRPr="00F92E56">
              <w:t>/</w:t>
            </w:r>
            <w:r w:rsidR="00823AD9" w:rsidRPr="00F92E56">
              <w:t>155</w:t>
            </w:r>
          </w:p>
        </w:tc>
        <w:tc>
          <w:tcPr>
            <w:tcW w:w="722" w:type="pct"/>
            <w:gridSpan w:val="2"/>
            <w:tcBorders>
              <w:top w:val="single" w:sz="4" w:space="0" w:color="auto"/>
              <w:left w:val="single" w:sz="4" w:space="0" w:color="auto"/>
              <w:bottom w:val="single" w:sz="4" w:space="0" w:color="auto"/>
              <w:right w:val="single" w:sz="4" w:space="0" w:color="auto"/>
            </w:tcBorders>
            <w:vAlign w:val="center"/>
          </w:tcPr>
          <w:p w14:paraId="567E7519" w14:textId="1816A8AE" w:rsidR="002E7D16" w:rsidRPr="00F92E56" w:rsidRDefault="00E465D2" w:rsidP="00C76B7E">
            <w:pPr>
              <w:pStyle w:val="TableText0"/>
              <w:keepLines/>
              <w:jc w:val="center"/>
            </w:pPr>
            <w:r w:rsidRPr="00F92E56">
              <w:t>15</w:t>
            </w:r>
            <w:r w:rsidR="002E7D16" w:rsidRPr="00F92E56">
              <w:t>/</w:t>
            </w:r>
            <w:r w:rsidR="00823AD9" w:rsidRPr="00F92E56">
              <w:t>156</w:t>
            </w:r>
          </w:p>
        </w:tc>
        <w:tc>
          <w:tcPr>
            <w:tcW w:w="611" w:type="pct"/>
            <w:gridSpan w:val="2"/>
            <w:tcBorders>
              <w:top w:val="single" w:sz="4" w:space="0" w:color="auto"/>
              <w:left w:val="single" w:sz="4" w:space="0" w:color="auto"/>
              <w:bottom w:val="single" w:sz="4" w:space="0" w:color="auto"/>
              <w:right w:val="single" w:sz="4" w:space="0" w:color="auto"/>
            </w:tcBorders>
            <w:vAlign w:val="center"/>
          </w:tcPr>
          <w:p w14:paraId="0E1E5100" w14:textId="77777777" w:rsidR="00B14514" w:rsidRPr="00F92E56" w:rsidRDefault="002E7D16" w:rsidP="00C76B7E">
            <w:pPr>
              <w:pStyle w:val="TableText0"/>
              <w:keepLines/>
              <w:jc w:val="center"/>
            </w:pPr>
            <w:r w:rsidRPr="00F92E56">
              <w:t>2.</w:t>
            </w:r>
            <w:r w:rsidR="00E465D2" w:rsidRPr="00F92E56">
              <w:t>3</w:t>
            </w:r>
          </w:p>
          <w:p w14:paraId="4C5F1F9D" w14:textId="1DF654C2" w:rsidR="002E7D16" w:rsidRPr="00F92E56" w:rsidRDefault="002E7D16" w:rsidP="00C76B7E">
            <w:pPr>
              <w:pStyle w:val="TableText0"/>
              <w:keepLines/>
              <w:jc w:val="center"/>
            </w:pPr>
            <w:r w:rsidRPr="00F92E56">
              <w:t>(1.</w:t>
            </w:r>
            <w:r w:rsidR="00E465D2" w:rsidRPr="00F92E56">
              <w:t>3</w:t>
            </w:r>
            <w:r w:rsidRPr="00F92E56">
              <w:t xml:space="preserve">, </w:t>
            </w:r>
            <w:r w:rsidR="00E465D2" w:rsidRPr="00F92E56">
              <w:t>4.0</w:t>
            </w:r>
            <w:r w:rsidRPr="00F92E56">
              <w:t>)</w:t>
            </w: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784CBA93" w14:textId="5FF4098B" w:rsidR="002E7D16" w:rsidRPr="00F92E56" w:rsidRDefault="00E465D2" w:rsidP="00C76B7E">
            <w:pPr>
              <w:pStyle w:val="TableText0"/>
              <w:keepLines/>
              <w:jc w:val="center"/>
              <w:rPr>
                <w:b/>
                <w:bCs w:val="0"/>
              </w:rPr>
            </w:pPr>
            <w:r w:rsidRPr="00F92E56">
              <w:t>21.9%</w:t>
            </w:r>
          </w:p>
        </w:tc>
        <w:tc>
          <w:tcPr>
            <w:tcW w:w="580" w:type="pct"/>
            <w:tcBorders>
              <w:top w:val="single" w:sz="4" w:space="0" w:color="auto"/>
              <w:left w:val="single" w:sz="4" w:space="0" w:color="auto"/>
              <w:bottom w:val="single" w:sz="4" w:space="0" w:color="auto"/>
              <w:right w:val="single" w:sz="4" w:space="0" w:color="auto"/>
            </w:tcBorders>
            <w:vAlign w:val="center"/>
          </w:tcPr>
          <w:p w14:paraId="329E92DD" w14:textId="42BB55D3" w:rsidR="002E7D16" w:rsidRPr="00F92E56" w:rsidRDefault="00E465D2" w:rsidP="00C76B7E">
            <w:pPr>
              <w:pStyle w:val="TableText0"/>
              <w:keepLines/>
              <w:jc w:val="center"/>
              <w:rPr>
                <w:b/>
                <w:bCs w:val="0"/>
              </w:rPr>
            </w:pPr>
            <w:r w:rsidRPr="00F92E56">
              <w:t>9.6%</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2048CF8C" w14:textId="77777777" w:rsidR="00B14514" w:rsidRPr="00F92E56" w:rsidRDefault="00E465D2" w:rsidP="00C76B7E">
            <w:pPr>
              <w:pStyle w:val="TableText0"/>
              <w:keepLines/>
              <w:jc w:val="center"/>
            </w:pPr>
            <w:r w:rsidRPr="00F92E56">
              <w:t>12%</w:t>
            </w:r>
          </w:p>
          <w:p w14:paraId="0874ECB3" w14:textId="117067BF" w:rsidR="002E7D16" w:rsidRPr="00F92E56" w:rsidRDefault="002E7D16" w:rsidP="00C76B7E">
            <w:pPr>
              <w:pStyle w:val="TableText0"/>
              <w:keepLines/>
              <w:jc w:val="center"/>
              <w:rPr>
                <w:b/>
                <w:bCs w:val="0"/>
              </w:rPr>
            </w:pPr>
            <w:r w:rsidRPr="00F92E56">
              <w:t>(</w:t>
            </w:r>
            <w:r w:rsidR="00E00CDA" w:rsidRPr="00F92E56">
              <w:t>4</w:t>
            </w:r>
            <w:r w:rsidR="00E465D2" w:rsidRPr="00F92E56">
              <w:t>%</w:t>
            </w:r>
            <w:r w:rsidRPr="00F92E56">
              <w:t xml:space="preserve">, </w:t>
            </w:r>
            <w:r w:rsidR="00E00CDA" w:rsidRPr="00F92E56">
              <w:t>20</w:t>
            </w:r>
            <w:r w:rsidR="00E465D2" w:rsidRPr="00F92E56">
              <w:t>%</w:t>
            </w:r>
            <w:r w:rsidRPr="00F92E56">
              <w:t>)</w:t>
            </w:r>
          </w:p>
        </w:tc>
      </w:tr>
    </w:tbl>
    <w:p w14:paraId="5F7A8B44" w14:textId="4CB26F23" w:rsidR="002E7D16" w:rsidRPr="00F92E56" w:rsidRDefault="002E7D16" w:rsidP="00C76B7E">
      <w:pPr>
        <w:pStyle w:val="TableFooter"/>
        <w:keepNext/>
        <w:keepLines/>
        <w:rPr>
          <w:rStyle w:val="TableFigureFooterChar"/>
          <w:rFonts w:eastAsiaTheme="minorHAnsi"/>
        </w:rPr>
      </w:pPr>
      <w:r w:rsidRPr="00F92E56">
        <w:rPr>
          <w:rStyle w:val="TableFigureFooterChar"/>
          <w:rFonts w:eastAsiaTheme="minorHAnsi"/>
        </w:rPr>
        <w:t xml:space="preserve">Source: </w:t>
      </w:r>
      <w:r w:rsidRPr="00F92E56">
        <w:rPr>
          <w:rFonts w:eastAsiaTheme="minorHAnsi"/>
        </w:rPr>
        <w:t>Table</w:t>
      </w:r>
      <w:r w:rsidR="006C69A2" w:rsidRPr="00F92E56">
        <w:rPr>
          <w:rFonts w:eastAsiaTheme="minorHAnsi"/>
        </w:rPr>
        <w:t>s</w:t>
      </w:r>
      <w:r w:rsidRPr="00F92E56">
        <w:rPr>
          <w:rFonts w:eastAsiaTheme="minorHAnsi"/>
        </w:rPr>
        <w:t xml:space="preserve"> 2</w:t>
      </w:r>
      <w:r w:rsidR="006C69A2" w:rsidRPr="00F92E56">
        <w:rPr>
          <w:rFonts w:eastAsiaTheme="minorHAnsi"/>
        </w:rPr>
        <w:t>4</w:t>
      </w:r>
      <w:r w:rsidRPr="00F92E56">
        <w:rPr>
          <w:rFonts w:eastAsiaTheme="minorHAnsi"/>
        </w:rPr>
        <w:t>−</w:t>
      </w:r>
      <w:r w:rsidR="006C69A2" w:rsidRPr="00F92E56">
        <w:rPr>
          <w:rFonts w:eastAsiaTheme="minorHAnsi"/>
        </w:rPr>
        <w:t>26</w:t>
      </w:r>
      <w:r w:rsidRPr="00F92E56">
        <w:rPr>
          <w:rFonts w:eastAsiaTheme="minorHAnsi"/>
        </w:rPr>
        <w:t>, pp</w:t>
      </w:r>
      <w:r w:rsidR="006C69A2" w:rsidRPr="00F92E56">
        <w:rPr>
          <w:rFonts w:eastAsiaTheme="minorHAnsi"/>
        </w:rPr>
        <w:t xml:space="preserve">64-76 </w:t>
      </w:r>
      <w:r w:rsidRPr="00F92E56">
        <w:rPr>
          <w:rFonts w:eastAsiaTheme="minorHAnsi"/>
        </w:rPr>
        <w:t>of the resubmission</w:t>
      </w:r>
    </w:p>
    <w:p w14:paraId="7B3DAC3B" w14:textId="79A2F0EC" w:rsidR="002E7D16" w:rsidRPr="00F92E56" w:rsidRDefault="002E7D16" w:rsidP="00C76B7E">
      <w:pPr>
        <w:pStyle w:val="TableFooter"/>
        <w:keepNext/>
        <w:keepLines/>
        <w:rPr>
          <w:rStyle w:val="TableFigureFooterChar"/>
          <w:rFonts w:eastAsiaTheme="minorHAnsi"/>
        </w:rPr>
      </w:pPr>
      <w:r w:rsidRPr="00F92E56">
        <w:rPr>
          <w:rStyle w:val="TableFigureFooterChar"/>
          <w:rFonts w:eastAsiaTheme="minorHAnsi"/>
        </w:rPr>
        <w:t xml:space="preserve">AE = adverse event; </w:t>
      </w:r>
      <w:r w:rsidR="00E465D2" w:rsidRPr="00F92E56">
        <w:rPr>
          <w:rStyle w:val="TableFigureFooterChar"/>
          <w:rFonts w:eastAsiaTheme="minorHAnsi"/>
        </w:rPr>
        <w:t xml:space="preserve">CI = confidence interval; </w:t>
      </w:r>
      <w:r w:rsidRPr="00F92E56">
        <w:rPr>
          <w:rStyle w:val="TableFigureFooterChar"/>
          <w:rFonts w:eastAsiaTheme="minorHAnsi"/>
        </w:rPr>
        <w:t xml:space="preserve">DFS = disease-free survival; </w:t>
      </w:r>
      <w:r w:rsidR="006C69A2" w:rsidRPr="00F92E56">
        <w:rPr>
          <w:rFonts w:eastAsiaTheme="minorHAnsi"/>
        </w:rPr>
        <w:t>DMFS = distant metastasis-free survival</w:t>
      </w:r>
      <w:r w:rsidR="006C69A2" w:rsidRPr="00F92E56">
        <w:rPr>
          <w:rStyle w:val="TableFigureFooterChar"/>
          <w:rFonts w:eastAsiaTheme="minorHAnsi"/>
        </w:rPr>
        <w:t xml:space="preserve">; </w:t>
      </w:r>
      <w:r w:rsidRPr="00F92E56">
        <w:rPr>
          <w:rStyle w:val="TableFigureFooterChar"/>
          <w:rFonts w:eastAsiaTheme="minorHAnsi"/>
        </w:rPr>
        <w:t xml:space="preserve">HR = hazard ratio; NE = not estimable (not reached); </w:t>
      </w:r>
      <w:r w:rsidR="00066B4F" w:rsidRPr="00F92E56">
        <w:rPr>
          <w:rFonts w:eastAsiaTheme="minorHAnsi"/>
          <w:szCs w:val="22"/>
        </w:rPr>
        <w:t>Q2W/Q4W = every 2/4</w:t>
      </w:r>
      <w:r w:rsidR="00785872" w:rsidRPr="00785872">
        <w:rPr>
          <w:rFonts w:eastAsiaTheme="minorHAnsi"/>
          <w:szCs w:val="22"/>
        </w:rPr>
        <w:t xml:space="preserve"> </w:t>
      </w:r>
      <w:r w:rsidR="00066B4F" w:rsidRPr="00F92E56">
        <w:rPr>
          <w:rFonts w:eastAsiaTheme="minorHAnsi"/>
          <w:szCs w:val="22"/>
        </w:rPr>
        <w:t>weeks</w:t>
      </w:r>
      <w:r w:rsidR="004D5B98" w:rsidRPr="00F92E56">
        <w:rPr>
          <w:rStyle w:val="TableFigureFooterChar"/>
          <w:rFonts w:eastAsiaTheme="minorHAnsi"/>
        </w:rPr>
        <w:t xml:space="preserve">; </w:t>
      </w:r>
      <w:r w:rsidR="00E465D2" w:rsidRPr="00F92E56">
        <w:rPr>
          <w:rStyle w:val="TableFigureFooterChar"/>
          <w:rFonts w:eastAsiaTheme="minorHAnsi"/>
        </w:rPr>
        <w:t xml:space="preserve">RD = risk difference; RR = relative risk; </w:t>
      </w:r>
      <w:r w:rsidRPr="00F92E56">
        <w:rPr>
          <w:rStyle w:val="TableFigureFooterChar"/>
          <w:rFonts w:eastAsiaTheme="minorHAnsi"/>
        </w:rPr>
        <w:t>SAE = serious adverse event.</w:t>
      </w:r>
    </w:p>
    <w:p w14:paraId="7D74EF85" w14:textId="77777777" w:rsidR="006C69A2" w:rsidRPr="00F92E56" w:rsidRDefault="002E7D16" w:rsidP="00C76B7E">
      <w:pPr>
        <w:pStyle w:val="TableFooter"/>
        <w:keepNext/>
        <w:keepLines/>
        <w:rPr>
          <w:rStyle w:val="TableFigureFooterChar"/>
          <w:rFonts w:eastAsiaTheme="minorHAnsi"/>
        </w:rPr>
      </w:pPr>
      <w:r w:rsidRPr="00F92E56">
        <w:rPr>
          <w:rStyle w:val="TableFigureFooterChar"/>
          <w:rFonts w:eastAsiaTheme="minorHAnsi"/>
        </w:rPr>
        <w:t>Notes:</w:t>
      </w:r>
    </w:p>
    <w:p w14:paraId="7D85F5E4" w14:textId="57204668" w:rsidR="006C69A2" w:rsidRPr="00F92E56" w:rsidRDefault="006C69A2" w:rsidP="00C76B7E">
      <w:pPr>
        <w:pStyle w:val="TableFooter"/>
        <w:keepNext/>
        <w:keepLines/>
        <w:rPr>
          <w:rStyle w:val="TableFigureFooterChar"/>
          <w:rFonts w:eastAsiaTheme="minorHAnsi"/>
        </w:rPr>
      </w:pPr>
      <w:r w:rsidRPr="00F92E56">
        <w:rPr>
          <w:rFonts w:eastAsiaTheme="minorHAnsi"/>
          <w:szCs w:val="22"/>
        </w:rPr>
        <w:t>September 2022 data cutoff, median duration of follow-up: 36.1 months</w:t>
      </w:r>
      <w:r w:rsidR="004D5B98" w:rsidRPr="00F92E56">
        <w:rPr>
          <w:rFonts w:eastAsiaTheme="minorHAnsi"/>
          <w:szCs w:val="22"/>
        </w:rPr>
        <w:t xml:space="preserve"> </w:t>
      </w:r>
      <w:r w:rsidR="004D5B98" w:rsidRPr="00F92E56">
        <w:rPr>
          <w:rFonts w:eastAsiaTheme="minorHAnsi"/>
        </w:rPr>
        <w:t>(</w:t>
      </w:r>
      <w:r w:rsidR="001E1A6D" w:rsidRPr="00F92E56">
        <w:rPr>
          <w:rFonts w:eastAsiaTheme="minorHAnsi"/>
          <w:bCs/>
        </w:rPr>
        <w:t>n</w:t>
      </w:r>
      <w:r w:rsidR="004D5B98" w:rsidRPr="00F92E56">
        <w:rPr>
          <w:rFonts w:eastAsiaTheme="minorHAnsi"/>
          <w:bCs/>
        </w:rPr>
        <w:t>ivolumab: 37.4 months</w:t>
      </w:r>
      <w:r w:rsidR="001E1A6D" w:rsidRPr="00F92E56">
        <w:rPr>
          <w:rFonts w:eastAsiaTheme="minorHAnsi"/>
          <w:bCs/>
        </w:rPr>
        <w:t>;</w:t>
      </w:r>
      <w:r w:rsidR="004D5B98" w:rsidRPr="00F92E56">
        <w:rPr>
          <w:rFonts w:eastAsiaTheme="minorHAnsi"/>
          <w:bCs/>
        </w:rPr>
        <w:t xml:space="preserve"> </w:t>
      </w:r>
      <w:r w:rsidR="001E1A6D" w:rsidRPr="00F92E56">
        <w:rPr>
          <w:rFonts w:eastAsiaTheme="minorHAnsi"/>
        </w:rPr>
        <w:t>p</w:t>
      </w:r>
      <w:r w:rsidR="004D5B98" w:rsidRPr="00F92E56">
        <w:rPr>
          <w:rFonts w:eastAsiaTheme="minorHAnsi"/>
        </w:rPr>
        <w:t>lacebo: 33.9 months)</w:t>
      </w:r>
      <w:r w:rsidRPr="00F92E56">
        <w:rPr>
          <w:rFonts w:eastAsiaTheme="minorHAnsi"/>
          <w:szCs w:val="22"/>
        </w:rPr>
        <w:t>.</w:t>
      </w:r>
    </w:p>
    <w:p w14:paraId="794606F4" w14:textId="030E32B7" w:rsidR="006C69A2" w:rsidRPr="00F92E56" w:rsidRDefault="006C69A2" w:rsidP="00C76B7E">
      <w:pPr>
        <w:pStyle w:val="TableFooter"/>
        <w:keepNext/>
        <w:keepLines/>
        <w:rPr>
          <w:rStyle w:val="TableFigureFooterChar"/>
          <w:rFonts w:eastAsiaTheme="minorHAnsi"/>
        </w:rPr>
      </w:pPr>
      <w:r w:rsidRPr="00F92E56">
        <w:rPr>
          <w:rStyle w:val="TableFigureFooterChar"/>
          <w:rFonts w:eastAsiaTheme="minorHAnsi"/>
        </w:rPr>
        <w:t xml:space="preserve">No </w:t>
      </w:r>
      <w:r w:rsidR="0002347B" w:rsidRPr="00F92E56">
        <w:rPr>
          <w:rStyle w:val="TableFigureFooterChar"/>
          <w:rFonts w:eastAsiaTheme="minorHAnsi"/>
        </w:rPr>
        <w:t xml:space="preserve">analysis of </w:t>
      </w:r>
      <w:r w:rsidRPr="00F92E56">
        <w:rPr>
          <w:rStyle w:val="TableFigureFooterChar"/>
          <w:rFonts w:eastAsiaTheme="minorHAnsi"/>
        </w:rPr>
        <w:t>overall survival data w</w:t>
      </w:r>
      <w:r w:rsidR="0002347B" w:rsidRPr="00F92E56">
        <w:rPr>
          <w:rStyle w:val="TableFigureFooterChar"/>
          <w:rFonts w:eastAsiaTheme="minorHAnsi"/>
        </w:rPr>
        <w:t>as</w:t>
      </w:r>
      <w:r w:rsidRPr="00F92E56">
        <w:rPr>
          <w:rStyle w:val="TableFigureFooterChar"/>
          <w:rFonts w:eastAsiaTheme="minorHAnsi"/>
        </w:rPr>
        <w:t xml:space="preserve"> provided in resubmission.</w:t>
      </w:r>
    </w:p>
    <w:p w14:paraId="08054F4B" w14:textId="69E382F0" w:rsidR="002E7D16" w:rsidRPr="00F92E56" w:rsidRDefault="002E7D16" w:rsidP="00C76B7E">
      <w:pPr>
        <w:pStyle w:val="TableFooter"/>
        <w:keepNext/>
        <w:keepLines/>
        <w:rPr>
          <w:rStyle w:val="TableFigureFooterChar"/>
        </w:rPr>
      </w:pPr>
      <w:r w:rsidRPr="00F92E56">
        <w:rPr>
          <w:rStyle w:val="TableFigureFooterChar"/>
          <w:rFonts w:eastAsiaTheme="minorHAnsi"/>
        </w:rPr>
        <w:t>HR</w:t>
      </w:r>
      <w:r w:rsidR="001E1A6D" w:rsidRPr="00F92E56">
        <w:rPr>
          <w:rStyle w:val="TableFigureFooterChar"/>
          <w:rFonts w:eastAsiaTheme="minorHAnsi"/>
        </w:rPr>
        <w:t>s</w:t>
      </w:r>
      <w:r w:rsidRPr="00F92E56">
        <w:rPr>
          <w:rStyle w:val="TableFigureFooterChar"/>
          <w:rFonts w:eastAsiaTheme="minorHAnsi"/>
        </w:rPr>
        <w:t xml:space="preserve"> for DFS and </w:t>
      </w:r>
      <w:r w:rsidR="006C69A2" w:rsidRPr="00F92E56">
        <w:rPr>
          <w:rStyle w:val="TableFigureFooterChar"/>
          <w:rFonts w:eastAsiaTheme="minorHAnsi"/>
        </w:rPr>
        <w:t>DMFS</w:t>
      </w:r>
      <w:r w:rsidRPr="00F92E56">
        <w:rPr>
          <w:rStyle w:val="TableFigureFooterChar"/>
          <w:rFonts w:eastAsiaTheme="minorHAnsi"/>
        </w:rPr>
        <w:t xml:space="preserve"> were for nivolumab versus placebo. HR</w:t>
      </w:r>
      <w:r w:rsidR="001E1A6D" w:rsidRPr="00F92E56">
        <w:rPr>
          <w:rStyle w:val="TableFigureFooterChar"/>
          <w:rFonts w:eastAsiaTheme="minorHAnsi"/>
        </w:rPr>
        <w:t>s</w:t>
      </w:r>
      <w:r w:rsidRPr="00F92E56">
        <w:rPr>
          <w:rStyle w:val="TableFigureFooterChar"/>
          <w:rFonts w:eastAsiaTheme="minorHAnsi"/>
        </w:rPr>
        <w:t xml:space="preserve"> &lt;1 favour nivolumab over placebo. Risk ratios (RR) and risk differences (RD) in safety outcomes were for nivolumab versus placebo. RRs &gt; 1 and RDs &gt; 0 favour placebo over nivolumab</w:t>
      </w:r>
      <w:r w:rsidRPr="00F92E56">
        <w:rPr>
          <w:rStyle w:val="TableFigureFooterChar"/>
        </w:rPr>
        <w:t>.</w:t>
      </w:r>
    </w:p>
    <w:p w14:paraId="4EBFAD76" w14:textId="0C39F933" w:rsidR="002E7D16" w:rsidRPr="00F92E56" w:rsidRDefault="002E7D16" w:rsidP="00C76B7E">
      <w:pPr>
        <w:pStyle w:val="TableFooter"/>
        <w:keepNext/>
        <w:keepLines/>
        <w:rPr>
          <w:rStyle w:val="TableFigureFooterChar"/>
        </w:rPr>
      </w:pPr>
      <w:r w:rsidRPr="00F92E56">
        <w:rPr>
          <w:rStyle w:val="TableFigureFooterChar"/>
        </w:rPr>
        <w:t>Safety based on safety evaluable population</w:t>
      </w:r>
      <w:r w:rsidR="006C69A2" w:rsidRPr="00F92E56">
        <w:rPr>
          <w:rStyle w:val="TableFigureFooterChar"/>
        </w:rPr>
        <w:t xml:space="preserve"> (treated with at least one dose of study drug)</w:t>
      </w:r>
      <w:r w:rsidRPr="00F92E56">
        <w:rPr>
          <w:rStyle w:val="TableFigureFooterChar"/>
        </w:rPr>
        <w:t>.</w:t>
      </w:r>
    </w:p>
    <w:p w14:paraId="21C31B15" w14:textId="1DCADB98" w:rsidR="001C65B0" w:rsidRPr="00F92E56" w:rsidRDefault="002E7D16" w:rsidP="00C76B7E">
      <w:pPr>
        <w:pStyle w:val="TableFooter"/>
        <w:keepNext/>
        <w:keepLines/>
      </w:pPr>
      <w:r w:rsidRPr="00F92E56">
        <w:rPr>
          <w:vertAlign w:val="superscript"/>
        </w:rPr>
        <w:t>a</w:t>
      </w:r>
      <w:r w:rsidR="00D835A7">
        <w:rPr>
          <w:vertAlign w:val="superscript"/>
        </w:rPr>
        <w:t xml:space="preserve"> </w:t>
      </w:r>
      <w:r w:rsidR="001C65B0" w:rsidRPr="00F92E56">
        <w:t>Unstratified log-rank test</w:t>
      </w:r>
      <w:r w:rsidR="00823AD9" w:rsidRPr="00F92E56">
        <w:t>. p-value provided only for primary outcome of DFS.</w:t>
      </w:r>
    </w:p>
    <w:p w14:paraId="19CF974A" w14:textId="7F73A4C0" w:rsidR="005F6FEB" w:rsidRPr="00F92E56" w:rsidRDefault="001C65B0" w:rsidP="00C76B7E">
      <w:pPr>
        <w:pStyle w:val="TableFooter"/>
        <w:keepNext/>
        <w:keepLines/>
        <w:rPr>
          <w:iCs/>
          <w:vertAlign w:val="superscript"/>
        </w:rPr>
      </w:pPr>
      <w:r w:rsidRPr="00F92E56">
        <w:rPr>
          <w:vertAlign w:val="superscript"/>
        </w:rPr>
        <w:t>b</w:t>
      </w:r>
      <w:r w:rsidR="00D835A7">
        <w:rPr>
          <w:vertAlign w:val="superscript"/>
        </w:rPr>
        <w:t xml:space="preserve"> </w:t>
      </w:r>
      <w:r w:rsidRPr="00F92E56">
        <w:t>Based on Kalan-Meier estimates</w:t>
      </w:r>
      <w:r w:rsidR="004D5B98" w:rsidRPr="00F92E56">
        <w:t>.</w:t>
      </w:r>
    </w:p>
    <w:p w14:paraId="7442919C" w14:textId="75314238" w:rsidR="005F6FEB" w:rsidRPr="00F92E56" w:rsidRDefault="005F6FEB" w:rsidP="00C76B7E">
      <w:pPr>
        <w:pStyle w:val="TableFooter"/>
        <w:keepNext/>
        <w:keepLines/>
        <w:rPr>
          <w:iCs/>
        </w:rPr>
      </w:pPr>
      <w:r w:rsidRPr="00F92E56">
        <w:rPr>
          <w:iCs/>
          <w:vertAlign w:val="superscript"/>
        </w:rPr>
        <w:t xml:space="preserve">c </w:t>
      </w:r>
      <w:r w:rsidRPr="00F92E56">
        <w:rPr>
          <w:iCs/>
        </w:rPr>
        <w:t xml:space="preserve">Provided in </w:t>
      </w:r>
      <w:r w:rsidR="000A0DAD" w:rsidRPr="00F92E56">
        <w:rPr>
          <w:iCs/>
        </w:rPr>
        <w:t>Table 1 and Table 2 of</w:t>
      </w:r>
      <w:r w:rsidRPr="00F92E56">
        <w:rPr>
          <w:iCs/>
        </w:rPr>
        <w:t xml:space="preserve"> PSCR </w:t>
      </w:r>
    </w:p>
    <w:p w14:paraId="4ABF6E30" w14:textId="069AB755" w:rsidR="00234FA0" w:rsidRPr="00F92E56" w:rsidRDefault="00234FA0" w:rsidP="00C76B7E">
      <w:pPr>
        <w:pStyle w:val="TableFooter"/>
        <w:keepNext/>
        <w:spacing w:after="120"/>
      </w:pPr>
      <w:r w:rsidRPr="00F92E56">
        <w:rPr>
          <w:iCs/>
          <w:vertAlign w:val="superscript"/>
        </w:rPr>
        <w:t xml:space="preserve">d </w:t>
      </w:r>
      <w:r w:rsidRPr="00F92E56">
        <w:rPr>
          <w:iCs/>
        </w:rPr>
        <w:t>Calculated based on values provided in the PSCR</w:t>
      </w:r>
      <w:r w:rsidR="00785872" w:rsidRPr="00785872">
        <w:rPr>
          <w:iCs/>
        </w:rPr>
        <w:t xml:space="preserve"> </w:t>
      </w:r>
    </w:p>
    <w:p w14:paraId="582CF114" w14:textId="744100E7" w:rsidR="00E00CDA" w:rsidRPr="00F92E56" w:rsidRDefault="00E00CDA" w:rsidP="00236876">
      <w:pPr>
        <w:pStyle w:val="3-BodyText"/>
      </w:pPr>
      <w:r w:rsidRPr="00F92E56">
        <w:t xml:space="preserve">On the basis of the direct evidence presented in the </w:t>
      </w:r>
      <w:r w:rsidR="00066B4F" w:rsidRPr="00F92E56">
        <w:t>re</w:t>
      </w:r>
      <w:r w:rsidRPr="00F92E56">
        <w:t xml:space="preserve">submission, for every 100 patients treated with nivolumab in comparison with placebo (median duration of follow-up: </w:t>
      </w:r>
      <w:r w:rsidR="004D5B98" w:rsidRPr="00F92E56">
        <w:t xml:space="preserve">36.1 months </w:t>
      </w:r>
      <w:r w:rsidR="009750E3" w:rsidRPr="00F92E56">
        <w:t>[</w:t>
      </w:r>
      <w:r w:rsidR="001E1A6D" w:rsidRPr="00F92E56">
        <w:t>n</w:t>
      </w:r>
      <w:r w:rsidRPr="00F92E56">
        <w:t>ivolumab</w:t>
      </w:r>
      <w:r w:rsidR="001E1A6D" w:rsidRPr="00F92E56">
        <w:t>:</w:t>
      </w:r>
      <w:r w:rsidRPr="00F92E56">
        <w:t xml:space="preserve"> </w:t>
      </w:r>
      <w:r w:rsidR="004D5B98" w:rsidRPr="00F92E56">
        <w:t>37</w:t>
      </w:r>
      <w:r w:rsidRPr="00F92E56">
        <w:t>.4 months</w:t>
      </w:r>
      <w:r w:rsidR="001E1A6D" w:rsidRPr="00F92E56">
        <w:t>; p</w:t>
      </w:r>
      <w:r w:rsidRPr="00F92E56">
        <w:t>lacebo</w:t>
      </w:r>
      <w:r w:rsidR="001E1A6D" w:rsidRPr="00F92E56">
        <w:t>:</w:t>
      </w:r>
      <w:r w:rsidRPr="00F92E56">
        <w:t xml:space="preserve"> </w:t>
      </w:r>
      <w:r w:rsidR="004D5B98" w:rsidRPr="00F92E56">
        <w:t>33.9</w:t>
      </w:r>
      <w:r w:rsidRPr="00F92E56">
        <w:t xml:space="preserve"> months</w:t>
      </w:r>
      <w:r w:rsidR="009750E3" w:rsidRPr="00F92E56">
        <w:t>]</w:t>
      </w:r>
      <w:r w:rsidRPr="00F92E56">
        <w:t xml:space="preserve">): </w:t>
      </w:r>
    </w:p>
    <w:p w14:paraId="4F297863" w14:textId="24001762" w:rsidR="00E00CDA" w:rsidRPr="00F92E56" w:rsidRDefault="00E00CDA" w:rsidP="00C76B7E">
      <w:pPr>
        <w:pStyle w:val="ListParagraph"/>
      </w:pPr>
      <w:r w:rsidRPr="00F92E56">
        <w:t xml:space="preserve">Approximately </w:t>
      </w:r>
      <w:r w:rsidR="00066B4F" w:rsidRPr="00F92E56">
        <w:t>24</w:t>
      </w:r>
      <w:r w:rsidRPr="00F92E56">
        <w:t xml:space="preserve"> additional patients will remain free of disease recurrence or death at </w:t>
      </w:r>
      <w:r w:rsidR="00066B4F" w:rsidRPr="00F92E56">
        <w:t>6</w:t>
      </w:r>
      <w:r w:rsidRPr="00F92E56">
        <w:t xml:space="preserve"> months.</w:t>
      </w:r>
    </w:p>
    <w:p w14:paraId="04FC4BEE" w14:textId="49700269" w:rsidR="00E00CDA" w:rsidRPr="00F92E56" w:rsidRDefault="00E00CDA" w:rsidP="00C76B7E">
      <w:pPr>
        <w:pStyle w:val="ListParagraph"/>
      </w:pPr>
      <w:r w:rsidRPr="00F92E56">
        <w:t xml:space="preserve">Approximately </w:t>
      </w:r>
      <w:r w:rsidR="009977E4" w:rsidRPr="00F92E56">
        <w:t>5</w:t>
      </w:r>
      <w:r w:rsidRPr="00F92E56">
        <w:t xml:space="preserve"> additional patients will experience a life-threatening or severe serious adverse event.</w:t>
      </w:r>
    </w:p>
    <w:p w14:paraId="5DF99465" w14:textId="3B758262" w:rsidR="00E00CDA" w:rsidRPr="00F92E56" w:rsidRDefault="00E00CDA" w:rsidP="00C76B7E">
      <w:pPr>
        <w:pStyle w:val="ListParagraph"/>
      </w:pPr>
      <w:r w:rsidRPr="00F92E56">
        <w:lastRenderedPageBreak/>
        <w:t>Approximately 12 additional patients will experience pruritus (any grade).</w:t>
      </w:r>
    </w:p>
    <w:p w14:paraId="5E9954AE" w14:textId="32BD7E12" w:rsidR="009977E4" w:rsidRPr="00F92E56" w:rsidRDefault="00E00CDA" w:rsidP="00236876">
      <w:pPr>
        <w:pStyle w:val="3-BodyText"/>
        <w:numPr>
          <w:ilvl w:val="0"/>
          <w:numId w:val="0"/>
        </w:numPr>
        <w:ind w:left="720"/>
      </w:pPr>
      <w:r w:rsidRPr="00F92E56">
        <w:rPr>
          <w:snapToGrid/>
        </w:rPr>
        <w:t>The</w:t>
      </w:r>
      <w:r w:rsidR="00B7337D" w:rsidRPr="00F92E56">
        <w:rPr>
          <w:snapToGrid/>
        </w:rPr>
        <w:t xml:space="preserve"> ESC noted that the</w:t>
      </w:r>
      <w:r w:rsidRPr="00F92E56">
        <w:rPr>
          <w:snapToGrid/>
        </w:rPr>
        <w:t xml:space="preserve"> impact on OS is unknown.</w:t>
      </w:r>
    </w:p>
    <w:p w14:paraId="5044719D" w14:textId="77777777" w:rsidR="00B60939" w:rsidRPr="00F92E56" w:rsidRDefault="00B60939" w:rsidP="00E9094A">
      <w:pPr>
        <w:pStyle w:val="4-SubsectionHeading"/>
      </w:pPr>
      <w:bookmarkStart w:id="40" w:name="_Toc22897644"/>
      <w:bookmarkStart w:id="41" w:name="_Toc145496537"/>
      <w:r w:rsidRPr="00F92E56">
        <w:t>Clinical claim</w:t>
      </w:r>
      <w:bookmarkEnd w:id="40"/>
      <w:bookmarkEnd w:id="41"/>
    </w:p>
    <w:p w14:paraId="3C5B7EB1" w14:textId="6787173A" w:rsidR="005F7588" w:rsidRPr="00F92E56" w:rsidRDefault="009977E4" w:rsidP="00236876">
      <w:pPr>
        <w:pStyle w:val="3-BodyText"/>
        <w:rPr>
          <w:rFonts w:eastAsia="Calibri"/>
        </w:rPr>
      </w:pPr>
      <w:r w:rsidRPr="00F92E56">
        <w:rPr>
          <w:rFonts w:eastAsia="Calibri"/>
        </w:rPr>
        <w:t>Based on the direct comparison in the CM274 trial, the resubmission described adjuvant treatment with nivolumab in patients who have received prior NAC and have undergone radical resection of MIUC, and are at high risk of recurrence, as superior in terms of effectiveness and inferior in terms of safety compared to placebo (as a proxy for watchful waiting).</w:t>
      </w:r>
    </w:p>
    <w:p w14:paraId="59080F69" w14:textId="77777777" w:rsidR="00C1516F" w:rsidRPr="00F92E56" w:rsidRDefault="009977E4" w:rsidP="00236876">
      <w:pPr>
        <w:pStyle w:val="3-BodyText"/>
        <w:rPr>
          <w:rFonts w:eastAsia="Calibri"/>
        </w:rPr>
      </w:pPr>
      <w:r w:rsidRPr="00F92E56">
        <w:rPr>
          <w:rFonts w:eastAsia="Calibri"/>
        </w:rPr>
        <w:t>The resubmission noted that OS data from CM274 remain immature and argued that</w:t>
      </w:r>
      <w:r w:rsidR="00C1516F" w:rsidRPr="00F92E56">
        <w:rPr>
          <w:rFonts w:eastAsia="Calibri"/>
        </w:rPr>
        <w:t>:</w:t>
      </w:r>
    </w:p>
    <w:p w14:paraId="10B059F7" w14:textId="4181F61B" w:rsidR="009977E4" w:rsidRPr="00F92E56" w:rsidRDefault="009977E4" w:rsidP="00C76B7E">
      <w:pPr>
        <w:pStyle w:val="ListParagraph"/>
        <w:rPr>
          <w:rFonts w:eastAsia="Calibri"/>
        </w:rPr>
      </w:pPr>
      <w:r w:rsidRPr="00F92E56">
        <w:rPr>
          <w:rFonts w:eastAsia="Calibri"/>
        </w:rPr>
        <w:t>reducing the risk of cancer recurrence is a meaningful clinical benefit, particularly among patients at high risk of disease recurrence</w:t>
      </w:r>
      <w:r w:rsidR="00C1516F" w:rsidRPr="00F92E56">
        <w:rPr>
          <w:rFonts w:eastAsia="Calibri"/>
        </w:rPr>
        <w:t xml:space="preserve"> and that the </w:t>
      </w:r>
      <w:r w:rsidRPr="00F92E56">
        <w:rPr>
          <w:rFonts w:eastAsia="Calibri"/>
        </w:rPr>
        <w:t>DFS endpoint is not confounded by subsequent anti</w:t>
      </w:r>
      <w:r w:rsidR="0075407E" w:rsidRPr="00F92E56">
        <w:rPr>
          <w:rFonts w:eastAsia="Calibri"/>
        </w:rPr>
        <w:t>-</w:t>
      </w:r>
      <w:r w:rsidRPr="00F92E56">
        <w:rPr>
          <w:rFonts w:eastAsia="Calibri"/>
        </w:rPr>
        <w:t>cancer therapies as is the case for OS</w:t>
      </w:r>
      <w:r w:rsidR="0075407E" w:rsidRPr="00F92E56">
        <w:rPr>
          <w:rFonts w:eastAsia="Calibri"/>
        </w:rPr>
        <w:t>;</w:t>
      </w:r>
      <w:r w:rsidRPr="00F92E56">
        <w:rPr>
          <w:rFonts w:eastAsia="Calibri"/>
        </w:rPr>
        <w:t xml:space="preserve"> </w:t>
      </w:r>
    </w:p>
    <w:p w14:paraId="587817AB" w14:textId="77777777" w:rsidR="009977E4" w:rsidRPr="00F92E56" w:rsidRDefault="009977E4" w:rsidP="00C76B7E">
      <w:pPr>
        <w:pStyle w:val="ListParagraph"/>
        <w:rPr>
          <w:rFonts w:eastAsia="Calibri"/>
        </w:rPr>
      </w:pPr>
      <w:r w:rsidRPr="00F92E56">
        <w:rPr>
          <w:rFonts w:eastAsia="Calibri"/>
        </w:rPr>
        <w:t>for exploratory endpoints such as NUTRFS and DMFS, nivolumab was associated with clinically meaningful risk reductions compared with placebo; and</w:t>
      </w:r>
    </w:p>
    <w:p w14:paraId="3F72E6B7" w14:textId="140048ED" w:rsidR="00F60524" w:rsidRPr="00C76B7E" w:rsidRDefault="009977E4" w:rsidP="00F60524">
      <w:pPr>
        <w:pStyle w:val="ListParagraph"/>
        <w:rPr>
          <w:rFonts w:eastAsia="Calibri"/>
        </w:rPr>
      </w:pPr>
      <w:r w:rsidRPr="00F92E56">
        <w:rPr>
          <w:rFonts w:eastAsia="Calibri"/>
        </w:rPr>
        <w:t>the results for patient-reported endpoints</w:t>
      </w:r>
      <w:r w:rsidR="0075407E" w:rsidRPr="00F92E56">
        <w:rPr>
          <w:rFonts w:eastAsia="Calibri"/>
        </w:rPr>
        <w:t>,</w:t>
      </w:r>
      <w:r w:rsidRPr="00F92E56">
        <w:rPr>
          <w:rFonts w:eastAsia="Calibri"/>
        </w:rPr>
        <w:t xml:space="preserve"> including EORTC QLQ-C30 and EQ-5D-3L</w:t>
      </w:r>
      <w:r w:rsidR="0075407E" w:rsidRPr="00F92E56">
        <w:rPr>
          <w:rFonts w:eastAsia="Calibri"/>
        </w:rPr>
        <w:t>,</w:t>
      </w:r>
      <w:r w:rsidRPr="00F92E56">
        <w:rPr>
          <w:rFonts w:eastAsia="Calibri"/>
        </w:rPr>
        <w:t xml:space="preserve"> demonstrated that adjuvant treatment with nivolumab was not detrimental to patients’ HRQoL compared to </w:t>
      </w:r>
      <w:r w:rsidR="0075407E" w:rsidRPr="00F92E56">
        <w:rPr>
          <w:rFonts w:eastAsia="Calibri"/>
        </w:rPr>
        <w:t>placebo</w:t>
      </w:r>
      <w:r w:rsidR="00C1516F" w:rsidRPr="00F92E56">
        <w:rPr>
          <w:rFonts w:eastAsia="Calibri"/>
        </w:rPr>
        <w:t>.</w:t>
      </w:r>
    </w:p>
    <w:p w14:paraId="1D181702" w14:textId="78342EAC" w:rsidR="005F7588" w:rsidRPr="00F92E56" w:rsidRDefault="008B730C" w:rsidP="00236876">
      <w:pPr>
        <w:pStyle w:val="3-BodyText"/>
        <w:rPr>
          <w:rFonts w:eastAsia="Calibri"/>
        </w:rPr>
      </w:pPr>
      <w:r w:rsidRPr="00F92E56">
        <w:rPr>
          <w:rFonts w:eastAsia="Calibri"/>
        </w:rPr>
        <w:t xml:space="preserve">For efficacy, the </w:t>
      </w:r>
      <w:r w:rsidR="0078103B" w:rsidRPr="00F92E56">
        <w:rPr>
          <w:rFonts w:eastAsia="Calibri"/>
        </w:rPr>
        <w:t xml:space="preserve">ESC considered that the </w:t>
      </w:r>
      <w:r w:rsidRPr="00F92E56">
        <w:rPr>
          <w:rFonts w:eastAsia="Calibri"/>
        </w:rPr>
        <w:t xml:space="preserve">therapeutic conclusion presented in the resubmission is likely reasonable in terms of DFS from the CM274 trial evidence. </w:t>
      </w:r>
      <w:r w:rsidR="0078103B" w:rsidRPr="00F92E56">
        <w:rPr>
          <w:rFonts w:eastAsia="Calibri"/>
        </w:rPr>
        <w:t>However, the ESC considered that a</w:t>
      </w:r>
      <w:r w:rsidRPr="00F92E56">
        <w:rPr>
          <w:rFonts w:eastAsia="Calibri"/>
        </w:rPr>
        <w:t xml:space="preserve">s no </w:t>
      </w:r>
      <w:r w:rsidR="0002347B" w:rsidRPr="00F92E56">
        <w:rPr>
          <w:rFonts w:eastAsia="Calibri"/>
        </w:rPr>
        <w:t xml:space="preserve">analysis of </w:t>
      </w:r>
      <w:r w:rsidRPr="00F92E56">
        <w:rPr>
          <w:rFonts w:eastAsia="Calibri"/>
        </w:rPr>
        <w:t xml:space="preserve">OS </w:t>
      </w:r>
      <w:r w:rsidR="0002347B" w:rsidRPr="00F92E56">
        <w:rPr>
          <w:rFonts w:eastAsia="Calibri"/>
        </w:rPr>
        <w:t xml:space="preserve">data was </w:t>
      </w:r>
      <w:r w:rsidRPr="00F92E56">
        <w:rPr>
          <w:rFonts w:eastAsia="Calibri"/>
        </w:rPr>
        <w:t>provided in the resubmission, a claim of superiority in terms of OS benefit cannot be made. Longer-term OS data are required to conclusively determine whether the observed improvement in DFS translates into a clinically meaningful OS benefit</w:t>
      </w:r>
      <w:r w:rsidR="007C70FF" w:rsidRPr="00F92E56">
        <w:rPr>
          <w:rFonts w:eastAsia="Calibri"/>
        </w:rPr>
        <w:t>.</w:t>
      </w:r>
    </w:p>
    <w:p w14:paraId="0721576A" w14:textId="77777777" w:rsidR="0078103B" w:rsidRPr="00F92E56" w:rsidRDefault="008B730C" w:rsidP="00236876">
      <w:pPr>
        <w:pStyle w:val="3-BodyText"/>
        <w:rPr>
          <w:rFonts w:eastAsia="Calibri"/>
        </w:rPr>
      </w:pPr>
      <w:r w:rsidRPr="00F92E56">
        <w:rPr>
          <w:rFonts w:eastAsia="Calibri"/>
        </w:rPr>
        <w:t xml:space="preserve">The </w:t>
      </w:r>
      <w:r w:rsidR="0078103B" w:rsidRPr="00F92E56">
        <w:rPr>
          <w:rFonts w:eastAsia="Calibri"/>
        </w:rPr>
        <w:t xml:space="preserve">ESC considered that the </w:t>
      </w:r>
      <w:r w:rsidRPr="00F92E56">
        <w:rPr>
          <w:rFonts w:eastAsia="Calibri"/>
        </w:rPr>
        <w:t xml:space="preserve">claim of inferior safety compared to placebo was reasonable and adequately supported by the </w:t>
      </w:r>
      <w:r w:rsidR="002603AC" w:rsidRPr="00F92E56">
        <w:rPr>
          <w:rFonts w:eastAsia="Calibri"/>
        </w:rPr>
        <w:t xml:space="preserve">AE </w:t>
      </w:r>
      <w:r w:rsidRPr="00F92E56">
        <w:rPr>
          <w:rFonts w:eastAsia="Calibri"/>
        </w:rPr>
        <w:t xml:space="preserve">data. </w:t>
      </w:r>
    </w:p>
    <w:p w14:paraId="723F2DA5" w14:textId="41CBC840" w:rsidR="008B730C" w:rsidRPr="00F92E56" w:rsidRDefault="002603AC" w:rsidP="00236876">
      <w:pPr>
        <w:pStyle w:val="3-BodyText"/>
        <w:rPr>
          <w:rFonts w:eastAsia="Calibri"/>
        </w:rPr>
      </w:pPr>
      <w:r w:rsidRPr="00F92E56">
        <w:rPr>
          <w:rFonts w:eastAsia="Calibri"/>
        </w:rPr>
        <w:t xml:space="preserve">The EORTC QLQ-C30 and EQ-5D-3L data indicated </w:t>
      </w:r>
      <w:r w:rsidR="008B730C" w:rsidRPr="00F92E56">
        <w:rPr>
          <w:rFonts w:eastAsia="Calibri"/>
        </w:rPr>
        <w:t xml:space="preserve">there was no meaningful difference in deterioration in </w:t>
      </w:r>
      <w:r w:rsidR="00EE5AF0" w:rsidRPr="00F92E56">
        <w:rPr>
          <w:rFonts w:eastAsia="Calibri"/>
        </w:rPr>
        <w:t>QoL</w:t>
      </w:r>
      <w:r w:rsidR="008B730C" w:rsidRPr="00F92E56">
        <w:rPr>
          <w:rFonts w:eastAsia="Calibri"/>
        </w:rPr>
        <w:t xml:space="preserve"> between patients </w:t>
      </w:r>
      <w:r w:rsidRPr="00F92E56">
        <w:rPr>
          <w:rFonts w:eastAsia="Calibri"/>
        </w:rPr>
        <w:t>in the</w:t>
      </w:r>
      <w:r w:rsidR="008B730C" w:rsidRPr="00F92E56">
        <w:rPr>
          <w:rFonts w:eastAsia="Calibri"/>
        </w:rPr>
        <w:t xml:space="preserve"> nivolumab and placebo</w:t>
      </w:r>
      <w:r w:rsidRPr="00F92E56">
        <w:rPr>
          <w:rFonts w:eastAsia="Calibri"/>
        </w:rPr>
        <w:t xml:space="preserve"> arms of the CM274 trial. However, the</w:t>
      </w:r>
      <w:r w:rsidR="0078103B" w:rsidRPr="00F92E56">
        <w:rPr>
          <w:rFonts w:eastAsia="Calibri"/>
        </w:rPr>
        <w:t xml:space="preserve"> evaluation considered the</w:t>
      </w:r>
      <w:r w:rsidRPr="00F92E56">
        <w:rPr>
          <w:rFonts w:eastAsia="Calibri"/>
        </w:rPr>
        <w:t xml:space="preserve">se tools </w:t>
      </w:r>
      <w:r w:rsidR="0078103B" w:rsidRPr="00F92E56">
        <w:rPr>
          <w:rFonts w:eastAsia="Calibri"/>
        </w:rPr>
        <w:t xml:space="preserve">were </w:t>
      </w:r>
      <w:r w:rsidRPr="00F92E56">
        <w:rPr>
          <w:rFonts w:eastAsia="Calibri"/>
        </w:rPr>
        <w:t>limited in capturing the impact of immunotherapy on a patient’s HRQoL.</w:t>
      </w:r>
    </w:p>
    <w:p w14:paraId="4FAF5829" w14:textId="1A8B1349" w:rsidR="00961EC0" w:rsidRPr="00F92E56" w:rsidRDefault="00961EC0" w:rsidP="00236876">
      <w:pPr>
        <w:pStyle w:val="3-BodyText"/>
      </w:pPr>
      <w:bookmarkStart w:id="42" w:name="_Hlk76376200"/>
      <w:r w:rsidRPr="00F92E56">
        <w:t xml:space="preserve">The PBAC considered that the claim of superior comparative effectiveness </w:t>
      </w:r>
      <w:r w:rsidR="006361D3" w:rsidRPr="00F92E56">
        <w:t xml:space="preserve">in terms of DFS </w:t>
      </w:r>
      <w:r w:rsidRPr="00F92E56">
        <w:t>was reasonable.</w:t>
      </w:r>
    </w:p>
    <w:p w14:paraId="41CE04B5" w14:textId="49AE57A1" w:rsidR="00961EC0" w:rsidRPr="00F92E56" w:rsidRDefault="00961EC0" w:rsidP="00961EC0">
      <w:pPr>
        <w:widowControl w:val="0"/>
        <w:numPr>
          <w:ilvl w:val="1"/>
          <w:numId w:val="1"/>
        </w:numPr>
        <w:spacing w:after="120"/>
        <w:rPr>
          <w:rFonts w:asciiTheme="minorHAnsi" w:hAnsiTheme="minorHAnsi"/>
          <w:snapToGrid w:val="0"/>
          <w:szCs w:val="20"/>
        </w:rPr>
      </w:pPr>
      <w:r w:rsidRPr="00F92E56">
        <w:rPr>
          <w:rFonts w:asciiTheme="minorHAnsi" w:hAnsiTheme="minorHAnsi"/>
          <w:snapToGrid w:val="0"/>
          <w:szCs w:val="20"/>
        </w:rPr>
        <w:t>The PBAC considered that the claim of inferior comparative safety was reasonable.</w:t>
      </w:r>
      <w:bookmarkEnd w:id="42"/>
    </w:p>
    <w:p w14:paraId="40375EE0" w14:textId="77777777" w:rsidR="00B60939" w:rsidRPr="00F92E56" w:rsidRDefault="00B60939" w:rsidP="00E9094A">
      <w:pPr>
        <w:pStyle w:val="4-SubsectionHeading"/>
      </w:pPr>
      <w:bookmarkStart w:id="43" w:name="_Toc22897645"/>
      <w:bookmarkStart w:id="44" w:name="_Toc145496538"/>
      <w:r w:rsidRPr="00F92E56">
        <w:t>Economic analysis</w:t>
      </w:r>
      <w:bookmarkEnd w:id="43"/>
      <w:bookmarkEnd w:id="44"/>
      <w:r w:rsidR="00491B3A" w:rsidRPr="00F92E56">
        <w:t xml:space="preserve"> </w:t>
      </w:r>
    </w:p>
    <w:p w14:paraId="356D7892" w14:textId="1F6D73D1" w:rsidR="001D66D4" w:rsidRPr="00F92E56" w:rsidRDefault="001D66D4" w:rsidP="00236876">
      <w:pPr>
        <w:pStyle w:val="3-BodyText"/>
      </w:pPr>
      <w:bookmarkStart w:id="45" w:name="_Hlk142899338"/>
      <w:bookmarkStart w:id="46" w:name="_Toc22897648"/>
      <w:r w:rsidRPr="00F92E56">
        <w:t>The resubmission presented an updated modelled economic evaluation, based on the CM274 trial, which compared treatment with nivolumab versus watchful waiting in the high risk MIUC adjuvant setting after receipt of prior NAC and radical surgery. The types of economic evaluation presented were a cost-effectiveness analysis and a cost-</w:t>
      </w:r>
      <w:r w:rsidRPr="00F92E56">
        <w:lastRenderedPageBreak/>
        <w:t>utility analysis, measuring outcomes in terms of life</w:t>
      </w:r>
      <w:r w:rsidR="00FE2F53" w:rsidRPr="00F92E56">
        <w:t xml:space="preserve"> </w:t>
      </w:r>
      <w:r w:rsidRPr="00F92E56">
        <w:t>years (LYs) gained and quality-adjusted life years (QALYs) gained, respectively. This is unchanged since the previous submission.</w:t>
      </w:r>
      <w:bookmarkEnd w:id="45"/>
    </w:p>
    <w:p w14:paraId="43B74936" w14:textId="06301365" w:rsidR="001D66D4" w:rsidRPr="00F92E56" w:rsidRDefault="001D66D4" w:rsidP="00236876">
      <w:pPr>
        <w:pStyle w:val="3-BodyText"/>
      </w:pPr>
      <w:bookmarkStart w:id="47" w:name="_Hlk142899355"/>
      <w:r w:rsidRPr="00F92E56">
        <w:t xml:space="preserve">The key components of the economic evaluation and changes compared with the previous submission are summarised </w:t>
      </w:r>
      <w:r w:rsidR="00C7399A" w:rsidRPr="00F92E56">
        <w:t xml:space="preserve">in </w:t>
      </w:r>
      <w:bookmarkEnd w:id="47"/>
      <w:r w:rsidR="00C7399A" w:rsidRPr="00F92E56">
        <w:fldChar w:fldCharType="begin" w:fldLock="1"/>
      </w:r>
      <w:r w:rsidR="00C7399A" w:rsidRPr="00F92E56">
        <w:instrText xml:space="preserve"> REF _Ref142836465 \h </w:instrText>
      </w:r>
      <w:r w:rsidR="00C7399A" w:rsidRPr="00F92E56">
        <w:fldChar w:fldCharType="separate"/>
      </w:r>
      <w:r w:rsidR="0096718A" w:rsidRPr="00F92E56">
        <w:t xml:space="preserve">Table </w:t>
      </w:r>
      <w:r w:rsidR="0096718A" w:rsidRPr="00346867">
        <w:t>11</w:t>
      </w:r>
      <w:r w:rsidR="00C7399A" w:rsidRPr="00F92E56">
        <w:fldChar w:fldCharType="end"/>
      </w:r>
      <w:r w:rsidRPr="00F92E56">
        <w:t>.</w:t>
      </w:r>
    </w:p>
    <w:p w14:paraId="69808417" w14:textId="4BD9ED90" w:rsidR="001D66D4" w:rsidRPr="00F92E56" w:rsidRDefault="001D66D4" w:rsidP="001D66D4">
      <w:pPr>
        <w:pStyle w:val="Caption"/>
        <w:jc w:val="left"/>
        <w:rPr>
          <w:rStyle w:val="CommentReference"/>
          <w:b/>
          <w:szCs w:val="24"/>
        </w:rPr>
      </w:pPr>
      <w:bookmarkStart w:id="48" w:name="_Ref142836465"/>
      <w:r w:rsidRPr="00F92E56">
        <w:t xml:space="preserve">Table </w:t>
      </w:r>
      <w:r w:rsidR="001D78FA">
        <w:fldChar w:fldCharType="begin" w:fldLock="1"/>
      </w:r>
      <w:r w:rsidR="001D78FA">
        <w:instrText xml:space="preserve"> SEQ Table \* ARABIC </w:instrText>
      </w:r>
      <w:r w:rsidR="001D78FA">
        <w:fldChar w:fldCharType="separate"/>
      </w:r>
      <w:r w:rsidR="0096718A" w:rsidRPr="00346867">
        <w:t>11</w:t>
      </w:r>
      <w:r w:rsidR="001D78FA">
        <w:fldChar w:fldCharType="end"/>
      </w:r>
      <w:bookmarkEnd w:id="48"/>
      <w:r w:rsidRPr="00F92E56">
        <w:t>:</w:t>
      </w:r>
      <w:r w:rsidRPr="00F92E56">
        <w:rPr>
          <w:rStyle w:val="CommentReference"/>
          <w:b/>
          <w:szCs w:val="24"/>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7746"/>
      </w:tblGrid>
      <w:tr w:rsidR="001D66D4" w:rsidRPr="00F92E56" w14:paraId="38EAF8CB" w14:textId="77777777" w:rsidTr="00553EDF">
        <w:trPr>
          <w:cantSplit/>
          <w:tblHeader/>
        </w:trPr>
        <w:tc>
          <w:tcPr>
            <w:tcW w:w="705" w:type="pct"/>
            <w:shd w:val="clear" w:color="auto" w:fill="auto"/>
            <w:vAlign w:val="center"/>
          </w:tcPr>
          <w:p w14:paraId="025860A4" w14:textId="77777777" w:rsidR="001D66D4" w:rsidRPr="00346867" w:rsidRDefault="001D66D4" w:rsidP="00553EDF">
            <w:pPr>
              <w:pStyle w:val="In-tableHeading"/>
              <w:keepNext w:val="0"/>
              <w:rPr>
                <w:lang w:val="en-AU"/>
              </w:rPr>
            </w:pPr>
            <w:r w:rsidRPr="00346867">
              <w:rPr>
                <w:lang w:val="en-AU"/>
              </w:rPr>
              <w:t>Component</w:t>
            </w:r>
          </w:p>
        </w:tc>
        <w:tc>
          <w:tcPr>
            <w:tcW w:w="4295" w:type="pct"/>
            <w:shd w:val="clear" w:color="auto" w:fill="auto"/>
            <w:vAlign w:val="center"/>
          </w:tcPr>
          <w:p w14:paraId="138037D7" w14:textId="77777777" w:rsidR="001D66D4" w:rsidRPr="00346867" w:rsidRDefault="001D66D4" w:rsidP="00553EDF">
            <w:pPr>
              <w:pStyle w:val="In-tableHeading"/>
              <w:keepNext w:val="0"/>
              <w:rPr>
                <w:lang w:val="en-AU"/>
              </w:rPr>
            </w:pPr>
            <w:r w:rsidRPr="00346867">
              <w:rPr>
                <w:lang w:val="en-AU"/>
              </w:rPr>
              <w:t>Summary</w:t>
            </w:r>
          </w:p>
        </w:tc>
      </w:tr>
      <w:tr w:rsidR="001D66D4" w:rsidRPr="00F92E56" w14:paraId="5F984237" w14:textId="77777777" w:rsidTr="00553EDF">
        <w:trPr>
          <w:cantSplit/>
        </w:trPr>
        <w:tc>
          <w:tcPr>
            <w:tcW w:w="705" w:type="pct"/>
            <w:shd w:val="clear" w:color="auto" w:fill="auto"/>
            <w:vAlign w:val="center"/>
          </w:tcPr>
          <w:p w14:paraId="29574B61" w14:textId="77777777" w:rsidR="001D66D4" w:rsidRPr="00346867" w:rsidRDefault="001D66D4" w:rsidP="00553EDF">
            <w:pPr>
              <w:pStyle w:val="In-tableHeading"/>
              <w:keepNext w:val="0"/>
              <w:rPr>
                <w:b w:val="0"/>
                <w:bCs/>
                <w:lang w:val="en-AU"/>
              </w:rPr>
            </w:pPr>
            <w:r w:rsidRPr="00346867">
              <w:rPr>
                <w:b w:val="0"/>
                <w:bCs/>
                <w:lang w:val="en-AU"/>
              </w:rPr>
              <w:t>Population</w:t>
            </w:r>
          </w:p>
        </w:tc>
        <w:tc>
          <w:tcPr>
            <w:tcW w:w="4295" w:type="pct"/>
            <w:shd w:val="clear" w:color="auto" w:fill="auto"/>
            <w:vAlign w:val="center"/>
          </w:tcPr>
          <w:p w14:paraId="14F39498" w14:textId="33892F42" w:rsidR="001D66D4" w:rsidRPr="00346867" w:rsidRDefault="001D66D4" w:rsidP="00553EDF">
            <w:pPr>
              <w:pStyle w:val="In-tableHeading"/>
              <w:keepNext w:val="0"/>
              <w:rPr>
                <w:b w:val="0"/>
                <w:bCs/>
                <w:i/>
                <w:iCs/>
                <w:lang w:val="en-AU"/>
              </w:rPr>
            </w:pPr>
            <w:r w:rsidRPr="00346867">
              <w:rPr>
                <w:b w:val="0"/>
                <w:bCs/>
                <w:lang w:val="en-AU"/>
              </w:rPr>
              <w:t xml:space="preserve">Patients with MIUC who have undergone radical resection surgery and are at high risk of recurrence, and who have received prior NAC. </w:t>
            </w:r>
            <w:r w:rsidRPr="00346867">
              <w:rPr>
                <w:b w:val="0"/>
                <w:bCs/>
                <w:iCs/>
                <w:lang w:val="en-AU"/>
              </w:rPr>
              <w:t xml:space="preserve">This was changed since the previous submission which did not restrict to those patients who had received prior NAC. This change was consistent with advice provided by the PBAC previously (para 7.11, </w:t>
            </w:r>
            <w:r w:rsidR="008A1EFF" w:rsidRPr="00346867">
              <w:rPr>
                <w:b w:val="0"/>
                <w:bCs/>
                <w:iCs/>
                <w:lang w:val="en-AU"/>
              </w:rPr>
              <w:t>n</w:t>
            </w:r>
            <w:r w:rsidRPr="00346867">
              <w:rPr>
                <w:b w:val="0"/>
                <w:bCs/>
                <w:iCs/>
                <w:lang w:val="en-AU"/>
              </w:rPr>
              <w:t>ivolumab PSD</w:t>
            </w:r>
            <w:r w:rsidR="008A1EFF" w:rsidRPr="00346867">
              <w:rPr>
                <w:b w:val="0"/>
                <w:bCs/>
                <w:iCs/>
                <w:lang w:val="en-AU"/>
              </w:rPr>
              <w:t>,</w:t>
            </w:r>
            <w:r w:rsidRPr="00346867">
              <w:rPr>
                <w:b w:val="0"/>
                <w:bCs/>
                <w:iCs/>
                <w:lang w:val="en-AU"/>
              </w:rPr>
              <w:t xml:space="preserve"> July 2022 PBAC </w:t>
            </w:r>
            <w:r w:rsidR="008A1EFF" w:rsidRPr="00346867">
              <w:rPr>
                <w:b w:val="0"/>
                <w:bCs/>
                <w:iCs/>
                <w:lang w:val="en-AU"/>
              </w:rPr>
              <w:t>m</w:t>
            </w:r>
            <w:r w:rsidRPr="00346867">
              <w:rPr>
                <w:b w:val="0"/>
                <w:bCs/>
                <w:iCs/>
                <w:lang w:val="en-AU"/>
              </w:rPr>
              <w:t>eeting).</w:t>
            </w:r>
          </w:p>
        </w:tc>
      </w:tr>
      <w:tr w:rsidR="001D66D4" w:rsidRPr="00F92E56" w14:paraId="44DA3E9B" w14:textId="77777777" w:rsidTr="00553EDF">
        <w:trPr>
          <w:cantSplit/>
        </w:trPr>
        <w:tc>
          <w:tcPr>
            <w:tcW w:w="705" w:type="pct"/>
            <w:shd w:val="clear" w:color="auto" w:fill="B8CCE4" w:themeFill="accent1" w:themeFillTint="66"/>
            <w:vAlign w:val="center"/>
          </w:tcPr>
          <w:p w14:paraId="6F311E41" w14:textId="77777777" w:rsidR="001D66D4" w:rsidRPr="00F92E56" w:rsidRDefault="001D66D4" w:rsidP="00553EDF">
            <w:pPr>
              <w:pStyle w:val="TableText0"/>
              <w:keepNext w:val="0"/>
            </w:pPr>
            <w:r w:rsidRPr="00F92E56">
              <w:t>Treatments</w:t>
            </w:r>
          </w:p>
        </w:tc>
        <w:tc>
          <w:tcPr>
            <w:tcW w:w="4295" w:type="pct"/>
            <w:shd w:val="clear" w:color="auto" w:fill="B8CCE4" w:themeFill="accent1" w:themeFillTint="66"/>
            <w:vAlign w:val="center"/>
          </w:tcPr>
          <w:p w14:paraId="4A62A17E" w14:textId="77777777" w:rsidR="001D66D4" w:rsidRPr="00F92E56" w:rsidRDefault="001D66D4" w:rsidP="00553EDF">
            <w:pPr>
              <w:pStyle w:val="TableText0"/>
              <w:keepNext w:val="0"/>
            </w:pPr>
            <w:r w:rsidRPr="00F92E56">
              <w:t xml:space="preserve">Adjuvant nivolumab treatment </w:t>
            </w:r>
            <w:r w:rsidRPr="00F92E56">
              <w:rPr>
                <w:i/>
                <w:iCs/>
              </w:rPr>
              <w:t>vs</w:t>
            </w:r>
            <w:r w:rsidRPr="00F92E56">
              <w:t xml:space="preserve"> watchful waiting</w:t>
            </w:r>
          </w:p>
        </w:tc>
      </w:tr>
      <w:tr w:rsidR="001D66D4" w:rsidRPr="00F92E56" w14:paraId="37EB0EE4" w14:textId="77777777" w:rsidTr="00285DB9">
        <w:trPr>
          <w:cantSplit/>
        </w:trPr>
        <w:tc>
          <w:tcPr>
            <w:tcW w:w="705" w:type="pct"/>
            <w:shd w:val="clear" w:color="auto" w:fill="B8CCE4" w:themeFill="accent1" w:themeFillTint="66"/>
            <w:vAlign w:val="center"/>
          </w:tcPr>
          <w:p w14:paraId="03A0A65D" w14:textId="77777777" w:rsidR="001D66D4" w:rsidRPr="00F92E56" w:rsidRDefault="001D66D4" w:rsidP="00553EDF">
            <w:pPr>
              <w:pStyle w:val="TableText0"/>
              <w:keepNext w:val="0"/>
            </w:pPr>
            <w:r w:rsidRPr="00F92E56">
              <w:t>Time horizon</w:t>
            </w:r>
          </w:p>
        </w:tc>
        <w:tc>
          <w:tcPr>
            <w:tcW w:w="4295" w:type="pct"/>
            <w:shd w:val="clear" w:color="auto" w:fill="auto"/>
            <w:vAlign w:val="center"/>
          </w:tcPr>
          <w:p w14:paraId="451B0065" w14:textId="289AC2E4" w:rsidR="001D66D4" w:rsidRPr="00F92E56" w:rsidRDefault="001D66D4" w:rsidP="00553EDF">
            <w:pPr>
              <w:pStyle w:val="TableText0"/>
              <w:keepNext w:val="0"/>
              <w:rPr>
                <w:i/>
                <w:iCs/>
              </w:rPr>
            </w:pPr>
            <w:r w:rsidRPr="00F92E56">
              <w:rPr>
                <w:shd w:val="clear" w:color="auto" w:fill="B8CCE4" w:themeFill="accent1" w:themeFillTint="66"/>
              </w:rPr>
              <w:t>20 years in the model base case</w:t>
            </w:r>
            <w:r w:rsidRPr="00F92E56">
              <w:t xml:space="preserve"> versus median </w:t>
            </w:r>
            <w:r w:rsidRPr="00F92E56">
              <w:rPr>
                <w:shd w:val="clear" w:color="auto" w:fill="FFFFFF" w:themeFill="background1"/>
              </w:rPr>
              <w:t xml:space="preserve">36.1 month follow-up </w:t>
            </w:r>
            <w:r w:rsidR="008A1EFF" w:rsidRPr="00F92E56">
              <w:rPr>
                <w:shd w:val="clear" w:color="auto" w:fill="FFFFFF" w:themeFill="background1"/>
              </w:rPr>
              <w:t>at the updated September 2022 data cut-off</w:t>
            </w:r>
            <w:r w:rsidRPr="00F92E56">
              <w:rPr>
                <w:shd w:val="clear" w:color="auto" w:fill="FFFFFF" w:themeFill="background1"/>
              </w:rPr>
              <w:t xml:space="preserve"> </w:t>
            </w:r>
            <w:r w:rsidR="008A1EFF" w:rsidRPr="00F92E56">
              <w:rPr>
                <w:shd w:val="clear" w:color="auto" w:fill="FFFFFF" w:themeFill="background1"/>
              </w:rPr>
              <w:t>(ITT population</w:t>
            </w:r>
            <w:r w:rsidR="00702715" w:rsidRPr="00F92E56">
              <w:rPr>
                <w:shd w:val="clear" w:color="auto" w:fill="FFFFFF" w:themeFill="background1"/>
              </w:rPr>
              <w:t>)</w:t>
            </w:r>
            <w:r w:rsidRPr="00F92E56">
              <w:rPr>
                <w:shd w:val="clear" w:color="auto" w:fill="FFFFFF" w:themeFill="background1"/>
              </w:rPr>
              <w:t xml:space="preserve"> of the CM274 trial</w:t>
            </w:r>
            <w:r w:rsidRPr="00F92E56">
              <w:t xml:space="preserve">. </w:t>
            </w:r>
            <w:r w:rsidRPr="00F92E56">
              <w:rPr>
                <w:iCs/>
              </w:rPr>
              <w:t>Th</w:t>
            </w:r>
            <w:r w:rsidR="00702715" w:rsidRPr="00F92E56">
              <w:rPr>
                <w:iCs/>
              </w:rPr>
              <w:t>e time horizon</w:t>
            </w:r>
            <w:r w:rsidRPr="00F92E56">
              <w:rPr>
                <w:iCs/>
              </w:rPr>
              <w:t xml:space="preserve"> was unchanged from the previous submission and may not be reasonable as the PBAC requested more conservative assumptions regarding the time horizon be applied (para 7.9, </w:t>
            </w:r>
            <w:r w:rsidR="008A1EFF" w:rsidRPr="00F92E56">
              <w:rPr>
                <w:iCs/>
              </w:rPr>
              <w:t>n</w:t>
            </w:r>
            <w:r w:rsidRPr="00F92E56">
              <w:rPr>
                <w:iCs/>
              </w:rPr>
              <w:t>ivolumab PSD</w:t>
            </w:r>
            <w:r w:rsidR="008A1EFF" w:rsidRPr="00F92E56">
              <w:rPr>
                <w:iCs/>
              </w:rPr>
              <w:t>,</w:t>
            </w:r>
            <w:r w:rsidRPr="00F92E56">
              <w:rPr>
                <w:iCs/>
              </w:rPr>
              <w:t xml:space="preserve"> July 2022 PBAC </w:t>
            </w:r>
            <w:r w:rsidR="008A1EFF" w:rsidRPr="00F92E56">
              <w:rPr>
                <w:iCs/>
              </w:rPr>
              <w:t>m</w:t>
            </w:r>
            <w:r w:rsidRPr="00F92E56">
              <w:rPr>
                <w:iCs/>
              </w:rPr>
              <w:t>eeting).</w:t>
            </w:r>
          </w:p>
        </w:tc>
      </w:tr>
      <w:tr w:rsidR="001D66D4" w:rsidRPr="00F92E56" w14:paraId="2F2F2BEF" w14:textId="77777777" w:rsidTr="00553EDF">
        <w:trPr>
          <w:cantSplit/>
        </w:trPr>
        <w:tc>
          <w:tcPr>
            <w:tcW w:w="705" w:type="pct"/>
            <w:shd w:val="clear" w:color="auto" w:fill="B8CCE4" w:themeFill="accent1" w:themeFillTint="66"/>
            <w:vAlign w:val="center"/>
          </w:tcPr>
          <w:p w14:paraId="4FA6FF65" w14:textId="77777777" w:rsidR="001D66D4" w:rsidRPr="00F92E56" w:rsidRDefault="001D66D4" w:rsidP="00553EDF">
            <w:pPr>
              <w:pStyle w:val="TableText0"/>
              <w:keepNext w:val="0"/>
            </w:pPr>
            <w:r w:rsidRPr="00F92E56">
              <w:t>Outcomes</w:t>
            </w:r>
          </w:p>
        </w:tc>
        <w:tc>
          <w:tcPr>
            <w:tcW w:w="4295" w:type="pct"/>
            <w:shd w:val="clear" w:color="auto" w:fill="B8CCE4" w:themeFill="accent1" w:themeFillTint="66"/>
            <w:vAlign w:val="center"/>
          </w:tcPr>
          <w:p w14:paraId="54A092DE" w14:textId="77777777" w:rsidR="001D66D4" w:rsidRPr="00F92E56" w:rsidRDefault="001D66D4" w:rsidP="00553EDF">
            <w:pPr>
              <w:pStyle w:val="TableText0"/>
              <w:keepNext w:val="0"/>
            </w:pPr>
            <w:r w:rsidRPr="00F92E56">
              <w:t>LYs and QALYs gained</w:t>
            </w:r>
          </w:p>
        </w:tc>
      </w:tr>
      <w:tr w:rsidR="001D66D4" w:rsidRPr="00F92E56" w14:paraId="6C78175E" w14:textId="77777777" w:rsidTr="00347C4E">
        <w:trPr>
          <w:cantSplit/>
        </w:trPr>
        <w:tc>
          <w:tcPr>
            <w:tcW w:w="705" w:type="pct"/>
            <w:shd w:val="clear" w:color="auto" w:fill="B8CCE4" w:themeFill="accent1" w:themeFillTint="66"/>
            <w:vAlign w:val="center"/>
          </w:tcPr>
          <w:p w14:paraId="3FB54F22" w14:textId="77777777" w:rsidR="001D66D4" w:rsidRPr="00F92E56" w:rsidRDefault="001D66D4" w:rsidP="00553EDF">
            <w:pPr>
              <w:pStyle w:val="TableText0"/>
              <w:keepNext w:val="0"/>
            </w:pPr>
            <w:r w:rsidRPr="00F92E56">
              <w:t>Methods used to generate results</w:t>
            </w:r>
          </w:p>
        </w:tc>
        <w:tc>
          <w:tcPr>
            <w:tcW w:w="4295" w:type="pct"/>
            <w:shd w:val="clear" w:color="auto" w:fill="auto"/>
            <w:vAlign w:val="center"/>
          </w:tcPr>
          <w:p w14:paraId="29A9A6FE" w14:textId="44D00817" w:rsidR="001D66D4" w:rsidRPr="00F92E56" w:rsidRDefault="001D66D4" w:rsidP="00553EDF">
            <w:pPr>
              <w:pStyle w:val="TableText0"/>
              <w:keepNext w:val="0"/>
            </w:pPr>
            <w:r w:rsidRPr="00F92E56">
              <w:rPr>
                <w:shd w:val="clear" w:color="auto" w:fill="B8CCE4" w:themeFill="accent1" w:themeFillTint="66"/>
              </w:rPr>
              <w:t>Cohort expected value analysis (Markov model).</w:t>
            </w:r>
            <w:r w:rsidRPr="00F92E56">
              <w:t xml:space="preserve"> </w:t>
            </w:r>
            <w:r w:rsidRPr="00F92E56">
              <w:rPr>
                <w:iCs/>
              </w:rPr>
              <w:t xml:space="preserve">This was previously justified on the basis of immature OS data from CM274. </w:t>
            </w:r>
            <w:r w:rsidR="009768B8" w:rsidRPr="00F92E56">
              <w:rPr>
                <w:iCs/>
              </w:rPr>
              <w:t>At the more recent data cutoff of September 2022, 64 deaths (41.0%) and 81 deaths (51.3%) had occurred in the nivolumab and placebo arms, respectively, in the prior NAC subgroup. The use of trial-based OS data directly in the model could reduce the reliance of the model on these assumptions</w:t>
            </w:r>
            <w:r w:rsidR="00C24A3C" w:rsidRPr="00F92E56">
              <w:rPr>
                <w:iCs/>
              </w:rPr>
              <w:t>.</w:t>
            </w:r>
          </w:p>
        </w:tc>
      </w:tr>
      <w:tr w:rsidR="001D66D4" w:rsidRPr="00F92E56" w14:paraId="5B01F36D" w14:textId="77777777" w:rsidTr="00553EDF">
        <w:trPr>
          <w:cantSplit/>
        </w:trPr>
        <w:tc>
          <w:tcPr>
            <w:tcW w:w="705" w:type="pct"/>
            <w:shd w:val="clear" w:color="auto" w:fill="auto"/>
            <w:vAlign w:val="center"/>
          </w:tcPr>
          <w:p w14:paraId="56255AB9" w14:textId="77777777" w:rsidR="001D66D4" w:rsidRPr="00F92E56" w:rsidRDefault="001D66D4" w:rsidP="00553EDF">
            <w:pPr>
              <w:pStyle w:val="TableText0"/>
              <w:keepNext w:val="0"/>
            </w:pPr>
            <w:r w:rsidRPr="00F92E56">
              <w:t>Health states</w:t>
            </w:r>
          </w:p>
        </w:tc>
        <w:tc>
          <w:tcPr>
            <w:tcW w:w="4295" w:type="pct"/>
            <w:shd w:val="clear" w:color="auto" w:fill="auto"/>
            <w:vAlign w:val="center"/>
          </w:tcPr>
          <w:p w14:paraId="7216427F" w14:textId="088A9E1C" w:rsidR="001D66D4" w:rsidRPr="00F92E56" w:rsidRDefault="001D66D4" w:rsidP="00553EDF">
            <w:pPr>
              <w:pStyle w:val="TableText0"/>
              <w:keepNext w:val="0"/>
              <w:rPr>
                <w:i/>
                <w:iCs/>
              </w:rPr>
            </w:pPr>
            <w:r w:rsidRPr="00F92E56">
              <w:t xml:space="preserve">Four health states: pre-recurrence, locoregional recurrence, distant recurrence and dead. </w:t>
            </w:r>
            <w:r w:rsidRPr="00F92E56">
              <w:rPr>
                <w:iCs/>
              </w:rPr>
              <w:t xml:space="preserve">This was changed from the previous submission which included only three health states due to concerns noted by the PBAC on the granularity of the model structure (para 7.11, </w:t>
            </w:r>
            <w:r w:rsidR="008A1EFF" w:rsidRPr="00F92E56">
              <w:rPr>
                <w:iCs/>
              </w:rPr>
              <w:t>n</w:t>
            </w:r>
            <w:r w:rsidRPr="00F92E56">
              <w:rPr>
                <w:iCs/>
              </w:rPr>
              <w:t>ivolumab PSD</w:t>
            </w:r>
            <w:r w:rsidR="008A1EFF" w:rsidRPr="00F92E56">
              <w:rPr>
                <w:iCs/>
              </w:rPr>
              <w:t>,</w:t>
            </w:r>
            <w:r w:rsidRPr="00F92E56">
              <w:rPr>
                <w:iCs/>
              </w:rPr>
              <w:t xml:space="preserve"> July 2022 PBAC </w:t>
            </w:r>
            <w:r w:rsidR="008A1EFF" w:rsidRPr="00F92E56">
              <w:rPr>
                <w:iCs/>
              </w:rPr>
              <w:t>m</w:t>
            </w:r>
            <w:r w:rsidRPr="00F92E56">
              <w:rPr>
                <w:iCs/>
              </w:rPr>
              <w:t>eeting). The revisions in model structure were not a main driver of changes in the incremental costs or outcomes modelled.</w:t>
            </w:r>
          </w:p>
        </w:tc>
      </w:tr>
      <w:tr w:rsidR="001D66D4" w:rsidRPr="00F92E56" w14:paraId="33478E1D" w14:textId="77777777" w:rsidTr="00553EDF">
        <w:trPr>
          <w:cantSplit/>
        </w:trPr>
        <w:tc>
          <w:tcPr>
            <w:tcW w:w="705" w:type="pct"/>
            <w:shd w:val="clear" w:color="auto" w:fill="B8CCE4" w:themeFill="accent1" w:themeFillTint="66"/>
            <w:vAlign w:val="center"/>
          </w:tcPr>
          <w:p w14:paraId="74E48F03" w14:textId="77777777" w:rsidR="001D66D4" w:rsidRPr="00F92E56" w:rsidRDefault="001D66D4" w:rsidP="00553EDF">
            <w:pPr>
              <w:pStyle w:val="TableText0"/>
              <w:keepNext w:val="0"/>
            </w:pPr>
            <w:r w:rsidRPr="00F92E56">
              <w:t>Cycle length</w:t>
            </w:r>
          </w:p>
        </w:tc>
        <w:tc>
          <w:tcPr>
            <w:tcW w:w="4295" w:type="pct"/>
            <w:shd w:val="clear" w:color="auto" w:fill="B8CCE4" w:themeFill="accent1" w:themeFillTint="66"/>
            <w:vAlign w:val="center"/>
          </w:tcPr>
          <w:p w14:paraId="7F4F4DF0" w14:textId="77777777" w:rsidR="001D66D4" w:rsidRPr="00F92E56" w:rsidRDefault="001D66D4" w:rsidP="00553EDF">
            <w:pPr>
              <w:pStyle w:val="TableText0"/>
              <w:keepNext w:val="0"/>
            </w:pPr>
            <w:r w:rsidRPr="00F92E56">
              <w:t>First year: 4 weeks</w:t>
            </w:r>
          </w:p>
          <w:p w14:paraId="206DE71A" w14:textId="77777777" w:rsidR="001D66D4" w:rsidRPr="00F92E56" w:rsidRDefault="001D66D4" w:rsidP="00553EDF">
            <w:pPr>
              <w:pStyle w:val="TableText0"/>
              <w:keepNext w:val="0"/>
            </w:pPr>
            <w:r w:rsidRPr="00F92E56">
              <w:t>Subsequent years: 3-monthly</w:t>
            </w:r>
          </w:p>
        </w:tc>
      </w:tr>
      <w:tr w:rsidR="001D66D4" w:rsidRPr="00F92E56" w14:paraId="45A0BF4C" w14:textId="77777777" w:rsidTr="00C76B7E">
        <w:tc>
          <w:tcPr>
            <w:tcW w:w="705" w:type="pct"/>
            <w:shd w:val="clear" w:color="auto" w:fill="auto"/>
            <w:vAlign w:val="center"/>
          </w:tcPr>
          <w:p w14:paraId="5B23B4D1" w14:textId="77777777" w:rsidR="001D66D4" w:rsidRPr="00F92E56" w:rsidRDefault="001D66D4" w:rsidP="00553EDF">
            <w:pPr>
              <w:pStyle w:val="TableText0"/>
              <w:keepNext w:val="0"/>
            </w:pPr>
            <w:r w:rsidRPr="00F92E56">
              <w:t>Transition probabilities</w:t>
            </w:r>
          </w:p>
        </w:tc>
        <w:tc>
          <w:tcPr>
            <w:tcW w:w="4295" w:type="pct"/>
            <w:shd w:val="clear" w:color="auto" w:fill="auto"/>
            <w:vAlign w:val="center"/>
          </w:tcPr>
          <w:p w14:paraId="03DC9E4E" w14:textId="2E853DCB" w:rsidR="001D66D4" w:rsidRPr="00F92E56" w:rsidRDefault="001D66D4" w:rsidP="00553EDF">
            <w:pPr>
              <w:pStyle w:val="TableText0"/>
              <w:keepNext w:val="0"/>
              <w:rPr>
                <w:iCs/>
              </w:rPr>
            </w:pPr>
            <w:r w:rsidRPr="00F92E56">
              <w:t xml:space="preserve">The probability of remaining in pre-recurrence was based on DFS data from the prior NAC subgroup of CM274. </w:t>
            </w:r>
            <w:r w:rsidRPr="00F92E56">
              <w:rPr>
                <w:iCs/>
              </w:rPr>
              <w:t>Th</w:t>
            </w:r>
            <w:r w:rsidR="00174C4F" w:rsidRPr="00F92E56">
              <w:rPr>
                <w:iCs/>
              </w:rPr>
              <w:t>e evaluation considered that th</w:t>
            </w:r>
            <w:r w:rsidRPr="00F92E56">
              <w:rPr>
                <w:iCs/>
              </w:rPr>
              <w:t xml:space="preserve">is was reasonable. </w:t>
            </w:r>
            <w:r w:rsidRPr="00F92E56">
              <w:t>Patients were assumed to be cured after five years. Data from CM274 were also used to inform the type of first recurrence event (locoregional or distant) and transitions from the locoregional health state to dead or distant recurrence (both assumed to be fixed over time and did not vary across model arms).</w:t>
            </w:r>
          </w:p>
          <w:p w14:paraId="41B1CAC9" w14:textId="77777777" w:rsidR="001D66D4" w:rsidRPr="00F92E56" w:rsidRDefault="001D66D4" w:rsidP="00553EDF">
            <w:pPr>
              <w:pStyle w:val="TableText0"/>
              <w:keepNext w:val="0"/>
              <w:rPr>
                <w:iCs/>
              </w:rPr>
            </w:pPr>
            <w:r w:rsidRPr="00F92E56">
              <w:t xml:space="preserve">Background mortality in pre-recurrence was based on Australian life tables (2019-21), with an increased risk of death applied for the first five years (1.8x) (increased from 1.5x over first two years). </w:t>
            </w:r>
            <w:r w:rsidRPr="00F92E56">
              <w:rPr>
                <w:iCs/>
                <w:lang w:eastAsia="zh-CN"/>
              </w:rPr>
              <w:t>No justification was provided for limiting the duration of increased risk and this may not be reasonable.</w:t>
            </w:r>
            <w:r w:rsidRPr="00F92E56">
              <w:rPr>
                <w:iCs/>
              </w:rPr>
              <w:t xml:space="preserve"> </w:t>
            </w:r>
          </w:p>
          <w:p w14:paraId="5CBD608D" w14:textId="4BD8FC5C" w:rsidR="001D66D4" w:rsidRPr="00F92E56" w:rsidRDefault="001D66D4" w:rsidP="00553EDF">
            <w:pPr>
              <w:pStyle w:val="TableText0"/>
              <w:keepNext w:val="0"/>
              <w:rPr>
                <w:iCs/>
              </w:rPr>
            </w:pPr>
            <w:r w:rsidRPr="00F92E56">
              <w:t>Expert opinion was used to determine the proportion of recurrence events that resulted in a cure (which varied by type of recurrence and model arm)</w:t>
            </w:r>
            <w:r w:rsidR="005842A4" w:rsidRPr="00F92E56">
              <w:t xml:space="preserve"> (locoregional recurrence: 6.6% and 7.7%, nivolumab and watchful waiting, respectively; and distant recurrence: 2.7% and 4.2%, respectively)</w:t>
            </w:r>
            <w:r w:rsidRPr="00F92E56">
              <w:t xml:space="preserve">. </w:t>
            </w:r>
          </w:p>
          <w:p w14:paraId="682DF1C3" w14:textId="76A23322" w:rsidR="001D66D4" w:rsidRPr="00F92E56" w:rsidRDefault="001D66D4" w:rsidP="00553EDF">
            <w:pPr>
              <w:pStyle w:val="TableText0"/>
              <w:keepNext w:val="0"/>
            </w:pPr>
            <w:r w:rsidRPr="00F92E56">
              <w:t>Survival estimates from external trials</w:t>
            </w:r>
            <w:bookmarkStart w:id="49" w:name="_Ref142905710"/>
            <w:r w:rsidR="008341E7" w:rsidRPr="00F92E56">
              <w:rPr>
                <w:rStyle w:val="FootnoteReference"/>
              </w:rPr>
              <w:footnoteReference w:id="15"/>
            </w:r>
            <w:bookmarkEnd w:id="49"/>
            <w:r w:rsidR="007F3EF2" w:rsidRPr="00F92E56">
              <w:rPr>
                <w:vertAlign w:val="superscript"/>
              </w:rPr>
              <w:t>,</w:t>
            </w:r>
            <w:bookmarkStart w:id="50" w:name="_Ref142905713"/>
            <w:r w:rsidR="007F3EF2" w:rsidRPr="00F92E56">
              <w:rPr>
                <w:rStyle w:val="FootnoteReference"/>
              </w:rPr>
              <w:footnoteReference w:id="16"/>
            </w:r>
            <w:bookmarkEnd w:id="50"/>
            <w:r w:rsidR="007F3EF2" w:rsidRPr="00F92E56">
              <w:rPr>
                <w:vertAlign w:val="superscript"/>
              </w:rPr>
              <w:t>,</w:t>
            </w:r>
            <w:bookmarkStart w:id="51" w:name="_Ref142904996"/>
            <w:r w:rsidR="007F3EF2" w:rsidRPr="00F92E56">
              <w:rPr>
                <w:rStyle w:val="FootnoteReference"/>
              </w:rPr>
              <w:footnoteReference w:id="17"/>
            </w:r>
            <w:bookmarkEnd w:id="51"/>
            <w:r w:rsidR="007F3EF2" w:rsidRPr="00F92E56">
              <w:rPr>
                <w:vertAlign w:val="superscript"/>
              </w:rPr>
              <w:t xml:space="preserve"> </w:t>
            </w:r>
            <w:r w:rsidRPr="00F92E56">
              <w:t xml:space="preserve">were used to inform the transition from distant recurrence to dead. </w:t>
            </w:r>
            <w:r w:rsidRPr="00F92E56">
              <w:rPr>
                <w:iCs/>
              </w:rPr>
              <w:t>Differences were noted in the patient characteristics between these trials. Inferring differences in survival outcomes across these studies is highly uncertain.</w:t>
            </w:r>
          </w:p>
        </w:tc>
      </w:tr>
      <w:tr w:rsidR="001D66D4" w:rsidRPr="00F92E56" w14:paraId="5729DB9C" w14:textId="77777777" w:rsidTr="00553EDF">
        <w:trPr>
          <w:cantSplit/>
        </w:trPr>
        <w:tc>
          <w:tcPr>
            <w:tcW w:w="705" w:type="pct"/>
            <w:shd w:val="clear" w:color="auto" w:fill="auto"/>
            <w:vAlign w:val="center"/>
          </w:tcPr>
          <w:p w14:paraId="42D7B14F" w14:textId="77777777" w:rsidR="001D66D4" w:rsidRPr="00F92E56" w:rsidRDefault="001D66D4" w:rsidP="00553EDF">
            <w:pPr>
              <w:pStyle w:val="TableText0"/>
              <w:keepNext w:val="0"/>
            </w:pPr>
            <w:r w:rsidRPr="00F92E56">
              <w:lastRenderedPageBreak/>
              <w:t>Extrapolation method</w:t>
            </w:r>
          </w:p>
        </w:tc>
        <w:tc>
          <w:tcPr>
            <w:tcW w:w="4295" w:type="pct"/>
            <w:shd w:val="clear" w:color="auto" w:fill="auto"/>
            <w:vAlign w:val="center"/>
          </w:tcPr>
          <w:p w14:paraId="67B9F059" w14:textId="13CB675B" w:rsidR="001D66D4" w:rsidRPr="00F92E56" w:rsidRDefault="001D66D4" w:rsidP="00553EDF">
            <w:pPr>
              <w:pStyle w:val="TableText0"/>
              <w:keepNext w:val="0"/>
            </w:pPr>
            <w:r w:rsidRPr="00F92E56">
              <w:t xml:space="preserve">DFS data from the prior NAC subgroup of CM274 were extrapolated from 54 months using Gompertz models independently fitted to the data (previously 29.5 months using independent generalised gamma models). </w:t>
            </w:r>
            <w:r w:rsidRPr="00F92E56">
              <w:rPr>
                <w:iCs/>
              </w:rPr>
              <w:t xml:space="preserve">The truncation point chosen to extrapolate DFS </w:t>
            </w:r>
            <w:r w:rsidR="00702715" w:rsidRPr="00F92E56">
              <w:rPr>
                <w:iCs/>
              </w:rPr>
              <w:t xml:space="preserve">in the comparator arm </w:t>
            </w:r>
            <w:r w:rsidRPr="00F92E56">
              <w:rPr>
                <w:iCs/>
              </w:rPr>
              <w:t xml:space="preserve">may be too late, as the observed data at this time point are unreliable. The generalised gamma model provided a better fit, both statistically and by visual inspection, to the nivolumab data. </w:t>
            </w:r>
          </w:p>
          <w:p w14:paraId="63467F90" w14:textId="77777777" w:rsidR="001D66D4" w:rsidRPr="00F92E56" w:rsidRDefault="001D66D4" w:rsidP="00553EDF">
            <w:pPr>
              <w:pStyle w:val="TableText0"/>
              <w:keepNext w:val="0"/>
            </w:pPr>
          </w:p>
          <w:p w14:paraId="2298B379" w14:textId="16185487" w:rsidR="001D66D4" w:rsidRPr="00F92E56" w:rsidRDefault="00636ED4" w:rsidP="00553EDF">
            <w:pPr>
              <w:pStyle w:val="TableText0"/>
              <w:keepNext w:val="0"/>
            </w:pPr>
            <w:r w:rsidRPr="00F92E56">
              <w:rPr>
                <w:iCs/>
              </w:rPr>
              <w:t>The ESC noted that</w:t>
            </w:r>
            <w:r w:rsidRPr="00F92E56">
              <w:t xml:space="preserve"> </w:t>
            </w:r>
            <w:r w:rsidR="001D66D4" w:rsidRPr="00F92E56">
              <w:t>79% of the incremental QALYs gained were accrued in the extrapolated period.</w:t>
            </w:r>
          </w:p>
        </w:tc>
      </w:tr>
      <w:tr w:rsidR="001D66D4" w:rsidRPr="00F92E56" w14:paraId="7D6ACFAF" w14:textId="77777777" w:rsidTr="00553EDF">
        <w:trPr>
          <w:cantSplit/>
        </w:trPr>
        <w:tc>
          <w:tcPr>
            <w:tcW w:w="705" w:type="pct"/>
            <w:shd w:val="clear" w:color="auto" w:fill="auto"/>
            <w:vAlign w:val="center"/>
          </w:tcPr>
          <w:p w14:paraId="7BDAC16A" w14:textId="77777777" w:rsidR="001D66D4" w:rsidRPr="00F92E56" w:rsidRDefault="001D66D4" w:rsidP="00553EDF">
            <w:pPr>
              <w:pStyle w:val="TableText0"/>
              <w:keepNext w:val="0"/>
            </w:pPr>
            <w:r w:rsidRPr="00F92E56">
              <w:t>Health related quality of life</w:t>
            </w:r>
          </w:p>
        </w:tc>
        <w:tc>
          <w:tcPr>
            <w:tcW w:w="4295" w:type="pct"/>
            <w:shd w:val="clear" w:color="auto" w:fill="auto"/>
            <w:vAlign w:val="center"/>
          </w:tcPr>
          <w:p w14:paraId="0A471EBF" w14:textId="766F50B3" w:rsidR="00170D97" w:rsidRPr="00F92E56" w:rsidRDefault="001D66D4" w:rsidP="00553EDF">
            <w:pPr>
              <w:pStyle w:val="TableText0"/>
              <w:keepNext w:val="0"/>
            </w:pPr>
            <w:r w:rsidRPr="00F92E56">
              <w:t>EQ-5D-3L data collected in the CM274 trial (prior NAC subgroup) using Australian preferences</w:t>
            </w:r>
            <w:r w:rsidR="007F3EF2" w:rsidRPr="00F92E56">
              <w:rPr>
                <w:rStyle w:val="FootnoteReference"/>
              </w:rPr>
              <w:footnoteReference w:id="18"/>
            </w:r>
            <w:r w:rsidRPr="00F92E56">
              <w:t xml:space="preserve">. Least square mean change scores from baseline (0.824) were applied to estimate health state utility values (disease-free: </w:t>
            </w:r>
            <w:r w:rsidR="00170D97" w:rsidRPr="00F92E56">
              <w:t>-</w:t>
            </w:r>
            <w:r w:rsidRPr="00F92E56">
              <w:t xml:space="preserve">0.004; local recurrence: </w:t>
            </w:r>
            <w:r w:rsidR="00170D97" w:rsidRPr="00F92E56">
              <w:t>-</w:t>
            </w:r>
            <w:r w:rsidRPr="00F92E56">
              <w:t xml:space="preserve">0.124; distant recurrence: </w:t>
            </w:r>
            <w:r w:rsidR="00170D97" w:rsidRPr="00F92E56">
              <w:t>-</w:t>
            </w:r>
            <w:r w:rsidRPr="00F92E56">
              <w:t xml:space="preserve">0.093). </w:t>
            </w:r>
            <w:r w:rsidRPr="00F92E56">
              <w:rPr>
                <w:iCs/>
              </w:rPr>
              <w:t>These resulted in a lower utility applied for locoregional than distant recurrence</w:t>
            </w:r>
            <w:r w:rsidR="00170D97" w:rsidRPr="00F92E56">
              <w:rPr>
                <w:iCs/>
              </w:rPr>
              <w:t>.</w:t>
            </w:r>
            <w:r w:rsidR="00170D97" w:rsidRPr="00F92E56">
              <w:t xml:space="preserve"> The ESC considered that this</w:t>
            </w:r>
            <w:r w:rsidRPr="00F92E56">
              <w:t xml:space="preserve"> </w:t>
            </w:r>
            <w:r w:rsidR="00170D97" w:rsidRPr="00F92E56">
              <w:t>was not</w:t>
            </w:r>
            <w:r w:rsidRPr="00F92E56">
              <w:t xml:space="preserve"> reasonable. </w:t>
            </w:r>
          </w:p>
          <w:p w14:paraId="44C60E5A" w14:textId="77777777" w:rsidR="00170D97" w:rsidRPr="00F92E56" w:rsidRDefault="00170D97" w:rsidP="00553EDF">
            <w:pPr>
              <w:pStyle w:val="TableText0"/>
              <w:keepNext w:val="0"/>
              <w:rPr>
                <w:iCs/>
              </w:rPr>
            </w:pPr>
          </w:p>
          <w:p w14:paraId="792A7BF1" w14:textId="2D482BD3" w:rsidR="008E211F" w:rsidRPr="00F92E56" w:rsidRDefault="001D66D4" w:rsidP="00553EDF">
            <w:pPr>
              <w:pStyle w:val="TableText0"/>
              <w:keepNext w:val="0"/>
              <w:rPr>
                <w:iCs/>
              </w:rPr>
            </w:pPr>
            <w:r w:rsidRPr="00F92E56">
              <w:rPr>
                <w:iCs/>
              </w:rPr>
              <w:t xml:space="preserve">The changes from baseline between the recurrence states had overlapping confidence intervals, and so a difference in utility based on these data may not be reasonable. </w:t>
            </w:r>
          </w:p>
          <w:p w14:paraId="123B063B" w14:textId="0DAB7839" w:rsidR="001D66D4" w:rsidRPr="00F92E56" w:rsidRDefault="001D66D4" w:rsidP="00553EDF">
            <w:pPr>
              <w:pStyle w:val="TableText0"/>
              <w:keepNext w:val="0"/>
            </w:pPr>
            <w:r w:rsidRPr="00F92E56">
              <w:t>A one-off disutility for AEs was also applied on model entry (nivolumab: −0.00253; WW: −0.0003).</w:t>
            </w:r>
            <w:r w:rsidR="007C3701" w:rsidRPr="00F92E56">
              <w:t xml:space="preserve"> </w:t>
            </w:r>
            <w:r w:rsidR="007C3701" w:rsidRPr="00F92E56">
              <w:rPr>
                <w:iCs/>
              </w:rPr>
              <w:t>Some of the disutility values used may be an underestimate. The respecified base case presented to the PBAC previously (para 6.58, nivolumab PSD, July 2022 PBAC meeting) applied higher values.</w:t>
            </w:r>
          </w:p>
        </w:tc>
      </w:tr>
      <w:tr w:rsidR="001D66D4" w:rsidRPr="00F92E56" w14:paraId="6868DD88" w14:textId="77777777" w:rsidTr="00553EDF">
        <w:trPr>
          <w:cantSplit/>
        </w:trPr>
        <w:tc>
          <w:tcPr>
            <w:tcW w:w="705" w:type="pct"/>
            <w:shd w:val="clear" w:color="auto" w:fill="auto"/>
            <w:vAlign w:val="center"/>
          </w:tcPr>
          <w:p w14:paraId="05AE6D01" w14:textId="77777777" w:rsidR="001D66D4" w:rsidRPr="00F92E56" w:rsidRDefault="001D66D4" w:rsidP="00553EDF">
            <w:pPr>
              <w:pStyle w:val="TableText0"/>
              <w:keepNext w:val="0"/>
            </w:pPr>
            <w:r w:rsidRPr="00F92E56">
              <w:t>Treatment of distant recurrence</w:t>
            </w:r>
          </w:p>
        </w:tc>
        <w:tc>
          <w:tcPr>
            <w:tcW w:w="4295" w:type="pct"/>
            <w:shd w:val="clear" w:color="auto" w:fill="auto"/>
            <w:vAlign w:val="center"/>
          </w:tcPr>
          <w:p w14:paraId="0F987FBB" w14:textId="2E8E3627" w:rsidR="001D66D4" w:rsidRPr="00F92E56" w:rsidRDefault="001D66D4" w:rsidP="00553EDF">
            <w:pPr>
              <w:pStyle w:val="TableText0"/>
              <w:keepNext w:val="0"/>
            </w:pPr>
            <w:r w:rsidRPr="00F92E56">
              <w:t>As the listing of nivolumab may affect the use of avelumab in distant recurrence, different post-recurrence costs and outcomes were applied across model arms. Survival outcomes following avelumab were based on Powles et al. (2023)</w:t>
            </w:r>
            <w:r w:rsidR="007F3EF2" w:rsidRPr="00F92E56">
              <w:rPr>
                <w:vertAlign w:val="superscript"/>
              </w:rPr>
              <w:fldChar w:fldCharType="begin" w:fldLock="1"/>
            </w:r>
            <w:r w:rsidR="007F3EF2" w:rsidRPr="00F92E56">
              <w:rPr>
                <w:vertAlign w:val="superscript"/>
              </w:rPr>
              <w:instrText xml:space="preserve"> NOTEREF _Ref142904996 \h  \* MERGEFORMAT </w:instrText>
            </w:r>
            <w:r w:rsidR="007F3EF2" w:rsidRPr="00F92E56">
              <w:rPr>
                <w:vertAlign w:val="superscript"/>
              </w:rPr>
            </w:r>
            <w:r w:rsidR="007F3EF2" w:rsidRPr="00F92E56">
              <w:rPr>
                <w:vertAlign w:val="superscript"/>
              </w:rPr>
              <w:fldChar w:fldCharType="separate"/>
            </w:r>
            <w:r w:rsidR="0096718A" w:rsidRPr="00F92E56">
              <w:rPr>
                <w:vertAlign w:val="superscript"/>
              </w:rPr>
              <w:t>15</w:t>
            </w:r>
            <w:r w:rsidR="007F3EF2" w:rsidRPr="00F92E56">
              <w:rPr>
                <w:vertAlign w:val="superscript"/>
              </w:rPr>
              <w:fldChar w:fldCharType="end"/>
            </w:r>
            <w:r w:rsidRPr="00F92E56">
              <w:t xml:space="preserve"> and were adjusted for an assumed cure portion of 10%. The adjusted estimates are highly uncertain, as the proportion who achieved a cure in Powles et al. (2023) is unknown. Adjustment of these data is not a conservative approach. The cost per course was based on the mean treatment duration cited in the avelumab PSD (</w:t>
            </w:r>
            <w:r w:rsidR="00BC3EDA" w:rsidRPr="00F92E56">
              <w:t>para 4.1, avelumab PSD, March 2022 PBAC meeting</w:t>
            </w:r>
            <w:r w:rsidRPr="00F92E56">
              <w:t>). Th</w:t>
            </w:r>
            <w:r w:rsidR="00174C4F" w:rsidRPr="00F92E56">
              <w:t>e evaluation considered that th</w:t>
            </w:r>
            <w:r w:rsidRPr="00F92E56">
              <w:t xml:space="preserve">is may be an overestimate as this was the duration which applied before the implementation of a financial stopping rule (where doses administered beyond some point would be provided at no cost). </w:t>
            </w:r>
          </w:p>
        </w:tc>
      </w:tr>
    </w:tbl>
    <w:p w14:paraId="1A0797E1" w14:textId="77777777" w:rsidR="001D66D4" w:rsidRPr="00F92E56" w:rsidRDefault="001D66D4" w:rsidP="001D66D4">
      <w:pPr>
        <w:pStyle w:val="FooterTableFigure"/>
      </w:pPr>
      <w:r w:rsidRPr="00F92E56">
        <w:t xml:space="preserve">Source: </w:t>
      </w:r>
      <w:r w:rsidRPr="00F92E56">
        <w:rPr>
          <w:iCs/>
        </w:rPr>
        <w:t xml:space="preserve">Table </w:t>
      </w:r>
      <w:r w:rsidRPr="00F92E56">
        <w:t>35, p97 and Section 3 of the resubmission.</w:t>
      </w:r>
    </w:p>
    <w:p w14:paraId="305A54AD" w14:textId="3ED532DD" w:rsidR="001D66D4" w:rsidRPr="00F92E56" w:rsidRDefault="00D31420" w:rsidP="001D66D4">
      <w:pPr>
        <w:pStyle w:val="FooterTableFigure"/>
      </w:pPr>
      <w:r w:rsidRPr="00F92E56">
        <w:t xml:space="preserve">AE = adverse event; </w:t>
      </w:r>
      <w:r w:rsidR="001D66D4" w:rsidRPr="00F92E56">
        <w:t>DFS = disease free survival; ICER = incremental cost-effectiveness ratio</w:t>
      </w:r>
      <w:r w:rsidRPr="00F92E56">
        <w:t>; ITT = intention-to-treat; LY = life years; MIUC = muscle invasive urothelial cancer; NAC = neoadjuvant platinum-based chemotherapy; OS = overall survival; QALYs = quality-adjusted life years.</w:t>
      </w:r>
    </w:p>
    <w:p w14:paraId="146F44B2" w14:textId="77777777" w:rsidR="001D66D4" w:rsidRPr="00F92E56" w:rsidRDefault="001D66D4" w:rsidP="001D66D4">
      <w:pPr>
        <w:pStyle w:val="FooterTableFigure"/>
      </w:pPr>
      <w:r w:rsidRPr="00F92E56">
        <w:rPr>
          <w:szCs w:val="18"/>
          <w:shd w:val="clear" w:color="auto" w:fill="B8CCE4" w:themeFill="accent1" w:themeFillTint="66"/>
        </w:rPr>
        <w:t>Blue shading</w:t>
      </w:r>
      <w:r w:rsidRPr="00F92E56">
        <w:rPr>
          <w:szCs w:val="18"/>
        </w:rPr>
        <w:t xml:space="preserve"> indicates information previously seen by the PBAC.</w:t>
      </w:r>
    </w:p>
    <w:p w14:paraId="0BAB1DF5" w14:textId="75100D92" w:rsidR="001D66D4" w:rsidRPr="00F92E56" w:rsidRDefault="001D66D4" w:rsidP="00236876">
      <w:pPr>
        <w:pStyle w:val="3-BodyText"/>
      </w:pPr>
      <w:bookmarkStart w:id="52" w:name="_Hlk142899409"/>
      <w:r w:rsidRPr="00F92E56">
        <w:t xml:space="preserve">The </w:t>
      </w:r>
      <w:r w:rsidR="004149D9" w:rsidRPr="00F92E56">
        <w:t xml:space="preserve">ESC noted the </w:t>
      </w:r>
      <w:r w:rsidRPr="00F92E56">
        <w:t>key changes in the model presented in the resubmission included:</w:t>
      </w:r>
    </w:p>
    <w:p w14:paraId="3EA909CF" w14:textId="77777777" w:rsidR="001D66D4" w:rsidRPr="00F92E56" w:rsidRDefault="001D66D4" w:rsidP="00236876">
      <w:pPr>
        <w:pStyle w:val="ListParagraph"/>
      </w:pPr>
      <w:r w:rsidRPr="00F92E56">
        <w:t>restricting the patient population to those who had received prior NAC;</w:t>
      </w:r>
    </w:p>
    <w:p w14:paraId="75EA20D0" w14:textId="77777777" w:rsidR="001D66D4" w:rsidRPr="00F92E56" w:rsidRDefault="001D66D4" w:rsidP="00236876">
      <w:pPr>
        <w:pStyle w:val="ListParagraph"/>
      </w:pPr>
      <w:r w:rsidRPr="00F92E56">
        <w:t>separation of the post-recurrence health state into locoregional and distant recurrence health states; and</w:t>
      </w:r>
    </w:p>
    <w:p w14:paraId="31F9CADE" w14:textId="140D2739" w:rsidR="001D66D4" w:rsidRPr="00F92E56" w:rsidRDefault="001D66D4" w:rsidP="00236876">
      <w:pPr>
        <w:pStyle w:val="ListParagraph"/>
      </w:pPr>
      <w:r w:rsidRPr="00F92E56">
        <w:t xml:space="preserve">application of costs and outcomes for avelumab maintenance treatment of distant recurrence in the </w:t>
      </w:r>
      <w:r w:rsidR="00152DDC" w:rsidRPr="00F92E56">
        <w:t xml:space="preserve">watchful waiting </w:t>
      </w:r>
      <w:r w:rsidRPr="00F92E56">
        <w:t>arm of the model only.</w:t>
      </w:r>
      <w:bookmarkEnd w:id="52"/>
    </w:p>
    <w:p w14:paraId="56E87180" w14:textId="7A4DDBA8" w:rsidR="001D66D4" w:rsidRPr="00F92E56" w:rsidRDefault="001D66D4" w:rsidP="00236876">
      <w:pPr>
        <w:pStyle w:val="3-BodyText"/>
      </w:pPr>
      <w:bookmarkStart w:id="53" w:name="_Hlk142899435"/>
      <w:r w:rsidRPr="00F92E56">
        <w:t>Restricting the population to those who had received prior NAC and separation of the post-recurrence health states were revisions consistent with advice previously provided by the PBAC (</w:t>
      </w:r>
      <w:r w:rsidR="00724199">
        <w:t>paragraph</w:t>
      </w:r>
      <w:r w:rsidRPr="00F92E56">
        <w:t xml:space="preserve"> 7.11, </w:t>
      </w:r>
      <w:r w:rsidR="002D5392" w:rsidRPr="00F92E56">
        <w:t>n</w:t>
      </w:r>
      <w:r w:rsidRPr="00F92E56">
        <w:t>ivolumab PSD</w:t>
      </w:r>
      <w:r w:rsidR="002D5392" w:rsidRPr="00F92E56">
        <w:t>,</w:t>
      </w:r>
      <w:r w:rsidRPr="00F92E56">
        <w:t xml:space="preserve"> July 2022 PBAC </w:t>
      </w:r>
      <w:r w:rsidR="002D5392" w:rsidRPr="00F92E56">
        <w:t>m</w:t>
      </w:r>
      <w:r w:rsidRPr="00F92E56">
        <w:t>eeting). The PSD also noted that avelumab was recently recommended in the first-line maintenance setting and that immunotherapy is typically restricted to one regimen for a patient’s entire treatment course (</w:t>
      </w:r>
      <w:r w:rsidR="00724199">
        <w:t>paragraph</w:t>
      </w:r>
      <w:r w:rsidRPr="00F92E56">
        <w:t xml:space="preserve"> 6.15, </w:t>
      </w:r>
      <w:r w:rsidR="002D5392" w:rsidRPr="00F92E56">
        <w:t>n</w:t>
      </w:r>
      <w:r w:rsidRPr="00F92E56">
        <w:t>ivolumab PSD</w:t>
      </w:r>
      <w:r w:rsidR="002D5392" w:rsidRPr="00F92E56">
        <w:t>,</w:t>
      </w:r>
      <w:r w:rsidRPr="00F92E56">
        <w:t xml:space="preserve"> July</w:t>
      </w:r>
      <w:r w:rsidR="00724199">
        <w:t> </w:t>
      </w:r>
      <w:r w:rsidRPr="00F92E56">
        <w:t xml:space="preserve">2022 PBAC </w:t>
      </w:r>
      <w:r w:rsidR="008A1EFF" w:rsidRPr="00F92E56">
        <w:t>m</w:t>
      </w:r>
      <w:r w:rsidRPr="00F92E56">
        <w:t>eeting), and so this is also a reasonable change.</w:t>
      </w:r>
      <w:bookmarkEnd w:id="53"/>
    </w:p>
    <w:p w14:paraId="2E5726F3" w14:textId="26439E5A" w:rsidR="001D66D4" w:rsidRPr="00F92E56" w:rsidRDefault="001D66D4" w:rsidP="00236876">
      <w:pPr>
        <w:pStyle w:val="3-BodyText"/>
      </w:pPr>
      <w:bookmarkStart w:id="54" w:name="_Hlk142899477"/>
      <w:bookmarkStart w:id="55" w:name="_Ref147406553"/>
      <w:r w:rsidRPr="00F92E56">
        <w:lastRenderedPageBreak/>
        <w:t>The PBAC previously requested that uncertainties raised during the evaluation and by the ESC be addressed, noting that the respecified base case did address some of these concerns (</w:t>
      </w:r>
      <w:r w:rsidR="00724199">
        <w:t>paragraph</w:t>
      </w:r>
      <w:r w:rsidRPr="00F92E56">
        <w:t xml:space="preserve"> 7.9 and 7.11, </w:t>
      </w:r>
      <w:r w:rsidR="002D5392" w:rsidRPr="00F92E56">
        <w:t>n</w:t>
      </w:r>
      <w:r w:rsidRPr="00F92E56">
        <w:t>ivolumab PSD</w:t>
      </w:r>
      <w:r w:rsidR="002D5392" w:rsidRPr="00F92E56">
        <w:t>,</w:t>
      </w:r>
      <w:r w:rsidRPr="00F92E56">
        <w:t xml:space="preserve"> July 2022 PBAC </w:t>
      </w:r>
      <w:r w:rsidR="002D5392" w:rsidRPr="00F92E56">
        <w:t>m</w:t>
      </w:r>
      <w:r w:rsidRPr="00F92E56">
        <w:t xml:space="preserve">eeting). The </w:t>
      </w:r>
      <w:r w:rsidR="001E19DD" w:rsidRPr="00F92E56">
        <w:t xml:space="preserve">evaluator </w:t>
      </w:r>
      <w:r w:rsidRPr="00F92E56">
        <w:t xml:space="preserve">respecified base case </w:t>
      </w:r>
      <w:r w:rsidR="00043803" w:rsidRPr="00F92E56">
        <w:t xml:space="preserve">of the previous submission </w:t>
      </w:r>
      <w:r w:rsidRPr="00F92E56">
        <w:t xml:space="preserve">used the best-fitting parametric model to independently extrapolate DFS; </w:t>
      </w:r>
      <w:r w:rsidR="004232E6" w:rsidRPr="00F92E56">
        <w:t xml:space="preserve">extended the </w:t>
      </w:r>
      <w:r w:rsidR="00131D71" w:rsidRPr="00F92E56">
        <w:t xml:space="preserve">KM </w:t>
      </w:r>
      <w:r w:rsidR="004232E6" w:rsidRPr="00F92E56">
        <w:t xml:space="preserve">truncation to 42 months (which was considered </w:t>
      </w:r>
      <w:r w:rsidR="00DA1869" w:rsidRPr="00F92E56">
        <w:t xml:space="preserve">appropriate based on </w:t>
      </w:r>
      <w:r w:rsidR="004232E6" w:rsidRPr="00F92E56">
        <w:t xml:space="preserve">a sufficient number of patients </w:t>
      </w:r>
      <w:r w:rsidR="00F673A9" w:rsidRPr="00F92E56">
        <w:t>[</w:t>
      </w:r>
      <w:r w:rsidR="00DA1869" w:rsidRPr="00F92E56">
        <w:t>10% of the cohort</w:t>
      </w:r>
      <w:r w:rsidR="00F673A9" w:rsidRPr="00F92E56">
        <w:t>]</w:t>
      </w:r>
      <w:r w:rsidR="00DA1869" w:rsidRPr="00F92E56">
        <w:t xml:space="preserve"> remaining </w:t>
      </w:r>
      <w:r w:rsidR="004232E6" w:rsidRPr="00F92E56">
        <w:t xml:space="preserve">at-risk; </w:t>
      </w:r>
      <w:r w:rsidR="00724199">
        <w:t>paragraph</w:t>
      </w:r>
      <w:r w:rsidR="004232E6" w:rsidRPr="00F92E56">
        <w:t xml:space="preserve"> 6.47, nivolumab PSD, July</w:t>
      </w:r>
      <w:r w:rsidR="00724199">
        <w:t> </w:t>
      </w:r>
      <w:r w:rsidR="004232E6" w:rsidRPr="00F92E56">
        <w:t>2022 PBAC meeting)</w:t>
      </w:r>
      <w:r w:rsidRPr="00F92E56">
        <w:t xml:space="preserve">; excluded the assumption of a cure (as this was captured with the best-fitting extrapolations) and maintained the increased risk for all-cause mortality </w:t>
      </w:r>
      <w:r w:rsidR="001E19DD" w:rsidRPr="00F92E56">
        <w:t xml:space="preserve">for the entire model duration </w:t>
      </w:r>
      <w:r w:rsidRPr="00F92E56">
        <w:t>(</w:t>
      </w:r>
      <w:r w:rsidR="00724199">
        <w:t>paragraph</w:t>
      </w:r>
      <w:r w:rsidRPr="00F92E56">
        <w:t xml:space="preserve"> 6.58, </w:t>
      </w:r>
      <w:r w:rsidR="002D5392" w:rsidRPr="00F92E56">
        <w:t>n</w:t>
      </w:r>
      <w:r w:rsidRPr="00F92E56">
        <w:t>ivolumab PSD</w:t>
      </w:r>
      <w:r w:rsidR="002D5392" w:rsidRPr="00F92E56">
        <w:t>,</w:t>
      </w:r>
      <w:r w:rsidRPr="00F92E56">
        <w:t xml:space="preserve"> July</w:t>
      </w:r>
      <w:r w:rsidR="00724199">
        <w:t> </w:t>
      </w:r>
      <w:r w:rsidRPr="00F92E56">
        <w:t xml:space="preserve">2022 PBAC </w:t>
      </w:r>
      <w:r w:rsidR="002D5392" w:rsidRPr="00F92E56">
        <w:t>m</w:t>
      </w:r>
      <w:r w:rsidRPr="00F92E56">
        <w:t xml:space="preserve">eeting). The PBAC </w:t>
      </w:r>
      <w:r w:rsidR="004149D9" w:rsidRPr="00F92E56">
        <w:t xml:space="preserve">previously </w:t>
      </w:r>
      <w:r w:rsidRPr="00F92E56">
        <w:t>considered that more conservative assumptions regarding time horizon may reduce residual uncertainty in the respecified analyses (</w:t>
      </w:r>
      <w:r w:rsidR="00724199">
        <w:t>paragraph</w:t>
      </w:r>
      <w:r w:rsidRPr="00F92E56">
        <w:t xml:space="preserve"> 7.9, </w:t>
      </w:r>
      <w:r w:rsidR="002D5392" w:rsidRPr="00F92E56">
        <w:t>n</w:t>
      </w:r>
      <w:r w:rsidRPr="00F92E56">
        <w:t>ivolumab PSD</w:t>
      </w:r>
      <w:r w:rsidR="002D5392" w:rsidRPr="00F92E56">
        <w:t>,</w:t>
      </w:r>
      <w:r w:rsidRPr="00F92E56">
        <w:t xml:space="preserve"> July 2022 PBAC </w:t>
      </w:r>
      <w:r w:rsidR="002D5392" w:rsidRPr="00F92E56">
        <w:t>m</w:t>
      </w:r>
      <w:r w:rsidRPr="00F92E56">
        <w:t xml:space="preserve">eeting). </w:t>
      </w:r>
      <w:bookmarkEnd w:id="54"/>
      <w:r w:rsidRPr="00F92E56">
        <w:t xml:space="preserve">The </w:t>
      </w:r>
      <w:r w:rsidR="00E143FA" w:rsidRPr="00F92E56">
        <w:t>resubmission approached the previously raised concerns as follows</w:t>
      </w:r>
      <w:r w:rsidRPr="00F92E56">
        <w:t>:</w:t>
      </w:r>
      <w:bookmarkEnd w:id="55"/>
    </w:p>
    <w:p w14:paraId="607DFDE2" w14:textId="2DA37BAD" w:rsidR="001D66D4" w:rsidRPr="00F92E56" w:rsidRDefault="008E12C4" w:rsidP="00236876">
      <w:pPr>
        <w:pStyle w:val="ListParagraph"/>
      </w:pPr>
      <w:r w:rsidRPr="00F92E56">
        <w:t>T</w:t>
      </w:r>
      <w:r w:rsidR="001D66D4" w:rsidRPr="00F92E56">
        <w:t xml:space="preserve">he 20-year time horizon presented previously was maintained based on the claim that uncertainties in the modelled estimates were reduced given the additional follow-up provided from the prior NAC subgroup of CM274. Additional data were provided only for DFS – no OS data were included in the resubmission. Modelled outcomes were therefore based on a number of assumptions (regarding how to account for cured patients; the duration and magnitude of the increased all-cause mortality; and survival following recurrence) and are likely to remain associated with a high degree of uncertainty. </w:t>
      </w:r>
      <w:r w:rsidR="001D66D4" w:rsidRPr="00F92E56" w:rsidDel="00636ED4">
        <w:t xml:space="preserve">The </w:t>
      </w:r>
      <w:r w:rsidR="00BC3EDA" w:rsidRPr="00F92E56" w:rsidDel="00636ED4">
        <w:t>incremental cost-effectiveness ratio (</w:t>
      </w:r>
      <w:r w:rsidR="001D66D4" w:rsidRPr="00F92E56" w:rsidDel="00636ED4">
        <w:t>ICER</w:t>
      </w:r>
      <w:r w:rsidR="00BC3EDA" w:rsidRPr="00F92E56" w:rsidDel="00636ED4">
        <w:t>)</w:t>
      </w:r>
      <w:r w:rsidR="001D66D4" w:rsidRPr="00F92E56" w:rsidDel="00636ED4">
        <w:t xml:space="preserve"> was moderately sensitive to the time horizon chosen. </w:t>
      </w:r>
      <w:r w:rsidR="000D707A" w:rsidRPr="00F92E56">
        <w:t>The PSCR</w:t>
      </w:r>
      <w:r w:rsidR="00785872" w:rsidRPr="00785872">
        <w:t xml:space="preserve"> </w:t>
      </w:r>
      <w:r w:rsidR="000D707A" w:rsidRPr="00F92E56">
        <w:t>stated that a 20-year time horizon is appropriate for nivolumab in this indication. It reiterated that with additional data available compared to the original submission, there is ‘minimal extrapolation and a high level of structural reliability in the model which supports this time horizon’. The PSCR argued that the cure f</w:t>
      </w:r>
      <w:r w:rsidR="00636ED4" w:rsidRPr="00F92E56">
        <w:t>ra</w:t>
      </w:r>
      <w:r w:rsidR="000D707A" w:rsidRPr="00F92E56">
        <w:t>ction applied to the model means that there are a proportion of patients in both treatment arms who achieve cure, and these patients experience long-term survival. Therefore, to shorten the time horizon within the model would underestimate the cost and outcomes.</w:t>
      </w:r>
      <w:r w:rsidR="00636ED4" w:rsidRPr="00F92E56">
        <w:t xml:space="preserve"> </w:t>
      </w:r>
      <w:r w:rsidR="0034360C" w:rsidRPr="00F92E56">
        <w:t xml:space="preserve">The ESC disagreed with the PSCR noting a large percentage (79%) of incremental QALYs gained accrued in the economic model during the extrapolation. Noting </w:t>
      </w:r>
      <w:r w:rsidR="000E4FE0" w:rsidRPr="00F92E56">
        <w:t xml:space="preserve">the </w:t>
      </w:r>
      <w:r w:rsidR="0034360C" w:rsidRPr="00F92E56">
        <w:t>uncertainty in the economic model, the ESC considered a 15 year time horizon would be more appropriate.</w:t>
      </w:r>
    </w:p>
    <w:p w14:paraId="5C81BD7D" w14:textId="05D73219" w:rsidR="001D66D4" w:rsidRPr="00F92E56" w:rsidRDefault="008E12C4" w:rsidP="00236876">
      <w:pPr>
        <w:pStyle w:val="ListParagraph"/>
        <w:rPr>
          <w:lang w:eastAsia="zh-CN"/>
        </w:rPr>
      </w:pPr>
      <w:r w:rsidRPr="00F92E56">
        <w:rPr>
          <w:lang w:eastAsia="zh-CN"/>
        </w:rPr>
        <w:t>T</w:t>
      </w:r>
      <w:r w:rsidR="001D66D4" w:rsidRPr="00F92E56">
        <w:rPr>
          <w:lang w:eastAsia="zh-CN"/>
        </w:rPr>
        <w:t xml:space="preserve">he increased risk in all-cause mortality was </w:t>
      </w:r>
      <w:r w:rsidR="00BC3EDA" w:rsidRPr="00F92E56">
        <w:rPr>
          <w:lang w:eastAsia="zh-CN"/>
        </w:rPr>
        <w:t xml:space="preserve">changed </w:t>
      </w:r>
      <w:r w:rsidR="001D66D4" w:rsidRPr="00F92E56">
        <w:rPr>
          <w:lang w:eastAsia="zh-CN"/>
        </w:rPr>
        <w:t>from 1.5x to 1.8x based on updated data from the prior NAC subgroup of CM274 and was applied for up to five years (compared to two years previously). No justification was provided for limiting the duration of increased risk. The ICER was moderately sensitive to changes in the duration of the increased risk applied.</w:t>
      </w:r>
      <w:r w:rsidR="0064239A" w:rsidRPr="00F92E56">
        <w:rPr>
          <w:lang w:eastAsia="zh-CN"/>
        </w:rPr>
        <w:t xml:space="preserve"> The PSCR</w:t>
      </w:r>
      <w:r w:rsidR="00785872" w:rsidRPr="00785872">
        <w:rPr>
          <w:lang w:eastAsia="zh-CN"/>
        </w:rPr>
        <w:t xml:space="preserve"> </w:t>
      </w:r>
      <w:r w:rsidR="0064239A" w:rsidRPr="00F92E56">
        <w:rPr>
          <w:lang w:eastAsia="zh-CN"/>
        </w:rPr>
        <w:t xml:space="preserve">argued that trial data (Sternberg et al., 2015) and Australian clinical practice are supportive of limiting the increased risk of all-cause mortality. However, </w:t>
      </w:r>
      <w:r w:rsidR="004C3052">
        <w:rPr>
          <w:lang w:eastAsia="zh-CN"/>
        </w:rPr>
        <w:t xml:space="preserve">it </w:t>
      </w:r>
      <w:r w:rsidR="0064239A" w:rsidRPr="00F92E56">
        <w:rPr>
          <w:lang w:eastAsia="zh-CN"/>
        </w:rPr>
        <w:t xml:space="preserve">acknowledged the concerns </w:t>
      </w:r>
      <w:r w:rsidR="000E4FE0" w:rsidRPr="00F92E56">
        <w:rPr>
          <w:lang w:eastAsia="zh-CN"/>
        </w:rPr>
        <w:t>held by</w:t>
      </w:r>
      <w:r w:rsidR="0064239A" w:rsidRPr="00F92E56">
        <w:rPr>
          <w:lang w:eastAsia="zh-CN"/>
        </w:rPr>
        <w:t xml:space="preserve"> the evaluation, and considered utilisation of a 1.1x multiplier for </w:t>
      </w:r>
      <w:r w:rsidR="0064239A" w:rsidRPr="00F92E56">
        <w:rPr>
          <w:lang w:eastAsia="zh-CN"/>
        </w:rPr>
        <w:lastRenderedPageBreak/>
        <w:t xml:space="preserve">patients between 5 years and the end of the model </w:t>
      </w:r>
      <w:r w:rsidR="000E4FE0" w:rsidRPr="00F92E56">
        <w:rPr>
          <w:lang w:eastAsia="zh-CN"/>
        </w:rPr>
        <w:t>would be</w:t>
      </w:r>
      <w:r w:rsidR="0064239A" w:rsidRPr="00F92E56">
        <w:rPr>
          <w:lang w:eastAsia="zh-CN"/>
        </w:rPr>
        <w:t xml:space="preserve"> reasonable. This change </w:t>
      </w:r>
      <w:r w:rsidR="000E4FE0" w:rsidRPr="00F92E56">
        <w:rPr>
          <w:lang w:eastAsia="zh-CN"/>
        </w:rPr>
        <w:t xml:space="preserve">was stated to </w:t>
      </w:r>
      <w:r w:rsidR="0064239A" w:rsidRPr="00F92E56">
        <w:rPr>
          <w:lang w:eastAsia="zh-CN"/>
        </w:rPr>
        <w:t>increase the ICER to $</w:t>
      </w:r>
      <w:r w:rsidR="00BE598F">
        <w:rPr>
          <w:lang w:eastAsia="zh-CN"/>
        </w:rPr>
        <w:t>25,000 to &lt; $35,000</w:t>
      </w:r>
      <w:r w:rsidR="0064239A" w:rsidRPr="00F92E56">
        <w:rPr>
          <w:lang w:eastAsia="zh-CN"/>
        </w:rPr>
        <w:t xml:space="preserve"> per QALY gained.</w:t>
      </w:r>
      <w:r w:rsidR="0036644A" w:rsidRPr="00F92E56">
        <w:rPr>
          <w:lang w:eastAsia="zh-CN"/>
        </w:rPr>
        <w:t xml:space="preserve"> The ESC agreed with the published literature</w:t>
      </w:r>
      <w:r w:rsidR="0036644A" w:rsidRPr="00F92E56">
        <w:rPr>
          <w:rStyle w:val="FootnoteReference"/>
          <w:lang w:eastAsia="zh-CN"/>
        </w:rPr>
        <w:footnoteReference w:id="19"/>
      </w:r>
      <w:r w:rsidR="0036644A" w:rsidRPr="00F92E56">
        <w:rPr>
          <w:vertAlign w:val="superscript"/>
          <w:lang w:eastAsia="zh-CN"/>
        </w:rPr>
        <w:t>,</w:t>
      </w:r>
      <w:r w:rsidR="0036644A" w:rsidRPr="00F92E56">
        <w:rPr>
          <w:rStyle w:val="FootnoteReference"/>
          <w:lang w:eastAsia="zh-CN"/>
        </w:rPr>
        <w:footnoteReference w:id="20"/>
      </w:r>
      <w:r w:rsidR="0036644A" w:rsidRPr="00F92E56">
        <w:rPr>
          <w:lang w:eastAsia="zh-CN"/>
        </w:rPr>
        <w:t xml:space="preserve"> that suggests bladder cancer patients have an ongoing </w:t>
      </w:r>
      <w:r w:rsidR="002B030A" w:rsidRPr="00F92E56">
        <w:rPr>
          <w:lang w:eastAsia="zh-CN"/>
        </w:rPr>
        <w:t xml:space="preserve">and moderately </w:t>
      </w:r>
      <w:r w:rsidR="0036644A" w:rsidRPr="00F92E56">
        <w:rPr>
          <w:lang w:eastAsia="zh-CN"/>
        </w:rPr>
        <w:t xml:space="preserve">increased risk of death due to other causes, and therefore maintaining </w:t>
      </w:r>
      <w:r w:rsidR="002B030A" w:rsidRPr="00F92E56">
        <w:rPr>
          <w:lang w:eastAsia="zh-CN"/>
        </w:rPr>
        <w:t>an</w:t>
      </w:r>
      <w:r w:rsidR="0036644A" w:rsidRPr="00F92E56">
        <w:rPr>
          <w:lang w:eastAsia="zh-CN"/>
        </w:rPr>
        <w:t xml:space="preserve"> increased risk </w:t>
      </w:r>
      <w:r w:rsidR="002B030A" w:rsidRPr="00F92E56">
        <w:rPr>
          <w:lang w:eastAsia="zh-CN"/>
        </w:rPr>
        <w:t xml:space="preserve">of </w:t>
      </w:r>
      <w:r w:rsidR="000E4FE0" w:rsidRPr="00F92E56">
        <w:rPr>
          <w:lang w:eastAsia="zh-CN"/>
        </w:rPr>
        <w:t xml:space="preserve">1.8x </w:t>
      </w:r>
      <w:r w:rsidR="0036644A" w:rsidRPr="00F92E56">
        <w:rPr>
          <w:lang w:eastAsia="zh-CN"/>
        </w:rPr>
        <w:t>for the duration of the model would be more appropriate</w:t>
      </w:r>
      <w:r w:rsidR="00F92E56">
        <w:rPr>
          <w:lang w:eastAsia="zh-CN"/>
        </w:rPr>
        <w:t xml:space="preserve">. </w:t>
      </w:r>
    </w:p>
    <w:p w14:paraId="784F3DF2" w14:textId="22640898" w:rsidR="001D66D4" w:rsidRPr="00F92E56" w:rsidRDefault="001D66D4" w:rsidP="00236876">
      <w:pPr>
        <w:pStyle w:val="ListParagraph"/>
      </w:pPr>
      <w:r w:rsidRPr="00F92E56">
        <w:t xml:space="preserve">The probability of remaining in the pre-recurrence state was informed by observed and extrapolated DFS data from the prior NAC subgroup of CM274. DFS was extrapolated from </w:t>
      </w:r>
      <w:r w:rsidRPr="00F92E56">
        <w:rPr>
          <w:rFonts w:cstheme="minorHAnsi"/>
        </w:rPr>
        <w:t xml:space="preserve">54 months. </w:t>
      </w:r>
      <w:r w:rsidRPr="00F92E56">
        <w:t>At this timepoint, approximately 12% (n = 20) and 7% (n = 11) of patients remained at risk of a DFS event in the nivolumab and placebo arms</w:t>
      </w:r>
      <w:r w:rsidR="008E12C4" w:rsidRPr="00F92E56">
        <w:t>, respectively,</w:t>
      </w:r>
      <w:r w:rsidRPr="00F92E56">
        <w:t xml:space="preserve"> of the prior NAC subgroup </w:t>
      </w:r>
      <w:r w:rsidR="008E12C4" w:rsidRPr="00F92E56">
        <w:t xml:space="preserve">in </w:t>
      </w:r>
      <w:r w:rsidRPr="00F92E56">
        <w:t xml:space="preserve">CM274. </w:t>
      </w:r>
      <w:r w:rsidR="002C3474" w:rsidRPr="00F92E56">
        <w:t>The ICER is sensitive to the truncation point chosen for extrapolation of the DFS curve in the placebo arm of the prior NAC subgroup in CM274</w:t>
      </w:r>
      <w:r w:rsidR="00F92E56">
        <w:t xml:space="preserve">. </w:t>
      </w:r>
      <w:r w:rsidR="0064239A" w:rsidRPr="00F92E56">
        <w:t>The PSCR</w:t>
      </w:r>
      <w:r w:rsidR="00785872" w:rsidRPr="00785872">
        <w:t xml:space="preserve"> </w:t>
      </w:r>
      <w:r w:rsidR="0064239A" w:rsidRPr="00F92E56">
        <w:t xml:space="preserve">stated that a truncation point of 54 months for both treatment arms was selected on the basis that at this timepoint </w:t>
      </w:r>
      <w:r w:rsidR="00756666" w:rsidRPr="00F92E56">
        <w:t xml:space="preserve">reflects </w:t>
      </w:r>
      <w:r w:rsidR="0064239A" w:rsidRPr="00F92E56">
        <w:t>approximately 10% of patients in the cohort remain</w:t>
      </w:r>
      <w:r w:rsidR="00756666" w:rsidRPr="00F92E56">
        <w:t>ing</w:t>
      </w:r>
      <w:r w:rsidR="0064239A" w:rsidRPr="00F92E56">
        <w:t xml:space="preserve"> at risk. T</w:t>
      </w:r>
      <w:r w:rsidR="00756666" w:rsidRPr="00F92E56">
        <w:t>he PSCR argued that t</w:t>
      </w:r>
      <w:r w:rsidR="0064239A" w:rsidRPr="00F92E56">
        <w:t xml:space="preserve">o vary the truncation point in only one treatment arm </w:t>
      </w:r>
      <w:r w:rsidR="00756666" w:rsidRPr="00F92E56">
        <w:t>would be</w:t>
      </w:r>
      <w:r w:rsidR="0064239A" w:rsidRPr="00F92E56">
        <w:t xml:space="preserve"> selective and inappropriate, and has a disproportionate impact on the ICER, favouring placebo.</w:t>
      </w:r>
      <w:r w:rsidR="00756666" w:rsidRPr="00F92E56">
        <w:t xml:space="preserve"> </w:t>
      </w:r>
      <w:r w:rsidR="0064239A" w:rsidRPr="00F92E56">
        <w:t>The</w:t>
      </w:r>
      <w:r w:rsidR="00756666" w:rsidRPr="00F92E56">
        <w:t>refore</w:t>
      </w:r>
      <w:r w:rsidR="00E3317E" w:rsidRPr="00F92E56">
        <w:t>,</w:t>
      </w:r>
      <w:r w:rsidR="00756666" w:rsidRPr="00F92E56">
        <w:t xml:space="preserve"> the</w:t>
      </w:r>
      <w:r w:rsidR="0064239A" w:rsidRPr="00F92E56">
        <w:t xml:space="preserve"> Sponsor maintain</w:t>
      </w:r>
      <w:r w:rsidR="00756666" w:rsidRPr="00F92E56">
        <w:t>ed</w:t>
      </w:r>
      <w:r w:rsidR="0064239A" w:rsidRPr="00F92E56">
        <w:t xml:space="preserve"> that 54 months </w:t>
      </w:r>
      <w:r w:rsidR="00756666" w:rsidRPr="00F92E56">
        <w:t>remains</w:t>
      </w:r>
      <w:r w:rsidR="0064239A" w:rsidRPr="00F92E56">
        <w:t xml:space="preserve"> an appropriate timepoint for truncation. </w:t>
      </w:r>
      <w:r w:rsidR="002C3474" w:rsidRPr="00F92E56">
        <w:t>The ESC</w:t>
      </w:r>
      <w:r w:rsidR="001A1710" w:rsidRPr="00F92E56">
        <w:t xml:space="preserve"> </w:t>
      </w:r>
      <w:r w:rsidR="002C3474" w:rsidRPr="00F92E56">
        <w:t xml:space="preserve">considered that for extrapolation of placebo DFS, the truncation point used may be too late as there were fewer than 10% of patients remaining at risk. </w:t>
      </w:r>
      <w:r w:rsidR="002C3474" w:rsidRPr="00F92E56" w:rsidDel="002C3474">
        <w:t xml:space="preserve">Reducing the truncation point in the placebo arm to 48 months (where 12% remain at risk, n = 19) may be a more appropriate choice. </w:t>
      </w:r>
    </w:p>
    <w:p w14:paraId="13086F71" w14:textId="7FDAC8FD" w:rsidR="001D66D4" w:rsidRPr="00F92E56" w:rsidRDefault="001D66D4" w:rsidP="00236876">
      <w:pPr>
        <w:pStyle w:val="ListParagraph"/>
        <w:rPr>
          <w:rFonts w:eastAsiaTheme="minorEastAsia"/>
          <w:lang w:eastAsia="zh-CN"/>
        </w:rPr>
      </w:pPr>
      <w:r w:rsidRPr="00F92E56">
        <w:t xml:space="preserve">Independent Gompertz models were chosen for extrapolation. </w:t>
      </w:r>
      <w:r w:rsidR="007C1A42" w:rsidRPr="00F92E56">
        <w:t xml:space="preserve">While this was the best fit </w:t>
      </w:r>
      <w:r w:rsidR="0063115A" w:rsidRPr="00F92E56">
        <w:t>for extrapolation of DFS following placebo, t</w:t>
      </w:r>
      <w:r w:rsidR="007C1A42" w:rsidRPr="00F92E56">
        <w:t xml:space="preserve">his </w:t>
      </w:r>
      <w:r w:rsidRPr="00F92E56">
        <w:t>was not the best</w:t>
      </w:r>
      <w:r w:rsidR="008E12C4" w:rsidRPr="00F92E56">
        <w:t xml:space="preserve"> </w:t>
      </w:r>
      <w:r w:rsidRPr="00F92E56">
        <w:t>fitting model for extrapolation of DFS</w:t>
      </w:r>
      <w:r w:rsidR="008E12C4" w:rsidRPr="00F92E56">
        <w:t xml:space="preserve"> for nivolumab</w:t>
      </w:r>
      <w:r w:rsidRPr="00F92E56">
        <w:t xml:space="preserve">. </w:t>
      </w:r>
      <w:r w:rsidRPr="00F92E56">
        <w:rPr>
          <w:rFonts w:eastAsiaTheme="minorEastAsia"/>
          <w:lang w:eastAsia="zh-CN"/>
        </w:rPr>
        <w:t xml:space="preserve">However, under the base case assumption where a cure was implemented after five years, the choice of parametric function for extrapolation of DFS </w:t>
      </w:r>
      <w:r w:rsidR="008E12C4" w:rsidRPr="00F92E56">
        <w:rPr>
          <w:rFonts w:eastAsiaTheme="minorEastAsia"/>
          <w:lang w:eastAsia="zh-CN"/>
        </w:rPr>
        <w:t xml:space="preserve">for nivolumab </w:t>
      </w:r>
      <w:r w:rsidRPr="00F92E56">
        <w:rPr>
          <w:rFonts w:eastAsiaTheme="minorEastAsia"/>
          <w:lang w:eastAsia="zh-CN"/>
        </w:rPr>
        <w:t>has only a minor impact on the ICER.</w:t>
      </w:r>
      <w:r w:rsidR="00E3317E" w:rsidRPr="00F92E56">
        <w:rPr>
          <w:rFonts w:eastAsiaTheme="minorEastAsia"/>
          <w:lang w:eastAsia="zh-CN"/>
        </w:rPr>
        <w:t xml:space="preserve"> </w:t>
      </w:r>
      <w:r w:rsidR="00E3317E" w:rsidRPr="00F92E56">
        <w:t>The ESC considered that while a Gompertz model was previously considered appropriate for extrapolation of DFS, this was in the context of the ITT population and at an earlier data cut</w:t>
      </w:r>
      <w:r w:rsidR="00D835A7">
        <w:t xml:space="preserve">off </w:t>
      </w:r>
      <w:r w:rsidR="00E3317E" w:rsidRPr="00F92E56">
        <w:t xml:space="preserve">and </w:t>
      </w:r>
      <w:r w:rsidR="00054F83" w:rsidRPr="00F92E56">
        <w:t xml:space="preserve">noted that it </w:t>
      </w:r>
      <w:r w:rsidR="00E3317E" w:rsidRPr="00F92E56">
        <w:t xml:space="preserve">is no longer the best fitting </w:t>
      </w:r>
      <w:r w:rsidR="00E3317E" w:rsidRPr="00F92E56">
        <w:rPr>
          <w:rFonts w:eastAsiaTheme="minorEastAsia"/>
          <w:lang w:eastAsia="zh-CN"/>
        </w:rPr>
        <w:t xml:space="preserve">model for </w:t>
      </w:r>
      <w:r w:rsidR="00054F83" w:rsidRPr="00F92E56">
        <w:rPr>
          <w:rFonts w:eastAsiaTheme="minorEastAsia"/>
          <w:lang w:eastAsia="zh-CN"/>
        </w:rPr>
        <w:t xml:space="preserve">the </w:t>
      </w:r>
      <w:r w:rsidR="00E3317E" w:rsidRPr="00F92E56">
        <w:rPr>
          <w:rFonts w:eastAsiaTheme="minorEastAsia"/>
          <w:lang w:eastAsia="zh-CN"/>
        </w:rPr>
        <w:t xml:space="preserve">extrapolation of DFS for nivolumab. </w:t>
      </w:r>
    </w:p>
    <w:p w14:paraId="45A805B6" w14:textId="508BBE34" w:rsidR="001D66D4" w:rsidRPr="00F92E56" w:rsidRDefault="001D66D4" w:rsidP="00236876">
      <w:pPr>
        <w:pStyle w:val="ListParagraph"/>
        <w:rPr>
          <w:rFonts w:eastAsiaTheme="minorEastAsia"/>
          <w:lang w:eastAsia="zh-CN"/>
        </w:rPr>
      </w:pPr>
      <w:r w:rsidRPr="00F92E56">
        <w:rPr>
          <w:rFonts w:eastAsiaTheme="minorEastAsia"/>
          <w:lang w:eastAsia="zh-CN"/>
        </w:rPr>
        <w:t>The model retained the cure assumption at five years. A cure assumption at five years in M</w:t>
      </w:r>
      <w:r w:rsidR="006442BA" w:rsidRPr="00F92E56">
        <w:rPr>
          <w:rFonts w:eastAsiaTheme="minorEastAsia"/>
          <w:lang w:eastAsia="zh-CN"/>
        </w:rPr>
        <w:t>I</w:t>
      </w:r>
      <w:r w:rsidRPr="00F92E56">
        <w:rPr>
          <w:rFonts w:eastAsiaTheme="minorEastAsia"/>
          <w:lang w:eastAsia="zh-CN"/>
        </w:rPr>
        <w:t>UC was considered</w:t>
      </w:r>
      <w:r w:rsidR="00B70422" w:rsidRPr="00F92E56">
        <w:rPr>
          <w:rFonts w:eastAsiaTheme="minorEastAsia"/>
          <w:lang w:eastAsia="zh-CN"/>
        </w:rPr>
        <w:t xml:space="preserve"> likely</w:t>
      </w:r>
      <w:r w:rsidRPr="00F92E56">
        <w:rPr>
          <w:rFonts w:eastAsiaTheme="minorEastAsia"/>
          <w:lang w:eastAsia="zh-CN"/>
        </w:rPr>
        <w:t xml:space="preserve"> reasonable by the PBAC (</w:t>
      </w:r>
      <w:r w:rsidR="00724199">
        <w:rPr>
          <w:rFonts w:eastAsiaTheme="minorEastAsia"/>
          <w:lang w:eastAsia="zh-CN"/>
        </w:rPr>
        <w:t>paragraph</w:t>
      </w:r>
      <w:r w:rsidRPr="00F92E56">
        <w:rPr>
          <w:rFonts w:eastAsiaTheme="minorEastAsia"/>
          <w:lang w:eastAsia="zh-CN"/>
        </w:rPr>
        <w:t xml:space="preserve"> 6.49, </w:t>
      </w:r>
      <w:r w:rsidR="002D5392" w:rsidRPr="00F92E56">
        <w:rPr>
          <w:rFonts w:eastAsiaTheme="minorEastAsia"/>
          <w:lang w:eastAsia="zh-CN"/>
        </w:rPr>
        <w:t>n</w:t>
      </w:r>
      <w:r w:rsidRPr="00F92E56">
        <w:rPr>
          <w:rFonts w:eastAsiaTheme="minorEastAsia"/>
          <w:lang w:eastAsia="zh-CN"/>
        </w:rPr>
        <w:t>ivolumab PSD</w:t>
      </w:r>
      <w:r w:rsidR="002D5392" w:rsidRPr="00F92E56">
        <w:rPr>
          <w:rFonts w:eastAsiaTheme="minorEastAsia"/>
          <w:lang w:eastAsia="zh-CN"/>
        </w:rPr>
        <w:t>,</w:t>
      </w:r>
      <w:r w:rsidRPr="00F92E56">
        <w:rPr>
          <w:rFonts w:eastAsiaTheme="minorEastAsia"/>
          <w:lang w:eastAsia="zh-CN"/>
        </w:rPr>
        <w:t xml:space="preserve"> July 2022 PBAC </w:t>
      </w:r>
      <w:r w:rsidR="002D5392" w:rsidRPr="00F92E56">
        <w:rPr>
          <w:rFonts w:eastAsiaTheme="minorEastAsia"/>
          <w:lang w:eastAsia="zh-CN"/>
        </w:rPr>
        <w:t>m</w:t>
      </w:r>
      <w:r w:rsidRPr="00F92E56">
        <w:rPr>
          <w:rFonts w:eastAsiaTheme="minorEastAsia"/>
          <w:lang w:eastAsia="zh-CN"/>
        </w:rPr>
        <w:t>eeting), however was excluded from the respecified base case previously as the best</w:t>
      </w:r>
      <w:r w:rsidR="008E12C4" w:rsidRPr="00F92E56">
        <w:rPr>
          <w:rFonts w:eastAsiaTheme="minorEastAsia"/>
          <w:lang w:eastAsia="zh-CN"/>
        </w:rPr>
        <w:t xml:space="preserve"> </w:t>
      </w:r>
      <w:r w:rsidRPr="00F92E56">
        <w:rPr>
          <w:rFonts w:eastAsiaTheme="minorEastAsia"/>
          <w:lang w:eastAsia="zh-CN"/>
        </w:rPr>
        <w:t xml:space="preserve">fitting models were able to capture a proportion of patients who achieved a cure. As Gompertz models were chosen in </w:t>
      </w:r>
      <w:r w:rsidRPr="00F92E56">
        <w:rPr>
          <w:rFonts w:eastAsiaTheme="minorEastAsia"/>
          <w:lang w:eastAsia="zh-CN"/>
        </w:rPr>
        <w:lastRenderedPageBreak/>
        <w:t>the resubmission’s updated base case analysis, cured patients may also be captured in these extrapolations</w:t>
      </w:r>
      <w:r w:rsidR="00F84CE6" w:rsidRPr="00F92E56">
        <w:rPr>
          <w:rFonts w:eastAsiaTheme="minorEastAsia"/>
          <w:lang w:eastAsia="zh-CN"/>
        </w:rPr>
        <w:t xml:space="preserve"> (</w:t>
      </w:r>
      <w:r w:rsidR="00F84CE6" w:rsidRPr="00F92E56">
        <w:rPr>
          <w:rFonts w:eastAsiaTheme="minorEastAsia"/>
          <w:lang w:eastAsia="zh-CN"/>
        </w:rPr>
        <w:fldChar w:fldCharType="begin" w:fldLock="1"/>
      </w:r>
      <w:r w:rsidR="00F84CE6" w:rsidRPr="00F92E56">
        <w:rPr>
          <w:rFonts w:eastAsiaTheme="minorEastAsia"/>
          <w:lang w:eastAsia="zh-CN"/>
        </w:rPr>
        <w:instrText xml:space="preserve"> REF _Ref144994034 \h </w:instrText>
      </w:r>
      <w:r w:rsidR="005E043E" w:rsidRPr="00F92E56">
        <w:rPr>
          <w:rFonts w:eastAsiaTheme="minorEastAsia"/>
          <w:lang w:eastAsia="zh-CN"/>
        </w:rPr>
        <w:instrText xml:space="preserve"> \* MERGEFORMAT </w:instrText>
      </w:r>
      <w:r w:rsidR="00F84CE6" w:rsidRPr="00F92E56">
        <w:rPr>
          <w:rFonts w:eastAsiaTheme="minorEastAsia"/>
          <w:lang w:eastAsia="zh-CN"/>
        </w:rPr>
      </w:r>
      <w:r w:rsidR="00F84CE6" w:rsidRPr="00F92E56">
        <w:rPr>
          <w:rFonts w:eastAsiaTheme="minorEastAsia"/>
          <w:lang w:eastAsia="zh-CN"/>
        </w:rPr>
        <w:fldChar w:fldCharType="separate"/>
      </w:r>
      <w:r w:rsidR="0096718A" w:rsidRPr="00F92E56">
        <w:rPr>
          <w:rFonts w:eastAsiaTheme="minorEastAsia"/>
          <w:lang w:eastAsia="zh-CN"/>
        </w:rPr>
        <w:t>Figure 4</w:t>
      </w:r>
      <w:r w:rsidR="00F84CE6" w:rsidRPr="00F92E56">
        <w:rPr>
          <w:rFonts w:eastAsiaTheme="minorEastAsia"/>
          <w:lang w:eastAsia="zh-CN"/>
        </w:rPr>
        <w:fldChar w:fldCharType="end"/>
      </w:r>
      <w:r w:rsidR="00F84CE6" w:rsidRPr="00F92E56">
        <w:rPr>
          <w:rFonts w:eastAsiaTheme="minorEastAsia"/>
          <w:lang w:eastAsia="zh-CN"/>
        </w:rPr>
        <w:t>)</w:t>
      </w:r>
      <w:r w:rsidRPr="00F92E56">
        <w:rPr>
          <w:rFonts w:eastAsiaTheme="minorEastAsia"/>
          <w:lang w:eastAsia="zh-CN"/>
        </w:rPr>
        <w:t>.</w:t>
      </w:r>
      <w:r w:rsidR="00F64824" w:rsidRPr="00F92E56">
        <w:rPr>
          <w:rFonts w:eastAsiaTheme="minorEastAsia"/>
          <w:lang w:eastAsia="zh-CN"/>
        </w:rPr>
        <w:t xml:space="preserve"> </w:t>
      </w:r>
      <w:r w:rsidR="00756666" w:rsidRPr="00F92E56">
        <w:rPr>
          <w:rFonts w:eastAsiaTheme="minorEastAsia"/>
          <w:lang w:eastAsia="zh-CN"/>
        </w:rPr>
        <w:t>The PSCR</w:t>
      </w:r>
      <w:r w:rsidR="00785872" w:rsidRPr="00785872">
        <w:rPr>
          <w:rFonts w:eastAsiaTheme="minorEastAsia"/>
          <w:lang w:eastAsia="zh-CN"/>
        </w:rPr>
        <w:t xml:space="preserve"> </w:t>
      </w:r>
      <w:r w:rsidR="00756666" w:rsidRPr="00F92E56">
        <w:rPr>
          <w:rFonts w:eastAsiaTheme="minorEastAsia"/>
          <w:lang w:eastAsia="zh-CN"/>
        </w:rPr>
        <w:t xml:space="preserve">argued that the Gompertz distribution used for the base case has a decreasing hazard over time, consistent with the clinical expectation that most recurrences </w:t>
      </w:r>
      <w:r w:rsidR="00A43593" w:rsidRPr="00F92E56">
        <w:rPr>
          <w:rFonts w:eastAsiaTheme="minorEastAsia"/>
          <w:lang w:eastAsia="zh-CN"/>
        </w:rPr>
        <w:t>occur</w:t>
      </w:r>
      <w:r w:rsidR="00756666" w:rsidRPr="00F92E56">
        <w:rPr>
          <w:rFonts w:eastAsiaTheme="minorEastAsia"/>
          <w:lang w:eastAsia="zh-CN"/>
        </w:rPr>
        <w:t xml:space="preserve"> soon after surgery. </w:t>
      </w:r>
      <w:r w:rsidR="0096718A" w:rsidRPr="00F92E56">
        <w:rPr>
          <w:rFonts w:eastAsiaTheme="minorEastAsia"/>
          <w:lang w:eastAsia="zh-CN"/>
        </w:rPr>
        <w:t xml:space="preserve">The ESC considered that implementation of a cure </w:t>
      </w:r>
      <w:r w:rsidR="00054F83" w:rsidRPr="00F92E56">
        <w:rPr>
          <w:rFonts w:eastAsiaTheme="minorEastAsia"/>
          <w:lang w:eastAsia="zh-CN"/>
        </w:rPr>
        <w:t>fraction</w:t>
      </w:r>
      <w:r w:rsidR="0096718A" w:rsidRPr="00F92E56">
        <w:rPr>
          <w:rFonts w:eastAsiaTheme="minorEastAsia"/>
          <w:lang w:eastAsia="zh-CN"/>
        </w:rPr>
        <w:t xml:space="preserve"> at 5 years was reasonable </w:t>
      </w:r>
      <w:r w:rsidR="00964B8F" w:rsidRPr="00F92E56">
        <w:rPr>
          <w:rFonts w:eastAsiaTheme="minorEastAsia"/>
          <w:lang w:eastAsia="zh-CN"/>
        </w:rPr>
        <w:t>but</w:t>
      </w:r>
      <w:r w:rsidR="0096718A" w:rsidRPr="00F92E56">
        <w:rPr>
          <w:rFonts w:eastAsiaTheme="minorEastAsia"/>
          <w:lang w:eastAsia="zh-CN"/>
        </w:rPr>
        <w:t xml:space="preserve"> that the best fitting model</w:t>
      </w:r>
      <w:r w:rsidR="00964B8F" w:rsidRPr="00F92E56">
        <w:rPr>
          <w:rFonts w:eastAsiaTheme="minorEastAsia"/>
          <w:lang w:eastAsia="zh-CN"/>
        </w:rPr>
        <w:t xml:space="preserve"> (generalised gamma)</w:t>
      </w:r>
      <w:r w:rsidR="0096718A" w:rsidRPr="00F92E56">
        <w:rPr>
          <w:rFonts w:eastAsiaTheme="minorEastAsia"/>
          <w:lang w:eastAsia="zh-CN"/>
        </w:rPr>
        <w:t xml:space="preserve"> should be used to extrapolate DFS in the nivolumab arm. </w:t>
      </w:r>
    </w:p>
    <w:p w14:paraId="3E89FD3B" w14:textId="484427E2" w:rsidR="00001B67" w:rsidRPr="00F92E56" w:rsidRDefault="007A591B" w:rsidP="007762E7">
      <w:pPr>
        <w:pStyle w:val="Caption"/>
        <w:rPr>
          <w:rFonts w:eastAsiaTheme="minorEastAsia"/>
          <w:lang w:eastAsia="zh-CN"/>
        </w:rPr>
      </w:pPr>
      <w:bookmarkStart w:id="56" w:name="_Ref144994034"/>
      <w:r w:rsidRPr="00F92E56">
        <w:t xml:space="preserve">Figure </w:t>
      </w:r>
      <w:r w:rsidR="001D78FA">
        <w:fldChar w:fldCharType="begin" w:fldLock="1"/>
      </w:r>
      <w:r w:rsidR="001D78FA">
        <w:instrText xml:space="preserve"> SEQ Figure \* ARABIC </w:instrText>
      </w:r>
      <w:r w:rsidR="001D78FA">
        <w:fldChar w:fldCharType="separate"/>
      </w:r>
      <w:r w:rsidR="0096718A" w:rsidRPr="00346867">
        <w:t>4</w:t>
      </w:r>
      <w:r w:rsidR="001D78FA">
        <w:fldChar w:fldCharType="end"/>
      </w:r>
      <w:bookmarkEnd w:id="56"/>
      <w:r w:rsidRPr="00F92E56">
        <w:t xml:space="preserve">: </w:t>
      </w:r>
      <w:r w:rsidR="007D642A" w:rsidRPr="00F92E56">
        <w:t xml:space="preserve">Comparison of </w:t>
      </w:r>
      <w:r w:rsidR="007D642A" w:rsidRPr="00F92E56">
        <w:rPr>
          <w:rFonts w:eastAsiaTheme="majorEastAsia" w:cstheme="majorBidi"/>
        </w:rPr>
        <w:t>i</w:t>
      </w:r>
      <w:r w:rsidR="00C13961" w:rsidRPr="00F92E56">
        <w:rPr>
          <w:rFonts w:eastAsiaTheme="majorEastAsia" w:cstheme="majorBidi"/>
        </w:rPr>
        <w:t>ndependently fitted parametric functions used for DFS extrapolation</w:t>
      </w:r>
    </w:p>
    <w:p w14:paraId="4EC49301" w14:textId="6FBF5282" w:rsidR="00001B67" w:rsidRPr="00F92E56" w:rsidRDefault="00FB113F" w:rsidP="00C13961">
      <w:pPr>
        <w:tabs>
          <w:tab w:val="left" w:pos="1134"/>
        </w:tabs>
        <w:rPr>
          <w:rFonts w:eastAsiaTheme="minorEastAsia"/>
          <w:lang w:eastAsia="zh-CN"/>
        </w:rPr>
      </w:pPr>
      <w:r w:rsidRPr="00D27E62">
        <w:rPr>
          <w:rFonts w:eastAsiaTheme="minorEastAsia"/>
          <w:noProof/>
          <w:lang w:eastAsia="zh-CN"/>
        </w:rPr>
        <w:drawing>
          <wp:inline distT="0" distB="0" distL="0" distR="0" wp14:anchorId="4D5C7584" wp14:editId="63C0EB4D">
            <wp:extent cx="5705856" cy="3541882"/>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7196" cy="3548921"/>
                    </a:xfrm>
                    <a:prstGeom prst="rect">
                      <a:avLst/>
                    </a:prstGeom>
                    <a:noFill/>
                  </pic:spPr>
                </pic:pic>
              </a:graphicData>
            </a:graphic>
          </wp:inline>
        </w:drawing>
      </w:r>
    </w:p>
    <w:p w14:paraId="6581A4C9" w14:textId="77777777" w:rsidR="007A591B" w:rsidRPr="00F92E56" w:rsidRDefault="007A591B" w:rsidP="007A591B">
      <w:pPr>
        <w:pStyle w:val="FooterTableFigure"/>
      </w:pPr>
      <w:r w:rsidRPr="00F92E56">
        <w:t>Source: Constructed during the evaluation from the ‘Attachment 14 - Nivolumab Adj MIUC Economic Evaluation_Resubmission.xlsm’ file included in the resubmission.</w:t>
      </w:r>
    </w:p>
    <w:p w14:paraId="7C9BB7DB" w14:textId="2581AB0B" w:rsidR="00C13961" w:rsidRPr="00F92E56" w:rsidRDefault="00C13961" w:rsidP="007A591B">
      <w:pPr>
        <w:pStyle w:val="FooterTableFigure"/>
      </w:pPr>
      <w:r w:rsidRPr="00F92E56">
        <w:t>* Denotes parametric model which had best fit by Akaike information criterion and Bayesian information criterion</w:t>
      </w:r>
    </w:p>
    <w:p w14:paraId="1D51A3AE" w14:textId="737FF2ED" w:rsidR="00FB113F" w:rsidRPr="00F92E56" w:rsidRDefault="00FB113F" w:rsidP="007A591B">
      <w:pPr>
        <w:pStyle w:val="FooterTableFigure"/>
      </w:pPr>
      <w:r w:rsidRPr="00F92E56">
        <w:t>^ Denotes parametric model chosen in the base case analysis</w:t>
      </w:r>
    </w:p>
    <w:p w14:paraId="1A867E66" w14:textId="14779A4B" w:rsidR="00001B67" w:rsidRPr="00F92E56" w:rsidRDefault="007A591B" w:rsidP="007A591B">
      <w:pPr>
        <w:pStyle w:val="FooterTableFigure"/>
        <w:rPr>
          <w:lang w:eastAsia="zh-CN"/>
        </w:rPr>
      </w:pPr>
      <w:r w:rsidRPr="00F92E56">
        <w:t>DFS = disease-free survival; KM = Kaplan-Meier.</w:t>
      </w:r>
    </w:p>
    <w:p w14:paraId="2F681870" w14:textId="33166BF1" w:rsidR="00AC2D0D" w:rsidRPr="00F92E56" w:rsidRDefault="00AC2D0D" w:rsidP="00236876">
      <w:pPr>
        <w:pStyle w:val="3-BodyText"/>
      </w:pPr>
      <w:r w:rsidRPr="00F92E56">
        <w:t>Other minor changes included in the evaluator respecified base case presented previously included increasing the disutility of AEs (based on Bregman 2020</w:t>
      </w:r>
      <w:r w:rsidR="006C12D1" w:rsidRPr="00F92E56">
        <w:rPr>
          <w:rStyle w:val="FootnoteReference"/>
        </w:rPr>
        <w:footnoteReference w:id="21"/>
      </w:r>
      <w:r w:rsidRPr="00F92E56">
        <w:t xml:space="preserve">, where available) and applying corrected chemotherapy pricing (based on the average rather than maximum </w:t>
      </w:r>
      <w:r w:rsidR="004B58F1" w:rsidRPr="00F92E56">
        <w:t>dose and</w:t>
      </w:r>
      <w:r w:rsidRPr="00F92E56">
        <w:t xml:space="preserve"> applying the cost of two chemotherapy administrations per treatment cycle, rather than one)</w:t>
      </w:r>
      <w:r w:rsidR="002C3C99" w:rsidRPr="00F92E56">
        <w:t xml:space="preserve"> (</w:t>
      </w:r>
      <w:r w:rsidR="00724199">
        <w:t>paragraph</w:t>
      </w:r>
      <w:r w:rsidR="002C3C99" w:rsidRPr="00F92E56">
        <w:t xml:space="preserve"> 6.58, nivolumab PSD, July 2022 PBAC meeting)</w:t>
      </w:r>
      <w:r w:rsidRPr="00F92E56">
        <w:t xml:space="preserve">. </w:t>
      </w:r>
      <w:r w:rsidR="006E761F" w:rsidRPr="00F92E56">
        <w:t xml:space="preserve">While the resubmission had correctly applied the cost for the average dose of chemotherapy, the changes to the disutility values and the number of chemotherapy administrations were not adopted. </w:t>
      </w:r>
      <w:r w:rsidR="00001D9A" w:rsidRPr="00F92E56">
        <w:t>This was not reasonable</w:t>
      </w:r>
      <w:r w:rsidR="007C3701" w:rsidRPr="00F92E56">
        <w:t>, however had negligible effect on the ICER (</w:t>
      </w:r>
      <w:r w:rsidR="007C3701" w:rsidRPr="00F92E56">
        <w:fldChar w:fldCharType="begin" w:fldLock="1"/>
      </w:r>
      <w:r w:rsidR="007C3701" w:rsidRPr="00F92E56">
        <w:instrText xml:space="preserve"> REF _Ref104804865 \h  \* MERGEFORMAT </w:instrText>
      </w:r>
      <w:r w:rsidR="007C3701" w:rsidRPr="00F92E56">
        <w:fldChar w:fldCharType="separate"/>
      </w:r>
      <w:r w:rsidR="0096718A" w:rsidRPr="00F92E56">
        <w:t xml:space="preserve">Table </w:t>
      </w:r>
      <w:r w:rsidR="0096718A" w:rsidRPr="00346867">
        <w:t>16</w:t>
      </w:r>
      <w:r w:rsidR="007C3701" w:rsidRPr="00F92E56">
        <w:fldChar w:fldCharType="end"/>
      </w:r>
      <w:r w:rsidR="007C3701" w:rsidRPr="00F92E56">
        <w:t>)</w:t>
      </w:r>
      <w:r w:rsidR="00001D9A" w:rsidRPr="00F92E56">
        <w:t xml:space="preserve">. </w:t>
      </w:r>
    </w:p>
    <w:p w14:paraId="59EFF1C7" w14:textId="37125E59" w:rsidR="001D66D4" w:rsidRPr="00F92E56" w:rsidRDefault="001D66D4" w:rsidP="00236876">
      <w:pPr>
        <w:pStyle w:val="3-BodyText"/>
      </w:pPr>
      <w:bookmarkStart w:id="57" w:name="_Ref147406641"/>
      <w:r w:rsidRPr="00F92E56">
        <w:lastRenderedPageBreak/>
        <w:t xml:space="preserve">As OS data were not provided in the resubmission, the model presented </w:t>
      </w:r>
      <w:r w:rsidR="000C6128" w:rsidRPr="00F92E56">
        <w:t xml:space="preserve">maintained </w:t>
      </w:r>
      <w:r w:rsidRPr="00F92E56">
        <w:t xml:space="preserve">a Markov model structure. This approach adds considerable uncertainty to the modelled estimates due to the assumptions required (including that DFS is a surrogate for OS and transitivity of the external studies used to inform survival with and without avelumab maintenance in distant recurrence). </w:t>
      </w:r>
      <w:r w:rsidR="008F1EB5" w:rsidRPr="00F92E56">
        <w:t>A</w:t>
      </w:r>
      <w:r w:rsidR="00826598" w:rsidRPr="00F92E56">
        <w:t xml:space="preserve">t the </w:t>
      </w:r>
      <w:r w:rsidR="008F1EB5" w:rsidRPr="00F92E56">
        <w:t>more recent data cutoff of Sept</w:t>
      </w:r>
      <w:r w:rsidR="00826598" w:rsidRPr="00F92E56">
        <w:t>ember 2022, 64 deaths (41.0%) and 81 deaths (51.3%) had occurred in the nivolumab and placebo arms, respectively</w:t>
      </w:r>
      <w:r w:rsidR="008F1EB5" w:rsidRPr="00F92E56">
        <w:t>, in the prior NAC subgroup</w:t>
      </w:r>
      <w:r w:rsidR="00866ACF" w:rsidRPr="00F92E56">
        <w:t xml:space="preserve"> of CM274</w:t>
      </w:r>
      <w:r w:rsidR="008F1EB5" w:rsidRPr="00F92E56">
        <w:t xml:space="preserve">. </w:t>
      </w:r>
      <w:r w:rsidRPr="00F92E56">
        <w:rPr>
          <w:rStyle w:val="normaltextrun"/>
          <w:rFonts w:ascii="Calibri" w:hAnsi="Calibri" w:cs="Calibri"/>
          <w:color w:val="000000"/>
          <w:bdr w:val="none" w:sz="0" w:space="0" w:color="auto" w:frame="1"/>
        </w:rPr>
        <w:t xml:space="preserve">The use of </w:t>
      </w:r>
      <w:r w:rsidR="00826598" w:rsidRPr="00F92E56">
        <w:rPr>
          <w:rStyle w:val="normaltextrun"/>
          <w:rFonts w:ascii="Calibri" w:hAnsi="Calibri" w:cs="Calibri"/>
          <w:color w:val="000000"/>
          <w:bdr w:val="none" w:sz="0" w:space="0" w:color="auto" w:frame="1"/>
        </w:rPr>
        <w:t xml:space="preserve">trial-based </w:t>
      </w:r>
      <w:r w:rsidRPr="00F92E56">
        <w:rPr>
          <w:rStyle w:val="normaltextrun"/>
          <w:rFonts w:ascii="Calibri" w:hAnsi="Calibri" w:cs="Calibri"/>
          <w:color w:val="000000"/>
          <w:bdr w:val="none" w:sz="0" w:space="0" w:color="auto" w:frame="1"/>
        </w:rPr>
        <w:t>OS data directly in the model could reduce the reliance on these assumptions, or at least enable some validation of the modelled estimates.</w:t>
      </w:r>
      <w:r w:rsidR="00CB67A7" w:rsidRPr="00F92E56">
        <w:rPr>
          <w:rStyle w:val="normaltextrun"/>
          <w:rFonts w:ascii="Calibri" w:hAnsi="Calibri" w:cs="Calibri"/>
          <w:color w:val="000000"/>
          <w:bdr w:val="none" w:sz="0" w:space="0" w:color="auto" w:frame="1"/>
        </w:rPr>
        <w:t xml:space="preserve"> </w:t>
      </w:r>
      <w:r w:rsidR="00CB67A7" w:rsidRPr="00F92E56">
        <w:rPr>
          <w:rStyle w:val="normaltextrun"/>
          <w:rFonts w:ascii="Calibri" w:hAnsi="Calibri" w:cs="Calibri"/>
        </w:rPr>
        <w:t>The PSCR</w:t>
      </w:r>
      <w:r w:rsidR="00785872" w:rsidRPr="00785872">
        <w:rPr>
          <w:rStyle w:val="normaltextrun"/>
          <w:rFonts w:ascii="Calibri" w:hAnsi="Calibri" w:cs="Calibri"/>
        </w:rPr>
        <w:t xml:space="preserve"> </w:t>
      </w:r>
      <w:r w:rsidR="00CB67A7" w:rsidRPr="00F92E56">
        <w:rPr>
          <w:rStyle w:val="normaltextrun"/>
          <w:rFonts w:ascii="Calibri" w:hAnsi="Calibri" w:cs="Calibri"/>
        </w:rPr>
        <w:t>stated that there is no trial-based OS data to inform the economic model and therefore the sponsor has selected the best available data to inform the model.</w:t>
      </w:r>
      <w:bookmarkEnd w:id="57"/>
    </w:p>
    <w:p w14:paraId="651B5740" w14:textId="60DE1310" w:rsidR="001D66D4" w:rsidRPr="00F92E56" w:rsidRDefault="008C00C0" w:rsidP="00236876">
      <w:pPr>
        <w:pStyle w:val="3-BodyText"/>
      </w:pPr>
      <w:bookmarkStart w:id="58" w:name="_Ref152074540"/>
      <w:r w:rsidRPr="00F92E56">
        <w:t>The ESC noted that i</w:t>
      </w:r>
      <w:r w:rsidR="001D66D4" w:rsidRPr="00F92E56">
        <w:t>n the absence of OS data from CM274, survival after distant recurrence was modelled based on external studies</w:t>
      </w:r>
      <w:r w:rsidR="007D2DE6" w:rsidRPr="00F92E56">
        <w:t>.</w:t>
      </w:r>
      <w:r w:rsidR="005B44A8" w:rsidRPr="00F92E56">
        <w:rPr>
          <w:vertAlign w:val="superscript"/>
        </w:rPr>
        <w:fldChar w:fldCharType="begin" w:fldLock="1"/>
      </w:r>
      <w:r w:rsidR="005B44A8" w:rsidRPr="00F92E56">
        <w:rPr>
          <w:vertAlign w:val="superscript"/>
        </w:rPr>
        <w:instrText xml:space="preserve"> NOTEREF _Ref142905710 \h  \* MERGEFORMAT </w:instrText>
      </w:r>
      <w:r w:rsidR="005B44A8" w:rsidRPr="00F92E56">
        <w:rPr>
          <w:vertAlign w:val="superscript"/>
        </w:rPr>
      </w:r>
      <w:r w:rsidR="005B44A8" w:rsidRPr="00F92E56">
        <w:rPr>
          <w:vertAlign w:val="superscript"/>
        </w:rPr>
        <w:fldChar w:fldCharType="separate"/>
      </w:r>
      <w:r w:rsidR="0096718A" w:rsidRPr="00F92E56">
        <w:rPr>
          <w:vertAlign w:val="superscript"/>
        </w:rPr>
        <w:t>13</w:t>
      </w:r>
      <w:r w:rsidR="005B44A8" w:rsidRPr="00F92E56">
        <w:rPr>
          <w:vertAlign w:val="superscript"/>
        </w:rPr>
        <w:fldChar w:fldCharType="end"/>
      </w:r>
      <w:r w:rsidR="007D2DE6" w:rsidRPr="00F92E56">
        <w:rPr>
          <w:vertAlign w:val="superscript"/>
        </w:rPr>
        <w:t>,</w:t>
      </w:r>
      <w:r w:rsidR="005B44A8" w:rsidRPr="00F92E56">
        <w:rPr>
          <w:vertAlign w:val="superscript"/>
        </w:rPr>
        <w:fldChar w:fldCharType="begin" w:fldLock="1"/>
      </w:r>
      <w:r w:rsidR="005B44A8" w:rsidRPr="00F92E56">
        <w:rPr>
          <w:vertAlign w:val="superscript"/>
        </w:rPr>
        <w:instrText xml:space="preserve"> NOTEREF _Ref142905713 \h  \* MERGEFORMAT </w:instrText>
      </w:r>
      <w:r w:rsidR="005B44A8" w:rsidRPr="00F92E56">
        <w:rPr>
          <w:vertAlign w:val="superscript"/>
        </w:rPr>
      </w:r>
      <w:r w:rsidR="005B44A8" w:rsidRPr="00F92E56">
        <w:rPr>
          <w:vertAlign w:val="superscript"/>
        </w:rPr>
        <w:fldChar w:fldCharType="separate"/>
      </w:r>
      <w:r w:rsidR="0096718A" w:rsidRPr="00F92E56">
        <w:rPr>
          <w:vertAlign w:val="superscript"/>
        </w:rPr>
        <w:t>14</w:t>
      </w:r>
      <w:r w:rsidR="005B44A8" w:rsidRPr="00F92E56">
        <w:rPr>
          <w:vertAlign w:val="superscript"/>
        </w:rPr>
        <w:fldChar w:fldCharType="end"/>
      </w:r>
      <w:r w:rsidR="007D2DE6" w:rsidRPr="00F92E56">
        <w:rPr>
          <w:vertAlign w:val="superscript"/>
        </w:rPr>
        <w:t>,</w:t>
      </w:r>
      <w:r w:rsidR="005B44A8" w:rsidRPr="00F92E56">
        <w:rPr>
          <w:vertAlign w:val="superscript"/>
        </w:rPr>
        <w:fldChar w:fldCharType="begin" w:fldLock="1"/>
      </w:r>
      <w:r w:rsidR="005B44A8" w:rsidRPr="00F92E56">
        <w:rPr>
          <w:vertAlign w:val="superscript"/>
        </w:rPr>
        <w:instrText xml:space="preserve"> NOTEREF _Ref142904996 \h  \* MERGEFORMAT </w:instrText>
      </w:r>
      <w:r w:rsidR="005B44A8" w:rsidRPr="00F92E56">
        <w:rPr>
          <w:vertAlign w:val="superscript"/>
        </w:rPr>
      </w:r>
      <w:r w:rsidR="005B44A8" w:rsidRPr="00F92E56">
        <w:rPr>
          <w:vertAlign w:val="superscript"/>
        </w:rPr>
        <w:fldChar w:fldCharType="separate"/>
      </w:r>
      <w:r w:rsidR="0096718A" w:rsidRPr="00F92E56">
        <w:rPr>
          <w:vertAlign w:val="superscript"/>
        </w:rPr>
        <w:t>15</w:t>
      </w:r>
      <w:r w:rsidR="005B44A8" w:rsidRPr="00F92E56">
        <w:rPr>
          <w:vertAlign w:val="superscript"/>
        </w:rPr>
        <w:fldChar w:fldCharType="end"/>
      </w:r>
      <w:r w:rsidR="001D66D4" w:rsidRPr="00F92E56">
        <w:t xml:space="preserve"> </w:t>
      </w:r>
      <w:proofErr w:type="spellStart"/>
      <w:r w:rsidR="001D66D4" w:rsidRPr="00F92E56">
        <w:t>Bellmunt</w:t>
      </w:r>
      <w:proofErr w:type="spellEnd"/>
      <w:r w:rsidR="001D66D4" w:rsidRPr="00F92E56">
        <w:t xml:space="preserve"> et al. (2012)</w:t>
      </w:r>
      <w:r w:rsidR="007D2DE6" w:rsidRPr="00F92E56">
        <w:rPr>
          <w:vertAlign w:val="superscript"/>
        </w:rPr>
        <w:fldChar w:fldCharType="begin" w:fldLock="1"/>
      </w:r>
      <w:r w:rsidR="007D2DE6" w:rsidRPr="00F92E56">
        <w:rPr>
          <w:vertAlign w:val="superscript"/>
        </w:rPr>
        <w:instrText xml:space="preserve"> NOTEREF _Ref142905710 \h  \* MERGEFORMAT </w:instrText>
      </w:r>
      <w:r w:rsidR="007D2DE6" w:rsidRPr="00F92E56">
        <w:rPr>
          <w:vertAlign w:val="superscript"/>
        </w:rPr>
      </w:r>
      <w:r w:rsidR="007D2DE6" w:rsidRPr="00F92E56">
        <w:rPr>
          <w:vertAlign w:val="superscript"/>
        </w:rPr>
        <w:fldChar w:fldCharType="separate"/>
      </w:r>
      <w:r w:rsidR="0096718A" w:rsidRPr="00F92E56">
        <w:rPr>
          <w:vertAlign w:val="superscript"/>
        </w:rPr>
        <w:t>13</w:t>
      </w:r>
      <w:r w:rsidR="007D2DE6" w:rsidRPr="00F92E56">
        <w:rPr>
          <w:vertAlign w:val="superscript"/>
        </w:rPr>
        <w:fldChar w:fldCharType="end"/>
      </w:r>
      <w:r w:rsidR="001D66D4" w:rsidRPr="00F92E56">
        <w:t xml:space="preserve"> and De </w:t>
      </w:r>
      <w:proofErr w:type="spellStart"/>
      <w:r w:rsidR="001D66D4" w:rsidRPr="00F92E56">
        <w:t>Santis</w:t>
      </w:r>
      <w:proofErr w:type="spellEnd"/>
      <w:r w:rsidR="001D66D4" w:rsidRPr="00F92E56">
        <w:t xml:space="preserve"> et al. (2012)</w:t>
      </w:r>
      <w:r w:rsidR="007D2DE6" w:rsidRPr="00F92E56">
        <w:rPr>
          <w:vertAlign w:val="superscript"/>
        </w:rPr>
        <w:fldChar w:fldCharType="begin" w:fldLock="1"/>
      </w:r>
      <w:r w:rsidR="007D2DE6" w:rsidRPr="00F92E56">
        <w:rPr>
          <w:vertAlign w:val="superscript"/>
        </w:rPr>
        <w:instrText xml:space="preserve"> NOTEREF _Ref142905713 \h  \* MERGEFORMAT </w:instrText>
      </w:r>
      <w:r w:rsidR="007D2DE6" w:rsidRPr="00F92E56">
        <w:rPr>
          <w:vertAlign w:val="superscript"/>
        </w:rPr>
      </w:r>
      <w:r w:rsidR="007D2DE6" w:rsidRPr="00F92E56">
        <w:rPr>
          <w:vertAlign w:val="superscript"/>
        </w:rPr>
        <w:fldChar w:fldCharType="separate"/>
      </w:r>
      <w:r w:rsidR="0096718A" w:rsidRPr="00F92E56">
        <w:rPr>
          <w:vertAlign w:val="superscript"/>
        </w:rPr>
        <w:t>14</w:t>
      </w:r>
      <w:r w:rsidR="007D2DE6" w:rsidRPr="00F92E56">
        <w:rPr>
          <w:vertAlign w:val="superscript"/>
        </w:rPr>
        <w:fldChar w:fldCharType="end"/>
      </w:r>
      <w:r w:rsidR="001D66D4" w:rsidRPr="00F92E56">
        <w:t xml:space="preserve"> were used in the previous submission to model outcomes following chemotherapy. The inclusion of data from Powles et al. (2023)</w:t>
      </w:r>
      <w:r w:rsidR="007D2DE6" w:rsidRPr="00F92E56">
        <w:rPr>
          <w:vertAlign w:val="superscript"/>
        </w:rPr>
        <w:fldChar w:fldCharType="begin" w:fldLock="1"/>
      </w:r>
      <w:r w:rsidR="007D2DE6" w:rsidRPr="00F92E56">
        <w:rPr>
          <w:vertAlign w:val="superscript"/>
        </w:rPr>
        <w:instrText xml:space="preserve"> NOTEREF _Ref142904996 \h  \* MERGEFORMAT </w:instrText>
      </w:r>
      <w:r w:rsidR="007D2DE6" w:rsidRPr="00F92E56">
        <w:rPr>
          <w:vertAlign w:val="superscript"/>
        </w:rPr>
      </w:r>
      <w:r w:rsidR="007D2DE6" w:rsidRPr="00F92E56">
        <w:rPr>
          <w:vertAlign w:val="superscript"/>
        </w:rPr>
        <w:fldChar w:fldCharType="separate"/>
      </w:r>
      <w:r w:rsidR="0096718A" w:rsidRPr="00F92E56">
        <w:rPr>
          <w:vertAlign w:val="superscript"/>
        </w:rPr>
        <w:t>15</w:t>
      </w:r>
      <w:r w:rsidR="007D2DE6" w:rsidRPr="00F92E56">
        <w:rPr>
          <w:vertAlign w:val="superscript"/>
        </w:rPr>
        <w:fldChar w:fldCharType="end"/>
      </w:r>
      <w:r w:rsidR="001D66D4" w:rsidRPr="00F92E56">
        <w:t xml:space="preserve"> was to allow modelling outcomes from avelumab maintenance treatment, which was assumed to apply in the comparator arm of the model alone. Substantial differences were noted across the patient characteristics in these external studies. Inferring differences in survival outcomes across these studies </w:t>
      </w:r>
      <w:r w:rsidR="001D66D4" w:rsidRPr="00F92E56">
        <w:rPr>
          <w:rFonts w:cstheme="minorHAnsi"/>
        </w:rPr>
        <w:t>−</w:t>
      </w:r>
      <w:r w:rsidR="001D66D4" w:rsidRPr="00F92E56">
        <w:t xml:space="preserve"> and therefore the incremental benefit of avelumab </w:t>
      </w:r>
      <w:r w:rsidR="001D66D4" w:rsidRPr="00F92E56">
        <w:rPr>
          <w:rFonts w:cstheme="minorHAnsi"/>
        </w:rPr>
        <w:t>−</w:t>
      </w:r>
      <w:r w:rsidR="001D66D4" w:rsidRPr="00F92E56">
        <w:t xml:space="preserve"> is highly uncertain. Furthermore, the survival outcomes from the external avelumab trial alone were adjusted to account for an assumed proportion of patients who achieved a cure (modelled separately). This adds additional uncertainty to the modelled estimates given that the proportion who achieved a cure in Powles et al. (2023) was unknown.</w:t>
      </w:r>
      <w:bookmarkEnd w:id="58"/>
      <w:r w:rsidR="001D66D4" w:rsidRPr="00F92E56">
        <w:t xml:space="preserve"> </w:t>
      </w:r>
    </w:p>
    <w:p w14:paraId="1A58BF26" w14:textId="7A16A286" w:rsidR="00586A3E" w:rsidRPr="00F92E56" w:rsidRDefault="00586A3E" w:rsidP="00236876">
      <w:pPr>
        <w:pStyle w:val="3-BodyText"/>
      </w:pPr>
      <w:r w:rsidRPr="00F92E56">
        <w:t>O</w:t>
      </w:r>
      <w:r w:rsidR="00773DFF" w:rsidRPr="00F92E56">
        <w:t xml:space="preserve">f </w:t>
      </w:r>
      <w:r w:rsidR="00D43118" w:rsidRPr="00F92E56">
        <w:t xml:space="preserve">the </w:t>
      </w:r>
      <w:r w:rsidR="00773DFF" w:rsidRPr="00F92E56">
        <w:t>patients that received chemotherapy</w:t>
      </w:r>
      <w:r w:rsidRPr="00F92E56">
        <w:t xml:space="preserve"> in the </w:t>
      </w:r>
      <w:r w:rsidR="006E3583" w:rsidRPr="00F92E56">
        <w:t xml:space="preserve">watchful waiting </w:t>
      </w:r>
      <w:r w:rsidRPr="00F92E56">
        <w:t>arm of the model</w:t>
      </w:r>
      <w:r w:rsidR="00773DFF" w:rsidRPr="00F92E56">
        <w:t xml:space="preserve">, 63% </w:t>
      </w:r>
      <w:r w:rsidRPr="00F92E56">
        <w:t xml:space="preserve">were assumed to </w:t>
      </w:r>
      <w:r w:rsidR="00773DFF" w:rsidRPr="00F92E56">
        <w:t xml:space="preserve">receive avelumab maintenance, based on expert opinion. In the avelumab PSD (March 2021 PBAC </w:t>
      </w:r>
      <w:r w:rsidR="000C6128" w:rsidRPr="00F92E56">
        <w:t>meeting</w:t>
      </w:r>
      <w:r w:rsidR="00773DFF" w:rsidRPr="00F92E56">
        <w:t>), uptake was estimated to range from 65</w:t>
      </w:r>
      <w:r w:rsidR="00773DFF" w:rsidRPr="00F92E56">
        <w:rPr>
          <w:rFonts w:cs="Calibri"/>
        </w:rPr>
        <w:t>−</w:t>
      </w:r>
      <w:r w:rsidR="00773DFF" w:rsidRPr="00F92E56">
        <w:t>95% of the 60</w:t>
      </w:r>
      <w:r w:rsidR="00773DFF" w:rsidRPr="00F92E56">
        <w:rPr>
          <w:rFonts w:cs="Calibri"/>
        </w:rPr>
        <w:t>−</w:t>
      </w:r>
      <w:r w:rsidR="00773DFF" w:rsidRPr="00F92E56">
        <w:t>75% of patients expected to be free from progression after first-line chemotherapy; thus reflecting estimates in a range of 39</w:t>
      </w:r>
      <w:r w:rsidR="00773DFF" w:rsidRPr="00F92E56">
        <w:rPr>
          <w:rFonts w:cs="Calibri"/>
        </w:rPr>
        <w:t>−71%</w:t>
      </w:r>
      <w:r w:rsidRPr="00F92E56">
        <w:rPr>
          <w:rFonts w:cs="Calibri"/>
        </w:rPr>
        <w:t xml:space="preserve"> of avelumab use in those who had received prior chemotherapy</w:t>
      </w:r>
      <w:r w:rsidR="00773DFF" w:rsidRPr="00F92E56">
        <w:t xml:space="preserve">. The ICER </w:t>
      </w:r>
      <w:r w:rsidR="007D2DE6" w:rsidRPr="00F92E56">
        <w:t xml:space="preserve">was </w:t>
      </w:r>
      <w:r w:rsidR="00773DFF" w:rsidRPr="00F92E56">
        <w:t>sensitive to the proportion of patients expected to use avelumab maintenance treatment.</w:t>
      </w:r>
      <w:r w:rsidRPr="00F92E56">
        <w:t xml:space="preserve"> </w:t>
      </w:r>
    </w:p>
    <w:p w14:paraId="2E562A15" w14:textId="77777777" w:rsidR="008C00C0" w:rsidRPr="00F92E56" w:rsidRDefault="00E40735" w:rsidP="00236876">
      <w:pPr>
        <w:pStyle w:val="3-BodyText"/>
      </w:pPr>
      <w:r w:rsidRPr="00F92E56">
        <w:t xml:space="preserve">The ESC </w:t>
      </w:r>
      <w:r w:rsidR="008C00C0" w:rsidRPr="00F92E56">
        <w:t xml:space="preserve">also </w:t>
      </w:r>
      <w:r w:rsidRPr="00F92E56">
        <w:t>noted that e</w:t>
      </w:r>
      <w:r w:rsidR="004054A2" w:rsidRPr="00F92E56">
        <w:t xml:space="preserve">xpert opinion was used to determine the proportion of recurrence events that resulted in a cure (which varied by type of recurrence and model arm) (locoregional recurrence: 6.6% and 7.7%, nivolumab and watchful waiting, respectively; and distant recurrence: 2.7% and 4.2%, respectively). </w:t>
      </w:r>
    </w:p>
    <w:p w14:paraId="2814C54E" w14:textId="48ABEF2D" w:rsidR="00E40735" w:rsidRPr="00F92E56" w:rsidRDefault="008C00C0" w:rsidP="00236876">
      <w:pPr>
        <w:pStyle w:val="3-BodyText"/>
      </w:pPr>
      <w:bookmarkStart w:id="59" w:name="_Ref147920690"/>
      <w:r w:rsidRPr="00F92E56">
        <w:t xml:space="preserve">The ESC considered </w:t>
      </w:r>
      <w:r w:rsidR="00A1731F" w:rsidRPr="00F92E56">
        <w:t xml:space="preserve">that the </w:t>
      </w:r>
      <w:r w:rsidRPr="00F92E56">
        <w:t>transition probabilities sourced from external studies</w:t>
      </w:r>
      <w:r w:rsidRPr="00F92E56">
        <w:rPr>
          <w:vertAlign w:val="superscript"/>
        </w:rPr>
        <w:fldChar w:fldCharType="begin" w:fldLock="1"/>
      </w:r>
      <w:r w:rsidRPr="00F92E56">
        <w:rPr>
          <w:vertAlign w:val="superscript"/>
        </w:rPr>
        <w:instrText xml:space="preserve"> NOTEREF _Ref142905710 \h  \* MERGEFORMAT </w:instrText>
      </w:r>
      <w:r w:rsidRPr="00F92E56">
        <w:rPr>
          <w:vertAlign w:val="superscript"/>
        </w:rPr>
      </w:r>
      <w:r w:rsidRPr="00F92E56">
        <w:rPr>
          <w:vertAlign w:val="superscript"/>
        </w:rPr>
        <w:fldChar w:fldCharType="separate"/>
      </w:r>
      <w:r w:rsidRPr="00F92E56">
        <w:rPr>
          <w:vertAlign w:val="superscript"/>
        </w:rPr>
        <w:t>13</w:t>
      </w:r>
      <w:r w:rsidRPr="00F92E56">
        <w:rPr>
          <w:vertAlign w:val="superscript"/>
        </w:rPr>
        <w:fldChar w:fldCharType="end"/>
      </w:r>
      <w:r w:rsidRPr="00F92E56">
        <w:rPr>
          <w:vertAlign w:val="superscript"/>
        </w:rPr>
        <w:t>,</w:t>
      </w:r>
      <w:r w:rsidRPr="00F92E56">
        <w:rPr>
          <w:vertAlign w:val="superscript"/>
        </w:rPr>
        <w:fldChar w:fldCharType="begin" w:fldLock="1"/>
      </w:r>
      <w:r w:rsidRPr="00F92E56">
        <w:rPr>
          <w:vertAlign w:val="superscript"/>
        </w:rPr>
        <w:instrText xml:space="preserve"> NOTEREF _Ref142905713 \h  \* MERGEFORMAT </w:instrText>
      </w:r>
      <w:r w:rsidRPr="00F92E56">
        <w:rPr>
          <w:vertAlign w:val="superscript"/>
        </w:rPr>
      </w:r>
      <w:r w:rsidRPr="00F92E56">
        <w:rPr>
          <w:vertAlign w:val="superscript"/>
        </w:rPr>
        <w:fldChar w:fldCharType="separate"/>
      </w:r>
      <w:r w:rsidRPr="00F92E56">
        <w:rPr>
          <w:vertAlign w:val="superscript"/>
        </w:rPr>
        <w:t>14</w:t>
      </w:r>
      <w:r w:rsidRPr="00F92E56">
        <w:rPr>
          <w:vertAlign w:val="superscript"/>
        </w:rPr>
        <w:fldChar w:fldCharType="end"/>
      </w:r>
      <w:r w:rsidRPr="00F92E56">
        <w:rPr>
          <w:vertAlign w:val="superscript"/>
        </w:rPr>
        <w:t>,</w:t>
      </w:r>
      <w:r w:rsidRPr="00F92E56">
        <w:rPr>
          <w:vertAlign w:val="superscript"/>
        </w:rPr>
        <w:fldChar w:fldCharType="begin" w:fldLock="1"/>
      </w:r>
      <w:r w:rsidRPr="00F92E56">
        <w:rPr>
          <w:vertAlign w:val="superscript"/>
        </w:rPr>
        <w:instrText xml:space="preserve"> NOTEREF _Ref142904996 \h  \* MERGEFORMAT </w:instrText>
      </w:r>
      <w:r w:rsidRPr="00F92E56">
        <w:rPr>
          <w:vertAlign w:val="superscript"/>
        </w:rPr>
      </w:r>
      <w:r w:rsidRPr="00F92E56">
        <w:rPr>
          <w:vertAlign w:val="superscript"/>
        </w:rPr>
        <w:fldChar w:fldCharType="separate"/>
      </w:r>
      <w:r w:rsidRPr="00F92E56">
        <w:rPr>
          <w:vertAlign w:val="superscript"/>
        </w:rPr>
        <w:t>15</w:t>
      </w:r>
      <w:r w:rsidRPr="00F92E56">
        <w:rPr>
          <w:vertAlign w:val="superscript"/>
        </w:rPr>
        <w:fldChar w:fldCharType="end"/>
      </w:r>
      <w:r w:rsidRPr="00F92E56">
        <w:t xml:space="preserve"> and from expert opinion were highly uncertain.</w:t>
      </w:r>
      <w:bookmarkEnd w:id="59"/>
    </w:p>
    <w:p w14:paraId="64EF2B08" w14:textId="00CCD322" w:rsidR="001D66D4" w:rsidRPr="00F92E56" w:rsidRDefault="001D66D4" w:rsidP="00236876">
      <w:pPr>
        <w:pStyle w:val="3-BodyText"/>
      </w:pPr>
      <w:r w:rsidRPr="00F92E56">
        <w:t>Costs of avelumab used in the economic model were based on an assumed effective price reflecting a 50% rebate on published pricing, with a mean duration of 12.64</w:t>
      </w:r>
      <w:r w:rsidR="00C76B7E">
        <w:t> </w:t>
      </w:r>
      <w:r w:rsidRPr="00F92E56">
        <w:t>months treatment assumed (</w:t>
      </w:r>
      <w:r w:rsidR="00724199">
        <w:t>paragraph</w:t>
      </w:r>
      <w:r w:rsidR="00E61F1D" w:rsidRPr="00F92E56">
        <w:t xml:space="preserve"> 4.1, a</w:t>
      </w:r>
      <w:r w:rsidRPr="00F92E56">
        <w:t xml:space="preserve">velumab PSD, March 2022 PBAC meeting). The PSD for avelumab indicated that the PBAC accepted a financial stopping </w:t>
      </w:r>
      <w:r w:rsidRPr="00F92E56">
        <w:lastRenderedPageBreak/>
        <w:t>rule to manage the cost of avelumab treatment. This suggested that doses beyond such time would be provided at nil cost to the Commonwealth. The mean treatment duration when this rule was accounted for was noted in the PSD to be less than 12.64</w:t>
      </w:r>
      <w:r w:rsidR="00C76B7E">
        <w:t> </w:t>
      </w:r>
      <w:r w:rsidRPr="00F92E56">
        <w:t>months (</w:t>
      </w:r>
      <w:r w:rsidR="00724199">
        <w:t>paragraph</w:t>
      </w:r>
      <w:r w:rsidRPr="00F92E56">
        <w:t xml:space="preserve"> 5.3, </w:t>
      </w:r>
      <w:r w:rsidR="00E61F1D" w:rsidRPr="00F92E56">
        <w:t>a</w:t>
      </w:r>
      <w:r w:rsidRPr="00F92E56">
        <w:t>velumab PSD, March 2022</w:t>
      </w:r>
      <w:r w:rsidR="002D5392" w:rsidRPr="00F92E56">
        <w:t xml:space="preserve"> PBAC meeting</w:t>
      </w:r>
      <w:r w:rsidRPr="00F92E56">
        <w:t xml:space="preserve">). Thus, the </w:t>
      </w:r>
      <w:r w:rsidR="00C24A3C" w:rsidRPr="00F92E56">
        <w:t xml:space="preserve">cost per treatment course for </w:t>
      </w:r>
      <w:r w:rsidRPr="00F92E56">
        <w:t xml:space="preserve">avelumab applied in the resubmission has been overestimated. </w:t>
      </w:r>
      <w:r w:rsidR="00714F6E" w:rsidRPr="00F92E56">
        <w:t>The ESC noted that s</w:t>
      </w:r>
      <w:r w:rsidRPr="00F92E56">
        <w:t xml:space="preserve">ensitivity analyses conducted </w:t>
      </w:r>
      <w:r w:rsidR="002D5392" w:rsidRPr="00F92E56">
        <w:t xml:space="preserve">during the evaluation </w:t>
      </w:r>
      <w:r w:rsidRPr="00F92E56">
        <w:t xml:space="preserve">which reduce the duration of avelumab treatment </w:t>
      </w:r>
      <w:r w:rsidR="00E121F2" w:rsidRPr="00F92E56">
        <w:t>indicated</w:t>
      </w:r>
      <w:r w:rsidRPr="00F92E56">
        <w:t xml:space="preserve"> that the ICER was sensitive to these changes.</w:t>
      </w:r>
    </w:p>
    <w:p w14:paraId="4652CA9E" w14:textId="2190BDB8" w:rsidR="001D66D4" w:rsidRPr="00F92E56" w:rsidRDefault="001D66D4" w:rsidP="00236876">
      <w:pPr>
        <w:pStyle w:val="3-BodyText"/>
      </w:pPr>
      <w:r w:rsidRPr="00F92E56">
        <w:t xml:space="preserve">A comparison of the modelled DFS and OS curves to the DFS data from the trial are presented in </w:t>
      </w:r>
      <w:r w:rsidR="00C7399A" w:rsidRPr="00F92E56">
        <w:fldChar w:fldCharType="begin" w:fldLock="1"/>
      </w:r>
      <w:r w:rsidR="00C7399A" w:rsidRPr="00F92E56">
        <w:instrText xml:space="preserve"> REF _Ref142836609 \h  \* MERGEFORMAT </w:instrText>
      </w:r>
      <w:r w:rsidR="00C7399A" w:rsidRPr="00F92E56">
        <w:fldChar w:fldCharType="separate"/>
      </w:r>
      <w:r w:rsidR="0096718A" w:rsidRPr="00F92E56">
        <w:t xml:space="preserve">Figure </w:t>
      </w:r>
      <w:r w:rsidR="0096718A" w:rsidRPr="00346867">
        <w:t>5</w:t>
      </w:r>
      <w:r w:rsidR="00C7399A" w:rsidRPr="00F92E56">
        <w:fldChar w:fldCharType="end"/>
      </w:r>
      <w:r w:rsidRPr="00F92E56">
        <w:t xml:space="preserve">. This figure also depicts the effects on the resulting modelled DFS and OS estimates when the truncation time point for DFS extrapolation </w:t>
      </w:r>
      <w:r w:rsidR="00DD4EFB" w:rsidRPr="00F92E56">
        <w:t xml:space="preserve">in the </w:t>
      </w:r>
      <w:r w:rsidR="006E3583" w:rsidRPr="00F92E56">
        <w:t xml:space="preserve">watchful waiting </w:t>
      </w:r>
      <w:r w:rsidR="00DD4EFB" w:rsidRPr="00F92E56">
        <w:t xml:space="preserve">arm </w:t>
      </w:r>
      <w:r w:rsidRPr="00F92E56">
        <w:t>is reduced from 54 to 48 months</w:t>
      </w:r>
      <w:r w:rsidR="005B44A8" w:rsidRPr="00F92E56">
        <w:t xml:space="preserve"> and using the best-fitting parametric model for extrapolation of nivolumab DFS</w:t>
      </w:r>
      <w:r w:rsidRPr="00F92E56">
        <w:t xml:space="preserve">. </w:t>
      </w:r>
    </w:p>
    <w:p w14:paraId="7133DAC6" w14:textId="24C96639" w:rsidR="001D66D4" w:rsidRPr="00F92E56" w:rsidRDefault="001D66D4" w:rsidP="001D66D4">
      <w:pPr>
        <w:pStyle w:val="Caption"/>
        <w:rPr>
          <w:rStyle w:val="CommentReference"/>
          <w:szCs w:val="24"/>
        </w:rPr>
      </w:pPr>
      <w:bookmarkStart w:id="60" w:name="_Ref142836609"/>
      <w:r w:rsidRPr="00F92E56">
        <w:t xml:space="preserve">Figure </w:t>
      </w:r>
      <w:r w:rsidR="001D78FA">
        <w:fldChar w:fldCharType="begin" w:fldLock="1"/>
      </w:r>
      <w:r w:rsidR="001D78FA">
        <w:instrText xml:space="preserve"> SEQ Figure \* ARABIC </w:instrText>
      </w:r>
      <w:r w:rsidR="001D78FA">
        <w:fldChar w:fldCharType="separate"/>
      </w:r>
      <w:r w:rsidR="0096718A" w:rsidRPr="00346867">
        <w:t>5</w:t>
      </w:r>
      <w:r w:rsidR="001D78FA">
        <w:fldChar w:fldCharType="end"/>
      </w:r>
      <w:bookmarkEnd w:id="60"/>
      <w:r w:rsidRPr="00F92E56">
        <w:t xml:space="preserve">: </w:t>
      </w:r>
      <w:r w:rsidRPr="00F92E56">
        <w:rPr>
          <w:rStyle w:val="CommentReference"/>
          <w:b/>
          <w:szCs w:val="24"/>
        </w:rPr>
        <w:t xml:space="preserve">Comparison of modelled DFS and OS versus observed DFS from CM274 </w:t>
      </w:r>
    </w:p>
    <w:p w14:paraId="6F6172A3" w14:textId="4E2BE6C3" w:rsidR="001F6BBA" w:rsidRPr="00F92E56" w:rsidRDefault="00143F75" w:rsidP="00C76B7E">
      <w:pPr>
        <w:pStyle w:val="3-BodyText"/>
        <w:numPr>
          <w:ilvl w:val="0"/>
          <w:numId w:val="0"/>
        </w:numPr>
        <w:spacing w:after="0"/>
      </w:pPr>
      <w:r w:rsidRPr="00D27E62">
        <w:rPr>
          <w:noProof/>
        </w:rPr>
        <w:drawing>
          <wp:inline distT="0" distB="0" distL="0" distR="0" wp14:anchorId="02169F83" wp14:editId="557823A9">
            <wp:extent cx="5713171" cy="3369707"/>
            <wp:effectExtent l="0" t="0" r="190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303" cy="3376863"/>
                    </a:xfrm>
                    <a:prstGeom prst="rect">
                      <a:avLst/>
                    </a:prstGeom>
                    <a:noFill/>
                  </pic:spPr>
                </pic:pic>
              </a:graphicData>
            </a:graphic>
          </wp:inline>
        </w:drawing>
      </w:r>
    </w:p>
    <w:p w14:paraId="6550B4F5" w14:textId="4EB53D03" w:rsidR="00DD4EFB" w:rsidRPr="00F92E56" w:rsidRDefault="001D66D4" w:rsidP="00DD4EFB">
      <w:pPr>
        <w:pStyle w:val="FooterTableFigure"/>
      </w:pPr>
      <w:r w:rsidRPr="00F92E56">
        <w:t>Source:</w:t>
      </w:r>
      <w:r w:rsidR="00DD4EFB" w:rsidRPr="00F92E56">
        <w:t xml:space="preserve"> Constructed during the evaluation from the ‘Attachment 14 - Nivolumab Adj MIUC Economic Evaluation_Resubmission.xlsm’ file included in the resubmission.</w:t>
      </w:r>
    </w:p>
    <w:p w14:paraId="1D35E1F3" w14:textId="643AF823" w:rsidR="001D66D4" w:rsidRPr="00F92E56" w:rsidRDefault="00DD4EFB" w:rsidP="00DD4EFB">
      <w:pPr>
        <w:pStyle w:val="FooterTableFigure"/>
      </w:pPr>
      <w:r w:rsidRPr="00F92E56">
        <w:t>DFS = disease-free survival; KM = Kaplan-Meier; OS = overall survival; WW = watchful waiting.</w:t>
      </w:r>
    </w:p>
    <w:p w14:paraId="3729DA9B" w14:textId="49B76393" w:rsidR="001D66D4" w:rsidRPr="00F92E56" w:rsidRDefault="001D66D4" w:rsidP="00236876">
      <w:pPr>
        <w:pStyle w:val="3-BodyText"/>
      </w:pPr>
      <w:r w:rsidRPr="00F92E56">
        <w:t xml:space="preserve">A summary of the key drivers of the model is presented in </w:t>
      </w:r>
      <w:r w:rsidRPr="00F92E56">
        <w:fldChar w:fldCharType="begin" w:fldLock="1"/>
      </w:r>
      <w:r w:rsidRPr="00F92E56">
        <w:instrText xml:space="preserve"> REF _Ref104805122 \h  \* MERGEFORMAT </w:instrText>
      </w:r>
      <w:r w:rsidRPr="00F92E56">
        <w:fldChar w:fldCharType="separate"/>
      </w:r>
      <w:r w:rsidR="0096718A" w:rsidRPr="00F92E56">
        <w:t>Table 12</w:t>
      </w:r>
      <w:r w:rsidRPr="00F92E56">
        <w:fldChar w:fldCharType="end"/>
      </w:r>
      <w:r w:rsidRPr="00F92E56">
        <w:t xml:space="preserve">. </w:t>
      </w:r>
    </w:p>
    <w:p w14:paraId="5BB4300B" w14:textId="670D17CD" w:rsidR="001D66D4" w:rsidRPr="00F92E56" w:rsidRDefault="001D66D4" w:rsidP="001D66D4">
      <w:pPr>
        <w:pStyle w:val="Caption"/>
        <w:jc w:val="left"/>
        <w:rPr>
          <w:rStyle w:val="CommentReference"/>
          <w:b/>
          <w:szCs w:val="24"/>
        </w:rPr>
      </w:pPr>
      <w:bookmarkStart w:id="61" w:name="_Ref104805122"/>
      <w:r w:rsidRPr="00F92E56">
        <w:lastRenderedPageBreak/>
        <w:t xml:space="preserve">Table </w:t>
      </w:r>
      <w:r w:rsidR="001D78FA">
        <w:fldChar w:fldCharType="begin" w:fldLock="1"/>
      </w:r>
      <w:r w:rsidR="001D78FA">
        <w:instrText xml:space="preserve"> SEQ Table \* ARABIC </w:instrText>
      </w:r>
      <w:r w:rsidR="001D78FA">
        <w:fldChar w:fldCharType="separate"/>
      </w:r>
      <w:r w:rsidR="0096718A" w:rsidRPr="00346867">
        <w:t>12</w:t>
      </w:r>
      <w:r w:rsidR="001D78FA">
        <w:fldChar w:fldCharType="end"/>
      </w:r>
      <w:bookmarkEnd w:id="61"/>
      <w:r w:rsidRPr="00F92E56">
        <w:t>:</w:t>
      </w:r>
      <w:r w:rsidRPr="00F92E56">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4536"/>
        <w:gridCol w:w="3210"/>
      </w:tblGrid>
      <w:tr w:rsidR="001D66D4" w:rsidRPr="00F92E56" w14:paraId="0CC494A9" w14:textId="77777777" w:rsidTr="00EB31CA">
        <w:trPr>
          <w:tblHeader/>
        </w:trPr>
        <w:tc>
          <w:tcPr>
            <w:tcW w:w="705" w:type="pct"/>
            <w:shd w:val="clear" w:color="auto" w:fill="auto"/>
            <w:vAlign w:val="center"/>
          </w:tcPr>
          <w:p w14:paraId="2AA3F7A1" w14:textId="77777777" w:rsidR="001D66D4" w:rsidRPr="00346867" w:rsidRDefault="001D66D4" w:rsidP="00553EDF">
            <w:pPr>
              <w:pStyle w:val="In-tableHeading"/>
              <w:jc w:val="center"/>
              <w:rPr>
                <w:lang w:val="en-AU"/>
              </w:rPr>
            </w:pPr>
            <w:r w:rsidRPr="00346867">
              <w:rPr>
                <w:lang w:val="en-AU"/>
              </w:rPr>
              <w:t>Description</w:t>
            </w:r>
          </w:p>
        </w:tc>
        <w:tc>
          <w:tcPr>
            <w:tcW w:w="2515" w:type="pct"/>
            <w:shd w:val="clear" w:color="auto" w:fill="auto"/>
            <w:vAlign w:val="center"/>
          </w:tcPr>
          <w:p w14:paraId="6F5FA8F6" w14:textId="77777777" w:rsidR="001D66D4" w:rsidRPr="00346867" w:rsidRDefault="001D66D4" w:rsidP="00553EDF">
            <w:pPr>
              <w:pStyle w:val="In-tableHeading"/>
              <w:jc w:val="center"/>
              <w:rPr>
                <w:lang w:val="en-AU"/>
              </w:rPr>
            </w:pPr>
            <w:r w:rsidRPr="00346867">
              <w:rPr>
                <w:lang w:val="en-AU"/>
              </w:rPr>
              <w:t>Method/Value</w:t>
            </w:r>
          </w:p>
        </w:tc>
        <w:tc>
          <w:tcPr>
            <w:tcW w:w="1780" w:type="pct"/>
            <w:shd w:val="clear" w:color="auto" w:fill="auto"/>
            <w:vAlign w:val="center"/>
          </w:tcPr>
          <w:p w14:paraId="43E1DE87" w14:textId="77777777" w:rsidR="001D66D4" w:rsidRPr="00346867" w:rsidRDefault="001D66D4" w:rsidP="00553EDF">
            <w:pPr>
              <w:pStyle w:val="In-tableHeading"/>
              <w:jc w:val="center"/>
              <w:rPr>
                <w:lang w:val="en-AU"/>
              </w:rPr>
            </w:pPr>
            <w:r w:rsidRPr="00346867">
              <w:rPr>
                <w:lang w:val="en-AU"/>
              </w:rPr>
              <w:t>Impact</w:t>
            </w:r>
          </w:p>
          <w:p w14:paraId="4B22AFF1" w14:textId="53639939" w:rsidR="001D66D4" w:rsidRPr="00346867" w:rsidRDefault="001D66D4" w:rsidP="00553EDF">
            <w:pPr>
              <w:pStyle w:val="In-tableHeading"/>
              <w:jc w:val="center"/>
              <w:rPr>
                <w:lang w:val="en-AU"/>
              </w:rPr>
            </w:pPr>
            <w:r w:rsidRPr="00346867">
              <w:rPr>
                <w:rFonts w:cs="Arial"/>
                <w:szCs w:val="20"/>
                <w:lang w:val="en-AU"/>
              </w:rPr>
              <w:t>Base case:</w:t>
            </w:r>
            <w:r w:rsidR="00785872" w:rsidRPr="00785872">
              <w:rPr>
                <w:rFonts w:cs="Arial"/>
                <w:szCs w:val="20"/>
                <w:lang w:val="en-AU"/>
              </w:rPr>
              <w:t xml:space="preserve"> </w:t>
            </w:r>
            <w:r w:rsidR="00785872" w:rsidRPr="00785872">
              <w:rPr>
                <w:rFonts w:cs="Arial" w:hint="eastAsia"/>
                <w:color w:val="000000"/>
                <w:w w:val="15"/>
                <w:szCs w:val="20"/>
                <w:shd w:val="solid" w:color="000000" w:fill="000000"/>
                <w:fitText w:val="50" w:id="-1032081656"/>
                <w:lang w:val="en-AU"/>
                <w14:textFill>
                  <w14:solidFill>
                    <w14:srgbClr w14:val="000000">
                      <w14:alpha w14:val="100000"/>
                    </w14:srgbClr>
                  </w14:solidFill>
                </w14:textFill>
              </w:rPr>
              <w:t xml:space="preserve">　</w:t>
            </w:r>
            <w:r w:rsidR="00785872" w:rsidRPr="00785872">
              <w:rPr>
                <w:rFonts w:cs="Arial"/>
                <w:color w:val="000000"/>
                <w:w w:val="15"/>
                <w:szCs w:val="20"/>
                <w:shd w:val="solid" w:color="000000" w:fill="000000"/>
                <w:fitText w:val="50" w:id="-1032081656"/>
                <w:lang w:val="en-AU"/>
                <w14:textFill>
                  <w14:solidFill>
                    <w14:srgbClr w14:val="000000">
                      <w14:alpha w14:val="100000"/>
                    </w14:srgbClr>
                  </w14:solidFill>
                </w14:textFill>
              </w:rPr>
              <w:t>|</w:t>
            </w:r>
            <w:r w:rsidR="00785872" w:rsidRPr="00785872">
              <w:rPr>
                <w:rFonts w:cs="Arial" w:hint="eastAsia"/>
                <w:color w:val="000000"/>
                <w:spacing w:val="-16"/>
                <w:w w:val="15"/>
                <w:szCs w:val="20"/>
                <w:shd w:val="solid" w:color="000000" w:fill="000000"/>
                <w:fitText w:val="50" w:id="-1032081656"/>
                <w:lang w:val="en-AU"/>
                <w14:textFill>
                  <w14:solidFill>
                    <w14:srgbClr w14:val="000000">
                      <w14:alpha w14:val="100000"/>
                    </w14:srgbClr>
                  </w14:solidFill>
                </w14:textFill>
              </w:rPr>
              <w:t xml:space="preserve">　</w:t>
            </w:r>
            <w:r w:rsidR="00BE598F">
              <w:rPr>
                <w:vertAlign w:val="superscript"/>
              </w:rPr>
              <w:t>1</w:t>
            </w:r>
            <w:r w:rsidRPr="00346867">
              <w:rPr>
                <w:rFonts w:cs="Arial"/>
                <w:szCs w:val="20"/>
                <w:lang w:val="en-AU"/>
              </w:rPr>
              <w:t>/QALY gained</w:t>
            </w:r>
          </w:p>
        </w:tc>
      </w:tr>
      <w:tr w:rsidR="001D66D4" w:rsidRPr="00F92E56" w14:paraId="0B1087A3" w14:textId="77777777" w:rsidTr="00EB31CA">
        <w:tc>
          <w:tcPr>
            <w:tcW w:w="705" w:type="pct"/>
            <w:shd w:val="clear" w:color="auto" w:fill="auto"/>
            <w:vAlign w:val="center"/>
          </w:tcPr>
          <w:p w14:paraId="6C87BE48" w14:textId="77777777" w:rsidR="001D66D4" w:rsidRPr="00346867" w:rsidRDefault="001D66D4" w:rsidP="00553EDF">
            <w:pPr>
              <w:pStyle w:val="TableText0"/>
            </w:pPr>
            <w:r w:rsidRPr="00346867">
              <w:t>DFS data used in the model</w:t>
            </w:r>
          </w:p>
        </w:tc>
        <w:tc>
          <w:tcPr>
            <w:tcW w:w="2515" w:type="pct"/>
            <w:shd w:val="clear" w:color="auto" w:fill="auto"/>
            <w:vAlign w:val="center"/>
          </w:tcPr>
          <w:p w14:paraId="2E9BB469" w14:textId="6F0A6CB3" w:rsidR="001D66D4" w:rsidRPr="00346867" w:rsidRDefault="001D66D4" w:rsidP="00553EDF">
            <w:pPr>
              <w:pStyle w:val="TableText0"/>
            </w:pPr>
            <w:r w:rsidRPr="00346867">
              <w:t xml:space="preserve">CM274 prior NAC subgroup, </w:t>
            </w:r>
            <w:r w:rsidR="00E121F2" w:rsidRPr="00346867">
              <w:t>September</w:t>
            </w:r>
            <w:r w:rsidRPr="00346867">
              <w:t xml:space="preserve"> 2022 data cut. </w:t>
            </w:r>
          </w:p>
        </w:tc>
        <w:tc>
          <w:tcPr>
            <w:tcW w:w="1780" w:type="pct"/>
            <w:shd w:val="clear" w:color="auto" w:fill="auto"/>
            <w:vAlign w:val="center"/>
          </w:tcPr>
          <w:p w14:paraId="2664FB7C" w14:textId="48966E22" w:rsidR="001D66D4" w:rsidRPr="00346867" w:rsidRDefault="001D66D4" w:rsidP="00553EDF">
            <w:pPr>
              <w:pStyle w:val="TableText0"/>
            </w:pPr>
            <w:r w:rsidRPr="00346867">
              <w:t>High, favours nivolumab. Using the CM274 ITT data (</w:t>
            </w:r>
            <w:r w:rsidR="00815931" w:rsidRPr="00346867">
              <w:t>July</w:t>
            </w:r>
            <w:r w:rsidRPr="00346867">
              <w:t xml:space="preserve"> 2021 data cut) increased the ICER to</w:t>
            </w:r>
            <w:r w:rsidR="00785872" w:rsidRPr="00785872">
              <w:t xml:space="preserve"> </w:t>
            </w:r>
            <w:r w:rsidR="00785872" w:rsidRPr="00785872">
              <w:rPr>
                <w:color w:val="000000"/>
                <w:spacing w:val="53"/>
                <w:shd w:val="solid" w:color="000000" w:fill="000000"/>
                <w:fitText w:val="330" w:id="-1032081655"/>
                <w14:textFill>
                  <w14:solidFill>
                    <w14:srgbClr w14:val="000000">
                      <w14:alpha w14:val="100000"/>
                    </w14:srgbClr>
                  </w14:solidFill>
                </w14:textFill>
              </w:rPr>
              <w:t>|||</w:t>
            </w:r>
            <w:r w:rsidR="00785872" w:rsidRPr="00785872">
              <w:rPr>
                <w:color w:val="000000"/>
                <w:spacing w:val="1"/>
                <w:shd w:val="solid" w:color="000000" w:fill="000000"/>
                <w:fitText w:val="330" w:id="-1032081655"/>
                <w14:textFill>
                  <w14:solidFill>
                    <w14:srgbClr w14:val="000000">
                      <w14:alpha w14:val="100000"/>
                    </w14:srgbClr>
                  </w14:solidFill>
                </w14:textFill>
              </w:rPr>
              <w:t>|</w:t>
            </w:r>
            <w:r w:rsidR="00BE598F">
              <w:rPr>
                <w:vertAlign w:val="superscript"/>
              </w:rPr>
              <w:t>2</w:t>
            </w:r>
            <w:r w:rsidRPr="00346867">
              <w:t>/QALY gained.</w:t>
            </w:r>
          </w:p>
        </w:tc>
      </w:tr>
      <w:tr w:rsidR="001D66D4" w:rsidRPr="00F92E56" w14:paraId="44573518" w14:textId="77777777" w:rsidTr="00EB31CA">
        <w:tc>
          <w:tcPr>
            <w:tcW w:w="705" w:type="pct"/>
            <w:shd w:val="clear" w:color="auto" w:fill="auto"/>
            <w:vAlign w:val="center"/>
          </w:tcPr>
          <w:p w14:paraId="1430258D" w14:textId="77777777" w:rsidR="001D66D4" w:rsidRPr="00346867" w:rsidRDefault="001D66D4" w:rsidP="00553EDF">
            <w:pPr>
              <w:pStyle w:val="TableText0"/>
            </w:pPr>
            <w:r w:rsidRPr="00346867">
              <w:t>Avelumab costs and outcomes</w:t>
            </w:r>
          </w:p>
        </w:tc>
        <w:tc>
          <w:tcPr>
            <w:tcW w:w="2515" w:type="pct"/>
            <w:shd w:val="clear" w:color="auto" w:fill="auto"/>
            <w:vAlign w:val="center"/>
          </w:tcPr>
          <w:p w14:paraId="161D4195" w14:textId="0F2E4828" w:rsidR="001D66D4" w:rsidRPr="00F92E56" w:rsidRDefault="001D66D4" w:rsidP="00553EDF">
            <w:pPr>
              <w:pStyle w:val="TableText0"/>
              <w:rPr>
                <w:iCs/>
              </w:rPr>
            </w:pPr>
            <w:r w:rsidRPr="00346867">
              <w:t>The incremental benefit of avelumab treatment based on external studies</w:t>
            </w:r>
            <w:r w:rsidR="00D50DD3" w:rsidRPr="00346867">
              <w:rPr>
                <w:vertAlign w:val="superscript"/>
              </w:rPr>
              <w:fldChar w:fldCharType="begin" w:fldLock="1"/>
            </w:r>
            <w:r w:rsidR="00D50DD3" w:rsidRPr="00346867">
              <w:rPr>
                <w:vertAlign w:val="superscript"/>
              </w:rPr>
              <w:instrText xml:space="preserve"> NOTEREF _Ref142905710 \h  \* MERGEFORMAT </w:instrText>
            </w:r>
            <w:r w:rsidR="00D50DD3" w:rsidRPr="00346867">
              <w:rPr>
                <w:vertAlign w:val="superscript"/>
              </w:rPr>
            </w:r>
            <w:r w:rsidR="00D50DD3" w:rsidRPr="00346867">
              <w:rPr>
                <w:vertAlign w:val="superscript"/>
              </w:rPr>
              <w:fldChar w:fldCharType="separate"/>
            </w:r>
            <w:r w:rsidR="0096718A" w:rsidRPr="00346867">
              <w:rPr>
                <w:vertAlign w:val="superscript"/>
              </w:rPr>
              <w:t>13</w:t>
            </w:r>
            <w:r w:rsidR="00D50DD3" w:rsidRPr="00346867">
              <w:rPr>
                <w:vertAlign w:val="superscript"/>
              </w:rPr>
              <w:fldChar w:fldCharType="end"/>
            </w:r>
            <w:r w:rsidR="00D50DD3" w:rsidRPr="00346867">
              <w:rPr>
                <w:vertAlign w:val="superscript"/>
              </w:rPr>
              <w:t>,</w:t>
            </w:r>
            <w:r w:rsidR="00D50DD3" w:rsidRPr="00346867">
              <w:rPr>
                <w:vertAlign w:val="superscript"/>
              </w:rPr>
              <w:fldChar w:fldCharType="begin" w:fldLock="1"/>
            </w:r>
            <w:r w:rsidR="00D50DD3" w:rsidRPr="00346867">
              <w:rPr>
                <w:vertAlign w:val="superscript"/>
              </w:rPr>
              <w:instrText xml:space="preserve"> NOTEREF _Ref142905713 \h  \* MERGEFORMAT </w:instrText>
            </w:r>
            <w:r w:rsidR="00D50DD3" w:rsidRPr="00346867">
              <w:rPr>
                <w:vertAlign w:val="superscript"/>
              </w:rPr>
            </w:r>
            <w:r w:rsidR="00D50DD3" w:rsidRPr="00346867">
              <w:rPr>
                <w:vertAlign w:val="superscript"/>
              </w:rPr>
              <w:fldChar w:fldCharType="separate"/>
            </w:r>
            <w:r w:rsidR="0096718A" w:rsidRPr="00346867">
              <w:rPr>
                <w:vertAlign w:val="superscript"/>
              </w:rPr>
              <w:t>14</w:t>
            </w:r>
            <w:r w:rsidR="00D50DD3" w:rsidRPr="00346867">
              <w:rPr>
                <w:vertAlign w:val="superscript"/>
              </w:rPr>
              <w:fldChar w:fldCharType="end"/>
            </w:r>
            <w:r w:rsidR="00D50DD3" w:rsidRPr="00346867">
              <w:rPr>
                <w:vertAlign w:val="superscript"/>
              </w:rPr>
              <w:t>,</w:t>
            </w:r>
            <w:r w:rsidR="00D50DD3" w:rsidRPr="00346867">
              <w:rPr>
                <w:vertAlign w:val="superscript"/>
              </w:rPr>
              <w:fldChar w:fldCharType="begin" w:fldLock="1"/>
            </w:r>
            <w:r w:rsidR="00D50DD3" w:rsidRPr="00346867">
              <w:rPr>
                <w:vertAlign w:val="superscript"/>
              </w:rPr>
              <w:instrText xml:space="preserve"> NOTEREF _Ref142904996 \h  \* MERGEFORMAT </w:instrText>
            </w:r>
            <w:r w:rsidR="00D50DD3" w:rsidRPr="00346867">
              <w:rPr>
                <w:vertAlign w:val="superscript"/>
              </w:rPr>
            </w:r>
            <w:r w:rsidR="00D50DD3" w:rsidRPr="00346867">
              <w:rPr>
                <w:vertAlign w:val="superscript"/>
              </w:rPr>
              <w:fldChar w:fldCharType="separate"/>
            </w:r>
            <w:r w:rsidR="0096718A" w:rsidRPr="00346867">
              <w:rPr>
                <w:vertAlign w:val="superscript"/>
              </w:rPr>
              <w:t>15</w:t>
            </w:r>
            <w:r w:rsidR="00D50DD3" w:rsidRPr="00346867">
              <w:rPr>
                <w:vertAlign w:val="superscript"/>
              </w:rPr>
              <w:fldChar w:fldCharType="end"/>
            </w:r>
            <w:r w:rsidRPr="00346867">
              <w:t xml:space="preserve"> </w:t>
            </w:r>
            <w:r w:rsidRPr="00F92E56">
              <w:rPr>
                <w:iCs/>
              </w:rPr>
              <w:t>was highly uncertain, due to differences in the patients enrolled.</w:t>
            </w:r>
          </w:p>
          <w:p w14:paraId="7B699CCF" w14:textId="0A7D0441" w:rsidR="001D66D4" w:rsidRPr="00346867" w:rsidRDefault="001D66D4" w:rsidP="00553EDF">
            <w:pPr>
              <w:pStyle w:val="TableText0"/>
            </w:pPr>
            <w:r w:rsidRPr="00346867">
              <w:t xml:space="preserve">The incremental cost of avelumab is an overestimate as the treatment duration applied (12.64 months) </w:t>
            </w:r>
            <w:r w:rsidR="00383376" w:rsidRPr="00346867">
              <w:t>includes the doses the sponsor intends to be provided at no cost under the ‘financial stopping rule’.</w:t>
            </w:r>
          </w:p>
        </w:tc>
        <w:tc>
          <w:tcPr>
            <w:tcW w:w="1780" w:type="pct"/>
            <w:shd w:val="clear" w:color="auto" w:fill="auto"/>
            <w:vAlign w:val="center"/>
          </w:tcPr>
          <w:p w14:paraId="1DB1AD6F" w14:textId="391F79C0" w:rsidR="001D66D4" w:rsidRPr="00346867" w:rsidRDefault="001D66D4" w:rsidP="00553EDF">
            <w:pPr>
              <w:pStyle w:val="TableText0"/>
            </w:pPr>
            <w:r w:rsidRPr="00346867">
              <w:t>Moderate, favours nivolumab. When using the previous submission assumptions on treatments available in distant recurrence, the ICER increase</w:t>
            </w:r>
            <w:r w:rsidR="00383376" w:rsidRPr="00346867">
              <w:t>d</w:t>
            </w:r>
            <w:r w:rsidRPr="00346867">
              <w:t xml:space="preserve"> to</w:t>
            </w:r>
            <w:r w:rsidR="00785872" w:rsidRPr="00785872">
              <w:t xml:space="preserve"> </w:t>
            </w:r>
            <w:r w:rsidR="00785872" w:rsidRPr="00785872">
              <w:rPr>
                <w:color w:val="000000"/>
                <w:spacing w:val="49"/>
                <w:shd w:val="solid" w:color="000000" w:fill="000000"/>
                <w:fitText w:val="320" w:id="-1032081654"/>
                <w14:textFill>
                  <w14:solidFill>
                    <w14:srgbClr w14:val="000000">
                      <w14:alpha w14:val="100000"/>
                    </w14:srgbClr>
                  </w14:solidFill>
                </w14:textFill>
              </w:rPr>
              <w:t>|||</w:t>
            </w:r>
            <w:r w:rsidR="00785872" w:rsidRPr="00785872">
              <w:rPr>
                <w:color w:val="000000"/>
                <w:spacing w:val="3"/>
                <w:shd w:val="solid" w:color="000000" w:fill="000000"/>
                <w:fitText w:val="320" w:id="-1032081654"/>
                <w14:textFill>
                  <w14:solidFill>
                    <w14:srgbClr w14:val="000000">
                      <w14:alpha w14:val="100000"/>
                    </w14:srgbClr>
                  </w14:solidFill>
                </w14:textFill>
              </w:rPr>
              <w:t>|</w:t>
            </w:r>
            <w:r w:rsidR="00BE598F">
              <w:rPr>
                <w:vertAlign w:val="superscript"/>
              </w:rPr>
              <w:t>3</w:t>
            </w:r>
            <w:r w:rsidRPr="00346867">
              <w:t xml:space="preserve">/QALY gained. </w:t>
            </w:r>
          </w:p>
        </w:tc>
      </w:tr>
      <w:tr w:rsidR="001D66D4" w:rsidRPr="00F92E56" w14:paraId="243CAA0F" w14:textId="77777777" w:rsidTr="00EB31CA">
        <w:tc>
          <w:tcPr>
            <w:tcW w:w="705" w:type="pct"/>
            <w:shd w:val="clear" w:color="auto" w:fill="auto"/>
            <w:vAlign w:val="center"/>
          </w:tcPr>
          <w:p w14:paraId="609CB548" w14:textId="77777777" w:rsidR="001D66D4" w:rsidRPr="00346867" w:rsidRDefault="001D66D4" w:rsidP="00553EDF">
            <w:pPr>
              <w:pStyle w:val="TableText0"/>
            </w:pPr>
            <w:r w:rsidRPr="00346867">
              <w:t>Time horizon</w:t>
            </w:r>
          </w:p>
        </w:tc>
        <w:tc>
          <w:tcPr>
            <w:tcW w:w="2515" w:type="pct"/>
            <w:shd w:val="clear" w:color="auto" w:fill="auto"/>
            <w:vAlign w:val="center"/>
          </w:tcPr>
          <w:p w14:paraId="76E363A5" w14:textId="77777777" w:rsidR="001D66D4" w:rsidRPr="00346867" w:rsidRDefault="001D66D4" w:rsidP="00553EDF">
            <w:pPr>
              <w:pStyle w:val="TableText0"/>
            </w:pPr>
            <w:r w:rsidRPr="00346867">
              <w:t>20 years</w:t>
            </w:r>
          </w:p>
        </w:tc>
        <w:tc>
          <w:tcPr>
            <w:tcW w:w="1780" w:type="pct"/>
            <w:shd w:val="clear" w:color="auto" w:fill="auto"/>
            <w:vAlign w:val="center"/>
          </w:tcPr>
          <w:p w14:paraId="0C729EA4" w14:textId="031DFF96" w:rsidR="001D66D4" w:rsidRPr="00346867" w:rsidRDefault="001D66D4" w:rsidP="00553EDF">
            <w:pPr>
              <w:pStyle w:val="TableText0"/>
            </w:pPr>
            <w:r w:rsidRPr="00346867">
              <w:t>Moderate, favours nivolumab. Reducing the time horizon to 15 years increased the ICER to</w:t>
            </w:r>
            <w:r w:rsidR="00785872" w:rsidRPr="00785872">
              <w:t xml:space="preserve"> </w:t>
            </w:r>
            <w:r w:rsidR="00785872" w:rsidRPr="00785872">
              <w:rPr>
                <w:color w:val="000000"/>
                <w:spacing w:val="53"/>
                <w:shd w:val="solid" w:color="000000" w:fill="000000"/>
                <w:fitText w:val="330" w:id="-1032081653"/>
                <w14:textFill>
                  <w14:solidFill>
                    <w14:srgbClr w14:val="000000">
                      <w14:alpha w14:val="100000"/>
                    </w14:srgbClr>
                  </w14:solidFill>
                </w14:textFill>
              </w:rPr>
              <w:t>|||</w:t>
            </w:r>
            <w:r w:rsidR="00785872" w:rsidRPr="00785872">
              <w:rPr>
                <w:color w:val="000000"/>
                <w:spacing w:val="1"/>
                <w:shd w:val="solid" w:color="000000" w:fill="000000"/>
                <w:fitText w:val="330" w:id="-1032081653"/>
                <w14:textFill>
                  <w14:solidFill>
                    <w14:srgbClr w14:val="000000">
                      <w14:alpha w14:val="100000"/>
                    </w14:srgbClr>
                  </w14:solidFill>
                </w14:textFill>
              </w:rPr>
              <w:t>|</w:t>
            </w:r>
            <w:r w:rsidR="00BE598F">
              <w:rPr>
                <w:vertAlign w:val="superscript"/>
              </w:rPr>
              <w:t>3</w:t>
            </w:r>
            <w:r w:rsidRPr="00346867">
              <w:t>/QALY gained.</w:t>
            </w:r>
          </w:p>
        </w:tc>
      </w:tr>
      <w:tr w:rsidR="001D66D4" w:rsidRPr="00F92E56" w14:paraId="0F1C925F" w14:textId="77777777" w:rsidTr="00EB31CA">
        <w:tc>
          <w:tcPr>
            <w:tcW w:w="705" w:type="pct"/>
            <w:shd w:val="clear" w:color="auto" w:fill="auto"/>
            <w:vAlign w:val="center"/>
          </w:tcPr>
          <w:p w14:paraId="4654C8EE" w14:textId="5941B88C" w:rsidR="001D66D4" w:rsidRPr="00346867" w:rsidRDefault="001D66D4" w:rsidP="00553EDF">
            <w:pPr>
              <w:pStyle w:val="TableText0"/>
            </w:pPr>
            <w:r w:rsidRPr="00346867">
              <w:t>DFS KM truncation</w:t>
            </w:r>
            <w:r w:rsidR="00383376" w:rsidRPr="00346867">
              <w:t xml:space="preserve"> for </w:t>
            </w:r>
            <w:r w:rsidR="00143F75" w:rsidRPr="00346867">
              <w:t>watchful waiting arm</w:t>
            </w:r>
          </w:p>
        </w:tc>
        <w:tc>
          <w:tcPr>
            <w:tcW w:w="2515" w:type="pct"/>
            <w:shd w:val="clear" w:color="auto" w:fill="auto"/>
            <w:vAlign w:val="center"/>
          </w:tcPr>
          <w:p w14:paraId="3DAD373D" w14:textId="5FBB63FE" w:rsidR="001D66D4" w:rsidRPr="00346867" w:rsidRDefault="001D66D4" w:rsidP="00553EDF">
            <w:pPr>
              <w:pStyle w:val="TableText0"/>
            </w:pPr>
            <w:r w:rsidRPr="00346867">
              <w:t xml:space="preserve">54 months. </w:t>
            </w:r>
            <w:r w:rsidRPr="00346867">
              <w:rPr>
                <w:iCs/>
              </w:rPr>
              <w:t>This may be too late, as the observed data at this time point are unreliable; a truncation point of 48 months may be more appropriate.</w:t>
            </w:r>
          </w:p>
        </w:tc>
        <w:tc>
          <w:tcPr>
            <w:tcW w:w="1780" w:type="pct"/>
            <w:shd w:val="clear" w:color="auto" w:fill="auto"/>
            <w:vAlign w:val="center"/>
          </w:tcPr>
          <w:p w14:paraId="392D04C3" w14:textId="05A32C5D" w:rsidR="001D66D4" w:rsidRPr="00346867" w:rsidRDefault="001D66D4" w:rsidP="00553EDF">
            <w:pPr>
              <w:pStyle w:val="TableText0"/>
            </w:pPr>
            <w:r w:rsidRPr="00346867">
              <w:t>Moderate, favours nivolumab. Reducing the truncation time point to 48 months increased the ICER to</w:t>
            </w:r>
            <w:r w:rsidR="00785872" w:rsidRPr="00785872">
              <w:t xml:space="preserve"> </w:t>
            </w:r>
            <w:r w:rsidR="00785872" w:rsidRPr="00785872">
              <w:rPr>
                <w:color w:val="000000"/>
                <w:spacing w:val="49"/>
                <w:shd w:val="solid" w:color="000000" w:fill="000000"/>
                <w:fitText w:val="320" w:id="-1032081652"/>
                <w14:textFill>
                  <w14:solidFill>
                    <w14:srgbClr w14:val="000000">
                      <w14:alpha w14:val="100000"/>
                    </w14:srgbClr>
                  </w14:solidFill>
                </w14:textFill>
              </w:rPr>
              <w:t>|||</w:t>
            </w:r>
            <w:r w:rsidR="00785872" w:rsidRPr="00785872">
              <w:rPr>
                <w:color w:val="000000"/>
                <w:spacing w:val="3"/>
                <w:shd w:val="solid" w:color="000000" w:fill="000000"/>
                <w:fitText w:val="320" w:id="-1032081652"/>
                <w14:textFill>
                  <w14:solidFill>
                    <w14:srgbClr w14:val="000000">
                      <w14:alpha w14:val="100000"/>
                    </w14:srgbClr>
                  </w14:solidFill>
                </w14:textFill>
              </w:rPr>
              <w:t>|</w:t>
            </w:r>
            <w:r w:rsidR="00BE598F">
              <w:rPr>
                <w:vertAlign w:val="superscript"/>
              </w:rPr>
              <w:t>3</w:t>
            </w:r>
            <w:r w:rsidRPr="00346867">
              <w:t>/QALY gained.</w:t>
            </w:r>
          </w:p>
        </w:tc>
      </w:tr>
      <w:tr w:rsidR="001D66D4" w:rsidRPr="00F92E56" w14:paraId="77918250" w14:textId="77777777" w:rsidTr="00EB31CA">
        <w:tc>
          <w:tcPr>
            <w:tcW w:w="705" w:type="pct"/>
            <w:shd w:val="clear" w:color="auto" w:fill="auto"/>
            <w:vAlign w:val="center"/>
          </w:tcPr>
          <w:p w14:paraId="5627FEB5" w14:textId="77777777" w:rsidR="001D66D4" w:rsidRPr="00346867" w:rsidRDefault="001D66D4" w:rsidP="00553EDF">
            <w:pPr>
              <w:pStyle w:val="TableText0"/>
            </w:pPr>
            <w:r w:rsidRPr="00346867">
              <w:t>All-cause mortality multiplier</w:t>
            </w:r>
          </w:p>
        </w:tc>
        <w:tc>
          <w:tcPr>
            <w:tcW w:w="2515" w:type="pct"/>
            <w:shd w:val="clear" w:color="auto" w:fill="auto"/>
            <w:vAlign w:val="center"/>
          </w:tcPr>
          <w:p w14:paraId="5763486F" w14:textId="77777777" w:rsidR="001D66D4" w:rsidRPr="00346867" w:rsidRDefault="001D66D4" w:rsidP="00553EDF">
            <w:pPr>
              <w:pStyle w:val="TableText0"/>
            </w:pPr>
            <w:r w:rsidRPr="00346867">
              <w:t xml:space="preserve">1.8x applied for five years. The increased risk was </w:t>
            </w:r>
            <w:r w:rsidRPr="00F92E56">
              <w:t xml:space="preserve">based on a comparison of CM274 data (prior NAC subgroup) with general population mortality in US males aged 63.9. No justification was provided for the </w:t>
            </w:r>
            <w:r w:rsidRPr="00346867">
              <w:t>duration of the increased risk applied.</w:t>
            </w:r>
          </w:p>
        </w:tc>
        <w:tc>
          <w:tcPr>
            <w:tcW w:w="1780" w:type="pct"/>
            <w:shd w:val="clear" w:color="auto" w:fill="auto"/>
            <w:vAlign w:val="center"/>
          </w:tcPr>
          <w:p w14:paraId="16DEACA2" w14:textId="1E9895A5" w:rsidR="001D66D4" w:rsidRPr="00346867" w:rsidRDefault="001D66D4" w:rsidP="00553EDF">
            <w:pPr>
              <w:pStyle w:val="TableText0"/>
            </w:pPr>
            <w:r w:rsidRPr="00346867">
              <w:t>Moderate, favours nivolumab. Maintaining the increased risk throughout the model increased the ICER to</w:t>
            </w:r>
            <w:r w:rsidR="00785872" w:rsidRPr="00785872">
              <w:t xml:space="preserve"> </w:t>
            </w:r>
            <w:r w:rsidR="00785872" w:rsidRPr="00785872">
              <w:rPr>
                <w:color w:val="000000"/>
                <w:spacing w:val="49"/>
                <w:shd w:val="solid" w:color="000000" w:fill="000000"/>
                <w:fitText w:val="320" w:id="-1032081651"/>
                <w14:textFill>
                  <w14:solidFill>
                    <w14:srgbClr w14:val="000000">
                      <w14:alpha w14:val="100000"/>
                    </w14:srgbClr>
                  </w14:solidFill>
                </w14:textFill>
              </w:rPr>
              <w:t>|||</w:t>
            </w:r>
            <w:r w:rsidR="00785872" w:rsidRPr="00785872">
              <w:rPr>
                <w:color w:val="000000"/>
                <w:spacing w:val="3"/>
                <w:shd w:val="solid" w:color="000000" w:fill="000000"/>
                <w:fitText w:val="320" w:id="-1032081651"/>
                <w14:textFill>
                  <w14:solidFill>
                    <w14:srgbClr w14:val="000000">
                      <w14:alpha w14:val="100000"/>
                    </w14:srgbClr>
                  </w14:solidFill>
                </w14:textFill>
              </w:rPr>
              <w:t>|</w:t>
            </w:r>
            <w:r w:rsidR="00BE598F">
              <w:rPr>
                <w:vertAlign w:val="superscript"/>
              </w:rPr>
              <w:t>1</w:t>
            </w:r>
            <w:r w:rsidR="008515DF" w:rsidRPr="00346867">
              <w:t>/QALY gained</w:t>
            </w:r>
            <w:r w:rsidRPr="00346867">
              <w:t xml:space="preserve">. </w:t>
            </w:r>
          </w:p>
        </w:tc>
      </w:tr>
    </w:tbl>
    <w:p w14:paraId="2441317F" w14:textId="39556AC5" w:rsidR="001D66D4" w:rsidRPr="00F92E56" w:rsidRDefault="001D66D4" w:rsidP="001D66D4">
      <w:pPr>
        <w:pStyle w:val="FooterTableFigure"/>
      </w:pPr>
      <w:r w:rsidRPr="00F92E56">
        <w:t xml:space="preserve">Source: </w:t>
      </w:r>
      <w:r w:rsidR="00383376" w:rsidRPr="00F92E56">
        <w:t xml:space="preserve">Compiled during the evaluation, based on Section 3.9 of the submission </w:t>
      </w:r>
      <w:r w:rsidR="00383376" w:rsidRPr="00F92E56">
        <w:rPr>
          <w:iCs/>
        </w:rPr>
        <w:t>and the sensitivity analyses performed during the evaluation</w:t>
      </w:r>
      <w:r w:rsidR="00383376" w:rsidRPr="00F92E56">
        <w:t>.</w:t>
      </w:r>
    </w:p>
    <w:p w14:paraId="02FEBAC8" w14:textId="276BED1A" w:rsidR="005B44A8" w:rsidRDefault="005B44A8" w:rsidP="001D66D4">
      <w:pPr>
        <w:pStyle w:val="FooterTableFigure"/>
      </w:pPr>
      <w:r w:rsidRPr="00F92E56">
        <w:t xml:space="preserve">DFS = disease free survival; ICER = incremental cost-effectiveness ratio; ITT = intention-to-treat; </w:t>
      </w:r>
      <w:r w:rsidR="008515DF" w:rsidRPr="00F92E56">
        <w:t xml:space="preserve">KM = Kaplan-Meier; </w:t>
      </w:r>
      <w:r w:rsidRPr="00F92E56">
        <w:t>NAC = neoadjuvant platinum-based chemotherapy; QALYs = quality-adjusted life years.</w:t>
      </w:r>
    </w:p>
    <w:p w14:paraId="7273BA8A" w14:textId="6B565B03" w:rsidR="00BE598F" w:rsidRPr="00347D1F" w:rsidRDefault="00BE598F" w:rsidP="001D66D4">
      <w:pPr>
        <w:pStyle w:val="FooterTableFigure"/>
        <w:rPr>
          <w:i/>
          <w:iCs/>
        </w:rPr>
      </w:pPr>
      <w:r w:rsidRPr="00347D1F">
        <w:rPr>
          <w:i/>
          <w:iCs/>
        </w:rPr>
        <w:t>The redacted values correspond to the following ranges:</w:t>
      </w:r>
    </w:p>
    <w:p w14:paraId="6AEE7062" w14:textId="75F0EDF9" w:rsidR="00BE598F" w:rsidRPr="00347D1F" w:rsidRDefault="00BE598F" w:rsidP="001D66D4">
      <w:pPr>
        <w:pStyle w:val="FooterTableFigure"/>
        <w:rPr>
          <w:i/>
          <w:iCs/>
        </w:rPr>
      </w:pPr>
      <w:r w:rsidRPr="00347D1F">
        <w:rPr>
          <w:i/>
          <w:iCs/>
          <w:vertAlign w:val="superscript"/>
        </w:rPr>
        <w:t>1</w:t>
      </w:r>
      <w:r w:rsidRPr="00347D1F">
        <w:rPr>
          <w:i/>
          <w:iCs/>
        </w:rPr>
        <w:t xml:space="preserve"> $25,000 to &lt; $35,000</w:t>
      </w:r>
    </w:p>
    <w:p w14:paraId="36E66996" w14:textId="73C71BA1" w:rsidR="00BE598F" w:rsidRPr="00347D1F" w:rsidRDefault="00BE598F" w:rsidP="001D66D4">
      <w:pPr>
        <w:pStyle w:val="FooterTableFigure"/>
        <w:rPr>
          <w:i/>
          <w:iCs/>
        </w:rPr>
      </w:pPr>
      <w:r w:rsidRPr="00347D1F">
        <w:rPr>
          <w:i/>
          <w:iCs/>
          <w:vertAlign w:val="superscript"/>
        </w:rPr>
        <w:t>2</w:t>
      </w:r>
      <w:r w:rsidRPr="00347D1F">
        <w:rPr>
          <w:i/>
          <w:iCs/>
        </w:rPr>
        <w:t xml:space="preserve"> $95,000 to &lt; $115,000</w:t>
      </w:r>
    </w:p>
    <w:p w14:paraId="387BE234" w14:textId="15B31EFD" w:rsidR="00BE598F" w:rsidRPr="00347D1F" w:rsidRDefault="00BE598F" w:rsidP="001D66D4">
      <w:pPr>
        <w:pStyle w:val="FooterTableFigure"/>
        <w:rPr>
          <w:i/>
          <w:iCs/>
        </w:rPr>
      </w:pPr>
      <w:r w:rsidRPr="00347D1F">
        <w:rPr>
          <w:i/>
          <w:iCs/>
          <w:vertAlign w:val="superscript"/>
        </w:rPr>
        <w:t>3</w:t>
      </w:r>
      <w:r w:rsidRPr="00347D1F">
        <w:rPr>
          <w:i/>
          <w:iCs/>
        </w:rPr>
        <w:t xml:space="preserve"> $35,000 to &lt; $45,000</w:t>
      </w:r>
    </w:p>
    <w:p w14:paraId="7414A77B" w14:textId="09163C5D" w:rsidR="001D66D4" w:rsidRPr="00F92E56" w:rsidRDefault="001D66D4" w:rsidP="00236876">
      <w:pPr>
        <w:pStyle w:val="3-BodyText"/>
      </w:pPr>
      <w:r w:rsidRPr="00F92E56">
        <w:fldChar w:fldCharType="begin" w:fldLock="1"/>
      </w:r>
      <w:r w:rsidRPr="00F92E56">
        <w:instrText xml:space="preserve"> REF _Ref104805160 \h  \* MERGEFORMAT </w:instrText>
      </w:r>
      <w:r w:rsidRPr="00F92E56">
        <w:fldChar w:fldCharType="separate"/>
      </w:r>
      <w:r w:rsidR="0096718A" w:rsidRPr="00F92E56">
        <w:t>Table 13</w:t>
      </w:r>
      <w:r w:rsidRPr="00F92E56">
        <w:fldChar w:fldCharType="end"/>
      </w:r>
      <w:r w:rsidRPr="00F92E56">
        <w:t xml:space="preserve"> presents a stepped incorporation of the changes in the resubmission to the ICER presented previously.</w:t>
      </w:r>
    </w:p>
    <w:p w14:paraId="576A0B6C" w14:textId="27199A7E" w:rsidR="001D66D4" w:rsidRPr="00F92E56" w:rsidRDefault="001D66D4" w:rsidP="001D66D4">
      <w:pPr>
        <w:pStyle w:val="Caption"/>
      </w:pPr>
      <w:bookmarkStart w:id="62" w:name="_Ref104805160"/>
      <w:r w:rsidRPr="00F92E56">
        <w:lastRenderedPageBreak/>
        <w:t xml:space="preserve">Table </w:t>
      </w:r>
      <w:r w:rsidR="001D78FA">
        <w:fldChar w:fldCharType="begin" w:fldLock="1"/>
      </w:r>
      <w:r w:rsidR="001D78FA">
        <w:instrText xml:space="preserve"> SEQ Table \* ARABIC </w:instrText>
      </w:r>
      <w:r w:rsidR="001D78FA">
        <w:fldChar w:fldCharType="separate"/>
      </w:r>
      <w:r w:rsidR="0096718A" w:rsidRPr="00346867">
        <w:t>13</w:t>
      </w:r>
      <w:r w:rsidR="001D78FA">
        <w:fldChar w:fldCharType="end"/>
      </w:r>
      <w:bookmarkEnd w:id="62"/>
      <w:r w:rsidRPr="00F92E56">
        <w:t>:</w:t>
      </w:r>
      <w:r w:rsidRPr="00F92E56">
        <w:rPr>
          <w:rStyle w:val="CommentReference"/>
          <w:b/>
          <w:szCs w:val="24"/>
        </w:rPr>
        <w:t xml:space="preserve"> Stepped incorporation of changes relative to the previous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57"/>
        <w:gridCol w:w="2451"/>
        <w:gridCol w:w="2298"/>
        <w:gridCol w:w="1511"/>
      </w:tblGrid>
      <w:tr w:rsidR="001D66D4" w:rsidRPr="00F92E56" w14:paraId="690BDDF3" w14:textId="77777777" w:rsidTr="00553EDF">
        <w:trPr>
          <w:cantSplit/>
          <w:tblHeader/>
        </w:trPr>
        <w:tc>
          <w:tcPr>
            <w:tcW w:w="1529" w:type="pct"/>
            <w:vAlign w:val="center"/>
          </w:tcPr>
          <w:p w14:paraId="1A452440" w14:textId="77777777" w:rsidR="001D66D4" w:rsidRPr="00346867" w:rsidRDefault="001D66D4" w:rsidP="00553EDF">
            <w:pPr>
              <w:pStyle w:val="In-tableHeading"/>
              <w:rPr>
                <w:lang w:val="en-AU"/>
              </w:rPr>
            </w:pPr>
            <w:r w:rsidRPr="00346867">
              <w:rPr>
                <w:lang w:val="en-AU"/>
              </w:rPr>
              <w:t>Step and component</w:t>
            </w:r>
          </w:p>
        </w:tc>
        <w:tc>
          <w:tcPr>
            <w:tcW w:w="1359" w:type="pct"/>
            <w:vAlign w:val="center"/>
          </w:tcPr>
          <w:p w14:paraId="698C61F2" w14:textId="77777777" w:rsidR="001D66D4" w:rsidRPr="00346867" w:rsidRDefault="001D66D4" w:rsidP="00553EDF">
            <w:pPr>
              <w:pStyle w:val="In-tableHeading"/>
              <w:jc w:val="center"/>
              <w:rPr>
                <w:lang w:val="en-AU"/>
              </w:rPr>
            </w:pPr>
            <w:r w:rsidRPr="00346867">
              <w:rPr>
                <w:lang w:val="en-AU"/>
              </w:rPr>
              <w:t>Nivolumab</w:t>
            </w:r>
          </w:p>
        </w:tc>
        <w:tc>
          <w:tcPr>
            <w:tcW w:w="1274" w:type="pct"/>
            <w:vAlign w:val="center"/>
          </w:tcPr>
          <w:p w14:paraId="499671AE" w14:textId="77777777" w:rsidR="001D66D4" w:rsidRPr="00346867" w:rsidRDefault="001D66D4" w:rsidP="00553EDF">
            <w:pPr>
              <w:pStyle w:val="In-tableHeading"/>
              <w:jc w:val="center"/>
              <w:rPr>
                <w:lang w:val="en-AU"/>
              </w:rPr>
            </w:pPr>
            <w:r w:rsidRPr="00346867">
              <w:rPr>
                <w:lang w:val="en-AU"/>
              </w:rPr>
              <w:t>Watchful waiting</w:t>
            </w:r>
          </w:p>
        </w:tc>
        <w:tc>
          <w:tcPr>
            <w:tcW w:w="838" w:type="pct"/>
            <w:vAlign w:val="center"/>
          </w:tcPr>
          <w:p w14:paraId="2B940837" w14:textId="77777777" w:rsidR="001D66D4" w:rsidRPr="00346867" w:rsidRDefault="001D66D4" w:rsidP="00553EDF">
            <w:pPr>
              <w:pStyle w:val="In-tableHeading"/>
              <w:jc w:val="center"/>
              <w:rPr>
                <w:lang w:val="en-AU"/>
              </w:rPr>
            </w:pPr>
            <w:r w:rsidRPr="00346867">
              <w:rPr>
                <w:lang w:val="en-AU"/>
              </w:rPr>
              <w:t>Increment</w:t>
            </w:r>
          </w:p>
        </w:tc>
      </w:tr>
      <w:tr w:rsidR="001D66D4" w:rsidRPr="00F92E56" w14:paraId="6F797C2D" w14:textId="77777777" w:rsidTr="00553EDF">
        <w:trPr>
          <w:cantSplit/>
        </w:trPr>
        <w:tc>
          <w:tcPr>
            <w:tcW w:w="5000" w:type="pct"/>
            <w:gridSpan w:val="4"/>
            <w:shd w:val="clear" w:color="auto" w:fill="B8CCE4" w:themeFill="accent1" w:themeFillTint="66"/>
            <w:vAlign w:val="center"/>
          </w:tcPr>
          <w:p w14:paraId="074EA76C" w14:textId="77777777" w:rsidR="001D66D4" w:rsidRPr="00346867" w:rsidRDefault="001D66D4" w:rsidP="00553EDF">
            <w:pPr>
              <w:pStyle w:val="In-tableHeading"/>
              <w:rPr>
                <w:lang w:val="en-AU"/>
              </w:rPr>
            </w:pPr>
            <w:r w:rsidRPr="00346867">
              <w:rPr>
                <w:lang w:val="en-AU"/>
              </w:rPr>
              <w:t>Step 1: Previous submission (July 2022 PBAC Meeting) base case</w:t>
            </w:r>
          </w:p>
        </w:tc>
      </w:tr>
      <w:tr w:rsidR="001D66D4" w:rsidRPr="00F92E56" w14:paraId="2F30A664" w14:textId="77777777" w:rsidTr="00553EDF">
        <w:trPr>
          <w:cantSplit/>
        </w:trPr>
        <w:tc>
          <w:tcPr>
            <w:tcW w:w="1529" w:type="pct"/>
            <w:shd w:val="clear" w:color="auto" w:fill="B8CCE4" w:themeFill="accent1" w:themeFillTint="66"/>
            <w:vAlign w:val="center"/>
          </w:tcPr>
          <w:p w14:paraId="229DAF0E" w14:textId="77777777" w:rsidR="001D66D4" w:rsidRPr="00F92E56" w:rsidRDefault="001D66D4" w:rsidP="00553EDF">
            <w:pPr>
              <w:pStyle w:val="TableText0"/>
              <w:rPr>
                <w:rFonts w:ascii="Times" w:hAnsi="Times"/>
              </w:rPr>
            </w:pPr>
            <w:r w:rsidRPr="00F92E56">
              <w:t xml:space="preserve">Costs </w:t>
            </w:r>
          </w:p>
        </w:tc>
        <w:tc>
          <w:tcPr>
            <w:tcW w:w="1359" w:type="pct"/>
            <w:shd w:val="clear" w:color="auto" w:fill="B8CCE4" w:themeFill="accent1" w:themeFillTint="66"/>
            <w:vAlign w:val="center"/>
          </w:tcPr>
          <w:p w14:paraId="1651645C" w14:textId="0A7C0034"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p>
        </w:tc>
        <w:tc>
          <w:tcPr>
            <w:tcW w:w="1274" w:type="pct"/>
            <w:shd w:val="clear" w:color="auto" w:fill="B8CCE4" w:themeFill="accent1" w:themeFillTint="66"/>
          </w:tcPr>
          <w:p w14:paraId="4B83E0B5" w14:textId="77777777" w:rsidR="001D66D4" w:rsidRPr="00F92E56" w:rsidRDefault="001D66D4" w:rsidP="00553EDF">
            <w:pPr>
              <w:pStyle w:val="TableText0"/>
              <w:jc w:val="center"/>
              <w:rPr>
                <w:rFonts w:ascii="Times" w:hAnsi="Times"/>
              </w:rPr>
            </w:pPr>
            <w:r w:rsidRPr="00F92E56">
              <w:t>$28,398</w:t>
            </w:r>
          </w:p>
        </w:tc>
        <w:tc>
          <w:tcPr>
            <w:tcW w:w="838" w:type="pct"/>
            <w:shd w:val="clear" w:color="auto" w:fill="B8CCE4" w:themeFill="accent1" w:themeFillTint="66"/>
          </w:tcPr>
          <w:p w14:paraId="1D505DF1" w14:textId="18C64AB6"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p>
        </w:tc>
      </w:tr>
      <w:tr w:rsidR="001D66D4" w:rsidRPr="00F92E56" w14:paraId="3CAFA4D4" w14:textId="77777777" w:rsidTr="00553EDF">
        <w:trPr>
          <w:cantSplit/>
        </w:trPr>
        <w:tc>
          <w:tcPr>
            <w:tcW w:w="1529" w:type="pct"/>
            <w:shd w:val="clear" w:color="auto" w:fill="B8CCE4" w:themeFill="accent1" w:themeFillTint="66"/>
            <w:vAlign w:val="center"/>
          </w:tcPr>
          <w:p w14:paraId="786C1ADF" w14:textId="77777777" w:rsidR="001D66D4" w:rsidRPr="00F92E56" w:rsidRDefault="001D66D4" w:rsidP="00553EDF">
            <w:pPr>
              <w:pStyle w:val="TableText0"/>
              <w:rPr>
                <w:rFonts w:ascii="Times" w:hAnsi="Times"/>
              </w:rPr>
            </w:pPr>
            <w:r w:rsidRPr="00F92E56">
              <w:t>QALYs</w:t>
            </w:r>
          </w:p>
        </w:tc>
        <w:tc>
          <w:tcPr>
            <w:tcW w:w="1359" w:type="pct"/>
            <w:shd w:val="clear" w:color="auto" w:fill="B8CCE4" w:themeFill="accent1" w:themeFillTint="66"/>
            <w:vAlign w:val="center"/>
          </w:tcPr>
          <w:p w14:paraId="664FE754" w14:textId="77777777" w:rsidR="001D66D4" w:rsidRPr="00F92E56" w:rsidRDefault="001D66D4" w:rsidP="00553EDF">
            <w:pPr>
              <w:pStyle w:val="TableText0"/>
              <w:jc w:val="center"/>
              <w:rPr>
                <w:rFonts w:ascii="Times" w:hAnsi="Times"/>
              </w:rPr>
            </w:pPr>
            <w:r w:rsidRPr="00F92E56">
              <w:t>4.410</w:t>
            </w:r>
          </w:p>
        </w:tc>
        <w:tc>
          <w:tcPr>
            <w:tcW w:w="1274" w:type="pct"/>
            <w:shd w:val="clear" w:color="auto" w:fill="B8CCE4" w:themeFill="accent1" w:themeFillTint="66"/>
            <w:vAlign w:val="center"/>
          </w:tcPr>
          <w:p w14:paraId="226A6758" w14:textId="77777777" w:rsidR="001D66D4" w:rsidRPr="00F92E56" w:rsidRDefault="001D66D4" w:rsidP="00553EDF">
            <w:pPr>
              <w:pStyle w:val="TableText0"/>
              <w:jc w:val="center"/>
              <w:rPr>
                <w:rFonts w:ascii="Times" w:hAnsi="Times"/>
              </w:rPr>
            </w:pPr>
            <w:r w:rsidRPr="00F92E56">
              <w:t>3.679</w:t>
            </w:r>
          </w:p>
        </w:tc>
        <w:tc>
          <w:tcPr>
            <w:tcW w:w="838" w:type="pct"/>
            <w:shd w:val="clear" w:color="auto" w:fill="B8CCE4" w:themeFill="accent1" w:themeFillTint="66"/>
            <w:vAlign w:val="center"/>
          </w:tcPr>
          <w:p w14:paraId="670B6F09" w14:textId="77777777" w:rsidR="001D66D4" w:rsidRPr="00F92E56" w:rsidRDefault="001D66D4" w:rsidP="00553EDF">
            <w:pPr>
              <w:pStyle w:val="TableText0"/>
              <w:jc w:val="center"/>
            </w:pPr>
            <w:r w:rsidRPr="00F92E56">
              <w:t>0.731</w:t>
            </w:r>
          </w:p>
        </w:tc>
      </w:tr>
      <w:tr w:rsidR="001D66D4" w:rsidRPr="00F92E56" w14:paraId="47AD2D48" w14:textId="77777777" w:rsidTr="00553EDF">
        <w:trPr>
          <w:cantSplit/>
        </w:trPr>
        <w:tc>
          <w:tcPr>
            <w:tcW w:w="4162" w:type="pct"/>
            <w:gridSpan w:val="3"/>
            <w:shd w:val="clear" w:color="auto" w:fill="B8CCE4" w:themeFill="accent1" w:themeFillTint="66"/>
            <w:vAlign w:val="center"/>
          </w:tcPr>
          <w:p w14:paraId="39533CD2" w14:textId="77777777" w:rsidR="001D66D4" w:rsidRPr="00F92E56" w:rsidRDefault="001D66D4" w:rsidP="00553EDF">
            <w:pPr>
              <w:pStyle w:val="TableText0"/>
              <w:rPr>
                <w:rFonts w:ascii="Times" w:hAnsi="Times"/>
              </w:rPr>
            </w:pPr>
            <w:r w:rsidRPr="00F92E56">
              <w:rPr>
                <w:bCs w:val="0"/>
              </w:rPr>
              <w:t xml:space="preserve">Incremental cost/extra QALY gained </w:t>
            </w:r>
          </w:p>
        </w:tc>
        <w:tc>
          <w:tcPr>
            <w:tcW w:w="838" w:type="pct"/>
            <w:shd w:val="clear" w:color="auto" w:fill="B8CCE4" w:themeFill="accent1" w:themeFillTint="66"/>
            <w:vAlign w:val="center"/>
          </w:tcPr>
          <w:p w14:paraId="49511C08" w14:textId="6C045B78"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r w:rsidR="00BE598F">
              <w:rPr>
                <w:vertAlign w:val="superscript"/>
              </w:rPr>
              <w:t>1</w:t>
            </w:r>
          </w:p>
        </w:tc>
      </w:tr>
      <w:tr w:rsidR="001D66D4" w:rsidRPr="00F92E56" w14:paraId="51B5A04E" w14:textId="77777777" w:rsidTr="00553EDF">
        <w:trPr>
          <w:cantSplit/>
        </w:trPr>
        <w:tc>
          <w:tcPr>
            <w:tcW w:w="5000" w:type="pct"/>
            <w:gridSpan w:val="4"/>
            <w:vAlign w:val="center"/>
          </w:tcPr>
          <w:p w14:paraId="59AEFCD8" w14:textId="77777777" w:rsidR="001D66D4" w:rsidRPr="00346867" w:rsidRDefault="001D66D4" w:rsidP="00553EDF">
            <w:pPr>
              <w:pStyle w:val="In-tableHeading"/>
              <w:rPr>
                <w:lang w:val="en-AU"/>
              </w:rPr>
            </w:pPr>
            <w:r w:rsidRPr="00346867">
              <w:rPr>
                <w:lang w:val="en-AU"/>
              </w:rPr>
              <w:t>Step 2: Restricting the population modelled to those who had prior NAC</w:t>
            </w:r>
          </w:p>
          <w:p w14:paraId="2926D492" w14:textId="1455CB54" w:rsidR="001D66D4" w:rsidRPr="00346867" w:rsidRDefault="001D66D4" w:rsidP="00553EDF">
            <w:pPr>
              <w:pStyle w:val="In-tableHeading"/>
              <w:rPr>
                <w:b w:val="0"/>
                <w:bCs/>
                <w:lang w:val="en-AU"/>
              </w:rPr>
            </w:pPr>
            <w:r w:rsidRPr="00346867">
              <w:rPr>
                <w:b w:val="0"/>
                <w:bCs/>
                <w:lang w:val="en-AU"/>
              </w:rPr>
              <w:t xml:space="preserve">This step included changes to the demographics of the patients modelled, DFS data used (including truncation time point and parametric extrapolation), </w:t>
            </w:r>
            <w:r w:rsidR="0024071B" w:rsidRPr="00346867">
              <w:rPr>
                <w:b w:val="0"/>
                <w:bCs/>
                <w:lang w:val="en-AU"/>
              </w:rPr>
              <w:t xml:space="preserve">total mean </w:t>
            </w:r>
            <w:r w:rsidRPr="00346867">
              <w:rPr>
                <w:b w:val="0"/>
                <w:bCs/>
                <w:lang w:val="en-AU"/>
              </w:rPr>
              <w:t>cumulative dose of nivolumab, incidence of adverse events, utility weights, and updated assumptions on the background mortality multiplier and duration of higher risk applied.</w:t>
            </w:r>
          </w:p>
        </w:tc>
      </w:tr>
      <w:tr w:rsidR="001D66D4" w:rsidRPr="00F92E56" w14:paraId="75BE457A" w14:textId="77777777" w:rsidTr="00553EDF">
        <w:trPr>
          <w:cantSplit/>
        </w:trPr>
        <w:tc>
          <w:tcPr>
            <w:tcW w:w="1529" w:type="pct"/>
          </w:tcPr>
          <w:p w14:paraId="3FD3C42D" w14:textId="77777777" w:rsidR="001D66D4" w:rsidRPr="00F92E56" w:rsidRDefault="001D66D4" w:rsidP="00553EDF">
            <w:pPr>
              <w:pStyle w:val="TableText0"/>
              <w:rPr>
                <w:rFonts w:ascii="Times" w:hAnsi="Times"/>
              </w:rPr>
            </w:pPr>
            <w:r w:rsidRPr="00F92E56">
              <w:t>Costs</w:t>
            </w:r>
          </w:p>
        </w:tc>
        <w:tc>
          <w:tcPr>
            <w:tcW w:w="1359" w:type="pct"/>
          </w:tcPr>
          <w:p w14:paraId="3A19C525" w14:textId="43C341EA"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p>
        </w:tc>
        <w:tc>
          <w:tcPr>
            <w:tcW w:w="1274" w:type="pct"/>
          </w:tcPr>
          <w:p w14:paraId="09ACEB45" w14:textId="77777777" w:rsidR="001D66D4" w:rsidRPr="00F92E56" w:rsidRDefault="001D66D4" w:rsidP="00553EDF">
            <w:pPr>
              <w:pStyle w:val="TableText0"/>
              <w:jc w:val="center"/>
              <w:rPr>
                <w:rFonts w:ascii="Times" w:hAnsi="Times"/>
              </w:rPr>
            </w:pPr>
            <w:r w:rsidRPr="00F92E56">
              <w:t>$28,572</w:t>
            </w:r>
          </w:p>
        </w:tc>
        <w:tc>
          <w:tcPr>
            <w:tcW w:w="838" w:type="pct"/>
          </w:tcPr>
          <w:p w14:paraId="49CA6CD7" w14:textId="524BCD74"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p>
        </w:tc>
      </w:tr>
      <w:tr w:rsidR="001D66D4" w:rsidRPr="00F92E56" w14:paraId="1A6C9DE5" w14:textId="77777777" w:rsidTr="00553EDF">
        <w:trPr>
          <w:cantSplit/>
        </w:trPr>
        <w:tc>
          <w:tcPr>
            <w:tcW w:w="1529" w:type="pct"/>
          </w:tcPr>
          <w:p w14:paraId="1F7C3D34" w14:textId="77777777" w:rsidR="001D66D4" w:rsidRPr="00F92E56" w:rsidRDefault="001D66D4" w:rsidP="00553EDF">
            <w:pPr>
              <w:pStyle w:val="TableText0"/>
              <w:rPr>
                <w:rFonts w:ascii="Times" w:hAnsi="Times"/>
              </w:rPr>
            </w:pPr>
            <w:r w:rsidRPr="00F92E56">
              <w:t>QALYs</w:t>
            </w:r>
          </w:p>
        </w:tc>
        <w:tc>
          <w:tcPr>
            <w:tcW w:w="1359" w:type="pct"/>
          </w:tcPr>
          <w:p w14:paraId="7C44AC4F" w14:textId="77777777" w:rsidR="001D66D4" w:rsidRPr="00F92E56" w:rsidRDefault="001D66D4" w:rsidP="00553EDF">
            <w:pPr>
              <w:pStyle w:val="TableText0"/>
              <w:jc w:val="center"/>
              <w:rPr>
                <w:rFonts w:ascii="Times" w:hAnsi="Times"/>
              </w:rPr>
            </w:pPr>
            <w:r w:rsidRPr="00F92E56">
              <w:t>5.135</w:t>
            </w:r>
          </w:p>
        </w:tc>
        <w:tc>
          <w:tcPr>
            <w:tcW w:w="1274" w:type="pct"/>
          </w:tcPr>
          <w:p w14:paraId="71934A48" w14:textId="77777777" w:rsidR="001D66D4" w:rsidRPr="00F92E56" w:rsidRDefault="001D66D4" w:rsidP="00553EDF">
            <w:pPr>
              <w:pStyle w:val="TableText0"/>
              <w:jc w:val="center"/>
              <w:rPr>
                <w:rFonts w:ascii="Times" w:hAnsi="Times"/>
              </w:rPr>
            </w:pPr>
            <w:r w:rsidRPr="00F92E56">
              <w:t>3.506</w:t>
            </w:r>
          </w:p>
        </w:tc>
        <w:tc>
          <w:tcPr>
            <w:tcW w:w="838" w:type="pct"/>
          </w:tcPr>
          <w:p w14:paraId="3A95A877" w14:textId="77777777" w:rsidR="001D66D4" w:rsidRPr="00F92E56" w:rsidRDefault="001D66D4" w:rsidP="00553EDF">
            <w:pPr>
              <w:pStyle w:val="TableText0"/>
              <w:jc w:val="center"/>
            </w:pPr>
            <w:r w:rsidRPr="00F92E56">
              <w:t>1.629</w:t>
            </w:r>
          </w:p>
        </w:tc>
      </w:tr>
      <w:tr w:rsidR="001D66D4" w:rsidRPr="00F92E56" w14:paraId="30FF9AD3" w14:textId="77777777" w:rsidTr="00553EDF">
        <w:trPr>
          <w:cantSplit/>
        </w:trPr>
        <w:tc>
          <w:tcPr>
            <w:tcW w:w="4162" w:type="pct"/>
            <w:gridSpan w:val="3"/>
          </w:tcPr>
          <w:p w14:paraId="53F22AAA" w14:textId="77777777" w:rsidR="001D66D4" w:rsidRPr="00F92E56" w:rsidRDefault="001D66D4" w:rsidP="00553EDF">
            <w:pPr>
              <w:pStyle w:val="TableText0"/>
              <w:rPr>
                <w:rFonts w:ascii="Times" w:hAnsi="Times"/>
              </w:rPr>
            </w:pPr>
            <w:r w:rsidRPr="00F92E56">
              <w:t>Incremental cost/extra QALY gained</w:t>
            </w:r>
          </w:p>
        </w:tc>
        <w:tc>
          <w:tcPr>
            <w:tcW w:w="838" w:type="pct"/>
          </w:tcPr>
          <w:p w14:paraId="0C5B98BF" w14:textId="10B3A181"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r w:rsidR="00BE598F">
              <w:rPr>
                <w:vertAlign w:val="superscript"/>
              </w:rPr>
              <w:t>2</w:t>
            </w:r>
          </w:p>
        </w:tc>
      </w:tr>
      <w:tr w:rsidR="001D66D4" w:rsidRPr="00F92E56" w14:paraId="7E4D551A" w14:textId="77777777" w:rsidTr="00553EDF">
        <w:trPr>
          <w:cantSplit/>
        </w:trPr>
        <w:tc>
          <w:tcPr>
            <w:tcW w:w="5000" w:type="pct"/>
            <w:gridSpan w:val="4"/>
            <w:vAlign w:val="center"/>
          </w:tcPr>
          <w:p w14:paraId="58E35669" w14:textId="77777777" w:rsidR="001D66D4" w:rsidRPr="00346867" w:rsidRDefault="001D66D4" w:rsidP="00553EDF">
            <w:pPr>
              <w:pStyle w:val="In-tableHeading"/>
              <w:rPr>
                <w:lang w:val="en-AU"/>
              </w:rPr>
            </w:pPr>
            <w:r w:rsidRPr="00346867">
              <w:rPr>
                <w:lang w:val="en-AU"/>
              </w:rPr>
              <w:t>Step 3: Separate post-recurrence health state into locoregional and distant recurrence health states</w:t>
            </w:r>
          </w:p>
          <w:p w14:paraId="2476D81B" w14:textId="61A78CEA" w:rsidR="001D66D4" w:rsidRPr="00346867" w:rsidRDefault="001D66D4" w:rsidP="00553EDF">
            <w:pPr>
              <w:pStyle w:val="In-tableHeading"/>
              <w:rPr>
                <w:b w:val="0"/>
                <w:bCs/>
                <w:lang w:val="en-AU"/>
              </w:rPr>
            </w:pPr>
            <w:r w:rsidRPr="00346867">
              <w:rPr>
                <w:b w:val="0"/>
                <w:bCs/>
                <w:lang w:val="en-AU"/>
              </w:rPr>
              <w:t>This step included structural changes whereby a proportion of recurrences (29%) were assumed to be locoregional and a proportion of recurrences (which varied by recurrence type and treatment arm) were assumed to achieve a cure (and were no longer at</w:t>
            </w:r>
            <w:r w:rsidR="007106AF" w:rsidRPr="00346867">
              <w:rPr>
                <w:b w:val="0"/>
                <w:bCs/>
                <w:lang w:val="en-AU"/>
              </w:rPr>
              <w:t xml:space="preserve"> </w:t>
            </w:r>
            <w:r w:rsidRPr="00346867">
              <w:rPr>
                <w:b w:val="0"/>
                <w:bCs/>
                <w:lang w:val="en-AU"/>
              </w:rPr>
              <w:t xml:space="preserve">risk of further recurrences). Time in and subsequent transitions from the locoregional recurrence health state were based on PFS2 data in patients who experienced a local recurrence in CM274 (ITT population, Dec 2020 data-cut). </w:t>
            </w:r>
          </w:p>
        </w:tc>
      </w:tr>
      <w:tr w:rsidR="001D66D4" w:rsidRPr="00F92E56" w14:paraId="19522E3E" w14:textId="77777777" w:rsidTr="00553EDF">
        <w:trPr>
          <w:cantSplit/>
        </w:trPr>
        <w:tc>
          <w:tcPr>
            <w:tcW w:w="1529" w:type="pct"/>
            <w:vAlign w:val="center"/>
          </w:tcPr>
          <w:p w14:paraId="77C6C9B7" w14:textId="77777777" w:rsidR="001D66D4" w:rsidRPr="00F92E56" w:rsidRDefault="001D66D4" w:rsidP="00553EDF">
            <w:pPr>
              <w:pStyle w:val="TableText0"/>
              <w:rPr>
                <w:rFonts w:ascii="Times" w:hAnsi="Times"/>
              </w:rPr>
            </w:pPr>
            <w:r w:rsidRPr="00F92E56">
              <w:t>Costs</w:t>
            </w:r>
          </w:p>
        </w:tc>
        <w:tc>
          <w:tcPr>
            <w:tcW w:w="1359" w:type="pct"/>
            <w:vAlign w:val="bottom"/>
          </w:tcPr>
          <w:p w14:paraId="20357AAD" w14:textId="3D78E0E2"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p>
        </w:tc>
        <w:tc>
          <w:tcPr>
            <w:tcW w:w="1274" w:type="pct"/>
            <w:vAlign w:val="bottom"/>
          </w:tcPr>
          <w:p w14:paraId="3EB008CD" w14:textId="77777777" w:rsidR="001D66D4" w:rsidRPr="00F92E56" w:rsidRDefault="001D66D4" w:rsidP="00553EDF">
            <w:pPr>
              <w:pStyle w:val="TableText0"/>
              <w:jc w:val="center"/>
              <w:rPr>
                <w:rFonts w:ascii="Times" w:hAnsi="Times"/>
              </w:rPr>
            </w:pPr>
            <w:r w:rsidRPr="00F92E56">
              <w:t>$30,877</w:t>
            </w:r>
          </w:p>
        </w:tc>
        <w:tc>
          <w:tcPr>
            <w:tcW w:w="838" w:type="pct"/>
            <w:vAlign w:val="bottom"/>
          </w:tcPr>
          <w:p w14:paraId="024E8508" w14:textId="1DE8EC9E"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p>
        </w:tc>
      </w:tr>
      <w:tr w:rsidR="001D66D4" w:rsidRPr="00F92E56" w14:paraId="2B42BA82" w14:textId="77777777" w:rsidTr="00553EDF">
        <w:trPr>
          <w:cantSplit/>
        </w:trPr>
        <w:tc>
          <w:tcPr>
            <w:tcW w:w="1529" w:type="pct"/>
            <w:vAlign w:val="center"/>
          </w:tcPr>
          <w:p w14:paraId="00C4CC0F" w14:textId="77777777" w:rsidR="001D66D4" w:rsidRPr="00F92E56" w:rsidRDefault="001D66D4" w:rsidP="00553EDF">
            <w:pPr>
              <w:pStyle w:val="TableText0"/>
              <w:rPr>
                <w:rFonts w:ascii="Times" w:hAnsi="Times"/>
              </w:rPr>
            </w:pPr>
            <w:r w:rsidRPr="00F92E56">
              <w:t>QALYs</w:t>
            </w:r>
          </w:p>
        </w:tc>
        <w:tc>
          <w:tcPr>
            <w:tcW w:w="1359" w:type="pct"/>
            <w:vAlign w:val="bottom"/>
          </w:tcPr>
          <w:p w14:paraId="18D5032A" w14:textId="77777777" w:rsidR="001D66D4" w:rsidRPr="00F92E56" w:rsidRDefault="001D66D4" w:rsidP="00553EDF">
            <w:pPr>
              <w:pStyle w:val="TableText0"/>
              <w:jc w:val="center"/>
              <w:rPr>
                <w:rFonts w:ascii="Times" w:hAnsi="Times"/>
              </w:rPr>
            </w:pPr>
            <w:r w:rsidRPr="00F92E56">
              <w:t>5.347</w:t>
            </w:r>
          </w:p>
        </w:tc>
        <w:tc>
          <w:tcPr>
            <w:tcW w:w="1274" w:type="pct"/>
            <w:vAlign w:val="bottom"/>
          </w:tcPr>
          <w:p w14:paraId="3EE72013" w14:textId="77777777" w:rsidR="001D66D4" w:rsidRPr="00F92E56" w:rsidRDefault="001D66D4" w:rsidP="00553EDF">
            <w:pPr>
              <w:pStyle w:val="TableText0"/>
              <w:jc w:val="center"/>
              <w:rPr>
                <w:rFonts w:ascii="Times" w:hAnsi="Times"/>
              </w:rPr>
            </w:pPr>
            <w:r w:rsidRPr="00F92E56">
              <w:t>3.881</w:t>
            </w:r>
          </w:p>
        </w:tc>
        <w:tc>
          <w:tcPr>
            <w:tcW w:w="838" w:type="pct"/>
            <w:vAlign w:val="bottom"/>
          </w:tcPr>
          <w:p w14:paraId="43C658A0" w14:textId="77777777" w:rsidR="001D66D4" w:rsidRPr="00F92E56" w:rsidRDefault="001D66D4" w:rsidP="00553EDF">
            <w:pPr>
              <w:pStyle w:val="TableText0"/>
              <w:jc w:val="center"/>
            </w:pPr>
            <w:r w:rsidRPr="00F92E56">
              <w:t>1.466</w:t>
            </w:r>
          </w:p>
        </w:tc>
      </w:tr>
      <w:tr w:rsidR="001D66D4" w:rsidRPr="00F92E56" w14:paraId="0DF4302F" w14:textId="77777777" w:rsidTr="00553EDF">
        <w:trPr>
          <w:cantSplit/>
        </w:trPr>
        <w:tc>
          <w:tcPr>
            <w:tcW w:w="4162" w:type="pct"/>
            <w:gridSpan w:val="3"/>
            <w:vAlign w:val="center"/>
          </w:tcPr>
          <w:p w14:paraId="39F9D289" w14:textId="77777777" w:rsidR="001D66D4" w:rsidRPr="00F92E56" w:rsidRDefault="001D66D4" w:rsidP="00553EDF">
            <w:pPr>
              <w:pStyle w:val="TableText0"/>
              <w:rPr>
                <w:rFonts w:ascii="Times" w:hAnsi="Times"/>
              </w:rPr>
            </w:pPr>
            <w:r w:rsidRPr="00F92E56">
              <w:rPr>
                <w:bCs w:val="0"/>
              </w:rPr>
              <w:t>Incremental cost/extra QALY gained</w:t>
            </w:r>
          </w:p>
        </w:tc>
        <w:tc>
          <w:tcPr>
            <w:tcW w:w="838" w:type="pct"/>
            <w:vAlign w:val="center"/>
          </w:tcPr>
          <w:p w14:paraId="400EAC49" w14:textId="773CC6EB"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r w:rsidR="00BE598F">
              <w:rPr>
                <w:vertAlign w:val="superscript"/>
              </w:rPr>
              <w:t>2</w:t>
            </w:r>
          </w:p>
        </w:tc>
      </w:tr>
      <w:tr w:rsidR="001D66D4" w:rsidRPr="00F92E56" w14:paraId="7081BF73" w14:textId="77777777" w:rsidTr="00553EDF">
        <w:trPr>
          <w:cantSplit/>
        </w:trPr>
        <w:tc>
          <w:tcPr>
            <w:tcW w:w="5000" w:type="pct"/>
            <w:gridSpan w:val="4"/>
            <w:vAlign w:val="center"/>
          </w:tcPr>
          <w:p w14:paraId="6BE92F5F" w14:textId="77777777" w:rsidR="001D66D4" w:rsidRPr="00346867" w:rsidRDefault="001D66D4" w:rsidP="00553EDF">
            <w:pPr>
              <w:pStyle w:val="In-tableHeading"/>
              <w:rPr>
                <w:lang w:val="en-AU"/>
              </w:rPr>
            </w:pPr>
            <w:r w:rsidRPr="00346867">
              <w:rPr>
                <w:lang w:val="en-AU"/>
              </w:rPr>
              <w:t>Step 4: Modelling costs and outcomes of avelumab maintenance treatment</w:t>
            </w:r>
          </w:p>
          <w:p w14:paraId="6BCB4778" w14:textId="39E9F118" w:rsidR="001D66D4" w:rsidRPr="00346867" w:rsidRDefault="001D66D4" w:rsidP="00553EDF">
            <w:pPr>
              <w:pStyle w:val="In-tableHeading"/>
              <w:rPr>
                <w:b w:val="0"/>
                <w:bCs/>
                <w:lang w:val="en-AU"/>
              </w:rPr>
            </w:pPr>
            <w:r w:rsidRPr="00346867">
              <w:rPr>
                <w:b w:val="0"/>
                <w:bCs/>
                <w:lang w:val="en-AU"/>
              </w:rPr>
              <w:t>Outcomes in the comparator arm of the model were adjusted to reflect avelumab use in 4</w:t>
            </w:r>
            <w:r w:rsidR="00887645" w:rsidRPr="00346867">
              <w:rPr>
                <w:b w:val="0"/>
                <w:bCs/>
                <w:lang w:val="en-AU"/>
              </w:rPr>
              <w:t>5</w:t>
            </w:r>
            <w:r w:rsidRPr="00346867">
              <w:rPr>
                <w:b w:val="0"/>
                <w:bCs/>
                <w:lang w:val="en-AU"/>
              </w:rPr>
              <w:t>% of patients who experienced a distant recurrence. This step also included minor changes to the distribution of carboplatin vs cisplatin use. Distant recurrence treatment costs were updated to include a wider range of treatments (predominantly avelumab in the comparator arm of the model, for which an assumed effective price was applied)</w:t>
            </w:r>
          </w:p>
        </w:tc>
      </w:tr>
      <w:tr w:rsidR="001D66D4" w:rsidRPr="00F92E56" w14:paraId="10EE5A9C" w14:textId="77777777" w:rsidTr="00553EDF">
        <w:trPr>
          <w:cantSplit/>
        </w:trPr>
        <w:tc>
          <w:tcPr>
            <w:tcW w:w="1529" w:type="pct"/>
          </w:tcPr>
          <w:p w14:paraId="3C9A9E88" w14:textId="77777777" w:rsidR="001D66D4" w:rsidRPr="00F92E56" w:rsidRDefault="001D66D4" w:rsidP="00553EDF">
            <w:pPr>
              <w:pStyle w:val="TableText0"/>
              <w:rPr>
                <w:rFonts w:ascii="Times" w:hAnsi="Times"/>
              </w:rPr>
            </w:pPr>
            <w:r w:rsidRPr="00F92E56">
              <w:t>Costs</w:t>
            </w:r>
          </w:p>
        </w:tc>
        <w:tc>
          <w:tcPr>
            <w:tcW w:w="1359" w:type="pct"/>
          </w:tcPr>
          <w:p w14:paraId="12C095B6" w14:textId="039A1391"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p>
        </w:tc>
        <w:tc>
          <w:tcPr>
            <w:tcW w:w="1274" w:type="pct"/>
          </w:tcPr>
          <w:p w14:paraId="013C137B" w14:textId="77777777" w:rsidR="001D66D4" w:rsidRPr="00F92E56" w:rsidRDefault="001D66D4" w:rsidP="00553EDF">
            <w:pPr>
              <w:pStyle w:val="TableText0"/>
              <w:jc w:val="center"/>
              <w:rPr>
                <w:rFonts w:ascii="Times" w:hAnsi="Times"/>
              </w:rPr>
            </w:pPr>
            <w:r w:rsidRPr="00F92E56">
              <w:t>$53,679</w:t>
            </w:r>
          </w:p>
        </w:tc>
        <w:tc>
          <w:tcPr>
            <w:tcW w:w="838" w:type="pct"/>
          </w:tcPr>
          <w:p w14:paraId="78C3F72C" w14:textId="0FF76E59"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p>
        </w:tc>
      </w:tr>
      <w:tr w:rsidR="001D66D4" w:rsidRPr="00F92E56" w14:paraId="4603A701" w14:textId="77777777" w:rsidTr="00553EDF">
        <w:trPr>
          <w:cantSplit/>
        </w:trPr>
        <w:tc>
          <w:tcPr>
            <w:tcW w:w="1529" w:type="pct"/>
          </w:tcPr>
          <w:p w14:paraId="2316C8D9" w14:textId="77777777" w:rsidR="001D66D4" w:rsidRPr="00F92E56" w:rsidRDefault="001D66D4" w:rsidP="00553EDF">
            <w:pPr>
              <w:pStyle w:val="TableText0"/>
              <w:rPr>
                <w:rFonts w:ascii="Times" w:hAnsi="Times"/>
              </w:rPr>
            </w:pPr>
            <w:r w:rsidRPr="00F92E56">
              <w:t>QALYs</w:t>
            </w:r>
          </w:p>
        </w:tc>
        <w:tc>
          <w:tcPr>
            <w:tcW w:w="1359" w:type="pct"/>
          </w:tcPr>
          <w:p w14:paraId="3C23ECD2" w14:textId="77777777" w:rsidR="001D66D4" w:rsidRPr="00F92E56" w:rsidRDefault="001D66D4" w:rsidP="00553EDF">
            <w:pPr>
              <w:pStyle w:val="TableText0"/>
              <w:jc w:val="center"/>
              <w:rPr>
                <w:rFonts w:ascii="Times" w:hAnsi="Times"/>
              </w:rPr>
            </w:pPr>
            <w:r w:rsidRPr="00F92E56">
              <w:t>5.347</w:t>
            </w:r>
          </w:p>
        </w:tc>
        <w:tc>
          <w:tcPr>
            <w:tcW w:w="1274" w:type="pct"/>
          </w:tcPr>
          <w:p w14:paraId="494112C6" w14:textId="77777777" w:rsidR="001D66D4" w:rsidRPr="00F92E56" w:rsidRDefault="001D66D4" w:rsidP="00553EDF">
            <w:pPr>
              <w:pStyle w:val="TableText0"/>
              <w:jc w:val="center"/>
              <w:rPr>
                <w:rFonts w:ascii="Times" w:hAnsi="Times"/>
              </w:rPr>
            </w:pPr>
            <w:r w:rsidRPr="00F92E56">
              <w:t>4.126</w:t>
            </w:r>
          </w:p>
        </w:tc>
        <w:tc>
          <w:tcPr>
            <w:tcW w:w="838" w:type="pct"/>
          </w:tcPr>
          <w:p w14:paraId="607A11A4" w14:textId="77777777" w:rsidR="001D66D4" w:rsidRPr="00F92E56" w:rsidRDefault="001D66D4" w:rsidP="00553EDF">
            <w:pPr>
              <w:pStyle w:val="TableText0"/>
              <w:jc w:val="center"/>
            </w:pPr>
            <w:r w:rsidRPr="00F92E56">
              <w:t>1.221</w:t>
            </w:r>
          </w:p>
        </w:tc>
      </w:tr>
      <w:tr w:rsidR="001D66D4" w:rsidRPr="00F92E56" w14:paraId="792879C0" w14:textId="77777777" w:rsidTr="00553EDF">
        <w:trPr>
          <w:cantSplit/>
        </w:trPr>
        <w:tc>
          <w:tcPr>
            <w:tcW w:w="4162" w:type="pct"/>
            <w:gridSpan w:val="3"/>
          </w:tcPr>
          <w:p w14:paraId="152AB6D2" w14:textId="77777777" w:rsidR="001D66D4" w:rsidRPr="00F92E56" w:rsidRDefault="001D66D4" w:rsidP="00553EDF">
            <w:pPr>
              <w:pStyle w:val="TableText0"/>
              <w:rPr>
                <w:rFonts w:ascii="Times" w:hAnsi="Times"/>
              </w:rPr>
            </w:pPr>
            <w:r w:rsidRPr="00F92E56">
              <w:t>Incremental cost/extra QALY gained</w:t>
            </w:r>
          </w:p>
        </w:tc>
        <w:tc>
          <w:tcPr>
            <w:tcW w:w="838" w:type="pct"/>
          </w:tcPr>
          <w:p w14:paraId="22B44785" w14:textId="24C162D0"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r w:rsidR="00BE598F">
              <w:rPr>
                <w:vertAlign w:val="superscript"/>
              </w:rPr>
              <w:t>3</w:t>
            </w:r>
          </w:p>
        </w:tc>
      </w:tr>
      <w:tr w:rsidR="001D66D4" w:rsidRPr="00F92E56" w14:paraId="32DC0684" w14:textId="77777777" w:rsidTr="00553EDF">
        <w:trPr>
          <w:cantSplit/>
        </w:trPr>
        <w:tc>
          <w:tcPr>
            <w:tcW w:w="5000" w:type="pct"/>
            <w:gridSpan w:val="4"/>
            <w:vAlign w:val="center"/>
          </w:tcPr>
          <w:p w14:paraId="20D3C30C" w14:textId="77777777" w:rsidR="001D66D4" w:rsidRPr="00346867" w:rsidRDefault="001D66D4" w:rsidP="00553EDF">
            <w:pPr>
              <w:pStyle w:val="In-tableHeading"/>
              <w:rPr>
                <w:lang w:val="en-AU"/>
              </w:rPr>
            </w:pPr>
            <w:r w:rsidRPr="00346867">
              <w:rPr>
                <w:lang w:val="en-AU"/>
              </w:rPr>
              <w:t>Step 5: Other minor model updates</w:t>
            </w:r>
          </w:p>
          <w:p w14:paraId="76EE666B" w14:textId="77777777" w:rsidR="001D66D4" w:rsidRPr="00346867" w:rsidRDefault="001D66D4" w:rsidP="00553EDF">
            <w:pPr>
              <w:pStyle w:val="In-tableHeading"/>
              <w:rPr>
                <w:b w:val="0"/>
                <w:bCs/>
                <w:lang w:val="en-AU"/>
              </w:rPr>
            </w:pPr>
            <w:r w:rsidRPr="00346867">
              <w:rPr>
                <w:b w:val="0"/>
                <w:bCs/>
                <w:lang w:val="en-AU"/>
              </w:rPr>
              <w:t>Incorporation of minor cost revisions such as updated cost of MBS items, AR-DRG codes and lifetables</w:t>
            </w:r>
          </w:p>
        </w:tc>
      </w:tr>
      <w:tr w:rsidR="001D66D4" w:rsidRPr="00F92E56" w14:paraId="22F33203" w14:textId="77777777" w:rsidTr="00553EDF">
        <w:trPr>
          <w:cantSplit/>
        </w:trPr>
        <w:tc>
          <w:tcPr>
            <w:tcW w:w="1529" w:type="pct"/>
          </w:tcPr>
          <w:p w14:paraId="3DF2C24E" w14:textId="77777777" w:rsidR="001D66D4" w:rsidRPr="00F92E56" w:rsidRDefault="001D66D4" w:rsidP="00553EDF">
            <w:pPr>
              <w:pStyle w:val="TableText0"/>
              <w:rPr>
                <w:rFonts w:ascii="Times" w:hAnsi="Times"/>
              </w:rPr>
            </w:pPr>
            <w:r w:rsidRPr="00F92E56">
              <w:t>Costs</w:t>
            </w:r>
          </w:p>
        </w:tc>
        <w:tc>
          <w:tcPr>
            <w:tcW w:w="1359" w:type="pct"/>
          </w:tcPr>
          <w:p w14:paraId="251507B3" w14:textId="4C09A6B6"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p>
        </w:tc>
        <w:tc>
          <w:tcPr>
            <w:tcW w:w="1274" w:type="pct"/>
          </w:tcPr>
          <w:p w14:paraId="32D51DF1" w14:textId="77777777" w:rsidR="001D66D4" w:rsidRPr="00F92E56" w:rsidRDefault="001D66D4" w:rsidP="00553EDF">
            <w:pPr>
              <w:pStyle w:val="TableText0"/>
              <w:jc w:val="center"/>
              <w:rPr>
                <w:rFonts w:ascii="Times" w:hAnsi="Times"/>
              </w:rPr>
            </w:pPr>
            <w:r w:rsidRPr="00F92E56">
              <w:t>$55,233</w:t>
            </w:r>
          </w:p>
        </w:tc>
        <w:tc>
          <w:tcPr>
            <w:tcW w:w="838" w:type="pct"/>
          </w:tcPr>
          <w:p w14:paraId="34EA7E11" w14:textId="03592C02"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p>
        </w:tc>
      </w:tr>
      <w:tr w:rsidR="001D66D4" w:rsidRPr="00F92E56" w14:paraId="5B7B8D4C" w14:textId="77777777" w:rsidTr="00553EDF">
        <w:trPr>
          <w:cantSplit/>
        </w:trPr>
        <w:tc>
          <w:tcPr>
            <w:tcW w:w="1529" w:type="pct"/>
          </w:tcPr>
          <w:p w14:paraId="66D25CC7" w14:textId="77777777" w:rsidR="001D66D4" w:rsidRPr="00F92E56" w:rsidRDefault="001D66D4" w:rsidP="00553EDF">
            <w:pPr>
              <w:pStyle w:val="TableText0"/>
              <w:rPr>
                <w:rFonts w:ascii="Times" w:hAnsi="Times"/>
              </w:rPr>
            </w:pPr>
            <w:r w:rsidRPr="00F92E56">
              <w:t>QALYs</w:t>
            </w:r>
          </w:p>
        </w:tc>
        <w:tc>
          <w:tcPr>
            <w:tcW w:w="1359" w:type="pct"/>
          </w:tcPr>
          <w:p w14:paraId="2F3E2745" w14:textId="77777777" w:rsidR="001D66D4" w:rsidRPr="00F92E56" w:rsidRDefault="001D66D4" w:rsidP="00553EDF">
            <w:pPr>
              <w:pStyle w:val="TableText0"/>
              <w:jc w:val="center"/>
              <w:rPr>
                <w:rFonts w:ascii="Times" w:hAnsi="Times"/>
              </w:rPr>
            </w:pPr>
            <w:r w:rsidRPr="00F92E56">
              <w:t>5.369</w:t>
            </w:r>
          </w:p>
        </w:tc>
        <w:tc>
          <w:tcPr>
            <w:tcW w:w="1274" w:type="pct"/>
          </w:tcPr>
          <w:p w14:paraId="7E7547E5" w14:textId="77777777" w:rsidR="001D66D4" w:rsidRPr="00F92E56" w:rsidRDefault="001D66D4" w:rsidP="00553EDF">
            <w:pPr>
              <w:pStyle w:val="TableText0"/>
              <w:jc w:val="center"/>
              <w:rPr>
                <w:rFonts w:ascii="Times" w:hAnsi="Times"/>
              </w:rPr>
            </w:pPr>
            <w:r w:rsidRPr="00F92E56">
              <w:t>4.142</w:t>
            </w:r>
          </w:p>
        </w:tc>
        <w:tc>
          <w:tcPr>
            <w:tcW w:w="838" w:type="pct"/>
          </w:tcPr>
          <w:p w14:paraId="7454277B" w14:textId="77777777" w:rsidR="001D66D4" w:rsidRPr="00F92E56" w:rsidRDefault="001D66D4" w:rsidP="00553EDF">
            <w:pPr>
              <w:pStyle w:val="TableText0"/>
              <w:jc w:val="center"/>
            </w:pPr>
            <w:r w:rsidRPr="00F92E56">
              <w:t>1.227</w:t>
            </w:r>
          </w:p>
        </w:tc>
      </w:tr>
      <w:tr w:rsidR="001D66D4" w:rsidRPr="00F92E56" w14:paraId="6E1B5CDB" w14:textId="77777777" w:rsidTr="00553EDF">
        <w:trPr>
          <w:cantSplit/>
        </w:trPr>
        <w:tc>
          <w:tcPr>
            <w:tcW w:w="4162" w:type="pct"/>
            <w:gridSpan w:val="3"/>
          </w:tcPr>
          <w:p w14:paraId="2DE880F1" w14:textId="77777777" w:rsidR="001D66D4" w:rsidRPr="00F92E56" w:rsidRDefault="001D66D4" w:rsidP="00553EDF">
            <w:pPr>
              <w:pStyle w:val="TableText0"/>
              <w:rPr>
                <w:rFonts w:ascii="Times" w:hAnsi="Times"/>
              </w:rPr>
            </w:pPr>
            <w:r w:rsidRPr="00F92E56">
              <w:t>Incremental cost/extra QALY gained</w:t>
            </w:r>
          </w:p>
        </w:tc>
        <w:tc>
          <w:tcPr>
            <w:tcW w:w="838" w:type="pct"/>
          </w:tcPr>
          <w:p w14:paraId="4BA75958" w14:textId="2CE82C39"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r w:rsidR="00BE598F">
              <w:rPr>
                <w:vertAlign w:val="superscript"/>
              </w:rPr>
              <w:t>3</w:t>
            </w:r>
          </w:p>
        </w:tc>
      </w:tr>
      <w:tr w:rsidR="001D66D4" w:rsidRPr="00F92E56" w14:paraId="61A4A85F" w14:textId="77777777" w:rsidTr="00553EDF">
        <w:trPr>
          <w:cantSplit/>
        </w:trPr>
        <w:tc>
          <w:tcPr>
            <w:tcW w:w="5000" w:type="pct"/>
            <w:gridSpan w:val="4"/>
            <w:vAlign w:val="center"/>
          </w:tcPr>
          <w:p w14:paraId="129B0F3F" w14:textId="7838D53A" w:rsidR="001D66D4" w:rsidRPr="00346867" w:rsidRDefault="001D66D4" w:rsidP="00553EDF">
            <w:pPr>
              <w:pStyle w:val="In-tableHeading"/>
              <w:rPr>
                <w:lang w:val="en-AU"/>
              </w:rPr>
            </w:pPr>
            <w:r w:rsidRPr="00346867">
              <w:rPr>
                <w:lang w:val="en-AU"/>
              </w:rPr>
              <w:t>Step 6: Increase in the proposed effective price of nivolumab</w:t>
            </w:r>
          </w:p>
        </w:tc>
      </w:tr>
      <w:tr w:rsidR="001D66D4" w:rsidRPr="00F92E56" w14:paraId="52C7B5DD" w14:textId="77777777" w:rsidTr="00553EDF">
        <w:trPr>
          <w:cantSplit/>
        </w:trPr>
        <w:tc>
          <w:tcPr>
            <w:tcW w:w="1529" w:type="pct"/>
          </w:tcPr>
          <w:p w14:paraId="04DC1F1B" w14:textId="77777777" w:rsidR="001D66D4" w:rsidRPr="00F92E56" w:rsidRDefault="001D66D4" w:rsidP="00553EDF">
            <w:pPr>
              <w:pStyle w:val="TableText0"/>
              <w:rPr>
                <w:rFonts w:ascii="Times" w:hAnsi="Times"/>
              </w:rPr>
            </w:pPr>
            <w:r w:rsidRPr="00F92E56">
              <w:t>Costs</w:t>
            </w:r>
          </w:p>
        </w:tc>
        <w:tc>
          <w:tcPr>
            <w:tcW w:w="1359" w:type="pct"/>
          </w:tcPr>
          <w:p w14:paraId="0BA1F314" w14:textId="1C82F2E2"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p>
        </w:tc>
        <w:tc>
          <w:tcPr>
            <w:tcW w:w="1274" w:type="pct"/>
          </w:tcPr>
          <w:p w14:paraId="5EF6F671" w14:textId="77777777" w:rsidR="001D66D4" w:rsidRPr="00F92E56" w:rsidRDefault="001D66D4" w:rsidP="00553EDF">
            <w:pPr>
              <w:pStyle w:val="TableText0"/>
              <w:jc w:val="center"/>
              <w:rPr>
                <w:rFonts w:ascii="Times" w:hAnsi="Times"/>
              </w:rPr>
            </w:pPr>
            <w:r w:rsidRPr="00F92E56">
              <w:t>$55,233</w:t>
            </w:r>
          </w:p>
        </w:tc>
        <w:tc>
          <w:tcPr>
            <w:tcW w:w="838" w:type="pct"/>
          </w:tcPr>
          <w:p w14:paraId="43594563" w14:textId="1B6E5214" w:rsidR="001D66D4" w:rsidRPr="00F92E56" w:rsidRDefault="00785872" w:rsidP="00553EDF">
            <w:pPr>
              <w:pStyle w:val="TableText0"/>
              <w:jc w:val="center"/>
              <w:rPr>
                <w:rFonts w:ascii="Times" w:hAnsi="Times"/>
              </w:rPr>
            </w:pPr>
            <w:r w:rsidRPr="00785872">
              <w:t xml:space="preserve"> </w:t>
            </w:r>
            <w:r w:rsidRPr="00785872">
              <w:rPr>
                <w:color w:val="000000"/>
                <w:shd w:val="solid" w:color="000000" w:fill="000000"/>
                <w14:textFill>
                  <w14:solidFill>
                    <w14:srgbClr w14:val="000000">
                      <w14:alpha w14:val="100000"/>
                    </w14:srgbClr>
                  </w14:solidFill>
                </w14:textFill>
              </w:rPr>
              <w:t>|</w:t>
            </w:r>
          </w:p>
        </w:tc>
      </w:tr>
      <w:tr w:rsidR="001D66D4" w:rsidRPr="00F92E56" w14:paraId="41929360" w14:textId="77777777" w:rsidTr="00553EDF">
        <w:trPr>
          <w:cantSplit/>
        </w:trPr>
        <w:tc>
          <w:tcPr>
            <w:tcW w:w="1529" w:type="pct"/>
          </w:tcPr>
          <w:p w14:paraId="5298C363" w14:textId="77777777" w:rsidR="001D66D4" w:rsidRPr="00F92E56" w:rsidRDefault="001D66D4" w:rsidP="00553EDF">
            <w:pPr>
              <w:pStyle w:val="TableText0"/>
              <w:rPr>
                <w:rFonts w:ascii="Times" w:hAnsi="Times"/>
              </w:rPr>
            </w:pPr>
            <w:r w:rsidRPr="00F92E56">
              <w:t>QALYs</w:t>
            </w:r>
          </w:p>
        </w:tc>
        <w:tc>
          <w:tcPr>
            <w:tcW w:w="1359" w:type="pct"/>
          </w:tcPr>
          <w:p w14:paraId="498CA094" w14:textId="679AD791" w:rsidR="001D66D4" w:rsidRPr="00347D1F" w:rsidRDefault="007D3277" w:rsidP="00553EDF">
            <w:pPr>
              <w:pStyle w:val="TableText0"/>
              <w:jc w:val="center"/>
              <w:rPr>
                <w:rFonts w:ascii="Times" w:hAnsi="Times"/>
              </w:rPr>
            </w:pPr>
            <w:r w:rsidRPr="00347D1F">
              <w:t>5.369</w:t>
            </w:r>
          </w:p>
        </w:tc>
        <w:tc>
          <w:tcPr>
            <w:tcW w:w="1274" w:type="pct"/>
          </w:tcPr>
          <w:p w14:paraId="32F93205" w14:textId="77777777" w:rsidR="001D66D4" w:rsidRPr="00347D1F" w:rsidRDefault="001D66D4" w:rsidP="00553EDF">
            <w:pPr>
              <w:pStyle w:val="TableText0"/>
              <w:jc w:val="center"/>
              <w:rPr>
                <w:rFonts w:ascii="Times" w:hAnsi="Times"/>
              </w:rPr>
            </w:pPr>
            <w:r w:rsidRPr="00347D1F">
              <w:t>4.142</w:t>
            </w:r>
          </w:p>
        </w:tc>
        <w:tc>
          <w:tcPr>
            <w:tcW w:w="838" w:type="pct"/>
          </w:tcPr>
          <w:p w14:paraId="1D00C502" w14:textId="3A4CD01C" w:rsidR="001D66D4" w:rsidRPr="00347D1F" w:rsidRDefault="006278C2" w:rsidP="00553EDF">
            <w:pPr>
              <w:pStyle w:val="TableText0"/>
              <w:jc w:val="center"/>
            </w:pPr>
            <w:r w:rsidRPr="00347D1F">
              <w:t>1.227</w:t>
            </w:r>
          </w:p>
        </w:tc>
      </w:tr>
      <w:tr w:rsidR="001D66D4" w:rsidRPr="00F92E56" w14:paraId="1CFBC780" w14:textId="77777777" w:rsidTr="00553EDF">
        <w:trPr>
          <w:cantSplit/>
        </w:trPr>
        <w:tc>
          <w:tcPr>
            <w:tcW w:w="4162" w:type="pct"/>
            <w:gridSpan w:val="3"/>
          </w:tcPr>
          <w:p w14:paraId="2F2CA5D0" w14:textId="77777777" w:rsidR="001D66D4" w:rsidRPr="00F92E56" w:rsidRDefault="001D66D4" w:rsidP="00553EDF">
            <w:pPr>
              <w:pStyle w:val="TableText0"/>
              <w:rPr>
                <w:rFonts w:ascii="Times" w:hAnsi="Times"/>
                <w:b/>
                <w:bCs w:val="0"/>
              </w:rPr>
            </w:pPr>
            <w:r w:rsidRPr="00F92E56">
              <w:rPr>
                <w:b/>
                <w:bCs w:val="0"/>
              </w:rPr>
              <w:t>Incremental cost/extra QALY gained (resubmission’s base case)</w:t>
            </w:r>
          </w:p>
        </w:tc>
        <w:tc>
          <w:tcPr>
            <w:tcW w:w="838" w:type="pct"/>
          </w:tcPr>
          <w:p w14:paraId="5EE1F188" w14:textId="284D5102" w:rsidR="001D66D4" w:rsidRPr="00F92E56" w:rsidRDefault="00785872" w:rsidP="00553EDF">
            <w:pPr>
              <w:pStyle w:val="TableText0"/>
              <w:jc w:val="center"/>
              <w:rPr>
                <w:rFonts w:ascii="Times" w:hAnsi="Times"/>
                <w:b/>
                <w:bCs w:val="0"/>
              </w:rPr>
            </w:pPr>
            <w:r w:rsidRPr="00785872">
              <w:rPr>
                <w:b/>
                <w:bCs w:val="0"/>
              </w:rPr>
              <w:t xml:space="preserve"> </w:t>
            </w:r>
            <w:r w:rsidRPr="00785872">
              <w:rPr>
                <w:b/>
                <w:bCs w:val="0"/>
                <w:color w:val="000000"/>
                <w:shd w:val="solid" w:color="000000" w:fill="000000"/>
                <w14:textFill>
                  <w14:solidFill>
                    <w14:srgbClr w14:val="000000">
                      <w14:alpha w14:val="100000"/>
                    </w14:srgbClr>
                  </w14:solidFill>
                </w14:textFill>
              </w:rPr>
              <w:t>|</w:t>
            </w:r>
            <w:r w:rsidR="00100F76" w:rsidRPr="00785872">
              <w:rPr>
                <w:vertAlign w:val="superscript"/>
              </w:rPr>
              <w:t>4</w:t>
            </w:r>
          </w:p>
        </w:tc>
      </w:tr>
    </w:tbl>
    <w:p w14:paraId="02212BDB" w14:textId="72628829" w:rsidR="001D66D4" w:rsidRPr="00F92E56" w:rsidRDefault="001D66D4" w:rsidP="001D66D4">
      <w:pPr>
        <w:pStyle w:val="FooterTableFigure"/>
      </w:pPr>
      <w:r w:rsidRPr="00F92E56">
        <w:t>Source:</w:t>
      </w:r>
      <w:r w:rsidR="00CF06B9" w:rsidRPr="00F92E56">
        <w:t xml:space="preserve"> Analyses performed during the evaluation</w:t>
      </w:r>
      <w:r w:rsidR="00815931" w:rsidRPr="00F92E56">
        <w:t xml:space="preserve"> from the ‘Attachment 14 - Nivolumab Adj MIUC Economic Evaluation_Resubmission.xlsm’ file included in the resubmission and </w:t>
      </w:r>
      <w:r w:rsidR="004F3DDE" w:rsidRPr="00F92E56">
        <w:t>the ‘Attachment 12 - Nivolumab Adj MIUC Economic Evaluation.xlsm’ file included in the previous submission</w:t>
      </w:r>
      <w:r w:rsidRPr="00F92E56">
        <w:t>.</w:t>
      </w:r>
    </w:p>
    <w:p w14:paraId="5C6670C6" w14:textId="68F052F8" w:rsidR="009944A5" w:rsidRDefault="009944A5" w:rsidP="001D66D4">
      <w:pPr>
        <w:pStyle w:val="FooterTableFigure"/>
      </w:pPr>
      <w:r w:rsidRPr="00F92E56">
        <w:t>DFS = disease free survival; ITT = intention-to-treat; NAC = neoadjuvant platinum-based chemotherapy; PFS2 = progression-free survival 2; QALYs = quality-adjusted life years.</w:t>
      </w:r>
    </w:p>
    <w:p w14:paraId="66ABF378" w14:textId="0F6B51F6" w:rsidR="00BE598F" w:rsidRPr="00347D1F" w:rsidRDefault="00BE598F" w:rsidP="001D66D4">
      <w:pPr>
        <w:pStyle w:val="FooterTableFigure"/>
        <w:rPr>
          <w:i/>
          <w:iCs/>
        </w:rPr>
      </w:pPr>
      <w:r w:rsidRPr="00347D1F">
        <w:rPr>
          <w:i/>
          <w:iCs/>
        </w:rPr>
        <w:t>The redacted values correspond to the following ranges:</w:t>
      </w:r>
    </w:p>
    <w:p w14:paraId="2333F813" w14:textId="5BFEFA8B" w:rsidR="00BE598F" w:rsidRPr="00347D1F" w:rsidRDefault="00BE598F" w:rsidP="001D66D4">
      <w:pPr>
        <w:pStyle w:val="FooterTableFigure"/>
        <w:rPr>
          <w:i/>
          <w:iCs/>
        </w:rPr>
      </w:pPr>
      <w:r w:rsidRPr="00347D1F">
        <w:rPr>
          <w:i/>
          <w:iCs/>
          <w:vertAlign w:val="superscript"/>
        </w:rPr>
        <w:t>1</w:t>
      </w:r>
      <w:r w:rsidRPr="00347D1F">
        <w:rPr>
          <w:i/>
          <w:iCs/>
        </w:rPr>
        <w:t xml:space="preserve"> $35,000 to &lt; $45,000</w:t>
      </w:r>
    </w:p>
    <w:p w14:paraId="5FDE8A13" w14:textId="7B6A5641" w:rsidR="00BE598F" w:rsidRPr="00347D1F" w:rsidRDefault="00BE598F" w:rsidP="001D66D4">
      <w:pPr>
        <w:pStyle w:val="FooterTableFigure"/>
        <w:rPr>
          <w:i/>
          <w:iCs/>
        </w:rPr>
      </w:pPr>
      <w:r w:rsidRPr="00347D1F">
        <w:rPr>
          <w:i/>
          <w:iCs/>
          <w:vertAlign w:val="superscript"/>
        </w:rPr>
        <w:t>2</w:t>
      </w:r>
      <w:r w:rsidRPr="00347D1F">
        <w:rPr>
          <w:i/>
          <w:iCs/>
        </w:rPr>
        <w:t xml:space="preserve"> $15,000 to &lt; $25,000</w:t>
      </w:r>
    </w:p>
    <w:p w14:paraId="397C00D6" w14:textId="20AA8E3F" w:rsidR="00BE598F" w:rsidRPr="00347D1F" w:rsidRDefault="00BE598F" w:rsidP="001D66D4">
      <w:pPr>
        <w:pStyle w:val="FooterTableFigure"/>
        <w:rPr>
          <w:i/>
          <w:iCs/>
        </w:rPr>
      </w:pPr>
      <w:r w:rsidRPr="00347D1F">
        <w:rPr>
          <w:i/>
          <w:iCs/>
          <w:vertAlign w:val="superscript"/>
        </w:rPr>
        <w:t>3</w:t>
      </w:r>
      <w:r w:rsidRPr="00347D1F">
        <w:rPr>
          <w:i/>
          <w:iCs/>
        </w:rPr>
        <w:t xml:space="preserve"> $0 to &lt; $5,000</w:t>
      </w:r>
    </w:p>
    <w:p w14:paraId="4A1FB7E4" w14:textId="7A09B7DA" w:rsidR="00BE598F" w:rsidRPr="00347D1F" w:rsidRDefault="00BE598F" w:rsidP="001D66D4">
      <w:pPr>
        <w:pStyle w:val="FooterTableFigure"/>
        <w:rPr>
          <w:rStyle w:val="CommentReference"/>
          <w:b w:val="0"/>
          <w:i/>
          <w:iCs/>
          <w:sz w:val="18"/>
          <w:szCs w:val="22"/>
        </w:rPr>
      </w:pPr>
      <w:r w:rsidRPr="00347D1F">
        <w:rPr>
          <w:i/>
          <w:iCs/>
          <w:vertAlign w:val="superscript"/>
        </w:rPr>
        <w:t>4</w:t>
      </w:r>
      <w:r w:rsidRPr="00347D1F">
        <w:rPr>
          <w:i/>
          <w:iCs/>
        </w:rPr>
        <w:t xml:space="preserve"> $25,000 to &lt; $35,000</w:t>
      </w:r>
    </w:p>
    <w:p w14:paraId="64C2EC87" w14:textId="622701AF" w:rsidR="00553C97" w:rsidRPr="00F92E56" w:rsidRDefault="000320E4" w:rsidP="00236876">
      <w:pPr>
        <w:pStyle w:val="3-BodyText"/>
      </w:pPr>
      <w:r w:rsidRPr="00F92E56">
        <w:t>The ESC noted that r</w:t>
      </w:r>
      <w:r w:rsidR="001D66D4" w:rsidRPr="00F92E56">
        <w:t xml:space="preserve">estricting the population modelled to those who had received prior NAC and including costs and outcomes of avelumab in the comparator arm of the model alone each led to substantial reductions in the ICER. </w:t>
      </w:r>
      <w:r w:rsidR="00675A36" w:rsidRPr="00F92E56">
        <w:t xml:space="preserve">In July 2022, </w:t>
      </w:r>
      <w:r w:rsidR="001D66D4" w:rsidRPr="00F92E56">
        <w:t xml:space="preserve">the PBAC </w:t>
      </w:r>
      <w:r w:rsidR="00675A36" w:rsidRPr="00F92E56">
        <w:t>considered that an ICER of up to $30,000</w:t>
      </w:r>
      <w:r w:rsidR="00DA3312" w:rsidRPr="00F92E56">
        <w:t xml:space="preserve"> per </w:t>
      </w:r>
      <w:r w:rsidR="00675A36" w:rsidRPr="00F92E56">
        <w:t xml:space="preserve">QALY gained would be consistent with previous PBAC decisions in the </w:t>
      </w:r>
      <w:r w:rsidR="001D66D4" w:rsidRPr="00F92E56">
        <w:t>adjuvant therapy setting (</w:t>
      </w:r>
      <w:r w:rsidR="00724199">
        <w:t>paragraph</w:t>
      </w:r>
      <w:r w:rsidR="00CF06B9" w:rsidRPr="00F92E56">
        <w:t xml:space="preserve"> 7.9, </w:t>
      </w:r>
      <w:r w:rsidR="00D433AB" w:rsidRPr="00F92E56">
        <w:t xml:space="preserve">nivolumab </w:t>
      </w:r>
      <w:r w:rsidR="00CF06B9" w:rsidRPr="00F92E56">
        <w:lastRenderedPageBreak/>
        <w:t>PSD, July</w:t>
      </w:r>
      <w:r w:rsidR="00C76B7E">
        <w:t> </w:t>
      </w:r>
      <w:r w:rsidR="00CF06B9" w:rsidRPr="00F92E56">
        <w:t>2022 PBAC meeting</w:t>
      </w:r>
      <w:r w:rsidR="001D66D4" w:rsidRPr="00F92E56">
        <w:t xml:space="preserve">). </w:t>
      </w:r>
      <w:r w:rsidR="00553C97" w:rsidRPr="00F92E56">
        <w:t>T</w:t>
      </w:r>
      <w:r w:rsidRPr="00F92E56">
        <w:t xml:space="preserve">he ESC noted that the effective price </w:t>
      </w:r>
      <w:r w:rsidR="00714F6E" w:rsidRPr="00F92E56">
        <w:t xml:space="preserve">for nivolumab </w:t>
      </w:r>
      <w:r w:rsidRPr="00F92E56">
        <w:t>was increased to</w:t>
      </w:r>
      <w:r w:rsidR="00553C97" w:rsidRPr="00F92E56">
        <w:t xml:space="preserve"> the greatest extent with</w:t>
      </w:r>
      <w:r w:rsidRPr="00F92E56">
        <w:t xml:space="preserve"> maintain</w:t>
      </w:r>
      <w:r w:rsidR="00553C97" w:rsidRPr="00F92E56">
        <w:t>ing</w:t>
      </w:r>
      <w:r w:rsidRPr="00F92E56">
        <w:t xml:space="preserve"> an ICER below </w:t>
      </w:r>
      <w:r w:rsidR="00DD783A" w:rsidRPr="00785872">
        <w:rPr>
          <w:iCs w:val="0"/>
        </w:rPr>
        <w:t>$25,000 to &lt;</w:t>
      </w:r>
      <w:r w:rsidR="00DD783A">
        <w:rPr>
          <w:iCs w:val="0"/>
        </w:rPr>
        <w:t> </w:t>
      </w:r>
      <w:r w:rsidR="00DD783A" w:rsidRPr="00785872">
        <w:rPr>
          <w:iCs w:val="0"/>
        </w:rPr>
        <w:t>$35,000</w:t>
      </w:r>
      <w:r w:rsidR="001D78FA">
        <w:rPr>
          <w:iCs w:val="0"/>
        </w:rPr>
        <w:t xml:space="preserve"> </w:t>
      </w:r>
      <w:r w:rsidR="00FB6C09" w:rsidRPr="00F92E56">
        <w:t xml:space="preserve">per </w:t>
      </w:r>
      <w:r w:rsidRPr="00F92E56">
        <w:t xml:space="preserve">QALY gained. </w:t>
      </w:r>
      <w:r w:rsidR="00FF5CC1" w:rsidRPr="00F92E56">
        <w:t xml:space="preserve">The </w:t>
      </w:r>
      <w:r w:rsidR="00520293" w:rsidRPr="00F92E56">
        <w:t xml:space="preserve">ICER calculated was not based on the </w:t>
      </w:r>
      <w:r w:rsidR="00FF5CC1" w:rsidRPr="00F92E56">
        <w:t xml:space="preserve">effective price of avelumab </w:t>
      </w:r>
      <w:r w:rsidR="00520293" w:rsidRPr="00F92E56">
        <w:t xml:space="preserve">(or </w:t>
      </w:r>
      <w:r w:rsidR="00FF5CC1" w:rsidRPr="00F92E56">
        <w:t xml:space="preserve">treatment duration when the financial stopping rule was included) </w:t>
      </w:r>
      <w:r w:rsidR="00520293" w:rsidRPr="00F92E56">
        <w:t xml:space="preserve">as this information is not published. </w:t>
      </w:r>
    </w:p>
    <w:p w14:paraId="7A7B3ACD" w14:textId="5167E60D" w:rsidR="001D66D4" w:rsidRPr="00F92E56" w:rsidRDefault="001D66D4" w:rsidP="00236876">
      <w:pPr>
        <w:pStyle w:val="3-BodyText"/>
      </w:pPr>
      <w:r w:rsidRPr="00F92E56">
        <w:t xml:space="preserve">A comparison of the DFS estimates in the current and previous submission are presented in </w:t>
      </w:r>
      <w:r w:rsidR="00C7399A" w:rsidRPr="00F92E56">
        <w:fldChar w:fldCharType="begin" w:fldLock="1"/>
      </w:r>
      <w:r w:rsidR="00C7399A" w:rsidRPr="00F92E56">
        <w:instrText xml:space="preserve"> REF _Ref142836634 \h </w:instrText>
      </w:r>
      <w:r w:rsidR="005E043E" w:rsidRPr="00F92E56">
        <w:instrText xml:space="preserve"> \* MERGEFORMAT </w:instrText>
      </w:r>
      <w:r w:rsidR="00C7399A" w:rsidRPr="00F92E56">
        <w:fldChar w:fldCharType="separate"/>
      </w:r>
      <w:r w:rsidR="0096718A" w:rsidRPr="00F92E56">
        <w:t xml:space="preserve">Figure </w:t>
      </w:r>
      <w:r w:rsidR="0096718A" w:rsidRPr="00346867">
        <w:t>6</w:t>
      </w:r>
      <w:r w:rsidR="00C7399A" w:rsidRPr="00F92E56">
        <w:fldChar w:fldCharType="end"/>
      </w:r>
      <w:r w:rsidRPr="00F92E56">
        <w:t>. While the restriction in the population modelled is consistent with the proposed PBS listing, if there is substantial use in patients that do not reflect the population included in the prior NAC subgroup of the trial (</w:t>
      </w:r>
      <w:r w:rsidR="007301DB" w:rsidRPr="00F92E56">
        <w:t xml:space="preserve">such as in </w:t>
      </w:r>
      <w:r w:rsidRPr="00F92E56">
        <w:t>those who would not otherwise have received NAC</w:t>
      </w:r>
      <w:r w:rsidR="007301DB" w:rsidRPr="00F92E56">
        <w:t xml:space="preserve"> – as estimated in the financial impact</w:t>
      </w:r>
      <w:r w:rsidRPr="00F92E56">
        <w:t xml:space="preserve">), then the cost-effectiveness claimed (and so justification for the higher proposed price) may not be realised in practice. </w:t>
      </w:r>
    </w:p>
    <w:p w14:paraId="648BD071" w14:textId="7B519BB1" w:rsidR="001D66D4" w:rsidRPr="00F92E56" w:rsidRDefault="001D66D4" w:rsidP="001D66D4">
      <w:pPr>
        <w:pStyle w:val="Caption"/>
        <w:rPr>
          <w:rStyle w:val="CommentReference"/>
          <w:szCs w:val="24"/>
        </w:rPr>
      </w:pPr>
      <w:bookmarkStart w:id="63" w:name="_Ref142836634"/>
      <w:r w:rsidRPr="00F92E56">
        <w:t xml:space="preserve">Figure </w:t>
      </w:r>
      <w:r w:rsidR="001D78FA">
        <w:fldChar w:fldCharType="begin" w:fldLock="1"/>
      </w:r>
      <w:r w:rsidR="001D78FA">
        <w:instrText xml:space="preserve"> SEQ Figure \* ARABIC </w:instrText>
      </w:r>
      <w:r w:rsidR="001D78FA">
        <w:fldChar w:fldCharType="separate"/>
      </w:r>
      <w:r w:rsidR="0096718A" w:rsidRPr="00346867">
        <w:t>6</w:t>
      </w:r>
      <w:r w:rsidR="001D78FA">
        <w:fldChar w:fldCharType="end"/>
      </w:r>
      <w:bookmarkEnd w:id="63"/>
      <w:r w:rsidRPr="00F92E56">
        <w:t xml:space="preserve">: </w:t>
      </w:r>
      <w:r w:rsidRPr="00F92E56">
        <w:rPr>
          <w:rStyle w:val="CommentReference"/>
          <w:b/>
          <w:szCs w:val="24"/>
        </w:rPr>
        <w:t>Comparison of modelled DFS from the current and previous submission</w:t>
      </w:r>
    </w:p>
    <w:p w14:paraId="62C8768F" w14:textId="77777777" w:rsidR="001D66D4" w:rsidRPr="00F92E56" w:rsidRDefault="001D66D4" w:rsidP="00C76B7E">
      <w:pPr>
        <w:pStyle w:val="3-BodyText"/>
        <w:numPr>
          <w:ilvl w:val="0"/>
          <w:numId w:val="0"/>
        </w:numPr>
        <w:spacing w:after="0"/>
      </w:pPr>
      <w:r w:rsidRPr="00D27E62">
        <w:rPr>
          <w:noProof/>
        </w:rPr>
        <w:drawing>
          <wp:inline distT="0" distB="0" distL="0" distR="0" wp14:anchorId="6CCC4F08" wp14:editId="7500E5BB">
            <wp:extent cx="5753100" cy="3404678"/>
            <wp:effectExtent l="0" t="0" r="0" b="5715"/>
            <wp:docPr id="22" name="Picture 22"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raph of a number of peopl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148" cy="3409441"/>
                    </a:xfrm>
                    <a:prstGeom prst="rect">
                      <a:avLst/>
                    </a:prstGeom>
                    <a:noFill/>
                  </pic:spPr>
                </pic:pic>
              </a:graphicData>
            </a:graphic>
          </wp:inline>
        </w:drawing>
      </w:r>
    </w:p>
    <w:p w14:paraId="3F79414A" w14:textId="1FEE18F4" w:rsidR="001D66D4" w:rsidRPr="00F92E56" w:rsidRDefault="001D66D4" w:rsidP="001D66D4">
      <w:pPr>
        <w:pStyle w:val="FooterTableFigure"/>
      </w:pPr>
      <w:r w:rsidRPr="00F92E56">
        <w:t>Source:</w:t>
      </w:r>
      <w:r w:rsidR="00CF06B9" w:rsidRPr="00F92E56">
        <w:t xml:space="preserve"> Constructed during the evaluation from the ‘Attachment 14 - Nivolumab Adj MIUC Economic Evaluation_Resubmission.xlsm’ file included in the resubmission</w:t>
      </w:r>
    </w:p>
    <w:p w14:paraId="52FE79EB" w14:textId="418F9D05" w:rsidR="00CF06B9" w:rsidRPr="00F92E56" w:rsidRDefault="00CF06B9" w:rsidP="001D66D4">
      <w:pPr>
        <w:pStyle w:val="FooterTableFigure"/>
      </w:pPr>
      <w:r w:rsidRPr="00F92E56">
        <w:t>DFS = disease-free survival; ITT = intention-to-treat; WW = watchful waiting.</w:t>
      </w:r>
    </w:p>
    <w:p w14:paraId="29CA7898" w14:textId="173292FB" w:rsidR="001D66D4" w:rsidRPr="00F92E56" w:rsidRDefault="001D66D4" w:rsidP="00236876">
      <w:pPr>
        <w:pStyle w:val="3-BodyText"/>
      </w:pPr>
      <w:r w:rsidRPr="00F92E56">
        <w:t xml:space="preserve">Disaggregated costs and outcomes are presented in </w:t>
      </w:r>
      <w:r w:rsidR="00C7399A" w:rsidRPr="00F92E56">
        <w:rPr>
          <w:highlight w:val="yellow"/>
        </w:rPr>
        <w:fldChar w:fldCharType="begin" w:fldLock="1"/>
      </w:r>
      <w:r w:rsidR="00C7399A" w:rsidRPr="00F92E56">
        <w:instrText xml:space="preserve"> REF _Ref142836517 \h </w:instrText>
      </w:r>
      <w:r w:rsidR="007D2DE6" w:rsidRPr="00F92E56">
        <w:rPr>
          <w:highlight w:val="yellow"/>
        </w:rPr>
        <w:instrText xml:space="preserve"> \* MERGEFORMAT </w:instrText>
      </w:r>
      <w:r w:rsidR="00C7399A" w:rsidRPr="00F92E56">
        <w:rPr>
          <w:highlight w:val="yellow"/>
        </w:rPr>
      </w:r>
      <w:r w:rsidR="00C7399A" w:rsidRPr="00F92E56">
        <w:rPr>
          <w:highlight w:val="yellow"/>
        </w:rPr>
        <w:fldChar w:fldCharType="separate"/>
      </w:r>
      <w:r w:rsidR="0096718A" w:rsidRPr="00F92E56">
        <w:t xml:space="preserve">Table </w:t>
      </w:r>
      <w:r w:rsidR="0096718A" w:rsidRPr="00346867">
        <w:t>14</w:t>
      </w:r>
      <w:r w:rsidR="00C7399A" w:rsidRPr="00F92E56">
        <w:rPr>
          <w:highlight w:val="yellow"/>
        </w:rPr>
        <w:fldChar w:fldCharType="end"/>
      </w:r>
      <w:r w:rsidRPr="00F92E56">
        <w:t xml:space="preserve">. </w:t>
      </w:r>
    </w:p>
    <w:p w14:paraId="57812859" w14:textId="09B2B356" w:rsidR="001D66D4" w:rsidRPr="00F92E56" w:rsidRDefault="001D66D4" w:rsidP="001D66D4">
      <w:pPr>
        <w:pStyle w:val="TableFigureHeading"/>
        <w:rPr>
          <w:rStyle w:val="CommentReference"/>
          <w:b/>
          <w:szCs w:val="24"/>
        </w:rPr>
      </w:pPr>
      <w:bookmarkStart w:id="64" w:name="_Ref142836517"/>
      <w:r w:rsidRPr="00F92E56">
        <w:lastRenderedPageBreak/>
        <w:t xml:space="preserve">Table </w:t>
      </w:r>
      <w:r w:rsidR="001D78FA">
        <w:fldChar w:fldCharType="begin" w:fldLock="1"/>
      </w:r>
      <w:r w:rsidR="001D78FA">
        <w:instrText xml:space="preserve"> SEQ Table \* ARABIC </w:instrText>
      </w:r>
      <w:r w:rsidR="001D78FA">
        <w:fldChar w:fldCharType="separate"/>
      </w:r>
      <w:r w:rsidR="0096718A" w:rsidRPr="00346867">
        <w:t>14</w:t>
      </w:r>
      <w:r w:rsidR="001D78FA">
        <w:fldChar w:fldCharType="end"/>
      </w:r>
      <w:bookmarkEnd w:id="64"/>
      <w:r w:rsidRPr="00F92E56">
        <w:t xml:space="preserve">: </w:t>
      </w:r>
      <w:r w:rsidRPr="00F92E56">
        <w:rPr>
          <w:rStyle w:val="CommentReference"/>
          <w:b/>
          <w:szCs w:val="24"/>
        </w:rPr>
        <w:t>Disaggregated costs and outcomes included in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57"/>
        <w:gridCol w:w="1490"/>
        <w:gridCol w:w="1490"/>
        <w:gridCol w:w="1490"/>
        <w:gridCol w:w="1490"/>
      </w:tblGrid>
      <w:tr w:rsidR="001D66D4" w:rsidRPr="00F92E56" w14:paraId="17856845" w14:textId="77777777" w:rsidTr="005D1A43">
        <w:trPr>
          <w:cantSplit/>
        </w:trPr>
        <w:tc>
          <w:tcPr>
            <w:tcW w:w="169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0F5C2F7" w14:textId="77777777" w:rsidR="001D66D4" w:rsidRPr="00346867" w:rsidRDefault="001D66D4" w:rsidP="00553EDF">
            <w:pPr>
              <w:pStyle w:val="In-tableHeading"/>
              <w:rPr>
                <w:lang w:val="en-AU"/>
              </w:rPr>
            </w:pP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452F09" w14:textId="77777777" w:rsidR="001D66D4" w:rsidRPr="00346867" w:rsidRDefault="001D66D4" w:rsidP="00553EDF">
            <w:pPr>
              <w:pStyle w:val="In-tableHeading"/>
              <w:jc w:val="center"/>
              <w:rPr>
                <w:lang w:val="en-AU"/>
              </w:rPr>
            </w:pPr>
            <w:r w:rsidRPr="00346867">
              <w:rPr>
                <w:lang w:val="en-AU"/>
              </w:rPr>
              <w:t>Nivolumab</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C2A33AD" w14:textId="77777777" w:rsidR="001D66D4" w:rsidRPr="00346867" w:rsidRDefault="001D66D4" w:rsidP="00553EDF">
            <w:pPr>
              <w:pStyle w:val="In-tableHeading"/>
              <w:jc w:val="center"/>
              <w:rPr>
                <w:lang w:val="en-AU"/>
              </w:rPr>
            </w:pPr>
            <w:r w:rsidRPr="00346867">
              <w:rPr>
                <w:lang w:val="en-AU"/>
              </w:rPr>
              <w:t>Watchful waiting</w:t>
            </w:r>
          </w:p>
        </w:tc>
        <w:tc>
          <w:tcPr>
            <w:tcW w:w="826" w:type="pct"/>
            <w:tcBorders>
              <w:top w:val="single" w:sz="4" w:space="0" w:color="auto"/>
              <w:left w:val="single" w:sz="4" w:space="0" w:color="auto"/>
              <w:bottom w:val="single" w:sz="4" w:space="0" w:color="auto"/>
              <w:right w:val="single" w:sz="4" w:space="0" w:color="auto"/>
            </w:tcBorders>
            <w:vAlign w:val="center"/>
          </w:tcPr>
          <w:p w14:paraId="5A0D51A8" w14:textId="77777777" w:rsidR="001D66D4" w:rsidRPr="00346867" w:rsidRDefault="001D66D4" w:rsidP="00553EDF">
            <w:pPr>
              <w:pStyle w:val="In-tableHeading"/>
              <w:jc w:val="center"/>
              <w:rPr>
                <w:lang w:val="en-AU"/>
              </w:rPr>
            </w:pPr>
            <w:r w:rsidRPr="00346867">
              <w:rPr>
                <w:lang w:val="en-AU"/>
              </w:rPr>
              <w:t>Increment</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0283C1" w14:textId="77777777" w:rsidR="001D66D4" w:rsidRPr="00346867" w:rsidRDefault="001D66D4" w:rsidP="00553EDF">
            <w:pPr>
              <w:pStyle w:val="In-tableHeading"/>
              <w:jc w:val="center"/>
              <w:rPr>
                <w:lang w:val="en-AU"/>
              </w:rPr>
            </w:pPr>
            <w:r w:rsidRPr="00346867">
              <w:rPr>
                <w:lang w:val="en-AU"/>
              </w:rPr>
              <w:t>%</w:t>
            </w:r>
          </w:p>
        </w:tc>
      </w:tr>
      <w:tr w:rsidR="001D66D4" w:rsidRPr="00F92E56" w14:paraId="15A9FD29" w14:textId="77777777" w:rsidTr="005D1A43">
        <w:trPr>
          <w:cantSplit/>
        </w:trPr>
        <w:tc>
          <w:tcPr>
            <w:tcW w:w="1695" w:type="pct"/>
            <w:tcBorders>
              <w:top w:val="single" w:sz="4" w:space="0" w:color="auto"/>
              <w:left w:val="single" w:sz="4" w:space="0" w:color="auto"/>
              <w:bottom w:val="single" w:sz="4" w:space="0" w:color="auto"/>
              <w:right w:val="nil"/>
            </w:tcBorders>
            <w:tcMar>
              <w:left w:w="57" w:type="dxa"/>
              <w:right w:w="57" w:type="dxa"/>
            </w:tcMar>
            <w:vAlign w:val="center"/>
          </w:tcPr>
          <w:p w14:paraId="73FDDAC8" w14:textId="588A2F09" w:rsidR="001D66D4" w:rsidRPr="00F92E56" w:rsidRDefault="001D66D4" w:rsidP="00553EDF">
            <w:pPr>
              <w:pStyle w:val="TableText0"/>
              <w:rPr>
                <w:b/>
                <w:bCs w:val="0"/>
              </w:rPr>
            </w:pPr>
            <w:r w:rsidRPr="00F92E56">
              <w:rPr>
                <w:b/>
                <w:bCs w:val="0"/>
              </w:rPr>
              <w:t>Costs</w:t>
            </w:r>
            <w:r w:rsidR="00BE598F">
              <w:rPr>
                <w:b/>
                <w:bCs w:val="0"/>
              </w:rPr>
              <w:t xml:space="preserve"> ($)</w:t>
            </w:r>
          </w:p>
        </w:tc>
        <w:tc>
          <w:tcPr>
            <w:tcW w:w="826" w:type="pct"/>
            <w:tcBorders>
              <w:top w:val="single" w:sz="4" w:space="0" w:color="auto"/>
              <w:left w:val="nil"/>
              <w:bottom w:val="single" w:sz="4" w:space="0" w:color="auto"/>
              <w:right w:val="nil"/>
            </w:tcBorders>
            <w:tcMar>
              <w:left w:w="57" w:type="dxa"/>
              <w:right w:w="57" w:type="dxa"/>
            </w:tcMar>
            <w:vAlign w:val="center"/>
          </w:tcPr>
          <w:p w14:paraId="6CBF21F1" w14:textId="77777777" w:rsidR="001D66D4" w:rsidRPr="00F92E56" w:rsidRDefault="001D66D4" w:rsidP="00553EDF">
            <w:pPr>
              <w:pStyle w:val="TableText0"/>
              <w:jc w:val="center"/>
              <w:rPr>
                <w:b/>
                <w:bCs w:val="0"/>
              </w:rPr>
            </w:pPr>
          </w:p>
        </w:tc>
        <w:tc>
          <w:tcPr>
            <w:tcW w:w="826" w:type="pct"/>
            <w:tcBorders>
              <w:top w:val="single" w:sz="4" w:space="0" w:color="auto"/>
              <w:left w:val="nil"/>
              <w:bottom w:val="single" w:sz="4" w:space="0" w:color="auto"/>
              <w:right w:val="nil"/>
            </w:tcBorders>
            <w:tcMar>
              <w:left w:w="57" w:type="dxa"/>
              <w:right w:w="57" w:type="dxa"/>
            </w:tcMar>
            <w:vAlign w:val="center"/>
          </w:tcPr>
          <w:p w14:paraId="7B85FAFB" w14:textId="77777777" w:rsidR="001D66D4" w:rsidRPr="00F92E56" w:rsidRDefault="001D66D4" w:rsidP="00553EDF">
            <w:pPr>
              <w:pStyle w:val="TableText0"/>
              <w:jc w:val="center"/>
              <w:rPr>
                <w:b/>
                <w:bCs w:val="0"/>
              </w:rPr>
            </w:pPr>
          </w:p>
        </w:tc>
        <w:tc>
          <w:tcPr>
            <w:tcW w:w="826" w:type="pct"/>
            <w:tcBorders>
              <w:top w:val="single" w:sz="4" w:space="0" w:color="auto"/>
              <w:left w:val="nil"/>
              <w:bottom w:val="single" w:sz="4" w:space="0" w:color="auto"/>
              <w:right w:val="nil"/>
            </w:tcBorders>
            <w:vAlign w:val="center"/>
          </w:tcPr>
          <w:p w14:paraId="5DFA66B1" w14:textId="77777777" w:rsidR="001D66D4" w:rsidRPr="00F92E56" w:rsidRDefault="001D66D4" w:rsidP="00553EDF">
            <w:pPr>
              <w:pStyle w:val="TableText0"/>
              <w:jc w:val="center"/>
              <w:rPr>
                <w:b/>
                <w:bCs w:val="0"/>
              </w:rPr>
            </w:pPr>
          </w:p>
        </w:tc>
        <w:tc>
          <w:tcPr>
            <w:tcW w:w="826" w:type="pct"/>
            <w:tcBorders>
              <w:top w:val="single" w:sz="4" w:space="0" w:color="auto"/>
              <w:left w:val="nil"/>
              <w:bottom w:val="single" w:sz="4" w:space="0" w:color="auto"/>
              <w:right w:val="single" w:sz="4" w:space="0" w:color="auto"/>
            </w:tcBorders>
            <w:tcMar>
              <w:left w:w="57" w:type="dxa"/>
              <w:right w:w="57" w:type="dxa"/>
            </w:tcMar>
            <w:vAlign w:val="center"/>
          </w:tcPr>
          <w:p w14:paraId="6A4289B6" w14:textId="77777777" w:rsidR="001D66D4" w:rsidRPr="00F92E56" w:rsidRDefault="001D66D4" w:rsidP="00553EDF">
            <w:pPr>
              <w:pStyle w:val="TableText0"/>
              <w:jc w:val="center"/>
              <w:rPr>
                <w:b/>
                <w:bCs w:val="0"/>
              </w:rPr>
            </w:pPr>
          </w:p>
        </w:tc>
      </w:tr>
      <w:tr w:rsidR="001D66D4" w:rsidRPr="00F92E56" w14:paraId="4DE8E60F" w14:textId="77777777" w:rsidTr="005D1A43">
        <w:trPr>
          <w:cantSplit/>
        </w:trPr>
        <w:tc>
          <w:tcPr>
            <w:tcW w:w="1695" w:type="pct"/>
            <w:tcBorders>
              <w:top w:val="single" w:sz="4" w:space="0" w:color="auto"/>
              <w:left w:val="single" w:sz="4" w:space="0" w:color="auto"/>
              <w:bottom w:val="single" w:sz="4" w:space="0" w:color="auto"/>
              <w:right w:val="single" w:sz="4" w:space="0" w:color="auto"/>
            </w:tcBorders>
            <w:tcMar>
              <w:left w:w="57" w:type="dxa"/>
              <w:right w:w="57" w:type="dxa"/>
            </w:tcMar>
          </w:tcPr>
          <w:p w14:paraId="3561D2E8" w14:textId="77777777" w:rsidR="001D66D4" w:rsidRPr="00F92E56" w:rsidRDefault="001D66D4" w:rsidP="00553EDF">
            <w:pPr>
              <w:pStyle w:val="TableText0"/>
              <w:rPr>
                <w:iCs/>
              </w:rPr>
            </w:pPr>
            <w:r w:rsidRPr="00F92E56">
              <w:rPr>
                <w:iCs/>
              </w:rPr>
              <w:t>Nivolumab</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4E4CCED" w14:textId="7960833B" w:rsidR="001D66D4" w:rsidRPr="00F92E56" w:rsidRDefault="00785872" w:rsidP="00553EDF">
            <w:pPr>
              <w:pStyle w:val="TableText0"/>
              <w:jc w:val="right"/>
            </w:pPr>
            <w:r w:rsidRPr="00785872">
              <w:t xml:space="preserve"> </w:t>
            </w:r>
            <w:r w:rsidRPr="00785872">
              <w:rPr>
                <w:color w:val="000000"/>
                <w:shd w:val="solid" w:color="000000" w:fill="000000"/>
                <w14:textFill>
                  <w14:solidFill>
                    <w14:srgbClr w14:val="000000">
                      <w14:alpha w14:val="100000"/>
                    </w14:srgbClr>
                  </w14:solidFill>
                </w14:textFill>
              </w:rPr>
              <w:t>|</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tcPr>
          <w:p w14:paraId="58964DE1" w14:textId="77777777" w:rsidR="001D66D4" w:rsidRPr="00F92E56" w:rsidRDefault="001D66D4" w:rsidP="00553EDF">
            <w:pPr>
              <w:pStyle w:val="TableText0"/>
              <w:jc w:val="right"/>
            </w:pPr>
            <w:r w:rsidRPr="00F92E56">
              <w:t>$0</w:t>
            </w:r>
          </w:p>
        </w:tc>
        <w:tc>
          <w:tcPr>
            <w:tcW w:w="826" w:type="pct"/>
            <w:tcBorders>
              <w:top w:val="single" w:sz="4" w:space="0" w:color="auto"/>
              <w:left w:val="single" w:sz="4" w:space="0" w:color="auto"/>
              <w:bottom w:val="single" w:sz="4" w:space="0" w:color="auto"/>
              <w:right w:val="single" w:sz="4" w:space="0" w:color="auto"/>
            </w:tcBorders>
            <w:vAlign w:val="bottom"/>
          </w:tcPr>
          <w:p w14:paraId="193689E8" w14:textId="13B6738F" w:rsidR="001D66D4" w:rsidRPr="00F92E56" w:rsidRDefault="00785872" w:rsidP="00553EDF">
            <w:pPr>
              <w:pStyle w:val="TableText0"/>
              <w:jc w:val="right"/>
            </w:pPr>
            <w:r w:rsidRPr="00785872">
              <w:t xml:space="preserve"> </w:t>
            </w:r>
            <w:r w:rsidRPr="00785872">
              <w:rPr>
                <w:color w:val="000000"/>
                <w:shd w:val="solid" w:color="000000" w:fill="000000"/>
                <w14:textFill>
                  <w14:solidFill>
                    <w14:srgbClr w14:val="000000">
                      <w14:alpha w14:val="100000"/>
                    </w14:srgbClr>
                  </w14:solidFill>
                </w14:textFill>
              </w:rPr>
              <w:t>|</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C55429A" w14:textId="250CC602" w:rsidR="001D66D4" w:rsidRPr="00F92E56" w:rsidRDefault="00785872" w:rsidP="00553EDF">
            <w:pPr>
              <w:pStyle w:val="TableText0"/>
              <w:jc w:val="right"/>
            </w:pPr>
            <w:r w:rsidRPr="00785872">
              <w:rPr>
                <w:rFonts w:cs="Calibri"/>
                <w:color w:val="000000"/>
                <w:szCs w:val="20"/>
              </w:rPr>
              <w:t xml:space="preserve"> </w:t>
            </w:r>
            <w:r w:rsidRPr="00785872">
              <w:rPr>
                <w:rFonts w:cs="Calibri"/>
                <w:color w:val="000000"/>
                <w:szCs w:val="20"/>
                <w:shd w:val="solid" w:color="000000" w:fill="000000"/>
                <w14:textFill>
                  <w14:solidFill>
                    <w14:srgbClr w14:val="000000">
                      <w14:alpha w14:val="100000"/>
                    </w14:srgbClr>
                  </w14:solidFill>
                </w14:textFill>
              </w:rPr>
              <w:t>|</w:t>
            </w:r>
            <w:r w:rsidR="001D66D4" w:rsidRPr="00F92E56">
              <w:rPr>
                <w:rFonts w:cs="Calibri"/>
                <w:color w:val="000000"/>
                <w:szCs w:val="20"/>
              </w:rPr>
              <w:t>%</w:t>
            </w:r>
          </w:p>
        </w:tc>
      </w:tr>
      <w:tr w:rsidR="001D66D4" w:rsidRPr="00F92E56" w14:paraId="13131779" w14:textId="77777777" w:rsidTr="005D1A43">
        <w:trPr>
          <w:cantSplit/>
        </w:trPr>
        <w:tc>
          <w:tcPr>
            <w:tcW w:w="1695" w:type="pct"/>
            <w:tcBorders>
              <w:top w:val="single" w:sz="4" w:space="0" w:color="auto"/>
              <w:left w:val="single" w:sz="4" w:space="0" w:color="auto"/>
              <w:bottom w:val="single" w:sz="4" w:space="0" w:color="auto"/>
              <w:right w:val="single" w:sz="4" w:space="0" w:color="auto"/>
            </w:tcBorders>
            <w:tcMar>
              <w:left w:w="57" w:type="dxa"/>
              <w:right w:w="57" w:type="dxa"/>
            </w:tcMar>
          </w:tcPr>
          <w:p w14:paraId="7ACEBEAA" w14:textId="77777777" w:rsidR="001D66D4" w:rsidRPr="00F92E56" w:rsidRDefault="001D66D4" w:rsidP="00553EDF">
            <w:pPr>
              <w:pStyle w:val="TableText0"/>
              <w:rPr>
                <w:iCs/>
              </w:rPr>
            </w:pPr>
            <w:r w:rsidRPr="00F92E56">
              <w:rPr>
                <w:iCs/>
              </w:rPr>
              <w:t>Administration</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68756B34" w14:textId="77777777" w:rsidR="001D66D4" w:rsidRPr="00F92E56" w:rsidRDefault="001D66D4" w:rsidP="00553EDF">
            <w:pPr>
              <w:pStyle w:val="TableText0"/>
              <w:jc w:val="right"/>
            </w:pPr>
            <w:r w:rsidRPr="00F92E56">
              <w:t>$1,016</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tcPr>
          <w:p w14:paraId="7B9E9602" w14:textId="77777777" w:rsidR="001D66D4" w:rsidRPr="00F92E56" w:rsidRDefault="001D66D4" w:rsidP="00553EDF">
            <w:pPr>
              <w:pStyle w:val="TableText0"/>
              <w:jc w:val="right"/>
            </w:pPr>
            <w:r w:rsidRPr="00F92E56">
              <w:t>$0</w:t>
            </w:r>
          </w:p>
        </w:tc>
        <w:tc>
          <w:tcPr>
            <w:tcW w:w="826" w:type="pct"/>
            <w:tcBorders>
              <w:top w:val="single" w:sz="4" w:space="0" w:color="auto"/>
              <w:left w:val="single" w:sz="4" w:space="0" w:color="auto"/>
              <w:bottom w:val="single" w:sz="4" w:space="0" w:color="auto"/>
              <w:right w:val="single" w:sz="4" w:space="0" w:color="auto"/>
            </w:tcBorders>
            <w:vAlign w:val="bottom"/>
          </w:tcPr>
          <w:p w14:paraId="0DEDCF0E" w14:textId="77777777" w:rsidR="001D66D4" w:rsidRPr="00F92E56" w:rsidRDefault="001D66D4" w:rsidP="00553EDF">
            <w:pPr>
              <w:pStyle w:val="TableText0"/>
              <w:jc w:val="right"/>
            </w:pPr>
            <w:r w:rsidRPr="00F92E56">
              <w:t>$1,016</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72CF72B" w14:textId="5E57C6ED" w:rsidR="001D66D4" w:rsidRPr="00F92E56" w:rsidRDefault="00785872" w:rsidP="00553EDF">
            <w:pPr>
              <w:pStyle w:val="TableText0"/>
              <w:jc w:val="right"/>
            </w:pPr>
            <w:r w:rsidRPr="00785872">
              <w:rPr>
                <w:rFonts w:cs="Calibri"/>
                <w:color w:val="000000"/>
                <w:szCs w:val="20"/>
              </w:rPr>
              <w:t xml:space="preserve"> </w:t>
            </w:r>
            <w:r w:rsidRPr="00785872">
              <w:rPr>
                <w:rFonts w:cs="Calibri"/>
                <w:color w:val="000000"/>
                <w:szCs w:val="20"/>
                <w:shd w:val="solid" w:color="000000" w:fill="000000"/>
                <w14:textFill>
                  <w14:solidFill>
                    <w14:srgbClr w14:val="000000">
                      <w14:alpha w14:val="100000"/>
                    </w14:srgbClr>
                  </w14:solidFill>
                </w14:textFill>
              </w:rPr>
              <w:t>|</w:t>
            </w:r>
            <w:r w:rsidR="001D66D4" w:rsidRPr="00F92E56">
              <w:rPr>
                <w:rFonts w:cs="Calibri"/>
                <w:color w:val="000000"/>
                <w:szCs w:val="20"/>
              </w:rPr>
              <w:t>%</w:t>
            </w:r>
          </w:p>
        </w:tc>
      </w:tr>
      <w:tr w:rsidR="001D66D4" w:rsidRPr="00F92E56" w14:paraId="156F72A6" w14:textId="77777777" w:rsidTr="005D1A43">
        <w:trPr>
          <w:cantSplit/>
        </w:trPr>
        <w:tc>
          <w:tcPr>
            <w:tcW w:w="1695" w:type="pct"/>
            <w:tcBorders>
              <w:top w:val="single" w:sz="4" w:space="0" w:color="auto"/>
              <w:left w:val="single" w:sz="4" w:space="0" w:color="auto"/>
              <w:bottom w:val="single" w:sz="4" w:space="0" w:color="auto"/>
              <w:right w:val="single" w:sz="4" w:space="0" w:color="auto"/>
            </w:tcBorders>
            <w:tcMar>
              <w:left w:w="57" w:type="dxa"/>
              <w:right w:w="57" w:type="dxa"/>
            </w:tcMar>
          </w:tcPr>
          <w:p w14:paraId="5E783155" w14:textId="77777777" w:rsidR="001D66D4" w:rsidRPr="00F92E56" w:rsidRDefault="001D66D4" w:rsidP="00553EDF">
            <w:pPr>
              <w:pStyle w:val="TableText0"/>
              <w:rPr>
                <w:iCs/>
              </w:rPr>
            </w:pPr>
            <w:r w:rsidRPr="00F92E56">
              <w:rPr>
                <w:iCs/>
              </w:rPr>
              <w:t>Disease monitoring</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4096272" w14:textId="77777777" w:rsidR="001D66D4" w:rsidRPr="00F92E56" w:rsidRDefault="001D66D4" w:rsidP="00553EDF">
            <w:pPr>
              <w:pStyle w:val="TableText0"/>
              <w:jc w:val="right"/>
            </w:pPr>
            <w:r w:rsidRPr="00F92E56">
              <w:t>$2,306</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7127DB7" w14:textId="77777777" w:rsidR="001D66D4" w:rsidRPr="00F92E56" w:rsidRDefault="001D66D4" w:rsidP="00553EDF">
            <w:pPr>
              <w:pStyle w:val="TableText0"/>
              <w:jc w:val="right"/>
            </w:pPr>
            <w:r w:rsidRPr="00F92E56">
              <w:t>$0</w:t>
            </w:r>
          </w:p>
        </w:tc>
        <w:tc>
          <w:tcPr>
            <w:tcW w:w="826" w:type="pct"/>
            <w:tcBorders>
              <w:top w:val="single" w:sz="4" w:space="0" w:color="auto"/>
              <w:left w:val="single" w:sz="4" w:space="0" w:color="auto"/>
              <w:bottom w:val="single" w:sz="4" w:space="0" w:color="auto"/>
              <w:right w:val="single" w:sz="4" w:space="0" w:color="auto"/>
            </w:tcBorders>
            <w:vAlign w:val="bottom"/>
          </w:tcPr>
          <w:p w14:paraId="5B6DA833" w14:textId="77777777" w:rsidR="001D66D4" w:rsidRPr="00F92E56" w:rsidRDefault="001D66D4" w:rsidP="00553EDF">
            <w:pPr>
              <w:pStyle w:val="TableText0"/>
              <w:jc w:val="right"/>
            </w:pPr>
            <w:r w:rsidRPr="00F92E56">
              <w:t>$2,306</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DA9AC0" w14:textId="5B0247AC" w:rsidR="001D66D4" w:rsidRPr="00F92E56" w:rsidRDefault="00785872" w:rsidP="00553EDF">
            <w:pPr>
              <w:pStyle w:val="TableText0"/>
              <w:jc w:val="right"/>
            </w:pPr>
            <w:r w:rsidRPr="00785872">
              <w:rPr>
                <w:rFonts w:cs="Calibri"/>
                <w:color w:val="000000"/>
                <w:szCs w:val="20"/>
              </w:rPr>
              <w:t xml:space="preserve"> </w:t>
            </w:r>
            <w:r w:rsidRPr="00785872">
              <w:rPr>
                <w:rFonts w:cs="Calibri"/>
                <w:color w:val="000000"/>
                <w:szCs w:val="20"/>
                <w:shd w:val="solid" w:color="000000" w:fill="000000"/>
                <w14:textFill>
                  <w14:solidFill>
                    <w14:srgbClr w14:val="000000">
                      <w14:alpha w14:val="100000"/>
                    </w14:srgbClr>
                  </w14:solidFill>
                </w14:textFill>
              </w:rPr>
              <w:t>|</w:t>
            </w:r>
            <w:r w:rsidR="001D66D4" w:rsidRPr="00F92E56">
              <w:rPr>
                <w:rFonts w:cs="Calibri"/>
                <w:color w:val="000000"/>
                <w:szCs w:val="20"/>
              </w:rPr>
              <w:t>%</w:t>
            </w:r>
          </w:p>
        </w:tc>
      </w:tr>
      <w:tr w:rsidR="001D66D4" w:rsidRPr="00F92E56" w14:paraId="50FBF046" w14:textId="77777777" w:rsidTr="005D1A43">
        <w:trPr>
          <w:cantSplit/>
        </w:trPr>
        <w:tc>
          <w:tcPr>
            <w:tcW w:w="1695" w:type="pct"/>
            <w:tcBorders>
              <w:top w:val="single" w:sz="4" w:space="0" w:color="auto"/>
              <w:left w:val="single" w:sz="4" w:space="0" w:color="auto"/>
              <w:bottom w:val="single" w:sz="4" w:space="0" w:color="auto"/>
              <w:right w:val="single" w:sz="4" w:space="0" w:color="auto"/>
            </w:tcBorders>
            <w:tcMar>
              <w:left w:w="57" w:type="dxa"/>
              <w:right w:w="57" w:type="dxa"/>
            </w:tcMar>
          </w:tcPr>
          <w:p w14:paraId="6F8DF4F0" w14:textId="77777777" w:rsidR="001D66D4" w:rsidRPr="00F92E56" w:rsidRDefault="001D66D4" w:rsidP="00553EDF">
            <w:pPr>
              <w:pStyle w:val="TableText0"/>
              <w:rPr>
                <w:iCs/>
              </w:rPr>
            </w:pPr>
            <w:r w:rsidRPr="00F92E56">
              <w:rPr>
                <w:iCs/>
              </w:rPr>
              <w:t xml:space="preserve">Disease management (pre-recurrence) </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3FA8297" w14:textId="77777777" w:rsidR="001D66D4" w:rsidRPr="00F92E56" w:rsidRDefault="001D66D4" w:rsidP="00553EDF">
            <w:pPr>
              <w:pStyle w:val="TableText0"/>
              <w:jc w:val="right"/>
            </w:pPr>
            <w:r w:rsidRPr="00F92E56">
              <w:t>$2,317</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2C70A7CF" w14:textId="77777777" w:rsidR="001D66D4" w:rsidRPr="00F92E56" w:rsidRDefault="001D66D4" w:rsidP="00553EDF">
            <w:pPr>
              <w:pStyle w:val="TableText0"/>
              <w:jc w:val="right"/>
            </w:pPr>
            <w:r w:rsidRPr="00F92E56">
              <w:t>$1,774</w:t>
            </w:r>
          </w:p>
        </w:tc>
        <w:tc>
          <w:tcPr>
            <w:tcW w:w="826" w:type="pct"/>
            <w:tcBorders>
              <w:top w:val="single" w:sz="4" w:space="0" w:color="auto"/>
              <w:left w:val="single" w:sz="4" w:space="0" w:color="auto"/>
              <w:bottom w:val="single" w:sz="4" w:space="0" w:color="auto"/>
              <w:right w:val="single" w:sz="4" w:space="0" w:color="auto"/>
            </w:tcBorders>
            <w:vAlign w:val="bottom"/>
          </w:tcPr>
          <w:p w14:paraId="78E27894" w14:textId="77777777" w:rsidR="001D66D4" w:rsidRPr="00F92E56" w:rsidRDefault="001D66D4" w:rsidP="00553EDF">
            <w:pPr>
              <w:pStyle w:val="TableText0"/>
              <w:jc w:val="right"/>
            </w:pPr>
            <w:r w:rsidRPr="00F92E56">
              <w:t>$542</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38B171" w14:textId="65AB33F5" w:rsidR="001D66D4" w:rsidRPr="00F92E56" w:rsidRDefault="00785872" w:rsidP="00553EDF">
            <w:pPr>
              <w:pStyle w:val="TableText0"/>
              <w:jc w:val="right"/>
            </w:pPr>
            <w:r w:rsidRPr="00785872">
              <w:rPr>
                <w:rFonts w:cs="Calibri"/>
                <w:color w:val="000000"/>
                <w:szCs w:val="20"/>
              </w:rPr>
              <w:t xml:space="preserve"> </w:t>
            </w:r>
            <w:r w:rsidRPr="00785872">
              <w:rPr>
                <w:rFonts w:cs="Calibri"/>
                <w:color w:val="000000"/>
                <w:szCs w:val="20"/>
                <w:shd w:val="solid" w:color="000000" w:fill="000000"/>
                <w14:textFill>
                  <w14:solidFill>
                    <w14:srgbClr w14:val="000000">
                      <w14:alpha w14:val="100000"/>
                    </w14:srgbClr>
                  </w14:solidFill>
                </w14:textFill>
              </w:rPr>
              <w:t>|</w:t>
            </w:r>
            <w:r w:rsidR="001D66D4" w:rsidRPr="00F92E56">
              <w:rPr>
                <w:rFonts w:cs="Calibri"/>
                <w:color w:val="000000"/>
                <w:szCs w:val="20"/>
              </w:rPr>
              <w:t>%</w:t>
            </w:r>
          </w:p>
        </w:tc>
      </w:tr>
      <w:tr w:rsidR="001D66D4" w:rsidRPr="00F92E56" w14:paraId="1E49EE2E" w14:textId="77777777" w:rsidTr="005D1A43">
        <w:trPr>
          <w:cantSplit/>
        </w:trPr>
        <w:tc>
          <w:tcPr>
            <w:tcW w:w="1695" w:type="pct"/>
            <w:tcBorders>
              <w:top w:val="single" w:sz="4" w:space="0" w:color="auto"/>
              <w:left w:val="single" w:sz="4" w:space="0" w:color="auto"/>
              <w:bottom w:val="single" w:sz="4" w:space="0" w:color="auto"/>
              <w:right w:val="single" w:sz="4" w:space="0" w:color="auto"/>
            </w:tcBorders>
            <w:tcMar>
              <w:left w:w="57" w:type="dxa"/>
              <w:right w:w="57" w:type="dxa"/>
            </w:tcMar>
          </w:tcPr>
          <w:p w14:paraId="6C3D9E6B" w14:textId="77777777" w:rsidR="001D66D4" w:rsidRPr="00F92E56" w:rsidRDefault="001D66D4" w:rsidP="00553EDF">
            <w:pPr>
              <w:pStyle w:val="TableText0"/>
              <w:rPr>
                <w:iCs/>
              </w:rPr>
            </w:pPr>
            <w:r w:rsidRPr="00F92E56">
              <w:rPr>
                <w:iCs/>
              </w:rPr>
              <w:t>Treatment and disease management (post-recurrence)</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12F36BC8" w14:textId="77777777" w:rsidR="001D66D4" w:rsidRPr="00F92E56" w:rsidRDefault="001D66D4" w:rsidP="00553EDF">
            <w:pPr>
              <w:pStyle w:val="TableText0"/>
              <w:jc w:val="right"/>
            </w:pPr>
            <w:r w:rsidRPr="00F92E56">
              <w:t>$8,114</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1F7A8357" w14:textId="77777777" w:rsidR="001D66D4" w:rsidRPr="00F92E56" w:rsidRDefault="001D66D4" w:rsidP="00553EDF">
            <w:pPr>
              <w:pStyle w:val="TableText0"/>
              <w:jc w:val="right"/>
            </w:pPr>
            <w:r w:rsidRPr="00F92E56">
              <w:t>$33,439</w:t>
            </w:r>
          </w:p>
        </w:tc>
        <w:tc>
          <w:tcPr>
            <w:tcW w:w="826" w:type="pct"/>
            <w:tcBorders>
              <w:top w:val="single" w:sz="4" w:space="0" w:color="auto"/>
              <w:left w:val="single" w:sz="4" w:space="0" w:color="auto"/>
              <w:bottom w:val="single" w:sz="4" w:space="0" w:color="auto"/>
              <w:right w:val="single" w:sz="4" w:space="0" w:color="auto"/>
            </w:tcBorders>
            <w:vAlign w:val="bottom"/>
          </w:tcPr>
          <w:p w14:paraId="3A0D7679" w14:textId="77777777" w:rsidR="001D66D4" w:rsidRPr="00F92E56" w:rsidRDefault="001D66D4" w:rsidP="00553EDF">
            <w:pPr>
              <w:pStyle w:val="TableText0"/>
              <w:jc w:val="right"/>
            </w:pPr>
            <w:r w:rsidRPr="00F92E56">
              <w:t>−$25,325</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186DFF1" w14:textId="42518AA2" w:rsidR="001D66D4" w:rsidRPr="00F92E56" w:rsidRDefault="001D66D4" w:rsidP="00553EDF">
            <w:pPr>
              <w:pStyle w:val="TableText0"/>
              <w:jc w:val="right"/>
            </w:pPr>
            <w:r w:rsidRPr="00F92E56">
              <w:t>−</w:t>
            </w:r>
            <w:r w:rsidR="00785872" w:rsidRPr="00785872">
              <w:rPr>
                <w:rFonts w:cs="Calibri"/>
                <w:color w:val="000000"/>
                <w:szCs w:val="20"/>
              </w:rPr>
              <w:t xml:space="preserve"> </w:t>
            </w:r>
            <w:r w:rsidR="00785872" w:rsidRPr="00785872">
              <w:rPr>
                <w:rFonts w:cs="Calibri"/>
                <w:color w:val="000000"/>
                <w:szCs w:val="20"/>
                <w:shd w:val="solid" w:color="000000" w:fill="000000"/>
                <w14:textFill>
                  <w14:solidFill>
                    <w14:srgbClr w14:val="000000">
                      <w14:alpha w14:val="100000"/>
                    </w14:srgbClr>
                  </w14:solidFill>
                </w14:textFill>
              </w:rPr>
              <w:t>|</w:t>
            </w:r>
            <w:r w:rsidRPr="00F92E56">
              <w:rPr>
                <w:rFonts w:cs="Calibri"/>
                <w:color w:val="000000"/>
                <w:szCs w:val="20"/>
              </w:rPr>
              <w:t>%</w:t>
            </w:r>
          </w:p>
        </w:tc>
      </w:tr>
      <w:tr w:rsidR="001D66D4" w:rsidRPr="00F92E56" w14:paraId="243B62D6" w14:textId="77777777" w:rsidTr="005D1A43">
        <w:trPr>
          <w:cantSplit/>
        </w:trPr>
        <w:tc>
          <w:tcPr>
            <w:tcW w:w="1695" w:type="pct"/>
            <w:tcBorders>
              <w:top w:val="single" w:sz="4" w:space="0" w:color="auto"/>
              <w:left w:val="single" w:sz="4" w:space="0" w:color="auto"/>
              <w:bottom w:val="single" w:sz="4" w:space="0" w:color="auto"/>
              <w:right w:val="single" w:sz="4" w:space="0" w:color="auto"/>
            </w:tcBorders>
            <w:tcMar>
              <w:left w:w="57" w:type="dxa"/>
              <w:right w:w="57" w:type="dxa"/>
            </w:tcMar>
          </w:tcPr>
          <w:p w14:paraId="15431515" w14:textId="77777777" w:rsidR="001D66D4" w:rsidRPr="00F92E56" w:rsidRDefault="001D66D4" w:rsidP="00553EDF">
            <w:pPr>
              <w:pStyle w:val="TableText0"/>
              <w:rPr>
                <w:iCs/>
              </w:rPr>
            </w:pPr>
            <w:r w:rsidRPr="00F92E56">
              <w:rPr>
                <w:iCs/>
              </w:rPr>
              <w:t>End of life care</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498C8D36" w14:textId="77777777" w:rsidR="001D66D4" w:rsidRPr="00F92E56" w:rsidRDefault="001D66D4" w:rsidP="00553EDF">
            <w:pPr>
              <w:pStyle w:val="TableText0"/>
              <w:jc w:val="right"/>
            </w:pPr>
            <w:r w:rsidRPr="00F92E56">
              <w:t>$16,520</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0122E81" w14:textId="77777777" w:rsidR="001D66D4" w:rsidRPr="00F92E56" w:rsidRDefault="001D66D4" w:rsidP="00553EDF">
            <w:pPr>
              <w:pStyle w:val="TableText0"/>
              <w:jc w:val="right"/>
            </w:pPr>
            <w:r w:rsidRPr="00F92E56">
              <w:t>$19,691</w:t>
            </w:r>
          </w:p>
        </w:tc>
        <w:tc>
          <w:tcPr>
            <w:tcW w:w="826" w:type="pct"/>
            <w:tcBorders>
              <w:top w:val="single" w:sz="4" w:space="0" w:color="auto"/>
              <w:left w:val="single" w:sz="4" w:space="0" w:color="auto"/>
              <w:bottom w:val="single" w:sz="4" w:space="0" w:color="auto"/>
              <w:right w:val="single" w:sz="4" w:space="0" w:color="auto"/>
            </w:tcBorders>
            <w:vAlign w:val="bottom"/>
          </w:tcPr>
          <w:p w14:paraId="448ED531" w14:textId="77777777" w:rsidR="001D66D4" w:rsidRPr="00F92E56" w:rsidRDefault="001D66D4" w:rsidP="00553EDF">
            <w:pPr>
              <w:pStyle w:val="TableText0"/>
              <w:jc w:val="right"/>
            </w:pPr>
            <w:r w:rsidRPr="00F92E56">
              <w:t>−$3,171</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9599D5" w14:textId="020ACE6F" w:rsidR="001D66D4" w:rsidRPr="00F92E56" w:rsidRDefault="001D66D4" w:rsidP="00553EDF">
            <w:pPr>
              <w:pStyle w:val="TableText0"/>
              <w:jc w:val="right"/>
            </w:pPr>
            <w:r w:rsidRPr="00F92E56">
              <w:t>−</w:t>
            </w:r>
            <w:r w:rsidR="00785872" w:rsidRPr="00785872">
              <w:rPr>
                <w:rFonts w:cs="Calibri"/>
                <w:color w:val="000000"/>
                <w:szCs w:val="20"/>
              </w:rPr>
              <w:t xml:space="preserve"> </w:t>
            </w:r>
            <w:r w:rsidR="00785872" w:rsidRPr="00785872">
              <w:rPr>
                <w:rFonts w:cs="Calibri"/>
                <w:color w:val="000000"/>
                <w:szCs w:val="20"/>
                <w:shd w:val="solid" w:color="000000" w:fill="000000"/>
                <w14:textFill>
                  <w14:solidFill>
                    <w14:srgbClr w14:val="000000">
                      <w14:alpha w14:val="100000"/>
                    </w14:srgbClr>
                  </w14:solidFill>
                </w14:textFill>
              </w:rPr>
              <w:t>|</w:t>
            </w:r>
            <w:r w:rsidRPr="00F92E56">
              <w:rPr>
                <w:rFonts w:cs="Calibri"/>
                <w:color w:val="000000"/>
                <w:szCs w:val="20"/>
              </w:rPr>
              <w:t>%</w:t>
            </w:r>
          </w:p>
        </w:tc>
      </w:tr>
      <w:tr w:rsidR="001D66D4" w:rsidRPr="00F92E56" w14:paraId="3856A97A" w14:textId="77777777" w:rsidTr="005D1A43">
        <w:trPr>
          <w:cantSplit/>
        </w:trPr>
        <w:tc>
          <w:tcPr>
            <w:tcW w:w="1695" w:type="pct"/>
            <w:tcBorders>
              <w:top w:val="single" w:sz="4" w:space="0" w:color="auto"/>
              <w:left w:val="single" w:sz="4" w:space="0" w:color="auto"/>
              <w:bottom w:val="single" w:sz="4" w:space="0" w:color="auto"/>
              <w:right w:val="single" w:sz="4" w:space="0" w:color="auto"/>
            </w:tcBorders>
            <w:tcMar>
              <w:left w:w="57" w:type="dxa"/>
              <w:right w:w="57" w:type="dxa"/>
            </w:tcMar>
          </w:tcPr>
          <w:p w14:paraId="154B7925" w14:textId="77777777" w:rsidR="001D66D4" w:rsidRPr="00F92E56" w:rsidRDefault="001D66D4" w:rsidP="00553EDF">
            <w:pPr>
              <w:pStyle w:val="TableText0"/>
              <w:rPr>
                <w:iCs/>
              </w:rPr>
            </w:pPr>
            <w:r w:rsidRPr="00F92E56">
              <w:rPr>
                <w:iCs/>
              </w:rPr>
              <w:t>Adverse event related costs</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0B734C46" w14:textId="77777777" w:rsidR="001D66D4" w:rsidRPr="00F92E56" w:rsidRDefault="001D66D4" w:rsidP="00553EDF">
            <w:pPr>
              <w:pStyle w:val="TableText0"/>
              <w:jc w:val="right"/>
            </w:pPr>
            <w:r w:rsidRPr="00F92E56">
              <w:t>$985</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6141C603" w14:textId="77777777" w:rsidR="001D66D4" w:rsidRPr="00F92E56" w:rsidRDefault="001D66D4" w:rsidP="00553EDF">
            <w:pPr>
              <w:pStyle w:val="TableText0"/>
              <w:jc w:val="right"/>
            </w:pPr>
            <w:r w:rsidRPr="00F92E56">
              <w:t>$328</w:t>
            </w:r>
          </w:p>
        </w:tc>
        <w:tc>
          <w:tcPr>
            <w:tcW w:w="826" w:type="pct"/>
            <w:tcBorders>
              <w:top w:val="single" w:sz="4" w:space="0" w:color="auto"/>
              <w:left w:val="single" w:sz="4" w:space="0" w:color="auto"/>
              <w:bottom w:val="single" w:sz="4" w:space="0" w:color="auto"/>
              <w:right w:val="single" w:sz="4" w:space="0" w:color="auto"/>
            </w:tcBorders>
            <w:vAlign w:val="bottom"/>
          </w:tcPr>
          <w:p w14:paraId="33563DDA" w14:textId="77777777" w:rsidR="001D66D4" w:rsidRPr="00F92E56" w:rsidRDefault="001D66D4" w:rsidP="00553EDF">
            <w:pPr>
              <w:pStyle w:val="TableText0"/>
              <w:jc w:val="right"/>
            </w:pPr>
            <w:r w:rsidRPr="00F92E56">
              <w:t>$657</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8FA918" w14:textId="1EF1619C" w:rsidR="001D66D4" w:rsidRPr="00F92E56" w:rsidRDefault="00785872" w:rsidP="00553EDF">
            <w:pPr>
              <w:pStyle w:val="TableText0"/>
              <w:jc w:val="right"/>
            </w:pPr>
            <w:r w:rsidRPr="00785872">
              <w:rPr>
                <w:rFonts w:cs="Calibri"/>
                <w:color w:val="000000"/>
                <w:szCs w:val="20"/>
              </w:rPr>
              <w:t xml:space="preserve"> </w:t>
            </w:r>
            <w:r w:rsidRPr="00785872">
              <w:rPr>
                <w:rFonts w:cs="Calibri"/>
                <w:color w:val="000000"/>
                <w:szCs w:val="20"/>
                <w:shd w:val="solid" w:color="000000" w:fill="000000"/>
                <w14:textFill>
                  <w14:solidFill>
                    <w14:srgbClr w14:val="000000">
                      <w14:alpha w14:val="100000"/>
                    </w14:srgbClr>
                  </w14:solidFill>
                </w14:textFill>
              </w:rPr>
              <w:t>|</w:t>
            </w:r>
            <w:r w:rsidR="001D66D4" w:rsidRPr="00F92E56">
              <w:rPr>
                <w:rFonts w:cs="Calibri"/>
                <w:color w:val="000000"/>
                <w:szCs w:val="20"/>
              </w:rPr>
              <w:t>%</w:t>
            </w:r>
          </w:p>
        </w:tc>
      </w:tr>
      <w:tr w:rsidR="001D66D4" w:rsidRPr="00F92E56" w14:paraId="047C46A1" w14:textId="77777777" w:rsidTr="005D1A43">
        <w:trPr>
          <w:cantSplit/>
        </w:trPr>
        <w:tc>
          <w:tcPr>
            <w:tcW w:w="1695" w:type="pct"/>
            <w:tcBorders>
              <w:top w:val="single" w:sz="4" w:space="0" w:color="auto"/>
              <w:left w:val="single" w:sz="4" w:space="0" w:color="auto"/>
              <w:bottom w:val="single" w:sz="4" w:space="0" w:color="auto"/>
              <w:right w:val="single" w:sz="4" w:space="0" w:color="auto"/>
            </w:tcBorders>
            <w:tcMar>
              <w:left w:w="57" w:type="dxa"/>
              <w:right w:w="57" w:type="dxa"/>
            </w:tcMar>
          </w:tcPr>
          <w:p w14:paraId="6FB08A27" w14:textId="77777777" w:rsidR="001D66D4" w:rsidRPr="00F92E56" w:rsidRDefault="001D66D4" w:rsidP="00553EDF">
            <w:pPr>
              <w:pStyle w:val="TableText0"/>
              <w:rPr>
                <w:iCs/>
              </w:rPr>
            </w:pPr>
            <w:r w:rsidRPr="00F92E56">
              <w:rPr>
                <w:b/>
                <w:iCs/>
              </w:rPr>
              <w:t>Total costs</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62B0FC64" w14:textId="4C8736FB" w:rsidR="001D66D4" w:rsidRPr="00F92E56" w:rsidRDefault="00785872" w:rsidP="00553EDF">
            <w:pPr>
              <w:pStyle w:val="TableText0"/>
              <w:jc w:val="right"/>
            </w:pPr>
            <w:r w:rsidRPr="00785872">
              <w:rPr>
                <w:b/>
              </w:rPr>
              <w:t xml:space="preserve"> </w:t>
            </w:r>
            <w:r w:rsidRPr="00785872">
              <w:rPr>
                <w:b/>
                <w:color w:val="000000"/>
                <w:shd w:val="solid" w:color="000000" w:fill="000000"/>
                <w14:textFill>
                  <w14:solidFill>
                    <w14:srgbClr w14:val="000000">
                      <w14:alpha w14:val="100000"/>
                    </w14:srgbClr>
                  </w14:solidFill>
                </w14:textFill>
              </w:rPr>
              <w:t>|</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3ACF7CD8" w14:textId="77777777" w:rsidR="001D66D4" w:rsidRPr="00F92E56" w:rsidRDefault="001D66D4" w:rsidP="00553EDF">
            <w:pPr>
              <w:pStyle w:val="TableText0"/>
              <w:jc w:val="right"/>
            </w:pPr>
            <w:r w:rsidRPr="00F92E56">
              <w:rPr>
                <w:b/>
              </w:rPr>
              <w:t>$55,232</w:t>
            </w:r>
          </w:p>
        </w:tc>
        <w:tc>
          <w:tcPr>
            <w:tcW w:w="826" w:type="pct"/>
            <w:tcBorders>
              <w:top w:val="single" w:sz="4" w:space="0" w:color="auto"/>
              <w:left w:val="single" w:sz="4" w:space="0" w:color="auto"/>
              <w:bottom w:val="single" w:sz="4" w:space="0" w:color="auto"/>
              <w:right w:val="single" w:sz="4" w:space="0" w:color="auto"/>
            </w:tcBorders>
            <w:vAlign w:val="bottom"/>
          </w:tcPr>
          <w:p w14:paraId="44F52F41" w14:textId="49E45CF2" w:rsidR="001D66D4" w:rsidRPr="00F92E56" w:rsidRDefault="00785872" w:rsidP="00553EDF">
            <w:pPr>
              <w:pStyle w:val="TableText0"/>
              <w:jc w:val="right"/>
            </w:pPr>
            <w:r w:rsidRPr="00785872">
              <w:rPr>
                <w:b/>
              </w:rPr>
              <w:t xml:space="preserve"> </w:t>
            </w:r>
            <w:r w:rsidRPr="00785872">
              <w:rPr>
                <w:b/>
                <w:color w:val="000000"/>
                <w:shd w:val="solid" w:color="000000" w:fill="000000"/>
                <w14:textFill>
                  <w14:solidFill>
                    <w14:srgbClr w14:val="000000">
                      <w14:alpha w14:val="100000"/>
                    </w14:srgbClr>
                  </w14:solidFill>
                </w14:textFill>
              </w:rPr>
              <w:t>|</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22A0B7" w14:textId="77777777" w:rsidR="001D66D4" w:rsidRPr="00F92E56" w:rsidRDefault="001D66D4" w:rsidP="00553EDF">
            <w:pPr>
              <w:pStyle w:val="TableText0"/>
              <w:jc w:val="right"/>
            </w:pPr>
            <w:r w:rsidRPr="00F92E56">
              <w:rPr>
                <w:rFonts w:cs="Calibri"/>
                <w:b/>
                <w:color w:val="000000"/>
                <w:szCs w:val="20"/>
              </w:rPr>
              <w:t>100%</w:t>
            </w:r>
          </w:p>
        </w:tc>
      </w:tr>
      <w:tr w:rsidR="001D66D4" w:rsidRPr="00F92E56" w14:paraId="3EB28ECF" w14:textId="77777777" w:rsidTr="005D1A43">
        <w:trPr>
          <w:cantSplit/>
        </w:trPr>
        <w:tc>
          <w:tcPr>
            <w:tcW w:w="1695" w:type="pct"/>
            <w:tcBorders>
              <w:top w:val="single" w:sz="4" w:space="0" w:color="auto"/>
              <w:left w:val="single" w:sz="4" w:space="0" w:color="auto"/>
              <w:bottom w:val="single" w:sz="4" w:space="0" w:color="auto"/>
              <w:right w:val="nil"/>
            </w:tcBorders>
            <w:tcMar>
              <w:left w:w="57" w:type="dxa"/>
              <w:right w:w="57" w:type="dxa"/>
            </w:tcMar>
            <w:vAlign w:val="center"/>
          </w:tcPr>
          <w:p w14:paraId="2EAE402B" w14:textId="77777777" w:rsidR="001D66D4" w:rsidRPr="00F92E56" w:rsidRDefault="001D66D4" w:rsidP="00553EDF">
            <w:pPr>
              <w:pStyle w:val="TableText0"/>
              <w:rPr>
                <w:b/>
                <w:bCs w:val="0"/>
              </w:rPr>
            </w:pPr>
            <w:r w:rsidRPr="00F92E56">
              <w:rPr>
                <w:b/>
                <w:bCs w:val="0"/>
              </w:rPr>
              <w:t>QALYs</w:t>
            </w:r>
          </w:p>
        </w:tc>
        <w:tc>
          <w:tcPr>
            <w:tcW w:w="826" w:type="pct"/>
            <w:tcBorders>
              <w:top w:val="single" w:sz="4" w:space="0" w:color="auto"/>
              <w:left w:val="nil"/>
              <w:bottom w:val="single" w:sz="4" w:space="0" w:color="auto"/>
              <w:right w:val="nil"/>
            </w:tcBorders>
            <w:tcMar>
              <w:left w:w="57" w:type="dxa"/>
              <w:right w:w="57" w:type="dxa"/>
            </w:tcMar>
            <w:vAlign w:val="center"/>
          </w:tcPr>
          <w:p w14:paraId="6DE07581" w14:textId="77777777" w:rsidR="001D66D4" w:rsidRPr="00F92E56" w:rsidRDefault="001D66D4" w:rsidP="00553EDF">
            <w:pPr>
              <w:pStyle w:val="TableText0"/>
              <w:jc w:val="right"/>
            </w:pPr>
          </w:p>
        </w:tc>
        <w:tc>
          <w:tcPr>
            <w:tcW w:w="826" w:type="pct"/>
            <w:tcBorders>
              <w:top w:val="single" w:sz="4" w:space="0" w:color="auto"/>
              <w:left w:val="nil"/>
              <w:bottom w:val="single" w:sz="4" w:space="0" w:color="auto"/>
              <w:right w:val="nil"/>
            </w:tcBorders>
            <w:tcMar>
              <w:left w:w="57" w:type="dxa"/>
              <w:right w:w="57" w:type="dxa"/>
            </w:tcMar>
            <w:vAlign w:val="center"/>
          </w:tcPr>
          <w:p w14:paraId="5708C56E" w14:textId="77777777" w:rsidR="001D66D4" w:rsidRPr="00F92E56" w:rsidRDefault="001D66D4" w:rsidP="00553EDF">
            <w:pPr>
              <w:pStyle w:val="TableText0"/>
              <w:jc w:val="right"/>
            </w:pPr>
          </w:p>
        </w:tc>
        <w:tc>
          <w:tcPr>
            <w:tcW w:w="826" w:type="pct"/>
            <w:tcBorders>
              <w:top w:val="single" w:sz="4" w:space="0" w:color="auto"/>
              <w:left w:val="nil"/>
              <w:bottom w:val="single" w:sz="4" w:space="0" w:color="auto"/>
              <w:right w:val="nil"/>
            </w:tcBorders>
            <w:vAlign w:val="center"/>
          </w:tcPr>
          <w:p w14:paraId="068AF8A3" w14:textId="77777777" w:rsidR="001D66D4" w:rsidRPr="00F92E56" w:rsidRDefault="001D66D4" w:rsidP="00553EDF">
            <w:pPr>
              <w:pStyle w:val="TableText0"/>
              <w:jc w:val="right"/>
            </w:pPr>
          </w:p>
        </w:tc>
        <w:tc>
          <w:tcPr>
            <w:tcW w:w="826" w:type="pct"/>
            <w:tcBorders>
              <w:top w:val="single" w:sz="4" w:space="0" w:color="auto"/>
              <w:left w:val="nil"/>
              <w:bottom w:val="single" w:sz="4" w:space="0" w:color="auto"/>
              <w:right w:val="single" w:sz="4" w:space="0" w:color="auto"/>
            </w:tcBorders>
            <w:tcMar>
              <w:left w:w="57" w:type="dxa"/>
              <w:right w:w="57" w:type="dxa"/>
            </w:tcMar>
            <w:vAlign w:val="center"/>
          </w:tcPr>
          <w:p w14:paraId="1C71395E" w14:textId="77777777" w:rsidR="001D66D4" w:rsidRPr="00F92E56" w:rsidRDefault="001D66D4" w:rsidP="00553EDF">
            <w:pPr>
              <w:pStyle w:val="TableText0"/>
              <w:jc w:val="right"/>
            </w:pPr>
          </w:p>
        </w:tc>
      </w:tr>
      <w:tr w:rsidR="001D66D4" w:rsidRPr="00F92E56" w14:paraId="74C5873B" w14:textId="77777777" w:rsidTr="005D1A43">
        <w:trPr>
          <w:cantSplit/>
        </w:trPr>
        <w:tc>
          <w:tcPr>
            <w:tcW w:w="1695" w:type="pct"/>
            <w:tcBorders>
              <w:top w:val="single" w:sz="4" w:space="0" w:color="auto"/>
              <w:left w:val="single" w:sz="4" w:space="0" w:color="auto"/>
              <w:bottom w:val="single" w:sz="4" w:space="0" w:color="auto"/>
              <w:right w:val="single" w:sz="4" w:space="0" w:color="auto"/>
            </w:tcBorders>
            <w:tcMar>
              <w:left w:w="57" w:type="dxa"/>
              <w:right w:w="57" w:type="dxa"/>
            </w:tcMar>
          </w:tcPr>
          <w:p w14:paraId="631D75DC" w14:textId="77777777" w:rsidR="001D66D4" w:rsidRPr="00F92E56" w:rsidRDefault="001D66D4" w:rsidP="00553EDF">
            <w:pPr>
              <w:pStyle w:val="TableText0"/>
            </w:pPr>
            <w:r w:rsidRPr="00F92E56">
              <w:t>Pre-recurrence</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tcPr>
          <w:p w14:paraId="7C3F70E1" w14:textId="77777777" w:rsidR="001D66D4" w:rsidRPr="00F92E56" w:rsidRDefault="001D66D4" w:rsidP="00553EDF">
            <w:pPr>
              <w:pStyle w:val="TableText0"/>
              <w:jc w:val="right"/>
            </w:pPr>
            <w:r w:rsidRPr="00F92E56">
              <w:t>4.812</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tcPr>
          <w:p w14:paraId="28DA6086" w14:textId="77777777" w:rsidR="001D66D4" w:rsidRPr="00F92E56" w:rsidRDefault="001D66D4" w:rsidP="00553EDF">
            <w:pPr>
              <w:pStyle w:val="TableText0"/>
              <w:jc w:val="right"/>
            </w:pPr>
            <w:r w:rsidRPr="00F92E56">
              <w:t>3.150</w:t>
            </w:r>
          </w:p>
        </w:tc>
        <w:tc>
          <w:tcPr>
            <w:tcW w:w="826" w:type="pct"/>
            <w:tcBorders>
              <w:top w:val="single" w:sz="4" w:space="0" w:color="auto"/>
              <w:left w:val="single" w:sz="4" w:space="0" w:color="auto"/>
              <w:bottom w:val="single" w:sz="4" w:space="0" w:color="auto"/>
              <w:right w:val="single" w:sz="4" w:space="0" w:color="auto"/>
            </w:tcBorders>
          </w:tcPr>
          <w:p w14:paraId="5CB5C706" w14:textId="77777777" w:rsidR="001D66D4" w:rsidRPr="00F92E56" w:rsidRDefault="001D66D4" w:rsidP="00553EDF">
            <w:pPr>
              <w:pStyle w:val="TableText0"/>
              <w:jc w:val="right"/>
            </w:pPr>
            <w:r w:rsidRPr="00F92E56">
              <w:t>1.662</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tcPr>
          <w:p w14:paraId="44A122EC" w14:textId="77777777" w:rsidR="001D66D4" w:rsidRPr="00F92E56" w:rsidRDefault="001D66D4" w:rsidP="00553EDF">
            <w:pPr>
              <w:pStyle w:val="TableText0"/>
              <w:jc w:val="right"/>
            </w:pPr>
            <w:r w:rsidRPr="00F92E56">
              <w:t>135%</w:t>
            </w:r>
          </w:p>
        </w:tc>
      </w:tr>
      <w:tr w:rsidR="001D66D4" w:rsidRPr="00F92E56" w14:paraId="6221EE11" w14:textId="77777777" w:rsidTr="005D1A43">
        <w:trPr>
          <w:cantSplit/>
        </w:trPr>
        <w:tc>
          <w:tcPr>
            <w:tcW w:w="1695" w:type="pct"/>
            <w:tcBorders>
              <w:top w:val="single" w:sz="4" w:space="0" w:color="auto"/>
              <w:left w:val="single" w:sz="4" w:space="0" w:color="auto"/>
              <w:bottom w:val="single" w:sz="4" w:space="0" w:color="auto"/>
              <w:right w:val="single" w:sz="4" w:space="0" w:color="auto"/>
            </w:tcBorders>
            <w:tcMar>
              <w:left w:w="57" w:type="dxa"/>
              <w:right w:w="57" w:type="dxa"/>
            </w:tcMar>
          </w:tcPr>
          <w:p w14:paraId="58E1D7EC" w14:textId="77777777" w:rsidR="001D66D4" w:rsidRPr="00F92E56" w:rsidRDefault="001D66D4" w:rsidP="00553EDF">
            <w:pPr>
              <w:pStyle w:val="TableText0"/>
            </w:pPr>
            <w:r w:rsidRPr="00F92E56">
              <w:t>Locoregional recurrence</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tcPr>
          <w:p w14:paraId="6B254B61" w14:textId="77777777" w:rsidR="001D66D4" w:rsidRPr="00F92E56" w:rsidRDefault="001D66D4" w:rsidP="00553EDF">
            <w:pPr>
              <w:pStyle w:val="TableText0"/>
              <w:jc w:val="right"/>
            </w:pPr>
            <w:r w:rsidRPr="00F92E56">
              <w:t>0.153</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tcPr>
          <w:p w14:paraId="10C9AF7E" w14:textId="77777777" w:rsidR="001D66D4" w:rsidRPr="00F92E56" w:rsidRDefault="001D66D4" w:rsidP="00553EDF">
            <w:pPr>
              <w:pStyle w:val="TableText0"/>
              <w:jc w:val="right"/>
            </w:pPr>
            <w:r w:rsidRPr="00F92E56">
              <w:t>0.204</w:t>
            </w:r>
          </w:p>
        </w:tc>
        <w:tc>
          <w:tcPr>
            <w:tcW w:w="826" w:type="pct"/>
            <w:tcBorders>
              <w:top w:val="single" w:sz="4" w:space="0" w:color="auto"/>
              <w:left w:val="single" w:sz="4" w:space="0" w:color="auto"/>
              <w:bottom w:val="single" w:sz="4" w:space="0" w:color="auto"/>
              <w:right w:val="single" w:sz="4" w:space="0" w:color="auto"/>
            </w:tcBorders>
          </w:tcPr>
          <w:p w14:paraId="245E33F1" w14:textId="77777777" w:rsidR="001D66D4" w:rsidRPr="00F92E56" w:rsidRDefault="001D66D4" w:rsidP="00553EDF">
            <w:pPr>
              <w:pStyle w:val="TableText0"/>
              <w:jc w:val="right"/>
            </w:pPr>
            <w:r w:rsidRPr="00F92E56">
              <w:t>−0.052</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tcPr>
          <w:p w14:paraId="4CFB5CBF" w14:textId="77777777" w:rsidR="001D66D4" w:rsidRPr="00F92E56" w:rsidRDefault="001D66D4" w:rsidP="00553EDF">
            <w:pPr>
              <w:pStyle w:val="TableText0"/>
              <w:jc w:val="right"/>
            </w:pPr>
            <w:r w:rsidRPr="00F92E56">
              <w:t>−4%</w:t>
            </w:r>
          </w:p>
        </w:tc>
      </w:tr>
      <w:tr w:rsidR="001D66D4" w:rsidRPr="00F92E56" w14:paraId="56141D22" w14:textId="77777777" w:rsidTr="005D1A43">
        <w:trPr>
          <w:cantSplit/>
        </w:trPr>
        <w:tc>
          <w:tcPr>
            <w:tcW w:w="1695" w:type="pct"/>
            <w:tcBorders>
              <w:top w:val="single" w:sz="4" w:space="0" w:color="auto"/>
              <w:left w:val="single" w:sz="4" w:space="0" w:color="auto"/>
              <w:bottom w:val="single" w:sz="4" w:space="0" w:color="auto"/>
              <w:right w:val="single" w:sz="4" w:space="0" w:color="auto"/>
            </w:tcBorders>
            <w:tcMar>
              <w:left w:w="57" w:type="dxa"/>
              <w:right w:w="57" w:type="dxa"/>
            </w:tcMar>
          </w:tcPr>
          <w:p w14:paraId="4AB6E47B" w14:textId="77777777" w:rsidR="001D66D4" w:rsidRPr="00F92E56" w:rsidRDefault="001D66D4" w:rsidP="00553EDF">
            <w:pPr>
              <w:pStyle w:val="TableText0"/>
            </w:pPr>
            <w:r w:rsidRPr="00F92E56">
              <w:t>Distant recurrence</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tcPr>
          <w:p w14:paraId="65682882" w14:textId="77777777" w:rsidR="001D66D4" w:rsidRPr="00F92E56" w:rsidRDefault="001D66D4" w:rsidP="00553EDF">
            <w:pPr>
              <w:pStyle w:val="TableText0"/>
              <w:jc w:val="right"/>
            </w:pPr>
            <w:r w:rsidRPr="00F92E56">
              <w:t>0.407</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tcPr>
          <w:p w14:paraId="67E6FDA8" w14:textId="77777777" w:rsidR="001D66D4" w:rsidRPr="00F92E56" w:rsidRDefault="001D66D4" w:rsidP="00553EDF">
            <w:pPr>
              <w:pStyle w:val="TableText0"/>
              <w:jc w:val="right"/>
            </w:pPr>
            <w:r w:rsidRPr="00F92E56">
              <w:t>0.789</w:t>
            </w:r>
          </w:p>
        </w:tc>
        <w:tc>
          <w:tcPr>
            <w:tcW w:w="826" w:type="pct"/>
            <w:tcBorders>
              <w:top w:val="single" w:sz="4" w:space="0" w:color="auto"/>
              <w:left w:val="single" w:sz="4" w:space="0" w:color="auto"/>
              <w:bottom w:val="single" w:sz="4" w:space="0" w:color="auto"/>
              <w:right w:val="single" w:sz="4" w:space="0" w:color="auto"/>
            </w:tcBorders>
          </w:tcPr>
          <w:p w14:paraId="239E0E98" w14:textId="77777777" w:rsidR="001D66D4" w:rsidRPr="00F92E56" w:rsidRDefault="001D66D4" w:rsidP="00553EDF">
            <w:pPr>
              <w:pStyle w:val="TableText0"/>
              <w:jc w:val="right"/>
            </w:pPr>
            <w:r w:rsidRPr="00F92E56">
              <w:t>−0.382</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tcPr>
          <w:p w14:paraId="01A29AAA" w14:textId="77777777" w:rsidR="001D66D4" w:rsidRPr="00F92E56" w:rsidRDefault="001D66D4" w:rsidP="00553EDF">
            <w:pPr>
              <w:pStyle w:val="TableText0"/>
              <w:jc w:val="right"/>
            </w:pPr>
            <w:r w:rsidRPr="00F92E56">
              <w:t>−31%</w:t>
            </w:r>
          </w:p>
        </w:tc>
      </w:tr>
      <w:tr w:rsidR="001D66D4" w:rsidRPr="00F92E56" w14:paraId="7732883C" w14:textId="77777777" w:rsidTr="005D1A43">
        <w:trPr>
          <w:cantSplit/>
        </w:trPr>
        <w:tc>
          <w:tcPr>
            <w:tcW w:w="1695" w:type="pct"/>
            <w:tcBorders>
              <w:top w:val="single" w:sz="4" w:space="0" w:color="auto"/>
              <w:left w:val="single" w:sz="4" w:space="0" w:color="auto"/>
              <w:bottom w:val="single" w:sz="4" w:space="0" w:color="auto"/>
              <w:right w:val="single" w:sz="4" w:space="0" w:color="auto"/>
            </w:tcBorders>
            <w:tcMar>
              <w:left w:w="57" w:type="dxa"/>
              <w:right w:w="57" w:type="dxa"/>
            </w:tcMar>
          </w:tcPr>
          <w:p w14:paraId="5CAE9617" w14:textId="77777777" w:rsidR="001D66D4" w:rsidRPr="00F92E56" w:rsidRDefault="001D66D4" w:rsidP="00553EDF">
            <w:pPr>
              <w:pStyle w:val="TableText0"/>
              <w:rPr>
                <w:b/>
                <w:bCs w:val="0"/>
              </w:rPr>
            </w:pPr>
            <w:r w:rsidRPr="00F92E56">
              <w:rPr>
                <w:b/>
                <w:bCs w:val="0"/>
              </w:rPr>
              <w:t>Total QALYs</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tcPr>
          <w:p w14:paraId="30C0D583" w14:textId="77777777" w:rsidR="001D66D4" w:rsidRPr="00F92E56" w:rsidRDefault="001D66D4" w:rsidP="00553EDF">
            <w:pPr>
              <w:pStyle w:val="TableText0"/>
              <w:jc w:val="right"/>
              <w:rPr>
                <w:b/>
                <w:bCs w:val="0"/>
              </w:rPr>
            </w:pPr>
            <w:r w:rsidRPr="00F92E56">
              <w:rPr>
                <w:b/>
                <w:bCs w:val="0"/>
              </w:rPr>
              <w:t>5.372</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tcPr>
          <w:p w14:paraId="70CBBE4E" w14:textId="77777777" w:rsidR="001D66D4" w:rsidRPr="00F92E56" w:rsidRDefault="001D66D4" w:rsidP="00553EDF">
            <w:pPr>
              <w:pStyle w:val="TableText0"/>
              <w:jc w:val="right"/>
              <w:rPr>
                <w:b/>
                <w:bCs w:val="0"/>
              </w:rPr>
            </w:pPr>
            <w:r w:rsidRPr="00F92E56">
              <w:rPr>
                <w:b/>
                <w:bCs w:val="0"/>
              </w:rPr>
              <w:t>4.143</w:t>
            </w:r>
          </w:p>
        </w:tc>
        <w:tc>
          <w:tcPr>
            <w:tcW w:w="826" w:type="pct"/>
            <w:tcBorders>
              <w:top w:val="single" w:sz="4" w:space="0" w:color="auto"/>
              <w:left w:val="single" w:sz="4" w:space="0" w:color="auto"/>
              <w:bottom w:val="single" w:sz="4" w:space="0" w:color="auto"/>
              <w:right w:val="single" w:sz="4" w:space="0" w:color="auto"/>
            </w:tcBorders>
          </w:tcPr>
          <w:p w14:paraId="5350AD9F" w14:textId="77777777" w:rsidR="001D66D4" w:rsidRPr="00F92E56" w:rsidRDefault="001D66D4" w:rsidP="00553EDF">
            <w:pPr>
              <w:pStyle w:val="TableText0"/>
              <w:jc w:val="right"/>
              <w:rPr>
                <w:b/>
                <w:bCs w:val="0"/>
              </w:rPr>
            </w:pPr>
            <w:r w:rsidRPr="00F92E56">
              <w:rPr>
                <w:b/>
                <w:bCs w:val="0"/>
              </w:rPr>
              <w:t>1.229</w:t>
            </w:r>
          </w:p>
        </w:tc>
        <w:tc>
          <w:tcPr>
            <w:tcW w:w="826" w:type="pct"/>
            <w:tcBorders>
              <w:top w:val="single" w:sz="4" w:space="0" w:color="auto"/>
              <w:left w:val="single" w:sz="4" w:space="0" w:color="auto"/>
              <w:bottom w:val="single" w:sz="4" w:space="0" w:color="auto"/>
              <w:right w:val="single" w:sz="4" w:space="0" w:color="auto"/>
            </w:tcBorders>
            <w:tcMar>
              <w:left w:w="57" w:type="dxa"/>
              <w:right w:w="57" w:type="dxa"/>
            </w:tcMar>
          </w:tcPr>
          <w:p w14:paraId="59218D31" w14:textId="77777777" w:rsidR="001D66D4" w:rsidRPr="00F92E56" w:rsidRDefault="001D66D4" w:rsidP="00553EDF">
            <w:pPr>
              <w:pStyle w:val="TableText0"/>
              <w:jc w:val="right"/>
              <w:rPr>
                <w:b/>
                <w:bCs w:val="0"/>
              </w:rPr>
            </w:pPr>
            <w:r w:rsidRPr="00F92E56">
              <w:rPr>
                <w:b/>
                <w:bCs w:val="0"/>
              </w:rPr>
              <w:t>100%</w:t>
            </w:r>
          </w:p>
        </w:tc>
      </w:tr>
    </w:tbl>
    <w:p w14:paraId="5EAD3CB0" w14:textId="4968DF8A" w:rsidR="00CE2ED5" w:rsidRPr="00F92E56" w:rsidRDefault="001D66D4" w:rsidP="001D66D4">
      <w:pPr>
        <w:pStyle w:val="FooterTableFigure"/>
      </w:pPr>
      <w:r w:rsidRPr="00F92E56">
        <w:t xml:space="preserve">Source: </w:t>
      </w:r>
      <w:r w:rsidR="00CE2ED5" w:rsidRPr="00F92E56">
        <w:rPr>
          <w:iCs/>
        </w:rPr>
        <w:t>Compiled during the evaluation</w:t>
      </w:r>
      <w:r w:rsidR="00CE2ED5" w:rsidRPr="00F92E56">
        <w:t>, based on the ‘Attachment 14 – Nivolumab Adjuvant MIUC Economic Evaluation’ Excel workbook.</w:t>
      </w:r>
    </w:p>
    <w:p w14:paraId="4108320B" w14:textId="77777777" w:rsidR="00CE2ED5" w:rsidRPr="00F92E56" w:rsidRDefault="00CE2ED5" w:rsidP="00CE2ED5">
      <w:pPr>
        <w:pStyle w:val="FooterTableFigure"/>
      </w:pPr>
      <w:r w:rsidRPr="00F92E56">
        <w:t xml:space="preserve">QALYs = quality-adjusted life years </w:t>
      </w:r>
    </w:p>
    <w:p w14:paraId="1026BE88" w14:textId="0FE1B5D0" w:rsidR="001D66D4" w:rsidRPr="00F92E56" w:rsidRDefault="001D66D4" w:rsidP="00236876">
      <w:pPr>
        <w:pStyle w:val="3-BodyText"/>
      </w:pPr>
      <w:r w:rsidRPr="00F92E56">
        <w:t xml:space="preserve">The main driver of the incremental cost is that of nivolumab acquisition, with substantial cost offsets from treatment and disease management in post-recurrence (driven by the cost of avelumab) and to a lesser degree, end of life care. As the treatment course cost of avelumab may be an overestimate, the incremental cost </w:t>
      </w:r>
      <w:r w:rsidR="0072061C" w:rsidRPr="00F92E56">
        <w:t xml:space="preserve">of nivolumab </w:t>
      </w:r>
      <w:r w:rsidRPr="00F92E56">
        <w:t xml:space="preserve">may be underestimated. </w:t>
      </w:r>
    </w:p>
    <w:p w14:paraId="396810C4" w14:textId="7BD0EF24" w:rsidR="001D66D4" w:rsidRPr="00F92E56" w:rsidRDefault="001D66D4" w:rsidP="00236876">
      <w:pPr>
        <w:pStyle w:val="3-BodyText"/>
      </w:pPr>
      <w:r w:rsidRPr="00F92E56">
        <w:t>Incremental QALYs gained were all accrued in the pre-recurrence health state, though a reduction in QALYs gained in distant recurrence was also observed (reflecting both fewer instances of distant recurrence and poorer survival outcomes). Substantial differences were noted across the external studies used to inform survival (and th</w:t>
      </w:r>
      <w:r w:rsidR="00CE2ED5" w:rsidRPr="00F92E56">
        <w:t>us</w:t>
      </w:r>
      <w:r w:rsidRPr="00F92E56">
        <w:t xml:space="preserve"> the incremental benefit of avelumab) in the metastatic setting. Therefore, the incremental benefit of avelumab modelled is highly uncertain. Furthermore, the survival outcomes from the external avelumab trial were adjusted for an assumed proportion of patients who achieved a cure. This adds additional uncertainty to the modelled estimates as the proportion who achieved a cure in Powles et al. (2023) was unknown. Given that the incremental benefit of avelumab is a major driver of the incremental QALYs gained, and that this is associated with considerable uncertainty, the resulting ICER is also highly uncertain.</w:t>
      </w:r>
    </w:p>
    <w:p w14:paraId="6858133B" w14:textId="4FDD3BEA" w:rsidR="001D66D4" w:rsidRPr="00F92E56" w:rsidRDefault="001D66D4" w:rsidP="00236876">
      <w:pPr>
        <w:pStyle w:val="3-BodyText"/>
      </w:pPr>
      <w:r w:rsidRPr="00F92E56">
        <w:fldChar w:fldCharType="begin" w:fldLock="1"/>
      </w:r>
      <w:r w:rsidRPr="00F92E56">
        <w:instrText xml:space="preserve"> REF _Ref142286707 \h </w:instrText>
      </w:r>
      <w:r w:rsidR="005E043E" w:rsidRPr="00F92E56">
        <w:instrText xml:space="preserve"> \* MERGEFORMAT </w:instrText>
      </w:r>
      <w:r w:rsidRPr="00F92E56">
        <w:fldChar w:fldCharType="separate"/>
      </w:r>
      <w:r w:rsidR="0096718A" w:rsidRPr="00F92E56">
        <w:t xml:space="preserve">Table </w:t>
      </w:r>
      <w:r w:rsidR="0096718A" w:rsidRPr="00346867">
        <w:t>15</w:t>
      </w:r>
      <w:r w:rsidRPr="00F92E56">
        <w:fldChar w:fldCharType="end"/>
      </w:r>
      <w:r w:rsidRPr="00F92E56">
        <w:t xml:space="preserve"> summarises the number of recurrences and deaths avoided in the economic model over the 20-year time horizon together with a comparison of the number of events avoided in the trial.</w:t>
      </w:r>
    </w:p>
    <w:p w14:paraId="15E6AB15" w14:textId="52440C38" w:rsidR="001D66D4" w:rsidRPr="00F92E56" w:rsidRDefault="001D66D4" w:rsidP="001D66D4">
      <w:pPr>
        <w:pStyle w:val="Caption"/>
        <w:rPr>
          <w:b w:val="0"/>
          <w:szCs w:val="16"/>
        </w:rPr>
      </w:pPr>
      <w:bookmarkStart w:id="65" w:name="_Ref142286707"/>
      <w:r w:rsidRPr="00F92E56">
        <w:lastRenderedPageBreak/>
        <w:t xml:space="preserve">Table </w:t>
      </w:r>
      <w:r w:rsidR="001D78FA">
        <w:fldChar w:fldCharType="begin" w:fldLock="1"/>
      </w:r>
      <w:r w:rsidR="001D78FA">
        <w:instrText xml:space="preserve"> SEQ Table \* ARABIC </w:instrText>
      </w:r>
      <w:r w:rsidR="001D78FA">
        <w:fldChar w:fldCharType="separate"/>
      </w:r>
      <w:r w:rsidR="0096718A" w:rsidRPr="00346867">
        <w:t>15</w:t>
      </w:r>
      <w:r w:rsidR="001D78FA">
        <w:fldChar w:fldCharType="end"/>
      </w:r>
      <w:bookmarkEnd w:id="65"/>
      <w:r w:rsidRPr="00F92E56">
        <w:t>:</w:t>
      </w:r>
      <w:r w:rsidRPr="00F92E56">
        <w:rPr>
          <w:b w:val="0"/>
          <w:szCs w:val="16"/>
        </w:rPr>
        <w:t xml:space="preserve"> </w:t>
      </w:r>
      <w:r w:rsidRPr="00F92E56">
        <w:rPr>
          <w:szCs w:val="16"/>
        </w:rPr>
        <w:t>Average events per patient in the trial versus the economic model</w:t>
      </w:r>
    </w:p>
    <w:tbl>
      <w:tblPr>
        <w:tblStyle w:val="TableGrid"/>
        <w:tblW w:w="5000" w:type="pct"/>
        <w:tblLook w:val="04A0" w:firstRow="1" w:lastRow="0" w:firstColumn="1" w:lastColumn="0" w:noHBand="0" w:noVBand="1"/>
      </w:tblPr>
      <w:tblGrid>
        <w:gridCol w:w="1383"/>
        <w:gridCol w:w="1387"/>
        <w:gridCol w:w="1385"/>
        <w:gridCol w:w="1257"/>
        <w:gridCol w:w="1248"/>
        <w:gridCol w:w="1248"/>
        <w:gridCol w:w="1109"/>
      </w:tblGrid>
      <w:tr w:rsidR="001D66D4" w:rsidRPr="00F92E56" w14:paraId="3CCCED98" w14:textId="77777777" w:rsidTr="005D1A43">
        <w:trPr>
          <w:cantSplit/>
          <w:tblHeader/>
        </w:trPr>
        <w:tc>
          <w:tcPr>
            <w:tcW w:w="767" w:type="pct"/>
            <w:vMerge w:val="restart"/>
          </w:tcPr>
          <w:p w14:paraId="4D3E06A4" w14:textId="77777777" w:rsidR="001D66D4" w:rsidRPr="00F92E56" w:rsidRDefault="001D66D4" w:rsidP="00553EDF">
            <w:pPr>
              <w:keepNext/>
              <w:rPr>
                <w:rFonts w:ascii="Arial Narrow" w:hAnsi="Arial Narrow"/>
                <w:b/>
                <w:sz w:val="20"/>
                <w:szCs w:val="16"/>
              </w:rPr>
            </w:pPr>
          </w:p>
        </w:tc>
        <w:tc>
          <w:tcPr>
            <w:tcW w:w="2234" w:type="pct"/>
            <w:gridSpan w:val="3"/>
          </w:tcPr>
          <w:p w14:paraId="5F919C64" w14:textId="77777777" w:rsidR="001D66D4" w:rsidRPr="00F92E56" w:rsidRDefault="001D66D4" w:rsidP="00553EDF">
            <w:pPr>
              <w:keepNext/>
              <w:jc w:val="center"/>
              <w:rPr>
                <w:rFonts w:ascii="Arial Narrow" w:hAnsi="Arial Narrow"/>
                <w:b/>
                <w:sz w:val="20"/>
                <w:szCs w:val="16"/>
              </w:rPr>
            </w:pPr>
            <w:r w:rsidRPr="00F92E56">
              <w:rPr>
                <w:rFonts w:ascii="Arial Narrow" w:hAnsi="Arial Narrow"/>
                <w:b/>
                <w:sz w:val="20"/>
                <w:szCs w:val="16"/>
              </w:rPr>
              <w:t>CheckMate274 (prior NAC subgroup)</w:t>
            </w:r>
          </w:p>
          <w:p w14:paraId="702987DC" w14:textId="77777777" w:rsidR="001D66D4" w:rsidRPr="00F92E56" w:rsidRDefault="001D66D4" w:rsidP="00553EDF">
            <w:pPr>
              <w:keepNext/>
              <w:jc w:val="center"/>
              <w:rPr>
                <w:rFonts w:ascii="Arial Narrow" w:hAnsi="Arial Narrow"/>
                <w:b/>
                <w:sz w:val="20"/>
                <w:szCs w:val="16"/>
              </w:rPr>
            </w:pPr>
            <w:r w:rsidRPr="00F92E56">
              <w:rPr>
                <w:rFonts w:ascii="Arial Narrow" w:hAnsi="Arial Narrow"/>
                <w:b/>
                <w:sz w:val="20"/>
                <w:szCs w:val="16"/>
              </w:rPr>
              <w:t>(median follow-up: 36.1</w:t>
            </w:r>
            <w:r w:rsidRPr="00F92E56">
              <w:rPr>
                <w:rFonts w:ascii="Arial Narrow" w:hAnsi="Arial Narrow"/>
                <w:b/>
                <w:sz w:val="20"/>
                <w:szCs w:val="20"/>
              </w:rPr>
              <w:t xml:space="preserve"> months)</w:t>
            </w:r>
          </w:p>
        </w:tc>
        <w:tc>
          <w:tcPr>
            <w:tcW w:w="1999" w:type="pct"/>
            <w:gridSpan w:val="3"/>
          </w:tcPr>
          <w:p w14:paraId="044DF378" w14:textId="77777777" w:rsidR="001D66D4" w:rsidRPr="00F92E56" w:rsidRDefault="001D66D4" w:rsidP="00553EDF">
            <w:pPr>
              <w:keepNext/>
              <w:jc w:val="center"/>
              <w:rPr>
                <w:rFonts w:ascii="Arial Narrow" w:hAnsi="Arial Narrow"/>
                <w:b/>
                <w:sz w:val="20"/>
                <w:szCs w:val="16"/>
              </w:rPr>
            </w:pPr>
            <w:r w:rsidRPr="00F92E56">
              <w:rPr>
                <w:rFonts w:ascii="Arial Narrow" w:hAnsi="Arial Narrow"/>
                <w:b/>
                <w:sz w:val="20"/>
                <w:szCs w:val="16"/>
              </w:rPr>
              <w:t>Economic model</w:t>
            </w:r>
          </w:p>
          <w:p w14:paraId="3D81EF7A" w14:textId="77777777" w:rsidR="001D66D4" w:rsidRPr="00F92E56" w:rsidRDefault="001D66D4" w:rsidP="00553EDF">
            <w:pPr>
              <w:keepNext/>
              <w:jc w:val="center"/>
              <w:rPr>
                <w:rFonts w:ascii="Arial Narrow" w:hAnsi="Arial Narrow"/>
                <w:b/>
                <w:sz w:val="20"/>
                <w:szCs w:val="16"/>
              </w:rPr>
            </w:pPr>
            <w:r w:rsidRPr="00F92E56">
              <w:rPr>
                <w:rFonts w:ascii="Arial Narrow" w:hAnsi="Arial Narrow"/>
                <w:b/>
                <w:sz w:val="20"/>
                <w:szCs w:val="16"/>
              </w:rPr>
              <w:t>(time horizon of 20 years)</w:t>
            </w:r>
          </w:p>
        </w:tc>
      </w:tr>
      <w:tr w:rsidR="001D66D4" w:rsidRPr="00F92E56" w14:paraId="2F65E1A1" w14:textId="77777777" w:rsidTr="005D1A43">
        <w:tc>
          <w:tcPr>
            <w:tcW w:w="767" w:type="pct"/>
            <w:vMerge/>
          </w:tcPr>
          <w:p w14:paraId="1CC3A4A1" w14:textId="77777777" w:rsidR="001D66D4" w:rsidRPr="00F92E56" w:rsidRDefault="001D66D4" w:rsidP="00553EDF">
            <w:pPr>
              <w:keepNext/>
              <w:rPr>
                <w:rFonts w:ascii="Arial Narrow" w:hAnsi="Arial Narrow"/>
                <w:sz w:val="20"/>
                <w:szCs w:val="16"/>
              </w:rPr>
            </w:pPr>
          </w:p>
        </w:tc>
        <w:tc>
          <w:tcPr>
            <w:tcW w:w="769" w:type="pct"/>
          </w:tcPr>
          <w:p w14:paraId="188F881C" w14:textId="77777777" w:rsidR="001D66D4" w:rsidRPr="00F92E56" w:rsidRDefault="001D66D4" w:rsidP="00553EDF">
            <w:pPr>
              <w:keepNext/>
              <w:jc w:val="center"/>
              <w:rPr>
                <w:rFonts w:ascii="Arial Narrow" w:hAnsi="Arial Narrow"/>
                <w:b/>
                <w:sz w:val="20"/>
                <w:szCs w:val="16"/>
              </w:rPr>
            </w:pPr>
            <w:r w:rsidRPr="00F92E56">
              <w:rPr>
                <w:rFonts w:ascii="Arial Narrow" w:hAnsi="Arial Narrow"/>
                <w:b/>
                <w:sz w:val="20"/>
                <w:szCs w:val="16"/>
              </w:rPr>
              <w:t>Nivolumab (n=156)</w:t>
            </w:r>
          </w:p>
        </w:tc>
        <w:tc>
          <w:tcPr>
            <w:tcW w:w="768" w:type="pct"/>
          </w:tcPr>
          <w:p w14:paraId="556568EC" w14:textId="0B916998" w:rsidR="001D66D4" w:rsidRPr="00F92E56" w:rsidRDefault="0024071B" w:rsidP="00553EDF">
            <w:pPr>
              <w:keepNext/>
              <w:jc w:val="center"/>
              <w:rPr>
                <w:rFonts w:ascii="Arial Narrow" w:hAnsi="Arial Narrow"/>
                <w:b/>
                <w:sz w:val="20"/>
                <w:szCs w:val="16"/>
              </w:rPr>
            </w:pPr>
            <w:r w:rsidRPr="00F92E56">
              <w:rPr>
                <w:rFonts w:ascii="Arial Narrow" w:hAnsi="Arial Narrow"/>
                <w:b/>
                <w:sz w:val="20"/>
                <w:szCs w:val="16"/>
              </w:rPr>
              <w:t>Placebo</w:t>
            </w:r>
            <w:r w:rsidR="001D66D4" w:rsidRPr="00F92E56">
              <w:rPr>
                <w:rFonts w:ascii="Arial Narrow" w:hAnsi="Arial Narrow"/>
                <w:b/>
                <w:sz w:val="20"/>
                <w:szCs w:val="16"/>
              </w:rPr>
              <w:t xml:space="preserve"> (n=158)</w:t>
            </w:r>
          </w:p>
        </w:tc>
        <w:tc>
          <w:tcPr>
            <w:tcW w:w="697" w:type="pct"/>
          </w:tcPr>
          <w:p w14:paraId="2E76FBE7" w14:textId="77777777" w:rsidR="001D66D4" w:rsidRPr="00F92E56" w:rsidRDefault="001D66D4" w:rsidP="00553EDF">
            <w:pPr>
              <w:keepNext/>
              <w:jc w:val="center"/>
              <w:rPr>
                <w:rFonts w:ascii="Arial Narrow" w:hAnsi="Arial Narrow"/>
                <w:b/>
                <w:sz w:val="20"/>
                <w:szCs w:val="16"/>
              </w:rPr>
            </w:pPr>
            <w:r w:rsidRPr="00F92E56">
              <w:rPr>
                <w:rFonts w:ascii="Arial Narrow" w:hAnsi="Arial Narrow"/>
                <w:b/>
                <w:sz w:val="20"/>
                <w:szCs w:val="16"/>
              </w:rPr>
              <w:t>Difference</w:t>
            </w:r>
          </w:p>
        </w:tc>
        <w:tc>
          <w:tcPr>
            <w:tcW w:w="692" w:type="pct"/>
          </w:tcPr>
          <w:p w14:paraId="25AAA26A" w14:textId="77777777" w:rsidR="001D66D4" w:rsidRPr="00F92E56" w:rsidRDefault="001D66D4" w:rsidP="00553EDF">
            <w:pPr>
              <w:keepNext/>
              <w:jc w:val="center"/>
              <w:rPr>
                <w:rFonts w:ascii="Arial Narrow" w:hAnsi="Arial Narrow"/>
                <w:sz w:val="20"/>
                <w:szCs w:val="16"/>
              </w:rPr>
            </w:pPr>
            <w:r w:rsidRPr="00F92E56">
              <w:rPr>
                <w:rFonts w:ascii="Arial Narrow" w:hAnsi="Arial Narrow"/>
                <w:b/>
                <w:sz w:val="20"/>
                <w:szCs w:val="16"/>
              </w:rPr>
              <w:t>Nivolumab</w:t>
            </w:r>
          </w:p>
        </w:tc>
        <w:tc>
          <w:tcPr>
            <w:tcW w:w="692" w:type="pct"/>
          </w:tcPr>
          <w:p w14:paraId="1E2579A7" w14:textId="77777777" w:rsidR="001D66D4" w:rsidRPr="00F92E56" w:rsidRDefault="001D66D4" w:rsidP="00553EDF">
            <w:pPr>
              <w:keepNext/>
              <w:jc w:val="center"/>
              <w:rPr>
                <w:rFonts w:ascii="Arial Narrow" w:hAnsi="Arial Narrow"/>
                <w:sz w:val="20"/>
                <w:szCs w:val="16"/>
              </w:rPr>
            </w:pPr>
            <w:r w:rsidRPr="00F92E56">
              <w:rPr>
                <w:rFonts w:ascii="Arial Narrow" w:hAnsi="Arial Narrow"/>
                <w:b/>
                <w:sz w:val="20"/>
                <w:szCs w:val="16"/>
              </w:rPr>
              <w:t>Watchful waiting</w:t>
            </w:r>
          </w:p>
        </w:tc>
        <w:tc>
          <w:tcPr>
            <w:tcW w:w="615" w:type="pct"/>
          </w:tcPr>
          <w:p w14:paraId="1EB8B78A" w14:textId="77777777" w:rsidR="001D66D4" w:rsidRPr="00F92E56" w:rsidRDefault="001D66D4" w:rsidP="00553EDF">
            <w:pPr>
              <w:keepNext/>
              <w:jc w:val="center"/>
              <w:rPr>
                <w:rFonts w:ascii="Arial Narrow" w:hAnsi="Arial Narrow"/>
                <w:sz w:val="20"/>
                <w:szCs w:val="16"/>
              </w:rPr>
            </w:pPr>
            <w:r w:rsidRPr="00F92E56">
              <w:rPr>
                <w:rFonts w:ascii="Arial Narrow" w:hAnsi="Arial Narrow"/>
                <w:b/>
                <w:sz w:val="20"/>
                <w:szCs w:val="16"/>
              </w:rPr>
              <w:t>Difference</w:t>
            </w:r>
          </w:p>
        </w:tc>
      </w:tr>
      <w:tr w:rsidR="001D66D4" w:rsidRPr="00F92E56" w14:paraId="25CA46FD" w14:textId="77777777" w:rsidTr="005D1A43">
        <w:tc>
          <w:tcPr>
            <w:tcW w:w="767" w:type="pct"/>
          </w:tcPr>
          <w:p w14:paraId="728DB5AD" w14:textId="77777777" w:rsidR="001D66D4" w:rsidRPr="00F92E56" w:rsidRDefault="001D66D4" w:rsidP="00553EDF">
            <w:pPr>
              <w:keepNext/>
              <w:rPr>
                <w:rFonts w:ascii="Arial Narrow" w:hAnsi="Arial Narrow"/>
                <w:sz w:val="20"/>
                <w:szCs w:val="16"/>
              </w:rPr>
            </w:pPr>
            <w:r w:rsidRPr="00F92E56">
              <w:rPr>
                <w:rFonts w:ascii="Arial Narrow" w:hAnsi="Arial Narrow"/>
                <w:sz w:val="20"/>
                <w:szCs w:val="16"/>
              </w:rPr>
              <w:t>Recurrence events</w:t>
            </w:r>
          </w:p>
        </w:tc>
        <w:tc>
          <w:tcPr>
            <w:tcW w:w="769" w:type="pct"/>
            <w:vAlign w:val="center"/>
          </w:tcPr>
          <w:p w14:paraId="417FA608" w14:textId="77777777" w:rsidR="001D66D4" w:rsidRPr="00F92E56" w:rsidRDefault="001D66D4" w:rsidP="00553EDF">
            <w:pPr>
              <w:keepNext/>
              <w:jc w:val="center"/>
              <w:rPr>
                <w:rFonts w:ascii="Arial Narrow" w:hAnsi="Arial Narrow"/>
                <w:sz w:val="20"/>
                <w:szCs w:val="16"/>
                <w:vertAlign w:val="superscript"/>
              </w:rPr>
            </w:pPr>
            <w:r w:rsidRPr="00F92E56">
              <w:rPr>
                <w:rFonts w:ascii="Arial Narrow" w:hAnsi="Arial Narrow" w:cs="Calibri"/>
                <w:color w:val="000000"/>
                <w:sz w:val="20"/>
                <w:szCs w:val="16"/>
              </w:rPr>
              <w:t>46%</w:t>
            </w:r>
            <w:r w:rsidRPr="00F92E56">
              <w:rPr>
                <w:rFonts w:ascii="Arial Narrow" w:hAnsi="Arial Narrow" w:cs="Calibri"/>
                <w:color w:val="000000"/>
                <w:sz w:val="20"/>
                <w:szCs w:val="16"/>
                <w:vertAlign w:val="superscript"/>
              </w:rPr>
              <w:t>a</w:t>
            </w:r>
          </w:p>
        </w:tc>
        <w:tc>
          <w:tcPr>
            <w:tcW w:w="768" w:type="pct"/>
            <w:vAlign w:val="center"/>
          </w:tcPr>
          <w:p w14:paraId="5911683B" w14:textId="77777777" w:rsidR="001D66D4" w:rsidRPr="00F92E56" w:rsidRDefault="001D66D4" w:rsidP="00553EDF">
            <w:pPr>
              <w:keepNext/>
              <w:ind w:left="-57" w:right="-57"/>
              <w:jc w:val="center"/>
              <w:rPr>
                <w:rFonts w:ascii="Arial Narrow" w:hAnsi="Arial Narrow"/>
                <w:sz w:val="20"/>
                <w:szCs w:val="16"/>
                <w:vertAlign w:val="superscript"/>
              </w:rPr>
            </w:pPr>
            <w:r w:rsidRPr="00F92E56">
              <w:rPr>
                <w:rFonts w:ascii="Arial Narrow" w:hAnsi="Arial Narrow" w:cs="Calibri"/>
                <w:color w:val="000000"/>
                <w:sz w:val="20"/>
                <w:szCs w:val="16"/>
              </w:rPr>
              <w:t>65%</w:t>
            </w:r>
            <w:r w:rsidRPr="00F92E56">
              <w:rPr>
                <w:rFonts w:ascii="Arial Narrow" w:hAnsi="Arial Narrow" w:cs="Calibri"/>
                <w:color w:val="000000"/>
                <w:sz w:val="20"/>
                <w:szCs w:val="16"/>
                <w:vertAlign w:val="superscript"/>
              </w:rPr>
              <w:t>a</w:t>
            </w:r>
          </w:p>
        </w:tc>
        <w:tc>
          <w:tcPr>
            <w:tcW w:w="697" w:type="pct"/>
            <w:vAlign w:val="center"/>
          </w:tcPr>
          <w:p w14:paraId="0BD88BC9" w14:textId="77777777" w:rsidR="001D66D4" w:rsidRPr="00F92E56" w:rsidRDefault="001D66D4" w:rsidP="00553EDF">
            <w:pPr>
              <w:keepNext/>
              <w:jc w:val="center"/>
              <w:rPr>
                <w:rFonts w:ascii="Arial Narrow" w:hAnsi="Arial Narrow"/>
                <w:sz w:val="20"/>
                <w:szCs w:val="16"/>
              </w:rPr>
            </w:pPr>
            <w:r w:rsidRPr="00F92E56">
              <w:rPr>
                <w:rFonts w:ascii="Arial Narrow" w:hAnsi="Arial Narrow" w:cs="Calibri"/>
                <w:color w:val="000000"/>
                <w:sz w:val="20"/>
                <w:szCs w:val="16"/>
              </w:rPr>
              <w:t>−18.40%</w:t>
            </w:r>
          </w:p>
        </w:tc>
        <w:tc>
          <w:tcPr>
            <w:tcW w:w="692" w:type="pct"/>
            <w:vAlign w:val="center"/>
          </w:tcPr>
          <w:p w14:paraId="0D774429" w14:textId="77777777" w:rsidR="001D66D4" w:rsidRPr="00F92E56" w:rsidRDefault="001D66D4" w:rsidP="00553EDF">
            <w:pPr>
              <w:keepNext/>
              <w:jc w:val="center"/>
              <w:rPr>
                <w:rFonts w:ascii="Arial Narrow" w:hAnsi="Arial Narrow"/>
                <w:sz w:val="20"/>
                <w:szCs w:val="16"/>
                <w:vertAlign w:val="superscript"/>
              </w:rPr>
            </w:pPr>
            <w:r w:rsidRPr="00F92E56">
              <w:rPr>
                <w:rFonts w:ascii="Arial Narrow" w:hAnsi="Arial Narrow" w:cs="Calibri"/>
                <w:color w:val="000000"/>
                <w:sz w:val="20"/>
                <w:szCs w:val="16"/>
              </w:rPr>
              <w:t>60%</w:t>
            </w:r>
            <w:r w:rsidRPr="00F92E56">
              <w:rPr>
                <w:rFonts w:ascii="Arial Narrow" w:hAnsi="Arial Narrow" w:cs="Calibri"/>
                <w:color w:val="000000"/>
                <w:sz w:val="20"/>
                <w:szCs w:val="16"/>
                <w:vertAlign w:val="superscript"/>
              </w:rPr>
              <w:t>b</w:t>
            </w:r>
          </w:p>
        </w:tc>
        <w:tc>
          <w:tcPr>
            <w:tcW w:w="692" w:type="pct"/>
            <w:vAlign w:val="center"/>
          </w:tcPr>
          <w:p w14:paraId="337E9DD4" w14:textId="77777777" w:rsidR="001D66D4" w:rsidRPr="00F92E56" w:rsidRDefault="001D66D4" w:rsidP="00553EDF">
            <w:pPr>
              <w:keepNext/>
              <w:jc w:val="center"/>
              <w:rPr>
                <w:rFonts w:ascii="Arial Narrow" w:hAnsi="Arial Narrow"/>
                <w:sz w:val="20"/>
                <w:szCs w:val="16"/>
                <w:vertAlign w:val="superscript"/>
              </w:rPr>
            </w:pPr>
            <w:r w:rsidRPr="00F92E56">
              <w:rPr>
                <w:rFonts w:ascii="Arial Narrow" w:hAnsi="Arial Narrow" w:cs="Calibri"/>
                <w:color w:val="000000"/>
                <w:sz w:val="20"/>
                <w:szCs w:val="16"/>
              </w:rPr>
              <w:t>81%</w:t>
            </w:r>
            <w:r w:rsidRPr="00F92E56">
              <w:rPr>
                <w:rFonts w:ascii="Arial Narrow" w:hAnsi="Arial Narrow" w:cs="Calibri"/>
                <w:color w:val="000000"/>
                <w:sz w:val="20"/>
                <w:szCs w:val="16"/>
                <w:vertAlign w:val="superscript"/>
              </w:rPr>
              <w:t>c</w:t>
            </w:r>
          </w:p>
        </w:tc>
        <w:tc>
          <w:tcPr>
            <w:tcW w:w="615" w:type="pct"/>
            <w:vAlign w:val="center"/>
          </w:tcPr>
          <w:p w14:paraId="1B79AC0E" w14:textId="77777777" w:rsidR="001D66D4" w:rsidRPr="00F92E56" w:rsidRDefault="001D66D4" w:rsidP="00553EDF">
            <w:pPr>
              <w:keepNext/>
              <w:jc w:val="center"/>
              <w:rPr>
                <w:rFonts w:ascii="Arial Narrow" w:hAnsi="Arial Narrow"/>
                <w:sz w:val="20"/>
                <w:szCs w:val="16"/>
              </w:rPr>
            </w:pPr>
            <w:r w:rsidRPr="00F92E56">
              <w:rPr>
                <w:rFonts w:ascii="Arial Narrow" w:hAnsi="Arial Narrow" w:cs="Calibri"/>
                <w:color w:val="000000"/>
                <w:sz w:val="20"/>
                <w:szCs w:val="16"/>
              </w:rPr>
              <w:t>−20.97%</w:t>
            </w:r>
          </w:p>
        </w:tc>
      </w:tr>
      <w:tr w:rsidR="001D66D4" w:rsidRPr="00F92E56" w14:paraId="09ED0D3C" w14:textId="77777777" w:rsidTr="005D1A43">
        <w:tc>
          <w:tcPr>
            <w:tcW w:w="767" w:type="pct"/>
          </w:tcPr>
          <w:p w14:paraId="5C1230B3" w14:textId="40553040" w:rsidR="001D66D4" w:rsidRPr="00F92E56" w:rsidRDefault="001D66D4" w:rsidP="00553EDF">
            <w:pPr>
              <w:keepNext/>
              <w:rPr>
                <w:rFonts w:ascii="Arial Narrow" w:hAnsi="Arial Narrow"/>
                <w:sz w:val="20"/>
                <w:szCs w:val="16"/>
              </w:rPr>
            </w:pPr>
            <w:r w:rsidRPr="00F92E56">
              <w:rPr>
                <w:rFonts w:ascii="Arial Narrow" w:hAnsi="Arial Narrow"/>
                <w:sz w:val="20"/>
                <w:szCs w:val="16"/>
              </w:rPr>
              <w:t>Deaths</w:t>
            </w:r>
          </w:p>
        </w:tc>
        <w:tc>
          <w:tcPr>
            <w:tcW w:w="769" w:type="pct"/>
            <w:shd w:val="clear" w:color="auto" w:fill="auto"/>
            <w:vAlign w:val="center"/>
          </w:tcPr>
          <w:p w14:paraId="40E3263C" w14:textId="561DCDB3" w:rsidR="001D66D4" w:rsidRPr="00F92E56" w:rsidRDefault="00CE2ED5" w:rsidP="00553EDF">
            <w:pPr>
              <w:keepNext/>
              <w:jc w:val="center"/>
              <w:rPr>
                <w:rFonts w:ascii="Arial Narrow" w:hAnsi="Arial Narrow"/>
                <w:sz w:val="20"/>
                <w:szCs w:val="16"/>
                <w:vertAlign w:val="superscript"/>
              </w:rPr>
            </w:pPr>
            <w:r w:rsidRPr="00F92E56">
              <w:rPr>
                <w:rFonts w:ascii="Arial Narrow" w:hAnsi="Arial Narrow" w:cs="Calibri"/>
                <w:color w:val="000000"/>
                <w:sz w:val="20"/>
                <w:szCs w:val="16"/>
              </w:rPr>
              <w:t>41</w:t>
            </w:r>
            <w:r w:rsidR="001D66D4" w:rsidRPr="00F92E56">
              <w:rPr>
                <w:rFonts w:ascii="Arial Narrow" w:hAnsi="Arial Narrow" w:cs="Calibri"/>
                <w:color w:val="000000"/>
                <w:sz w:val="20"/>
                <w:szCs w:val="16"/>
              </w:rPr>
              <w:t>%</w:t>
            </w:r>
            <w:r w:rsidR="001D66D4" w:rsidRPr="00F92E56">
              <w:rPr>
                <w:rFonts w:ascii="Arial Narrow" w:hAnsi="Arial Narrow" w:cs="Calibri"/>
                <w:color w:val="000000"/>
                <w:sz w:val="20"/>
                <w:szCs w:val="16"/>
                <w:vertAlign w:val="superscript"/>
              </w:rPr>
              <w:t>d</w:t>
            </w:r>
          </w:p>
        </w:tc>
        <w:tc>
          <w:tcPr>
            <w:tcW w:w="768" w:type="pct"/>
            <w:shd w:val="clear" w:color="auto" w:fill="auto"/>
            <w:vAlign w:val="center"/>
          </w:tcPr>
          <w:p w14:paraId="653E9227" w14:textId="29ECAA40" w:rsidR="001D66D4" w:rsidRPr="00F92E56" w:rsidRDefault="00CE2ED5" w:rsidP="00553EDF">
            <w:pPr>
              <w:keepNext/>
              <w:jc w:val="center"/>
              <w:rPr>
                <w:rFonts w:ascii="Arial Narrow" w:hAnsi="Arial Narrow"/>
                <w:sz w:val="20"/>
                <w:szCs w:val="16"/>
                <w:vertAlign w:val="superscript"/>
              </w:rPr>
            </w:pPr>
            <w:r w:rsidRPr="00F92E56">
              <w:rPr>
                <w:rFonts w:ascii="Arial Narrow" w:hAnsi="Arial Narrow" w:cs="Calibri"/>
                <w:color w:val="000000"/>
                <w:sz w:val="20"/>
                <w:szCs w:val="16"/>
              </w:rPr>
              <w:t>51</w:t>
            </w:r>
            <w:r w:rsidR="001D66D4" w:rsidRPr="00F92E56">
              <w:rPr>
                <w:rFonts w:ascii="Arial Narrow" w:hAnsi="Arial Narrow" w:cs="Calibri"/>
                <w:color w:val="000000"/>
                <w:sz w:val="20"/>
                <w:szCs w:val="16"/>
              </w:rPr>
              <w:t>%</w:t>
            </w:r>
            <w:r w:rsidRPr="00F92E56">
              <w:rPr>
                <w:rFonts w:ascii="Arial Narrow" w:hAnsi="Arial Narrow" w:cs="Calibri"/>
                <w:color w:val="000000"/>
                <w:sz w:val="20"/>
                <w:szCs w:val="16"/>
                <w:vertAlign w:val="superscript"/>
              </w:rPr>
              <w:t>d</w:t>
            </w:r>
          </w:p>
        </w:tc>
        <w:tc>
          <w:tcPr>
            <w:tcW w:w="697" w:type="pct"/>
            <w:vAlign w:val="center"/>
          </w:tcPr>
          <w:p w14:paraId="2C79D183" w14:textId="77777777" w:rsidR="001D66D4" w:rsidRPr="00F92E56" w:rsidRDefault="001D66D4" w:rsidP="00553EDF">
            <w:pPr>
              <w:keepNext/>
              <w:jc w:val="center"/>
              <w:rPr>
                <w:rFonts w:ascii="Arial Narrow" w:hAnsi="Arial Narrow"/>
                <w:sz w:val="20"/>
                <w:szCs w:val="16"/>
              </w:rPr>
            </w:pPr>
            <w:r w:rsidRPr="00F92E56">
              <w:rPr>
                <w:rFonts w:ascii="Arial Narrow" w:hAnsi="Arial Narrow" w:cs="Calibri"/>
                <w:color w:val="000000"/>
                <w:sz w:val="20"/>
                <w:szCs w:val="16"/>
              </w:rPr>
              <w:t>−7.94%</w:t>
            </w:r>
          </w:p>
        </w:tc>
        <w:tc>
          <w:tcPr>
            <w:tcW w:w="692" w:type="pct"/>
            <w:vAlign w:val="center"/>
          </w:tcPr>
          <w:p w14:paraId="58676548" w14:textId="12CCEE0B" w:rsidR="001D66D4" w:rsidRPr="00F92E56" w:rsidRDefault="001D66D4" w:rsidP="00553EDF">
            <w:pPr>
              <w:keepNext/>
              <w:jc w:val="center"/>
              <w:rPr>
                <w:rFonts w:ascii="Arial Narrow" w:hAnsi="Arial Narrow"/>
                <w:sz w:val="20"/>
                <w:szCs w:val="16"/>
                <w:vertAlign w:val="superscript"/>
              </w:rPr>
            </w:pPr>
            <w:r w:rsidRPr="00F92E56">
              <w:rPr>
                <w:rFonts w:ascii="Arial Narrow" w:hAnsi="Arial Narrow" w:cs="Calibri"/>
                <w:color w:val="000000"/>
                <w:sz w:val="20"/>
                <w:szCs w:val="16"/>
              </w:rPr>
              <w:t>71%</w:t>
            </w:r>
            <w:r w:rsidR="00CE2ED5" w:rsidRPr="00F92E56">
              <w:rPr>
                <w:rFonts w:ascii="Arial Narrow" w:hAnsi="Arial Narrow" w:cs="Calibri"/>
                <w:color w:val="000000"/>
                <w:sz w:val="20"/>
                <w:szCs w:val="16"/>
                <w:vertAlign w:val="superscript"/>
              </w:rPr>
              <w:t>e</w:t>
            </w:r>
          </w:p>
        </w:tc>
        <w:tc>
          <w:tcPr>
            <w:tcW w:w="692" w:type="pct"/>
            <w:vAlign w:val="center"/>
          </w:tcPr>
          <w:p w14:paraId="11A55B11" w14:textId="7237FF22" w:rsidR="001D66D4" w:rsidRPr="00F92E56" w:rsidRDefault="001D66D4" w:rsidP="00553EDF">
            <w:pPr>
              <w:keepNext/>
              <w:jc w:val="center"/>
              <w:rPr>
                <w:rFonts w:ascii="Arial Narrow" w:hAnsi="Arial Narrow"/>
                <w:sz w:val="20"/>
                <w:szCs w:val="16"/>
                <w:vertAlign w:val="superscript"/>
              </w:rPr>
            </w:pPr>
            <w:r w:rsidRPr="00F92E56">
              <w:rPr>
                <w:rFonts w:ascii="Arial Narrow" w:hAnsi="Arial Narrow" w:cs="Calibri"/>
                <w:color w:val="000000"/>
                <w:sz w:val="20"/>
                <w:szCs w:val="16"/>
              </w:rPr>
              <w:t>83%</w:t>
            </w:r>
            <w:r w:rsidR="00CE2ED5" w:rsidRPr="00F92E56">
              <w:rPr>
                <w:rFonts w:ascii="Arial Narrow" w:hAnsi="Arial Narrow" w:cs="Calibri"/>
                <w:color w:val="000000"/>
                <w:sz w:val="20"/>
                <w:szCs w:val="16"/>
                <w:vertAlign w:val="superscript"/>
              </w:rPr>
              <w:t>f</w:t>
            </w:r>
          </w:p>
        </w:tc>
        <w:tc>
          <w:tcPr>
            <w:tcW w:w="615" w:type="pct"/>
            <w:vAlign w:val="center"/>
          </w:tcPr>
          <w:p w14:paraId="0FA361D6" w14:textId="77777777" w:rsidR="001D66D4" w:rsidRPr="00F92E56" w:rsidRDefault="001D66D4" w:rsidP="00553EDF">
            <w:pPr>
              <w:keepNext/>
              <w:jc w:val="center"/>
              <w:rPr>
                <w:rFonts w:ascii="Arial Narrow" w:hAnsi="Arial Narrow"/>
                <w:sz w:val="20"/>
                <w:szCs w:val="16"/>
              </w:rPr>
            </w:pPr>
            <w:r w:rsidRPr="00F92E56">
              <w:rPr>
                <w:rFonts w:ascii="Arial Narrow" w:hAnsi="Arial Narrow" w:cs="Calibri"/>
                <w:color w:val="000000"/>
                <w:sz w:val="20"/>
                <w:szCs w:val="16"/>
              </w:rPr>
              <w:t>−11.24%</w:t>
            </w:r>
          </w:p>
        </w:tc>
      </w:tr>
      <w:tr w:rsidR="001D66D4" w:rsidRPr="00F92E56" w14:paraId="30C85DED" w14:textId="77777777" w:rsidTr="005D1A43">
        <w:tc>
          <w:tcPr>
            <w:tcW w:w="767" w:type="pct"/>
          </w:tcPr>
          <w:p w14:paraId="66217D01" w14:textId="77777777" w:rsidR="001D66D4" w:rsidRPr="00F92E56" w:rsidRDefault="001D66D4" w:rsidP="00553EDF">
            <w:pPr>
              <w:keepNext/>
              <w:jc w:val="left"/>
              <w:rPr>
                <w:rFonts w:ascii="Arial Narrow" w:hAnsi="Arial Narrow"/>
                <w:sz w:val="20"/>
                <w:szCs w:val="16"/>
              </w:rPr>
            </w:pPr>
            <w:r w:rsidRPr="00F92E56">
              <w:rPr>
                <w:rFonts w:ascii="Arial Narrow" w:hAnsi="Arial Narrow"/>
                <w:sz w:val="20"/>
                <w:szCs w:val="16"/>
              </w:rPr>
              <w:t>Life years (undiscounted)</w:t>
            </w:r>
          </w:p>
        </w:tc>
        <w:tc>
          <w:tcPr>
            <w:tcW w:w="769" w:type="pct"/>
            <w:vAlign w:val="center"/>
          </w:tcPr>
          <w:p w14:paraId="2DC570C6" w14:textId="103508EE" w:rsidR="001D66D4" w:rsidRPr="00F92E56" w:rsidRDefault="001D66D4" w:rsidP="00553EDF">
            <w:pPr>
              <w:keepNext/>
              <w:jc w:val="center"/>
              <w:rPr>
                <w:rFonts w:ascii="Arial Narrow" w:hAnsi="Arial Narrow"/>
                <w:sz w:val="20"/>
                <w:szCs w:val="16"/>
                <w:vertAlign w:val="superscript"/>
              </w:rPr>
            </w:pPr>
            <w:r w:rsidRPr="00F92E56">
              <w:rPr>
                <w:rFonts w:ascii="Arial Narrow" w:hAnsi="Arial Narrow" w:cs="Calibri"/>
                <w:color w:val="000000"/>
                <w:sz w:val="20"/>
                <w:szCs w:val="16"/>
              </w:rPr>
              <w:t>2.479</w:t>
            </w:r>
            <w:r w:rsidR="00CE2ED5" w:rsidRPr="00F92E56">
              <w:rPr>
                <w:rFonts w:ascii="Arial Narrow" w:hAnsi="Arial Narrow" w:cs="Calibri"/>
                <w:color w:val="000000"/>
                <w:sz w:val="20"/>
                <w:szCs w:val="16"/>
                <w:vertAlign w:val="superscript"/>
              </w:rPr>
              <w:t>g</w:t>
            </w:r>
          </w:p>
        </w:tc>
        <w:tc>
          <w:tcPr>
            <w:tcW w:w="768" w:type="pct"/>
            <w:vAlign w:val="center"/>
          </w:tcPr>
          <w:p w14:paraId="0A841481" w14:textId="19B6E160" w:rsidR="001D66D4" w:rsidRPr="00F92E56" w:rsidRDefault="001D66D4" w:rsidP="00553EDF">
            <w:pPr>
              <w:keepNext/>
              <w:jc w:val="center"/>
              <w:rPr>
                <w:rFonts w:ascii="Arial Narrow" w:hAnsi="Arial Narrow"/>
                <w:sz w:val="20"/>
                <w:szCs w:val="16"/>
                <w:vertAlign w:val="superscript"/>
              </w:rPr>
            </w:pPr>
            <w:r w:rsidRPr="00F92E56">
              <w:rPr>
                <w:rFonts w:ascii="Arial Narrow" w:hAnsi="Arial Narrow" w:cs="Calibri"/>
                <w:color w:val="000000"/>
                <w:sz w:val="20"/>
                <w:szCs w:val="20"/>
              </w:rPr>
              <w:t>2.322</w:t>
            </w:r>
            <w:r w:rsidR="00CE2ED5" w:rsidRPr="00F92E56">
              <w:rPr>
                <w:rFonts w:ascii="Arial Narrow" w:hAnsi="Arial Narrow" w:cs="Calibri"/>
                <w:color w:val="000000"/>
                <w:sz w:val="20"/>
                <w:szCs w:val="20"/>
                <w:vertAlign w:val="superscript"/>
              </w:rPr>
              <w:t>g</w:t>
            </w:r>
          </w:p>
        </w:tc>
        <w:tc>
          <w:tcPr>
            <w:tcW w:w="697" w:type="pct"/>
            <w:vAlign w:val="center"/>
          </w:tcPr>
          <w:p w14:paraId="081351AA" w14:textId="77777777" w:rsidR="001D66D4" w:rsidRPr="00F92E56" w:rsidRDefault="001D66D4" w:rsidP="00553EDF">
            <w:pPr>
              <w:keepNext/>
              <w:jc w:val="center"/>
              <w:rPr>
                <w:rFonts w:ascii="Arial Narrow" w:hAnsi="Arial Narrow"/>
                <w:sz w:val="20"/>
                <w:szCs w:val="16"/>
              </w:rPr>
            </w:pPr>
            <w:r w:rsidRPr="00F92E56">
              <w:rPr>
                <w:rFonts w:ascii="Arial Narrow" w:hAnsi="Arial Narrow" w:cs="Calibri"/>
                <w:color w:val="000000"/>
                <w:sz w:val="20"/>
                <w:szCs w:val="20"/>
              </w:rPr>
              <w:t>0.157</w:t>
            </w:r>
          </w:p>
        </w:tc>
        <w:tc>
          <w:tcPr>
            <w:tcW w:w="692" w:type="pct"/>
            <w:vAlign w:val="center"/>
          </w:tcPr>
          <w:p w14:paraId="68308E18" w14:textId="56D53DF7" w:rsidR="001D66D4" w:rsidRPr="00F92E56" w:rsidRDefault="001D66D4" w:rsidP="00553EDF">
            <w:pPr>
              <w:keepNext/>
              <w:jc w:val="center"/>
              <w:rPr>
                <w:rFonts w:ascii="Arial Narrow" w:hAnsi="Arial Narrow"/>
                <w:sz w:val="20"/>
                <w:szCs w:val="16"/>
                <w:vertAlign w:val="superscript"/>
              </w:rPr>
            </w:pPr>
            <w:r w:rsidRPr="00F92E56">
              <w:rPr>
                <w:rFonts w:ascii="Arial Narrow" w:hAnsi="Arial Narrow" w:cs="Calibri"/>
                <w:color w:val="000000"/>
                <w:sz w:val="20"/>
                <w:szCs w:val="16"/>
              </w:rPr>
              <w:t>9.282</w:t>
            </w:r>
            <w:r w:rsidR="00CE2ED5" w:rsidRPr="00F92E56">
              <w:rPr>
                <w:rFonts w:ascii="Arial Narrow" w:hAnsi="Arial Narrow" w:cs="Calibri"/>
                <w:color w:val="000000"/>
                <w:sz w:val="20"/>
                <w:szCs w:val="16"/>
                <w:vertAlign w:val="superscript"/>
              </w:rPr>
              <w:t>h</w:t>
            </w:r>
          </w:p>
        </w:tc>
        <w:tc>
          <w:tcPr>
            <w:tcW w:w="692" w:type="pct"/>
            <w:vAlign w:val="center"/>
          </w:tcPr>
          <w:p w14:paraId="29C8166C" w14:textId="55CF7703" w:rsidR="001D66D4" w:rsidRPr="00F92E56" w:rsidRDefault="001D66D4" w:rsidP="00553EDF">
            <w:pPr>
              <w:keepNext/>
              <w:jc w:val="center"/>
              <w:rPr>
                <w:rFonts w:ascii="Arial Narrow" w:hAnsi="Arial Narrow"/>
                <w:sz w:val="20"/>
                <w:szCs w:val="16"/>
                <w:vertAlign w:val="superscript"/>
              </w:rPr>
            </w:pPr>
            <w:r w:rsidRPr="00F92E56">
              <w:rPr>
                <w:rFonts w:ascii="Arial Narrow" w:hAnsi="Arial Narrow" w:cs="Calibri"/>
                <w:color w:val="000000"/>
                <w:sz w:val="20"/>
                <w:szCs w:val="20"/>
              </w:rPr>
              <w:t>6.96</w:t>
            </w:r>
            <w:r w:rsidR="00CE2ED5" w:rsidRPr="00F92E56">
              <w:rPr>
                <w:rFonts w:ascii="Arial Narrow" w:hAnsi="Arial Narrow" w:cs="Calibri"/>
                <w:color w:val="000000"/>
                <w:sz w:val="20"/>
                <w:szCs w:val="20"/>
                <w:vertAlign w:val="superscript"/>
              </w:rPr>
              <w:t>h</w:t>
            </w:r>
          </w:p>
        </w:tc>
        <w:tc>
          <w:tcPr>
            <w:tcW w:w="615" w:type="pct"/>
            <w:vAlign w:val="center"/>
          </w:tcPr>
          <w:p w14:paraId="7C10EFB1" w14:textId="77777777" w:rsidR="001D66D4" w:rsidRPr="00F92E56" w:rsidRDefault="001D66D4" w:rsidP="00553EDF">
            <w:pPr>
              <w:keepNext/>
              <w:jc w:val="center"/>
              <w:rPr>
                <w:rFonts w:ascii="Arial Narrow" w:hAnsi="Arial Narrow"/>
                <w:sz w:val="20"/>
                <w:szCs w:val="16"/>
              </w:rPr>
            </w:pPr>
            <w:r w:rsidRPr="00F92E56">
              <w:rPr>
                <w:rFonts w:ascii="Arial Narrow" w:hAnsi="Arial Narrow" w:cs="Calibri"/>
                <w:color w:val="000000"/>
                <w:sz w:val="20"/>
                <w:szCs w:val="20"/>
              </w:rPr>
              <w:t>2.321</w:t>
            </w:r>
          </w:p>
        </w:tc>
      </w:tr>
    </w:tbl>
    <w:p w14:paraId="11C8140F" w14:textId="77777777" w:rsidR="001D66D4" w:rsidRPr="00F92E56" w:rsidRDefault="001D66D4" w:rsidP="001D66D4">
      <w:pPr>
        <w:pStyle w:val="TableFigureFooter"/>
      </w:pPr>
      <w:r w:rsidRPr="00F92E56">
        <w:t>Source: Table compiled during the evaluation, based on the economic workbook provided with the resubmission</w:t>
      </w:r>
    </w:p>
    <w:p w14:paraId="5344D5AD" w14:textId="1DAC46C2" w:rsidR="009944A5" w:rsidRPr="00F92E56" w:rsidRDefault="005D02F8" w:rsidP="001D66D4">
      <w:pPr>
        <w:pStyle w:val="TableFigureFooter"/>
      </w:pPr>
      <w:r w:rsidRPr="00F92E56">
        <w:t xml:space="preserve">DFS = disease free survival; </w:t>
      </w:r>
      <w:r w:rsidR="009944A5" w:rsidRPr="00F92E56">
        <w:t>NAC = neoadjuvant platinum-based chemotherapy</w:t>
      </w:r>
    </w:p>
    <w:p w14:paraId="407A12DD" w14:textId="77777777" w:rsidR="001D66D4" w:rsidRPr="00F92E56" w:rsidRDefault="001D66D4" w:rsidP="001D66D4">
      <w:pPr>
        <w:pStyle w:val="TableFigureFooter"/>
      </w:pPr>
      <w:r w:rsidRPr="00F92E56">
        <w:rPr>
          <w:vertAlign w:val="superscript"/>
        </w:rPr>
        <w:t xml:space="preserve">a </w:t>
      </w:r>
      <w:r w:rsidRPr="00F92E56">
        <w:t>Calculated by subtracting pre-recurrence deaths from number of patients with a DFS event in each arm. Pre-recurrence deaths are 7 and 11 and total DFS events are 82 and 113 nivolumab and placebo arm respectively. Recurrence events are 72 and 102 in nivolumab and placebo arms respectively.</w:t>
      </w:r>
    </w:p>
    <w:p w14:paraId="26328B31" w14:textId="77777777" w:rsidR="001D66D4" w:rsidRPr="00F92E56" w:rsidRDefault="001D66D4" w:rsidP="001D66D4">
      <w:pPr>
        <w:pStyle w:val="TableFigureFooter"/>
      </w:pPr>
      <w:r w:rsidRPr="00F92E56">
        <w:rPr>
          <w:vertAlign w:val="superscript"/>
        </w:rPr>
        <w:t>b</w:t>
      </w:r>
      <w:r w:rsidRPr="00F92E56">
        <w:t xml:space="preserve"> Sum AD101:AE199 in ‘Model’ tab of economic workbook provided with the resubmission.</w:t>
      </w:r>
    </w:p>
    <w:p w14:paraId="7C12A7A5" w14:textId="77777777" w:rsidR="001D66D4" w:rsidRPr="00F92E56" w:rsidRDefault="001D66D4" w:rsidP="001D66D4">
      <w:pPr>
        <w:pStyle w:val="TableFigureFooter"/>
      </w:pPr>
      <w:r w:rsidRPr="00F92E56">
        <w:rPr>
          <w:vertAlign w:val="superscript"/>
        </w:rPr>
        <w:t>c</w:t>
      </w:r>
      <w:r w:rsidRPr="00F92E56">
        <w:t xml:space="preserve"> Sum AR101:AR129 in ‘Model’ tab of economic workbook provided with the resubmission. </w:t>
      </w:r>
    </w:p>
    <w:p w14:paraId="5A44AEE9" w14:textId="1A8F2C56" w:rsidR="001D66D4" w:rsidRPr="00F92E56" w:rsidRDefault="001D66D4" w:rsidP="00CE2ED5">
      <w:pPr>
        <w:pStyle w:val="TableFigureFooter"/>
      </w:pPr>
      <w:r w:rsidRPr="00F92E56">
        <w:rPr>
          <w:vertAlign w:val="superscript"/>
        </w:rPr>
        <w:t>d</w:t>
      </w:r>
      <w:r w:rsidRPr="00F92E56">
        <w:t xml:space="preserve"> </w:t>
      </w:r>
      <w:r w:rsidR="00CE2ED5" w:rsidRPr="00F92E56">
        <w:t>In the prior neoadjuvant platinum-based chemotherapy subgroup, at the time of the September 2022 data cutoff, 64 deaths (41.0%) and 81 deaths (51.3%) had occurred in the nivolumab and placebo arms, respectively (updated CM274 data report, Attachment 8 accompanying the resubmission).</w:t>
      </w:r>
    </w:p>
    <w:p w14:paraId="17F6F64A" w14:textId="6D6DEA20" w:rsidR="001D66D4" w:rsidRPr="00F92E56" w:rsidRDefault="00CE2ED5" w:rsidP="001D66D4">
      <w:pPr>
        <w:pStyle w:val="TableFigureFooter"/>
      </w:pPr>
      <w:r w:rsidRPr="00F92E56">
        <w:rPr>
          <w:vertAlign w:val="superscript"/>
        </w:rPr>
        <w:t>e</w:t>
      </w:r>
      <w:r w:rsidR="001D66D4" w:rsidRPr="00F92E56">
        <w:t xml:space="preserve"> Cell AB189 in ‘Model’ tab of economic workbook provided with the resubmission.</w:t>
      </w:r>
    </w:p>
    <w:p w14:paraId="78533FF5" w14:textId="6BD5A228" w:rsidR="001D66D4" w:rsidRPr="00F92E56" w:rsidRDefault="00CE2ED5" w:rsidP="001D66D4">
      <w:pPr>
        <w:pStyle w:val="TableFigureFooter"/>
      </w:pPr>
      <w:r w:rsidRPr="00F92E56">
        <w:rPr>
          <w:vertAlign w:val="superscript"/>
        </w:rPr>
        <w:t>f</w:t>
      </w:r>
      <w:r w:rsidR="001D66D4" w:rsidRPr="00F92E56">
        <w:t xml:space="preserve"> Cell AY189 in ‘Model’ tab of economic workbook provided with the resubmission.</w:t>
      </w:r>
    </w:p>
    <w:p w14:paraId="2CC99A5C" w14:textId="19B26BF0" w:rsidR="001D66D4" w:rsidRPr="00F92E56" w:rsidRDefault="00CE2ED5" w:rsidP="001D66D4">
      <w:pPr>
        <w:pStyle w:val="TableFigureFooter"/>
      </w:pPr>
      <w:r w:rsidRPr="00F92E56">
        <w:rPr>
          <w:vertAlign w:val="superscript"/>
        </w:rPr>
        <w:t>g</w:t>
      </w:r>
      <w:r w:rsidR="001D66D4" w:rsidRPr="00F92E56">
        <w:t xml:space="preserve"> After setting time horizon to medial follow-up (36.1 months) and discount rate to 0%</w:t>
      </w:r>
    </w:p>
    <w:p w14:paraId="4D3374BE" w14:textId="101E7713" w:rsidR="001D66D4" w:rsidRPr="00F92E56" w:rsidRDefault="00CE2ED5" w:rsidP="001D66D4">
      <w:pPr>
        <w:pStyle w:val="TableFigureFooter"/>
        <w:rPr>
          <w:iCs/>
        </w:rPr>
      </w:pPr>
      <w:r w:rsidRPr="00F92E56">
        <w:rPr>
          <w:vertAlign w:val="superscript"/>
        </w:rPr>
        <w:t>h</w:t>
      </w:r>
      <w:r w:rsidR="001D66D4" w:rsidRPr="00F92E56">
        <w:t xml:space="preserve"> After setting time horizon to 20 years and discount rate to 0%</w:t>
      </w:r>
      <w:r w:rsidR="001D66D4" w:rsidRPr="00F92E56">
        <w:rPr>
          <w:vertAlign w:val="superscript"/>
        </w:rPr>
        <w:t>.</w:t>
      </w:r>
    </w:p>
    <w:p w14:paraId="4A127524" w14:textId="15CF74F8" w:rsidR="001D66D4" w:rsidRPr="00F92E56" w:rsidRDefault="001D66D4" w:rsidP="00236876">
      <w:pPr>
        <w:pStyle w:val="3-BodyText"/>
      </w:pPr>
      <w:r w:rsidRPr="00F92E56">
        <w:t xml:space="preserve">The proportion of patients experiencing recurrence in the nivolumab arm increased from 46% in CM274 to 60% in the model. The corresponding recurrence results in the comparator arm were 65% in the trial versus 81% in the economic model. Though the modelled time horizon was 20 years, recurrence events were considered to occur only until 5 years, thereafter a 100% cure rate (i.e., no recurrence) was assumed. </w:t>
      </w:r>
      <w:r w:rsidR="00935D4A" w:rsidRPr="00F92E56">
        <w:t>The o</w:t>
      </w:r>
      <w:r w:rsidRPr="00F92E56">
        <w:t>nly recurrences that occurred after 5 years w</w:t>
      </w:r>
      <w:r w:rsidR="00935D4A" w:rsidRPr="00F92E56">
        <w:t>ere</w:t>
      </w:r>
      <w:r w:rsidRPr="00F92E56">
        <w:t xml:space="preserve"> from locoregional to distant metastasis. The proportion of patients who died increased from </w:t>
      </w:r>
      <w:r w:rsidR="00A503B7" w:rsidRPr="00F92E56">
        <w:t>41</w:t>
      </w:r>
      <w:r w:rsidRPr="00F92E56">
        <w:t xml:space="preserve">% to 71% in the nivolumab arm and from </w:t>
      </w:r>
      <w:r w:rsidR="00A503B7" w:rsidRPr="00F92E56">
        <w:t>51</w:t>
      </w:r>
      <w:r w:rsidRPr="00F92E56">
        <w:t xml:space="preserve">% to 83% in the </w:t>
      </w:r>
      <w:r w:rsidR="00E31279" w:rsidRPr="00F92E56">
        <w:t xml:space="preserve">comparator </w:t>
      </w:r>
      <w:r w:rsidRPr="00F92E56">
        <w:t>arm during the extrapolation period. A comparison of the trial results and the model results suggested that the main benefit of adjuvant nivolumab relative to watchful waiting over the 20-year time horizon was delaying and preventing the occurrence of disease recurrence, and thus death events. The mean LYs gained increased from 0.157 during the trial period to an extrapolated 2.321 at Year 20. For every 1,000 patients treated with adjuvant nivolumab and followed-up for 20 years, the economic model estimated (undiscounted) that there would be:</w:t>
      </w:r>
    </w:p>
    <w:p w14:paraId="4124B0EF" w14:textId="76B27EB7" w:rsidR="001D66D4" w:rsidRPr="00C76B7E" w:rsidRDefault="001D66D4" w:rsidP="00C76B7E">
      <w:pPr>
        <w:pStyle w:val="ListParagraph"/>
      </w:pPr>
      <w:r w:rsidRPr="00C76B7E">
        <w:t xml:space="preserve">nivolumab drug cost of </w:t>
      </w:r>
      <w:r w:rsidR="00785872" w:rsidRPr="00785872">
        <w:t>$</w:t>
      </w:r>
      <w:r w:rsidR="00785872" w:rsidRPr="001D78FA">
        <w:rPr>
          <w:color w:val="000000"/>
          <w:w w:val="15"/>
          <w:shd w:val="solid" w:color="000000" w:fill="000000"/>
          <w:fitText w:val="-20" w:id="-1032081650"/>
          <w14:textFill>
            <w14:solidFill>
              <w14:srgbClr w14:val="000000">
                <w14:alpha w14:val="100000"/>
              </w14:srgbClr>
            </w14:solidFill>
          </w14:textFill>
        </w:rPr>
        <w:t xml:space="preserve">| </w:t>
      </w:r>
      <w:r w:rsidR="00785872" w:rsidRPr="001D78FA">
        <w:rPr>
          <w:color w:val="000000"/>
          <w:spacing w:val="-61"/>
          <w:w w:val="15"/>
          <w:shd w:val="solid" w:color="000000" w:fill="000000"/>
          <w:fitText w:val="-20" w:id="-1032081650"/>
          <w14:textFill>
            <w14:solidFill>
              <w14:srgbClr w14:val="000000">
                <w14:alpha w14:val="100000"/>
              </w14:srgbClr>
            </w14:solidFill>
          </w14:textFill>
        </w:rPr>
        <w:t>|</w:t>
      </w:r>
      <w:r w:rsidRPr="00C76B7E">
        <w:t xml:space="preserve"> million</w:t>
      </w:r>
      <w:r w:rsidR="00A301BA" w:rsidRPr="00C76B7E">
        <w:t>;</w:t>
      </w:r>
    </w:p>
    <w:p w14:paraId="37A485E9" w14:textId="460022B5" w:rsidR="001D66D4" w:rsidRPr="00C76B7E" w:rsidRDefault="001D66D4" w:rsidP="00C76B7E">
      <w:pPr>
        <w:pStyle w:val="ListParagraph"/>
      </w:pPr>
      <w:r w:rsidRPr="00C76B7E">
        <w:t>2</w:t>
      </w:r>
      <w:r w:rsidR="00A503B7" w:rsidRPr="00C76B7E">
        <w:t>10</w:t>
      </w:r>
      <w:r w:rsidRPr="00C76B7E">
        <w:t xml:space="preserve"> recurrence events avoided</w:t>
      </w:r>
      <w:r w:rsidR="00A301BA" w:rsidRPr="00C76B7E">
        <w:t>;</w:t>
      </w:r>
    </w:p>
    <w:p w14:paraId="3DB20141" w14:textId="22CD1036" w:rsidR="001D66D4" w:rsidRPr="00C76B7E" w:rsidRDefault="001D66D4" w:rsidP="00C76B7E">
      <w:pPr>
        <w:pStyle w:val="ListParagraph"/>
      </w:pPr>
      <w:r w:rsidRPr="00C76B7E">
        <w:t>112 deaths avoided</w:t>
      </w:r>
      <w:r w:rsidR="00A301BA" w:rsidRPr="00C76B7E">
        <w:t>;</w:t>
      </w:r>
      <w:r w:rsidRPr="00C76B7E">
        <w:t xml:space="preserve"> and </w:t>
      </w:r>
    </w:p>
    <w:p w14:paraId="70E6EAA2" w14:textId="77777777" w:rsidR="001D66D4" w:rsidRPr="00C76B7E" w:rsidRDefault="001D66D4" w:rsidP="00C76B7E">
      <w:pPr>
        <w:pStyle w:val="ListParagraph"/>
      </w:pPr>
      <w:r w:rsidRPr="00C76B7E">
        <w:t xml:space="preserve">2,321 LYG. </w:t>
      </w:r>
    </w:p>
    <w:p w14:paraId="65C448C1" w14:textId="6682C915" w:rsidR="001D66D4" w:rsidRPr="00F92E56" w:rsidRDefault="001D66D4" w:rsidP="00236876">
      <w:pPr>
        <w:pStyle w:val="3-BodyText"/>
      </w:pPr>
      <w:r w:rsidRPr="00F92E56">
        <w:t xml:space="preserve">The results of key univariate sensitivity analyses are summarised in </w:t>
      </w:r>
      <w:r w:rsidRPr="00F92E56">
        <w:fldChar w:fldCharType="begin" w:fldLock="1"/>
      </w:r>
      <w:r w:rsidRPr="00F92E56">
        <w:instrText xml:space="preserve"> REF _Ref104804865 \h </w:instrText>
      </w:r>
      <w:r w:rsidRPr="00F92E56">
        <w:fldChar w:fldCharType="separate"/>
      </w:r>
      <w:r w:rsidR="0096718A" w:rsidRPr="00F92E56">
        <w:t xml:space="preserve">Table </w:t>
      </w:r>
      <w:r w:rsidR="0096718A" w:rsidRPr="00346867">
        <w:t>16</w:t>
      </w:r>
      <w:r w:rsidRPr="00F92E56">
        <w:fldChar w:fldCharType="end"/>
      </w:r>
      <w:r w:rsidRPr="00F92E56">
        <w:t xml:space="preserve">. </w:t>
      </w:r>
    </w:p>
    <w:p w14:paraId="3627F05A" w14:textId="50AE71EF" w:rsidR="001D66D4" w:rsidRPr="00F92E56" w:rsidRDefault="001D66D4" w:rsidP="001D66D4">
      <w:pPr>
        <w:pStyle w:val="Caption"/>
        <w:rPr>
          <w:rStyle w:val="CommentReference"/>
          <w:b/>
          <w:szCs w:val="24"/>
        </w:rPr>
      </w:pPr>
      <w:bookmarkStart w:id="66" w:name="_Ref104804865"/>
      <w:r w:rsidRPr="00F92E56">
        <w:lastRenderedPageBreak/>
        <w:t xml:space="preserve">Table </w:t>
      </w:r>
      <w:r w:rsidR="001D78FA">
        <w:fldChar w:fldCharType="begin" w:fldLock="1"/>
      </w:r>
      <w:r w:rsidR="001D78FA">
        <w:instrText xml:space="preserve"> SEQ Table \* ARABIC </w:instrText>
      </w:r>
      <w:r w:rsidR="001D78FA">
        <w:fldChar w:fldCharType="separate"/>
      </w:r>
      <w:r w:rsidR="0096718A" w:rsidRPr="00346867">
        <w:t>16</w:t>
      </w:r>
      <w:r w:rsidR="001D78FA">
        <w:fldChar w:fldCharType="end"/>
      </w:r>
      <w:bookmarkEnd w:id="66"/>
      <w:r w:rsidRPr="00F92E56">
        <w:t>:</w:t>
      </w:r>
      <w:r w:rsidRPr="00F92E56">
        <w:rPr>
          <w:rStyle w:val="CommentReference"/>
          <w:b/>
          <w:szCs w:val="24"/>
        </w:rPr>
        <w:t xml:space="preserve"> </w:t>
      </w:r>
      <w:r w:rsidR="006E6C83" w:rsidRPr="00F92E56">
        <w:rPr>
          <w:rStyle w:val="CommentReference"/>
          <w:b/>
          <w:szCs w:val="24"/>
        </w:rPr>
        <w:t>Results of key s</w:t>
      </w:r>
      <w:r w:rsidRPr="00F92E56">
        <w:rPr>
          <w:rStyle w:val="CommentReference"/>
          <w:b/>
          <w:szCs w:val="24"/>
        </w:rPr>
        <w:t>ensitivity analyses</w:t>
      </w:r>
    </w:p>
    <w:tbl>
      <w:tblPr>
        <w:tblStyle w:val="TableGrid3"/>
        <w:tblW w:w="5000" w:type="pct"/>
        <w:tblLayout w:type="fixed"/>
        <w:tblLook w:val="04A0" w:firstRow="1" w:lastRow="0" w:firstColumn="1" w:lastColumn="0" w:noHBand="0" w:noVBand="1"/>
      </w:tblPr>
      <w:tblGrid>
        <w:gridCol w:w="5382"/>
        <w:gridCol w:w="851"/>
        <w:gridCol w:w="851"/>
        <w:gridCol w:w="849"/>
        <w:gridCol w:w="1084"/>
      </w:tblGrid>
      <w:tr w:rsidR="00BF136A" w:rsidRPr="00F92E56" w14:paraId="3CB136CB" w14:textId="77777777" w:rsidTr="001D78FA">
        <w:trPr>
          <w:tblHeader/>
        </w:trPr>
        <w:tc>
          <w:tcPr>
            <w:tcW w:w="2984" w:type="pct"/>
            <w:noWrap/>
            <w:hideMark/>
          </w:tcPr>
          <w:p w14:paraId="79F387E1" w14:textId="77777777" w:rsidR="00BF136A" w:rsidRPr="00346867" w:rsidRDefault="00BF136A" w:rsidP="007762E7">
            <w:pPr>
              <w:pStyle w:val="In-tableHeading"/>
              <w:keepNext w:val="0"/>
              <w:rPr>
                <w:szCs w:val="22"/>
                <w:lang w:val="en-AU"/>
              </w:rPr>
            </w:pPr>
          </w:p>
        </w:tc>
        <w:tc>
          <w:tcPr>
            <w:tcW w:w="472" w:type="pct"/>
            <w:noWrap/>
            <w:hideMark/>
          </w:tcPr>
          <w:p w14:paraId="0EB0C771" w14:textId="65675EBA" w:rsidR="00BF136A" w:rsidRPr="00346867" w:rsidRDefault="00BF136A" w:rsidP="007762E7">
            <w:pPr>
              <w:pStyle w:val="In-tableHeading"/>
              <w:keepNext w:val="0"/>
              <w:rPr>
                <w:szCs w:val="22"/>
                <w:lang w:val="en-AU"/>
              </w:rPr>
            </w:pPr>
            <w:r w:rsidRPr="00346867">
              <w:rPr>
                <w:szCs w:val="22"/>
                <w:lang w:val="en-AU"/>
              </w:rPr>
              <w:t>Inc. cost</w:t>
            </w:r>
            <w:r w:rsidR="00367EBA">
              <w:rPr>
                <w:szCs w:val="22"/>
                <w:lang w:val="en-AU"/>
              </w:rPr>
              <w:t xml:space="preserve"> ($)</w:t>
            </w:r>
          </w:p>
        </w:tc>
        <w:tc>
          <w:tcPr>
            <w:tcW w:w="472" w:type="pct"/>
            <w:noWrap/>
            <w:hideMark/>
          </w:tcPr>
          <w:p w14:paraId="2EDFE18A" w14:textId="77777777" w:rsidR="00BF136A" w:rsidRPr="00346867" w:rsidRDefault="00BF136A" w:rsidP="007762E7">
            <w:pPr>
              <w:pStyle w:val="In-tableHeading"/>
              <w:keepNext w:val="0"/>
              <w:rPr>
                <w:szCs w:val="22"/>
                <w:lang w:val="en-AU"/>
              </w:rPr>
            </w:pPr>
            <w:r w:rsidRPr="00346867">
              <w:rPr>
                <w:szCs w:val="22"/>
                <w:lang w:val="en-AU"/>
              </w:rPr>
              <w:t>Inc. QALYs</w:t>
            </w:r>
          </w:p>
        </w:tc>
        <w:tc>
          <w:tcPr>
            <w:tcW w:w="471" w:type="pct"/>
            <w:noWrap/>
            <w:hideMark/>
          </w:tcPr>
          <w:p w14:paraId="5DDC3A68" w14:textId="77777777" w:rsidR="00BF136A" w:rsidRPr="00346867" w:rsidRDefault="00BF136A" w:rsidP="007762E7">
            <w:pPr>
              <w:pStyle w:val="In-tableHeading"/>
              <w:keepNext w:val="0"/>
              <w:rPr>
                <w:szCs w:val="22"/>
                <w:lang w:val="en-AU"/>
              </w:rPr>
            </w:pPr>
            <w:r w:rsidRPr="00346867">
              <w:rPr>
                <w:szCs w:val="22"/>
                <w:lang w:val="en-AU"/>
              </w:rPr>
              <w:t>ICER</w:t>
            </w:r>
          </w:p>
        </w:tc>
        <w:tc>
          <w:tcPr>
            <w:tcW w:w="601" w:type="pct"/>
            <w:noWrap/>
            <w:hideMark/>
          </w:tcPr>
          <w:p w14:paraId="64B9885D" w14:textId="77777777" w:rsidR="00BF136A" w:rsidRPr="00346867" w:rsidRDefault="00BF136A" w:rsidP="007762E7">
            <w:pPr>
              <w:pStyle w:val="In-tableHeading"/>
              <w:keepNext w:val="0"/>
              <w:rPr>
                <w:szCs w:val="22"/>
                <w:lang w:val="en-AU"/>
              </w:rPr>
            </w:pPr>
            <w:r w:rsidRPr="00346867">
              <w:rPr>
                <w:szCs w:val="22"/>
                <w:lang w:val="en-AU"/>
              </w:rPr>
              <w:t>% change from base case</w:t>
            </w:r>
          </w:p>
        </w:tc>
      </w:tr>
      <w:tr w:rsidR="00BF136A" w:rsidRPr="00F92E56" w14:paraId="0CC34BF0" w14:textId="77777777" w:rsidTr="001D78FA">
        <w:trPr>
          <w:tblHeader/>
        </w:trPr>
        <w:tc>
          <w:tcPr>
            <w:tcW w:w="2984" w:type="pct"/>
            <w:tcBorders>
              <w:bottom w:val="single" w:sz="4" w:space="0" w:color="000000" w:themeColor="text1"/>
            </w:tcBorders>
            <w:noWrap/>
            <w:hideMark/>
          </w:tcPr>
          <w:p w14:paraId="758FEFDF" w14:textId="77777777" w:rsidR="00BF136A" w:rsidRPr="00F92E56" w:rsidRDefault="00BF136A" w:rsidP="007762E7">
            <w:pPr>
              <w:pStyle w:val="Tabletext"/>
              <w:rPr>
                <w:b/>
                <w:bCs/>
                <w:iCs/>
              </w:rPr>
            </w:pPr>
            <w:r w:rsidRPr="00F92E56">
              <w:rPr>
                <w:b/>
                <w:bCs/>
                <w:iCs/>
              </w:rPr>
              <w:t>Base case</w:t>
            </w:r>
          </w:p>
        </w:tc>
        <w:tc>
          <w:tcPr>
            <w:tcW w:w="472" w:type="pct"/>
            <w:tcBorders>
              <w:bottom w:val="single" w:sz="4" w:space="0" w:color="000000" w:themeColor="text1"/>
            </w:tcBorders>
            <w:noWrap/>
            <w:hideMark/>
          </w:tcPr>
          <w:p w14:paraId="2DF22DF5" w14:textId="799ED201" w:rsidR="00BF136A" w:rsidRPr="00F92E56" w:rsidRDefault="00785872" w:rsidP="007762E7">
            <w:pPr>
              <w:pStyle w:val="Tabletext"/>
              <w:jc w:val="right"/>
              <w:rPr>
                <w:b/>
                <w:bCs/>
                <w:iCs/>
              </w:rPr>
            </w:pPr>
            <w:r w:rsidRPr="00785872">
              <w:rPr>
                <w:b/>
                <w:bCs/>
                <w:iCs/>
              </w:rPr>
              <w:t xml:space="preserve"> </w:t>
            </w:r>
            <w:r w:rsidRPr="00785872">
              <w:rPr>
                <w:b/>
                <w:bCs/>
                <w:iCs/>
                <w:color w:val="000000"/>
                <w:spacing w:val="148"/>
                <w:shd w:val="solid" w:color="000000" w:fill="000000"/>
                <w:fitText w:val="240" w:id="-1032081649"/>
                <w14:textFill>
                  <w14:solidFill>
                    <w14:srgbClr w14:val="000000">
                      <w14:alpha w14:val="100000"/>
                    </w14:srgbClr>
                  </w14:solidFill>
                </w14:textFill>
              </w:rPr>
              <w:t>|</w:t>
            </w:r>
            <w:r w:rsidRPr="00785872">
              <w:rPr>
                <w:b/>
                <w:bCs/>
                <w:iCs/>
                <w:color w:val="000000"/>
                <w:spacing w:val="1"/>
                <w:shd w:val="solid" w:color="000000" w:fill="000000"/>
                <w:fitText w:val="240" w:id="-1032081649"/>
                <w14:textFill>
                  <w14:solidFill>
                    <w14:srgbClr w14:val="000000">
                      <w14:alpha w14:val="100000"/>
                    </w14:srgbClr>
                  </w14:solidFill>
                </w14:textFill>
              </w:rPr>
              <w:t>|</w:t>
            </w:r>
          </w:p>
        </w:tc>
        <w:tc>
          <w:tcPr>
            <w:tcW w:w="472" w:type="pct"/>
            <w:tcBorders>
              <w:bottom w:val="single" w:sz="4" w:space="0" w:color="000000" w:themeColor="text1"/>
            </w:tcBorders>
            <w:noWrap/>
            <w:hideMark/>
          </w:tcPr>
          <w:p w14:paraId="3ED9D1DE" w14:textId="77777777" w:rsidR="00BF136A" w:rsidRPr="00F92E56" w:rsidRDefault="00BF136A" w:rsidP="007762E7">
            <w:pPr>
              <w:pStyle w:val="Tabletext"/>
              <w:jc w:val="right"/>
              <w:rPr>
                <w:b/>
                <w:bCs/>
                <w:iCs/>
              </w:rPr>
            </w:pPr>
            <w:r w:rsidRPr="00F92E56">
              <w:rPr>
                <w:b/>
                <w:bCs/>
                <w:iCs/>
              </w:rPr>
              <w:t>1.227</w:t>
            </w:r>
          </w:p>
        </w:tc>
        <w:tc>
          <w:tcPr>
            <w:tcW w:w="471" w:type="pct"/>
            <w:tcBorders>
              <w:bottom w:val="single" w:sz="4" w:space="0" w:color="000000" w:themeColor="text1"/>
            </w:tcBorders>
            <w:noWrap/>
            <w:hideMark/>
          </w:tcPr>
          <w:p w14:paraId="4554FE86" w14:textId="15BFFE80" w:rsidR="00BF136A" w:rsidRPr="00F92E56" w:rsidRDefault="00785872" w:rsidP="007762E7">
            <w:pPr>
              <w:pStyle w:val="Tabletext"/>
              <w:jc w:val="right"/>
              <w:rPr>
                <w:b/>
                <w:bCs/>
                <w:iCs/>
              </w:rPr>
            </w:pPr>
            <w:r w:rsidRPr="00785872">
              <w:rPr>
                <w:b/>
                <w:bCs/>
                <w:iCs/>
              </w:rPr>
              <w:t xml:space="preserve"> </w:t>
            </w:r>
            <w:r w:rsidRPr="00785872">
              <w:rPr>
                <w:b/>
                <w:bCs/>
                <w:iCs/>
                <w:color w:val="000000"/>
                <w:spacing w:val="68"/>
                <w:shd w:val="solid" w:color="000000" w:fill="000000"/>
                <w:fitText w:val="160" w:id="-1032081648"/>
                <w14:textFill>
                  <w14:solidFill>
                    <w14:srgbClr w14:val="000000">
                      <w14:alpha w14:val="100000"/>
                    </w14:srgbClr>
                  </w14:solidFill>
                </w14:textFill>
              </w:rPr>
              <w:t>|</w:t>
            </w:r>
            <w:r w:rsidRPr="00785872">
              <w:rPr>
                <w:b/>
                <w:bCs/>
                <w:iCs/>
                <w:color w:val="000000"/>
                <w:spacing w:val="1"/>
                <w:shd w:val="solid" w:color="000000" w:fill="000000"/>
                <w:fitText w:val="160" w:id="-1032081648"/>
                <w14:textFill>
                  <w14:solidFill>
                    <w14:srgbClr w14:val="000000">
                      <w14:alpha w14:val="100000"/>
                    </w14:srgbClr>
                  </w14:solidFill>
                </w14:textFill>
              </w:rPr>
              <w:t>|</w:t>
            </w:r>
            <w:r w:rsidR="00BE598F">
              <w:rPr>
                <w:rFonts w:eastAsia="Calibri"/>
                <w:iCs/>
                <w:szCs w:val="20"/>
                <w:vertAlign w:val="superscript"/>
              </w:rPr>
              <w:t>1</w:t>
            </w:r>
          </w:p>
        </w:tc>
        <w:tc>
          <w:tcPr>
            <w:tcW w:w="601" w:type="pct"/>
            <w:tcBorders>
              <w:bottom w:val="single" w:sz="4" w:space="0" w:color="000000" w:themeColor="text1"/>
            </w:tcBorders>
            <w:noWrap/>
            <w:hideMark/>
          </w:tcPr>
          <w:p w14:paraId="68B54274" w14:textId="77777777" w:rsidR="00BF136A" w:rsidRPr="00F92E56" w:rsidRDefault="00BF136A" w:rsidP="007762E7">
            <w:pPr>
              <w:pStyle w:val="Tabletext"/>
              <w:jc w:val="right"/>
              <w:rPr>
                <w:b/>
                <w:bCs/>
                <w:iCs/>
              </w:rPr>
            </w:pPr>
          </w:p>
        </w:tc>
      </w:tr>
      <w:tr w:rsidR="00BF136A" w:rsidRPr="00F92E56" w14:paraId="74E62B16" w14:textId="77777777" w:rsidTr="001D78FA">
        <w:tc>
          <w:tcPr>
            <w:tcW w:w="2984" w:type="pct"/>
            <w:tcBorders>
              <w:bottom w:val="single" w:sz="4" w:space="0" w:color="000000" w:themeColor="text1"/>
              <w:right w:val="nil"/>
            </w:tcBorders>
            <w:noWrap/>
            <w:hideMark/>
          </w:tcPr>
          <w:p w14:paraId="3B44E9F7" w14:textId="77777777" w:rsidR="00BF136A" w:rsidRPr="00F92E56" w:rsidRDefault="00BF136A" w:rsidP="007762E7">
            <w:pPr>
              <w:pStyle w:val="Tabletext"/>
              <w:keepNext/>
              <w:rPr>
                <w:iCs/>
              </w:rPr>
            </w:pPr>
            <w:r w:rsidRPr="00F92E56">
              <w:rPr>
                <w:iCs/>
              </w:rPr>
              <w:t>Discount rate (base case: 5%)</w:t>
            </w:r>
          </w:p>
        </w:tc>
        <w:tc>
          <w:tcPr>
            <w:tcW w:w="472" w:type="pct"/>
            <w:tcBorders>
              <w:left w:val="nil"/>
              <w:bottom w:val="single" w:sz="4" w:space="0" w:color="000000" w:themeColor="text1"/>
              <w:right w:val="nil"/>
            </w:tcBorders>
            <w:noWrap/>
            <w:hideMark/>
          </w:tcPr>
          <w:p w14:paraId="5DD06FE9" w14:textId="77777777" w:rsidR="00BF136A" w:rsidRPr="00F92E56" w:rsidRDefault="00BF136A" w:rsidP="007762E7">
            <w:pPr>
              <w:pStyle w:val="Tabletext"/>
              <w:keepNext/>
              <w:jc w:val="right"/>
              <w:rPr>
                <w:iCs/>
              </w:rPr>
            </w:pPr>
          </w:p>
        </w:tc>
        <w:tc>
          <w:tcPr>
            <w:tcW w:w="472" w:type="pct"/>
            <w:tcBorders>
              <w:left w:val="nil"/>
              <w:bottom w:val="single" w:sz="4" w:space="0" w:color="000000" w:themeColor="text1"/>
              <w:right w:val="nil"/>
            </w:tcBorders>
            <w:noWrap/>
            <w:hideMark/>
          </w:tcPr>
          <w:p w14:paraId="20622CEA" w14:textId="77777777" w:rsidR="00BF136A" w:rsidRPr="00F92E56" w:rsidRDefault="00BF136A" w:rsidP="007762E7">
            <w:pPr>
              <w:pStyle w:val="Tabletext"/>
              <w:keepNext/>
              <w:jc w:val="right"/>
              <w:rPr>
                <w:iCs/>
              </w:rPr>
            </w:pPr>
          </w:p>
        </w:tc>
        <w:tc>
          <w:tcPr>
            <w:tcW w:w="471" w:type="pct"/>
            <w:tcBorders>
              <w:left w:val="nil"/>
              <w:bottom w:val="single" w:sz="4" w:space="0" w:color="000000" w:themeColor="text1"/>
              <w:right w:val="nil"/>
            </w:tcBorders>
            <w:noWrap/>
            <w:hideMark/>
          </w:tcPr>
          <w:p w14:paraId="7161DCBB" w14:textId="77777777" w:rsidR="00BF136A" w:rsidRPr="00F92E56" w:rsidRDefault="00BF136A" w:rsidP="007762E7">
            <w:pPr>
              <w:pStyle w:val="Tabletext"/>
              <w:keepNext/>
              <w:jc w:val="right"/>
              <w:rPr>
                <w:iCs/>
              </w:rPr>
            </w:pPr>
          </w:p>
        </w:tc>
        <w:tc>
          <w:tcPr>
            <w:tcW w:w="601" w:type="pct"/>
            <w:tcBorders>
              <w:left w:val="nil"/>
              <w:bottom w:val="single" w:sz="4" w:space="0" w:color="000000" w:themeColor="text1"/>
            </w:tcBorders>
            <w:noWrap/>
            <w:hideMark/>
          </w:tcPr>
          <w:p w14:paraId="525DD5F6" w14:textId="77777777" w:rsidR="00BF136A" w:rsidRPr="00F92E56" w:rsidRDefault="00BF136A" w:rsidP="007762E7">
            <w:pPr>
              <w:pStyle w:val="Tabletext"/>
              <w:keepNext/>
              <w:jc w:val="right"/>
              <w:rPr>
                <w:iCs/>
              </w:rPr>
            </w:pPr>
          </w:p>
        </w:tc>
      </w:tr>
      <w:tr w:rsidR="00BF136A" w:rsidRPr="00F92E56" w14:paraId="0F2E4B16" w14:textId="77777777" w:rsidTr="001D78FA">
        <w:tc>
          <w:tcPr>
            <w:tcW w:w="2984" w:type="pct"/>
            <w:tcBorders>
              <w:bottom w:val="nil"/>
            </w:tcBorders>
            <w:noWrap/>
            <w:hideMark/>
          </w:tcPr>
          <w:p w14:paraId="3D0FDA56" w14:textId="77777777" w:rsidR="00BF136A" w:rsidRPr="00F92E56" w:rsidRDefault="00BF136A" w:rsidP="00E1556A">
            <w:pPr>
              <w:pStyle w:val="Tabletext"/>
              <w:numPr>
                <w:ilvl w:val="0"/>
                <w:numId w:val="16"/>
              </w:numPr>
              <w:ind w:left="306" w:hanging="142"/>
              <w:rPr>
                <w:iCs/>
              </w:rPr>
            </w:pPr>
            <w:r w:rsidRPr="00F92E56">
              <w:rPr>
                <w:iCs/>
              </w:rPr>
              <w:t>0%</w:t>
            </w:r>
          </w:p>
        </w:tc>
        <w:tc>
          <w:tcPr>
            <w:tcW w:w="472" w:type="pct"/>
            <w:tcBorders>
              <w:bottom w:val="nil"/>
            </w:tcBorders>
            <w:noWrap/>
            <w:hideMark/>
          </w:tcPr>
          <w:p w14:paraId="2437EC16" w14:textId="7041ABE5"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664"/>
                <w14:textFill>
                  <w14:solidFill>
                    <w14:srgbClr w14:val="000000">
                      <w14:alpha w14:val="100000"/>
                    </w14:srgbClr>
                  </w14:solidFill>
                </w14:textFill>
              </w:rPr>
              <w:t>|</w:t>
            </w:r>
            <w:r w:rsidRPr="00785872">
              <w:rPr>
                <w:iCs/>
                <w:color w:val="000000"/>
                <w:spacing w:val="1"/>
                <w:shd w:val="solid" w:color="000000" w:fill="000000"/>
                <w:fitText w:val="180" w:id="-1032081664"/>
                <w14:textFill>
                  <w14:solidFill>
                    <w14:srgbClr w14:val="000000">
                      <w14:alpha w14:val="100000"/>
                    </w14:srgbClr>
                  </w14:solidFill>
                </w14:textFill>
              </w:rPr>
              <w:t>|</w:t>
            </w:r>
          </w:p>
        </w:tc>
        <w:tc>
          <w:tcPr>
            <w:tcW w:w="472" w:type="pct"/>
            <w:tcBorders>
              <w:bottom w:val="nil"/>
            </w:tcBorders>
            <w:noWrap/>
            <w:hideMark/>
          </w:tcPr>
          <w:p w14:paraId="1068CF7A" w14:textId="77777777" w:rsidR="00BF136A" w:rsidRPr="00F92E56" w:rsidRDefault="00BF136A" w:rsidP="007762E7">
            <w:pPr>
              <w:pStyle w:val="Tabletext"/>
              <w:jc w:val="right"/>
              <w:rPr>
                <w:iCs/>
              </w:rPr>
            </w:pPr>
            <w:r w:rsidRPr="00F92E56">
              <w:rPr>
                <w:iCs/>
              </w:rPr>
              <w:t>1.963</w:t>
            </w:r>
          </w:p>
        </w:tc>
        <w:tc>
          <w:tcPr>
            <w:tcW w:w="471" w:type="pct"/>
            <w:tcBorders>
              <w:bottom w:val="nil"/>
            </w:tcBorders>
            <w:noWrap/>
            <w:hideMark/>
          </w:tcPr>
          <w:p w14:paraId="1FEC39BD" w14:textId="7A3B2F59"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663"/>
                <w14:textFill>
                  <w14:solidFill>
                    <w14:srgbClr w14:val="000000">
                      <w14:alpha w14:val="100000"/>
                    </w14:srgbClr>
                  </w14:solidFill>
                </w14:textFill>
              </w:rPr>
              <w:t xml:space="preserve">　</w:t>
            </w:r>
            <w:r w:rsidRPr="00785872">
              <w:rPr>
                <w:iCs/>
                <w:color w:val="000000"/>
                <w:w w:val="22"/>
                <w:shd w:val="solid" w:color="000000" w:fill="000000"/>
                <w:fitText w:val="100" w:id="-1032081663"/>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663"/>
                <w14:textFill>
                  <w14:solidFill>
                    <w14:srgbClr w14:val="000000">
                      <w14:alpha w14:val="100000"/>
                    </w14:srgbClr>
                  </w14:solidFill>
                </w14:textFill>
              </w:rPr>
              <w:t xml:space="preserve">　</w:t>
            </w:r>
            <w:r w:rsidR="00BE598F">
              <w:rPr>
                <w:rFonts w:eastAsia="Calibri"/>
                <w:iCs/>
                <w:szCs w:val="20"/>
                <w:vertAlign w:val="superscript"/>
              </w:rPr>
              <w:t>2</w:t>
            </w:r>
          </w:p>
        </w:tc>
        <w:tc>
          <w:tcPr>
            <w:tcW w:w="601" w:type="pct"/>
            <w:tcBorders>
              <w:bottom w:val="nil"/>
            </w:tcBorders>
            <w:noWrap/>
            <w:hideMark/>
          </w:tcPr>
          <w:p w14:paraId="446FC6E6" w14:textId="4E749F75" w:rsidR="00BF136A" w:rsidRPr="00F92E56" w:rsidRDefault="00BF136A" w:rsidP="007762E7">
            <w:pPr>
              <w:pStyle w:val="Tabletext"/>
              <w:jc w:val="right"/>
              <w:rPr>
                <w:iCs/>
              </w:rPr>
            </w:pPr>
            <w:r w:rsidRPr="00F92E56">
              <w:rPr>
                <w:iCs/>
              </w:rPr>
              <w:t>−</w:t>
            </w:r>
            <w:r w:rsidR="00785872" w:rsidRPr="00785872">
              <w:rPr>
                <w:iCs/>
              </w:rPr>
              <w:t xml:space="preserve"> </w:t>
            </w:r>
            <w:r w:rsidR="00785872" w:rsidRPr="00785872">
              <w:rPr>
                <w:rFonts w:hint="eastAsia"/>
                <w:iCs/>
                <w:color w:val="000000"/>
                <w:w w:val="15"/>
                <w:shd w:val="solid" w:color="000000" w:fill="000000"/>
                <w:fitText w:val="40" w:id="-1032081662"/>
                <w14:textFill>
                  <w14:solidFill>
                    <w14:srgbClr w14:val="000000">
                      <w14:alpha w14:val="100000"/>
                    </w14:srgbClr>
                  </w14:solidFill>
                </w14:textFill>
              </w:rPr>
              <w:t xml:space="preserve">　</w:t>
            </w:r>
            <w:r w:rsidR="00785872" w:rsidRPr="00785872">
              <w:rPr>
                <w:iCs/>
                <w:color w:val="000000"/>
                <w:w w:val="15"/>
                <w:shd w:val="solid" w:color="000000" w:fill="000000"/>
                <w:fitText w:val="40" w:id="-1032081662"/>
                <w14:textFill>
                  <w14:solidFill>
                    <w14:srgbClr w14:val="000000">
                      <w14:alpha w14:val="100000"/>
                    </w14:srgbClr>
                  </w14:solidFill>
                </w14:textFill>
              </w:rPr>
              <w:t>|</w:t>
            </w:r>
            <w:r w:rsidR="00785872" w:rsidRPr="00785872">
              <w:rPr>
                <w:rFonts w:hint="eastAsia"/>
                <w:iCs/>
                <w:color w:val="000000"/>
                <w:spacing w:val="-25"/>
                <w:w w:val="15"/>
                <w:shd w:val="solid" w:color="000000" w:fill="000000"/>
                <w:fitText w:val="40" w:id="-1032081662"/>
                <w14:textFill>
                  <w14:solidFill>
                    <w14:srgbClr w14:val="000000">
                      <w14:alpha w14:val="100000"/>
                    </w14:srgbClr>
                  </w14:solidFill>
                </w14:textFill>
              </w:rPr>
              <w:t xml:space="preserve">　</w:t>
            </w:r>
          </w:p>
        </w:tc>
      </w:tr>
      <w:tr w:rsidR="00BF136A" w:rsidRPr="00F92E56" w14:paraId="2A43B169" w14:textId="77777777" w:rsidTr="001D78FA">
        <w:tc>
          <w:tcPr>
            <w:tcW w:w="2984" w:type="pct"/>
            <w:tcBorders>
              <w:top w:val="nil"/>
              <w:bottom w:val="single" w:sz="4" w:space="0" w:color="000000" w:themeColor="text1"/>
            </w:tcBorders>
            <w:noWrap/>
            <w:hideMark/>
          </w:tcPr>
          <w:p w14:paraId="7E03432F" w14:textId="77777777" w:rsidR="00BF136A" w:rsidRPr="00F92E56" w:rsidRDefault="00BF136A" w:rsidP="00E1556A">
            <w:pPr>
              <w:pStyle w:val="Tabletext"/>
              <w:numPr>
                <w:ilvl w:val="0"/>
                <w:numId w:val="16"/>
              </w:numPr>
              <w:ind w:left="306" w:hanging="142"/>
              <w:rPr>
                <w:iCs/>
              </w:rPr>
            </w:pPr>
            <w:r w:rsidRPr="00F92E56">
              <w:rPr>
                <w:iCs/>
              </w:rPr>
              <w:t>3.5%</w:t>
            </w:r>
          </w:p>
        </w:tc>
        <w:tc>
          <w:tcPr>
            <w:tcW w:w="472" w:type="pct"/>
            <w:tcBorders>
              <w:top w:val="nil"/>
              <w:bottom w:val="single" w:sz="4" w:space="0" w:color="000000" w:themeColor="text1"/>
            </w:tcBorders>
            <w:noWrap/>
            <w:hideMark/>
          </w:tcPr>
          <w:p w14:paraId="5E356B1E" w14:textId="4E480DB5"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661"/>
                <w14:textFill>
                  <w14:solidFill>
                    <w14:srgbClr w14:val="000000">
                      <w14:alpha w14:val="100000"/>
                    </w14:srgbClr>
                  </w14:solidFill>
                </w14:textFill>
              </w:rPr>
              <w:t>|</w:t>
            </w:r>
            <w:r w:rsidRPr="00785872">
              <w:rPr>
                <w:iCs/>
                <w:color w:val="000000"/>
                <w:spacing w:val="1"/>
                <w:shd w:val="solid" w:color="000000" w:fill="000000"/>
                <w:fitText w:val="180" w:id="-1032081661"/>
                <w14:textFill>
                  <w14:solidFill>
                    <w14:srgbClr w14:val="000000">
                      <w14:alpha w14:val="100000"/>
                    </w14:srgbClr>
                  </w14:solidFill>
                </w14:textFill>
              </w:rPr>
              <w:t>|</w:t>
            </w:r>
          </w:p>
        </w:tc>
        <w:tc>
          <w:tcPr>
            <w:tcW w:w="472" w:type="pct"/>
            <w:tcBorders>
              <w:top w:val="nil"/>
              <w:bottom w:val="single" w:sz="4" w:space="0" w:color="000000" w:themeColor="text1"/>
            </w:tcBorders>
            <w:noWrap/>
            <w:hideMark/>
          </w:tcPr>
          <w:p w14:paraId="425B4048" w14:textId="77777777" w:rsidR="00BF136A" w:rsidRPr="00F92E56" w:rsidRDefault="00BF136A" w:rsidP="007762E7">
            <w:pPr>
              <w:pStyle w:val="Tabletext"/>
              <w:jc w:val="right"/>
              <w:rPr>
                <w:iCs/>
              </w:rPr>
            </w:pPr>
            <w:r w:rsidRPr="00F92E56">
              <w:rPr>
                <w:iCs/>
              </w:rPr>
              <w:t>1.400</w:t>
            </w:r>
          </w:p>
        </w:tc>
        <w:tc>
          <w:tcPr>
            <w:tcW w:w="471" w:type="pct"/>
            <w:tcBorders>
              <w:top w:val="nil"/>
              <w:bottom w:val="single" w:sz="4" w:space="0" w:color="000000" w:themeColor="text1"/>
            </w:tcBorders>
            <w:noWrap/>
            <w:hideMark/>
          </w:tcPr>
          <w:p w14:paraId="41BDD097" w14:textId="2B9AFEF5"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660"/>
                <w14:textFill>
                  <w14:solidFill>
                    <w14:srgbClr w14:val="000000">
                      <w14:alpha w14:val="100000"/>
                    </w14:srgbClr>
                  </w14:solidFill>
                </w14:textFill>
              </w:rPr>
              <w:t xml:space="preserve">　</w:t>
            </w:r>
            <w:r w:rsidRPr="00785872">
              <w:rPr>
                <w:iCs/>
                <w:color w:val="000000"/>
                <w:w w:val="22"/>
                <w:shd w:val="solid" w:color="000000" w:fill="000000"/>
                <w:fitText w:val="100" w:id="-1032081660"/>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660"/>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top w:val="nil"/>
              <w:bottom w:val="single" w:sz="4" w:space="0" w:color="000000" w:themeColor="text1"/>
            </w:tcBorders>
            <w:noWrap/>
            <w:hideMark/>
          </w:tcPr>
          <w:p w14:paraId="29F800CE" w14:textId="1B5806E5" w:rsidR="00BF136A" w:rsidRPr="00F92E56" w:rsidRDefault="00BF136A" w:rsidP="007762E7">
            <w:pPr>
              <w:pStyle w:val="Tabletext"/>
              <w:jc w:val="right"/>
              <w:rPr>
                <w:iCs/>
              </w:rPr>
            </w:pPr>
            <w:r w:rsidRPr="00F92E56">
              <w:rPr>
                <w:iCs/>
              </w:rPr>
              <w:t>−</w:t>
            </w:r>
            <w:r w:rsidR="00785872" w:rsidRPr="00785872">
              <w:rPr>
                <w:iCs/>
              </w:rPr>
              <w:t xml:space="preserve"> </w:t>
            </w:r>
            <w:r w:rsidR="00785872" w:rsidRPr="00785872">
              <w:rPr>
                <w:rFonts w:hint="eastAsia"/>
                <w:iCs/>
                <w:color w:val="000000"/>
                <w:w w:val="15"/>
                <w:shd w:val="solid" w:color="000000" w:fill="000000"/>
                <w:fitText w:val="40" w:id="-1032081659"/>
                <w14:textFill>
                  <w14:solidFill>
                    <w14:srgbClr w14:val="000000">
                      <w14:alpha w14:val="100000"/>
                    </w14:srgbClr>
                  </w14:solidFill>
                </w14:textFill>
              </w:rPr>
              <w:t xml:space="preserve">　</w:t>
            </w:r>
            <w:r w:rsidR="00785872" w:rsidRPr="00785872">
              <w:rPr>
                <w:iCs/>
                <w:color w:val="000000"/>
                <w:w w:val="15"/>
                <w:shd w:val="solid" w:color="000000" w:fill="000000"/>
                <w:fitText w:val="40" w:id="-1032081659"/>
                <w14:textFill>
                  <w14:solidFill>
                    <w14:srgbClr w14:val="000000">
                      <w14:alpha w14:val="100000"/>
                    </w14:srgbClr>
                  </w14:solidFill>
                </w14:textFill>
              </w:rPr>
              <w:t>|</w:t>
            </w:r>
            <w:r w:rsidR="00785872" w:rsidRPr="00785872">
              <w:rPr>
                <w:rFonts w:hint="eastAsia"/>
                <w:iCs/>
                <w:color w:val="000000"/>
                <w:spacing w:val="-25"/>
                <w:w w:val="15"/>
                <w:shd w:val="solid" w:color="000000" w:fill="000000"/>
                <w:fitText w:val="40" w:id="-1032081659"/>
                <w14:textFill>
                  <w14:solidFill>
                    <w14:srgbClr w14:val="000000">
                      <w14:alpha w14:val="100000"/>
                    </w14:srgbClr>
                  </w14:solidFill>
                </w14:textFill>
              </w:rPr>
              <w:t xml:space="preserve">　</w:t>
            </w:r>
          </w:p>
        </w:tc>
      </w:tr>
      <w:tr w:rsidR="00BF136A" w:rsidRPr="00F92E56" w14:paraId="3BF1CE98" w14:textId="77777777" w:rsidTr="001D78FA">
        <w:tc>
          <w:tcPr>
            <w:tcW w:w="2984" w:type="pct"/>
            <w:tcBorders>
              <w:bottom w:val="single" w:sz="4" w:space="0" w:color="000000" w:themeColor="text1"/>
              <w:right w:val="nil"/>
            </w:tcBorders>
            <w:noWrap/>
            <w:hideMark/>
          </w:tcPr>
          <w:p w14:paraId="01F9C311" w14:textId="77777777" w:rsidR="00BF136A" w:rsidRPr="00F92E56" w:rsidRDefault="00BF136A" w:rsidP="007762E7">
            <w:pPr>
              <w:pStyle w:val="Tabletext"/>
              <w:keepNext/>
              <w:rPr>
                <w:iCs/>
              </w:rPr>
            </w:pPr>
            <w:r w:rsidRPr="00F92E56">
              <w:rPr>
                <w:iCs/>
              </w:rPr>
              <w:t>Time horizon (base case: 20 years)</w:t>
            </w:r>
          </w:p>
        </w:tc>
        <w:tc>
          <w:tcPr>
            <w:tcW w:w="472" w:type="pct"/>
            <w:tcBorders>
              <w:left w:val="nil"/>
              <w:bottom w:val="single" w:sz="4" w:space="0" w:color="000000" w:themeColor="text1"/>
              <w:right w:val="nil"/>
            </w:tcBorders>
            <w:noWrap/>
            <w:hideMark/>
          </w:tcPr>
          <w:p w14:paraId="65BD264F" w14:textId="77777777" w:rsidR="00BF136A" w:rsidRPr="00F92E56" w:rsidRDefault="00BF136A" w:rsidP="007762E7">
            <w:pPr>
              <w:pStyle w:val="Tabletext"/>
              <w:keepNext/>
              <w:jc w:val="right"/>
              <w:rPr>
                <w:iCs/>
              </w:rPr>
            </w:pPr>
          </w:p>
        </w:tc>
        <w:tc>
          <w:tcPr>
            <w:tcW w:w="472" w:type="pct"/>
            <w:tcBorders>
              <w:left w:val="nil"/>
              <w:bottom w:val="single" w:sz="4" w:space="0" w:color="000000" w:themeColor="text1"/>
              <w:right w:val="nil"/>
            </w:tcBorders>
            <w:noWrap/>
            <w:hideMark/>
          </w:tcPr>
          <w:p w14:paraId="24739B51" w14:textId="77777777" w:rsidR="00BF136A" w:rsidRPr="00F92E56" w:rsidRDefault="00BF136A" w:rsidP="007762E7">
            <w:pPr>
              <w:pStyle w:val="Tabletext"/>
              <w:keepNext/>
              <w:jc w:val="right"/>
              <w:rPr>
                <w:iCs/>
              </w:rPr>
            </w:pPr>
          </w:p>
        </w:tc>
        <w:tc>
          <w:tcPr>
            <w:tcW w:w="471" w:type="pct"/>
            <w:tcBorders>
              <w:left w:val="nil"/>
              <w:bottom w:val="single" w:sz="4" w:space="0" w:color="000000" w:themeColor="text1"/>
              <w:right w:val="nil"/>
            </w:tcBorders>
            <w:noWrap/>
            <w:hideMark/>
          </w:tcPr>
          <w:p w14:paraId="021A2B27" w14:textId="77777777" w:rsidR="00BF136A" w:rsidRPr="00F92E56" w:rsidRDefault="00BF136A" w:rsidP="007762E7">
            <w:pPr>
              <w:pStyle w:val="Tabletext"/>
              <w:keepNext/>
              <w:jc w:val="right"/>
              <w:rPr>
                <w:iCs/>
              </w:rPr>
            </w:pPr>
          </w:p>
        </w:tc>
        <w:tc>
          <w:tcPr>
            <w:tcW w:w="601" w:type="pct"/>
            <w:tcBorders>
              <w:left w:val="nil"/>
              <w:bottom w:val="single" w:sz="4" w:space="0" w:color="000000" w:themeColor="text1"/>
            </w:tcBorders>
            <w:noWrap/>
            <w:hideMark/>
          </w:tcPr>
          <w:p w14:paraId="40F6178A" w14:textId="77777777" w:rsidR="00BF136A" w:rsidRPr="00F92E56" w:rsidRDefault="00BF136A" w:rsidP="007762E7">
            <w:pPr>
              <w:pStyle w:val="Tabletext"/>
              <w:keepNext/>
              <w:jc w:val="right"/>
              <w:rPr>
                <w:iCs/>
              </w:rPr>
            </w:pPr>
          </w:p>
        </w:tc>
      </w:tr>
      <w:tr w:rsidR="00BF136A" w:rsidRPr="00F92E56" w14:paraId="72D55491" w14:textId="77777777" w:rsidTr="001D78FA">
        <w:tc>
          <w:tcPr>
            <w:tcW w:w="2984" w:type="pct"/>
            <w:tcBorders>
              <w:top w:val="nil"/>
              <w:bottom w:val="nil"/>
            </w:tcBorders>
            <w:noWrap/>
            <w:hideMark/>
          </w:tcPr>
          <w:p w14:paraId="468F764F" w14:textId="77777777" w:rsidR="00BF136A" w:rsidRPr="00F92E56" w:rsidRDefault="00BF136A" w:rsidP="00E1556A">
            <w:pPr>
              <w:pStyle w:val="Tabletext"/>
              <w:numPr>
                <w:ilvl w:val="0"/>
                <w:numId w:val="16"/>
              </w:numPr>
              <w:ind w:left="306" w:hanging="142"/>
              <w:rPr>
                <w:iCs/>
              </w:rPr>
            </w:pPr>
            <w:r w:rsidRPr="00F92E56">
              <w:rPr>
                <w:iCs/>
              </w:rPr>
              <w:t xml:space="preserve">15 years </w:t>
            </w:r>
            <w:r w:rsidRPr="00F92E56">
              <w:rPr>
                <w:b/>
                <w:bCs/>
                <w:iCs/>
              </w:rPr>
              <w:t>(#5)</w:t>
            </w:r>
          </w:p>
        </w:tc>
        <w:tc>
          <w:tcPr>
            <w:tcW w:w="472" w:type="pct"/>
            <w:tcBorders>
              <w:top w:val="nil"/>
              <w:bottom w:val="nil"/>
            </w:tcBorders>
            <w:noWrap/>
            <w:hideMark/>
          </w:tcPr>
          <w:p w14:paraId="08BA8D6B" w14:textId="3D3D5648"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658"/>
                <w14:textFill>
                  <w14:solidFill>
                    <w14:srgbClr w14:val="000000">
                      <w14:alpha w14:val="100000"/>
                    </w14:srgbClr>
                  </w14:solidFill>
                </w14:textFill>
              </w:rPr>
              <w:t>|</w:t>
            </w:r>
            <w:r w:rsidRPr="00785872">
              <w:rPr>
                <w:iCs/>
                <w:color w:val="000000"/>
                <w:spacing w:val="1"/>
                <w:shd w:val="solid" w:color="000000" w:fill="000000"/>
                <w:fitText w:val="180" w:id="-1032081658"/>
                <w14:textFill>
                  <w14:solidFill>
                    <w14:srgbClr w14:val="000000">
                      <w14:alpha w14:val="100000"/>
                    </w14:srgbClr>
                  </w14:solidFill>
                </w14:textFill>
              </w:rPr>
              <w:t>|</w:t>
            </w:r>
          </w:p>
        </w:tc>
        <w:tc>
          <w:tcPr>
            <w:tcW w:w="472" w:type="pct"/>
            <w:tcBorders>
              <w:top w:val="nil"/>
              <w:bottom w:val="nil"/>
            </w:tcBorders>
            <w:noWrap/>
            <w:hideMark/>
          </w:tcPr>
          <w:p w14:paraId="77CFF7BE" w14:textId="77777777" w:rsidR="00BF136A" w:rsidRPr="00F92E56" w:rsidRDefault="00BF136A" w:rsidP="007762E7">
            <w:pPr>
              <w:pStyle w:val="Tabletext"/>
              <w:jc w:val="right"/>
              <w:rPr>
                <w:iCs/>
              </w:rPr>
            </w:pPr>
            <w:r w:rsidRPr="00F92E56">
              <w:rPr>
                <w:iCs/>
              </w:rPr>
              <w:t>1.002</w:t>
            </w:r>
          </w:p>
        </w:tc>
        <w:tc>
          <w:tcPr>
            <w:tcW w:w="471" w:type="pct"/>
            <w:tcBorders>
              <w:top w:val="nil"/>
              <w:bottom w:val="nil"/>
            </w:tcBorders>
            <w:noWrap/>
            <w:hideMark/>
          </w:tcPr>
          <w:p w14:paraId="006024DF" w14:textId="3840ED4F"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657"/>
                <w14:textFill>
                  <w14:solidFill>
                    <w14:srgbClr w14:val="000000">
                      <w14:alpha w14:val="100000"/>
                    </w14:srgbClr>
                  </w14:solidFill>
                </w14:textFill>
              </w:rPr>
              <w:t xml:space="preserve">　</w:t>
            </w:r>
            <w:r w:rsidRPr="00785872">
              <w:rPr>
                <w:iCs/>
                <w:color w:val="000000"/>
                <w:w w:val="22"/>
                <w:shd w:val="solid" w:color="000000" w:fill="000000"/>
                <w:fitText w:val="100" w:id="-1032081657"/>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657"/>
                <w14:textFill>
                  <w14:solidFill>
                    <w14:srgbClr w14:val="000000">
                      <w14:alpha w14:val="100000"/>
                    </w14:srgbClr>
                  </w14:solidFill>
                </w14:textFill>
              </w:rPr>
              <w:t xml:space="preserve">　</w:t>
            </w:r>
            <w:r w:rsidR="00BE598F">
              <w:rPr>
                <w:rFonts w:eastAsia="Calibri"/>
                <w:iCs/>
                <w:szCs w:val="20"/>
                <w:vertAlign w:val="superscript"/>
              </w:rPr>
              <w:t>3</w:t>
            </w:r>
          </w:p>
        </w:tc>
        <w:tc>
          <w:tcPr>
            <w:tcW w:w="601" w:type="pct"/>
            <w:tcBorders>
              <w:top w:val="nil"/>
              <w:bottom w:val="nil"/>
            </w:tcBorders>
            <w:noWrap/>
            <w:hideMark/>
          </w:tcPr>
          <w:p w14:paraId="03732168" w14:textId="12BCF12C" w:rsidR="00BF136A" w:rsidRPr="00785872" w:rsidRDefault="00785872" w:rsidP="007762E7">
            <w:pPr>
              <w:pStyle w:val="Tabletext"/>
              <w:jc w:val="right"/>
              <w:rPr>
                <w:iCs/>
                <w:highlight w:val="darkGray"/>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2C19FC01" w14:textId="77777777" w:rsidTr="001D78FA">
        <w:tc>
          <w:tcPr>
            <w:tcW w:w="2984" w:type="pct"/>
            <w:tcBorders>
              <w:top w:val="nil"/>
              <w:bottom w:val="nil"/>
            </w:tcBorders>
            <w:noWrap/>
            <w:hideMark/>
          </w:tcPr>
          <w:p w14:paraId="7D1A3951" w14:textId="77777777" w:rsidR="00BF136A" w:rsidRPr="00F92E56" w:rsidRDefault="00BF136A" w:rsidP="00E1556A">
            <w:pPr>
              <w:pStyle w:val="Tabletext"/>
              <w:numPr>
                <w:ilvl w:val="0"/>
                <w:numId w:val="16"/>
              </w:numPr>
              <w:ind w:left="306" w:hanging="142"/>
              <w:rPr>
                <w:iCs/>
              </w:rPr>
            </w:pPr>
            <w:r w:rsidRPr="00F92E56">
              <w:rPr>
                <w:iCs/>
              </w:rPr>
              <w:t xml:space="preserve">17.5 years </w:t>
            </w:r>
          </w:p>
        </w:tc>
        <w:tc>
          <w:tcPr>
            <w:tcW w:w="472" w:type="pct"/>
            <w:tcBorders>
              <w:top w:val="nil"/>
              <w:bottom w:val="nil"/>
            </w:tcBorders>
            <w:noWrap/>
            <w:hideMark/>
          </w:tcPr>
          <w:p w14:paraId="7215CF09" w14:textId="72B76662"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656"/>
                <w14:textFill>
                  <w14:solidFill>
                    <w14:srgbClr w14:val="000000">
                      <w14:alpha w14:val="100000"/>
                    </w14:srgbClr>
                  </w14:solidFill>
                </w14:textFill>
              </w:rPr>
              <w:t>|</w:t>
            </w:r>
            <w:r w:rsidRPr="00785872">
              <w:rPr>
                <w:iCs/>
                <w:color w:val="000000"/>
                <w:spacing w:val="1"/>
                <w:shd w:val="solid" w:color="000000" w:fill="000000"/>
                <w:fitText w:val="180" w:id="-1032081656"/>
                <w14:textFill>
                  <w14:solidFill>
                    <w14:srgbClr w14:val="000000">
                      <w14:alpha w14:val="100000"/>
                    </w14:srgbClr>
                  </w14:solidFill>
                </w14:textFill>
              </w:rPr>
              <w:t>|</w:t>
            </w:r>
          </w:p>
        </w:tc>
        <w:tc>
          <w:tcPr>
            <w:tcW w:w="472" w:type="pct"/>
            <w:tcBorders>
              <w:top w:val="nil"/>
              <w:bottom w:val="nil"/>
            </w:tcBorders>
            <w:noWrap/>
            <w:hideMark/>
          </w:tcPr>
          <w:p w14:paraId="49B47ACA" w14:textId="77777777" w:rsidR="00BF136A" w:rsidRPr="00F92E56" w:rsidRDefault="00BF136A" w:rsidP="007762E7">
            <w:pPr>
              <w:pStyle w:val="Tabletext"/>
              <w:jc w:val="right"/>
              <w:rPr>
                <w:iCs/>
              </w:rPr>
            </w:pPr>
            <w:r w:rsidRPr="00F92E56">
              <w:rPr>
                <w:iCs/>
              </w:rPr>
              <w:t>1.126</w:t>
            </w:r>
          </w:p>
        </w:tc>
        <w:tc>
          <w:tcPr>
            <w:tcW w:w="471" w:type="pct"/>
            <w:tcBorders>
              <w:top w:val="nil"/>
              <w:bottom w:val="nil"/>
            </w:tcBorders>
            <w:noWrap/>
            <w:hideMark/>
          </w:tcPr>
          <w:p w14:paraId="2BD76E3A" w14:textId="67237CA9"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655"/>
                <w14:textFill>
                  <w14:solidFill>
                    <w14:srgbClr w14:val="000000">
                      <w14:alpha w14:val="100000"/>
                    </w14:srgbClr>
                  </w14:solidFill>
                </w14:textFill>
              </w:rPr>
              <w:t xml:space="preserve">　</w:t>
            </w:r>
            <w:r w:rsidRPr="00785872">
              <w:rPr>
                <w:iCs/>
                <w:color w:val="000000"/>
                <w:w w:val="22"/>
                <w:shd w:val="solid" w:color="000000" w:fill="000000"/>
                <w:fitText w:val="100" w:id="-1032081655"/>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655"/>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top w:val="nil"/>
              <w:bottom w:val="nil"/>
            </w:tcBorders>
            <w:noWrap/>
            <w:hideMark/>
          </w:tcPr>
          <w:p w14:paraId="02AC6E8E" w14:textId="30658C98" w:rsidR="00BF136A" w:rsidRPr="00785872" w:rsidRDefault="00785872" w:rsidP="007762E7">
            <w:pPr>
              <w:pStyle w:val="Tabletext"/>
              <w:jc w:val="right"/>
              <w:rPr>
                <w:iCs/>
                <w:highlight w:val="darkGray"/>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36D9100C" w14:textId="77777777" w:rsidTr="001D78FA">
        <w:tc>
          <w:tcPr>
            <w:tcW w:w="2984" w:type="pct"/>
            <w:tcBorders>
              <w:bottom w:val="single" w:sz="4" w:space="0" w:color="000000" w:themeColor="text1"/>
            </w:tcBorders>
            <w:noWrap/>
            <w:hideMark/>
          </w:tcPr>
          <w:p w14:paraId="7BE5719A" w14:textId="77777777" w:rsidR="00BF136A" w:rsidRPr="00F92E56" w:rsidRDefault="00BF136A" w:rsidP="007762E7">
            <w:pPr>
              <w:pStyle w:val="Tabletext"/>
              <w:rPr>
                <w:iCs/>
              </w:rPr>
            </w:pPr>
            <w:r w:rsidRPr="00F92E56">
              <w:rPr>
                <w:iCs/>
              </w:rPr>
              <w:t>DFS data used (base case: prior NAC subgroup), ITT</w:t>
            </w:r>
          </w:p>
        </w:tc>
        <w:tc>
          <w:tcPr>
            <w:tcW w:w="472" w:type="pct"/>
            <w:tcBorders>
              <w:bottom w:val="single" w:sz="4" w:space="0" w:color="000000" w:themeColor="text1"/>
            </w:tcBorders>
            <w:noWrap/>
            <w:hideMark/>
          </w:tcPr>
          <w:p w14:paraId="2C441D7A" w14:textId="6F3FF417"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654"/>
                <w14:textFill>
                  <w14:solidFill>
                    <w14:srgbClr w14:val="000000">
                      <w14:alpha w14:val="100000"/>
                    </w14:srgbClr>
                  </w14:solidFill>
                </w14:textFill>
              </w:rPr>
              <w:t>|</w:t>
            </w:r>
            <w:r w:rsidRPr="00785872">
              <w:rPr>
                <w:iCs/>
                <w:color w:val="000000"/>
                <w:spacing w:val="1"/>
                <w:shd w:val="solid" w:color="000000" w:fill="000000"/>
                <w:fitText w:val="180" w:id="-1032081654"/>
                <w14:textFill>
                  <w14:solidFill>
                    <w14:srgbClr w14:val="000000">
                      <w14:alpha w14:val="100000"/>
                    </w14:srgbClr>
                  </w14:solidFill>
                </w14:textFill>
              </w:rPr>
              <w:t>|</w:t>
            </w:r>
          </w:p>
        </w:tc>
        <w:tc>
          <w:tcPr>
            <w:tcW w:w="472" w:type="pct"/>
            <w:tcBorders>
              <w:bottom w:val="single" w:sz="4" w:space="0" w:color="000000" w:themeColor="text1"/>
            </w:tcBorders>
            <w:noWrap/>
            <w:hideMark/>
          </w:tcPr>
          <w:p w14:paraId="4C2BA6F7" w14:textId="77777777" w:rsidR="00BF136A" w:rsidRPr="00F92E56" w:rsidRDefault="00BF136A" w:rsidP="007762E7">
            <w:pPr>
              <w:pStyle w:val="Tabletext"/>
              <w:jc w:val="right"/>
              <w:rPr>
                <w:iCs/>
              </w:rPr>
            </w:pPr>
            <w:r w:rsidRPr="00F92E56">
              <w:rPr>
                <w:iCs/>
              </w:rPr>
              <w:t>0.382</w:t>
            </w:r>
          </w:p>
        </w:tc>
        <w:tc>
          <w:tcPr>
            <w:tcW w:w="471" w:type="pct"/>
            <w:tcBorders>
              <w:bottom w:val="single" w:sz="4" w:space="0" w:color="000000" w:themeColor="text1"/>
            </w:tcBorders>
            <w:noWrap/>
            <w:hideMark/>
          </w:tcPr>
          <w:p w14:paraId="41B11CCF" w14:textId="28D5B219"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653"/>
                <w14:textFill>
                  <w14:solidFill>
                    <w14:srgbClr w14:val="000000">
                      <w14:alpha w14:val="100000"/>
                    </w14:srgbClr>
                  </w14:solidFill>
                </w14:textFill>
              </w:rPr>
              <w:t xml:space="preserve">　</w:t>
            </w:r>
            <w:r w:rsidRPr="00785872">
              <w:rPr>
                <w:iCs/>
                <w:color w:val="000000"/>
                <w:w w:val="22"/>
                <w:shd w:val="solid" w:color="000000" w:fill="000000"/>
                <w:fitText w:val="100" w:id="-1032081653"/>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653"/>
                <w14:textFill>
                  <w14:solidFill>
                    <w14:srgbClr w14:val="000000">
                      <w14:alpha w14:val="100000"/>
                    </w14:srgbClr>
                  </w14:solidFill>
                </w14:textFill>
              </w:rPr>
              <w:t xml:space="preserve">　</w:t>
            </w:r>
            <w:r w:rsidR="00BE598F">
              <w:rPr>
                <w:rFonts w:eastAsia="Calibri"/>
                <w:iCs/>
                <w:szCs w:val="20"/>
                <w:vertAlign w:val="superscript"/>
              </w:rPr>
              <w:t>4</w:t>
            </w:r>
          </w:p>
        </w:tc>
        <w:tc>
          <w:tcPr>
            <w:tcW w:w="601" w:type="pct"/>
            <w:tcBorders>
              <w:bottom w:val="single" w:sz="4" w:space="0" w:color="000000" w:themeColor="text1"/>
            </w:tcBorders>
            <w:noWrap/>
            <w:hideMark/>
          </w:tcPr>
          <w:p w14:paraId="42AB0B30" w14:textId="5C840324" w:rsidR="00BF136A" w:rsidRPr="00785872" w:rsidRDefault="00785872" w:rsidP="007762E7">
            <w:pPr>
              <w:pStyle w:val="Tabletext"/>
              <w:jc w:val="right"/>
              <w:rPr>
                <w:iCs/>
                <w:highlight w:val="darkGray"/>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4F7F8512" w14:textId="77777777" w:rsidTr="001D78FA">
        <w:tc>
          <w:tcPr>
            <w:tcW w:w="2984" w:type="pct"/>
            <w:tcBorders>
              <w:bottom w:val="single" w:sz="4" w:space="0" w:color="000000" w:themeColor="text1"/>
              <w:right w:val="single" w:sz="4" w:space="0" w:color="000000" w:themeColor="text1"/>
            </w:tcBorders>
            <w:noWrap/>
            <w:hideMark/>
          </w:tcPr>
          <w:p w14:paraId="40496D82" w14:textId="77777777" w:rsidR="00BF136A" w:rsidRPr="00F92E56" w:rsidRDefault="00BF136A" w:rsidP="007762E7">
            <w:pPr>
              <w:pStyle w:val="Tabletext"/>
              <w:rPr>
                <w:iCs/>
              </w:rPr>
            </w:pPr>
            <w:r w:rsidRPr="00F92E56">
              <w:rPr>
                <w:iCs/>
              </w:rPr>
              <w:t xml:space="preserve">Placebo KM DFS truncation, 48 months (base case: 54 months) </w:t>
            </w:r>
            <w:r w:rsidRPr="00F92E56">
              <w:rPr>
                <w:b/>
                <w:bCs/>
                <w:iCs/>
              </w:rPr>
              <w:t>(#1)</w:t>
            </w:r>
          </w:p>
        </w:tc>
        <w:tc>
          <w:tcPr>
            <w:tcW w:w="472" w:type="pct"/>
            <w:tcBorders>
              <w:left w:val="single" w:sz="4" w:space="0" w:color="000000" w:themeColor="text1"/>
              <w:bottom w:val="single" w:sz="4" w:space="0" w:color="000000" w:themeColor="text1"/>
              <w:right w:val="single" w:sz="4" w:space="0" w:color="000000" w:themeColor="text1"/>
            </w:tcBorders>
            <w:noWrap/>
            <w:hideMark/>
          </w:tcPr>
          <w:p w14:paraId="5BFAE333" w14:textId="75108E75"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652"/>
                <w14:textFill>
                  <w14:solidFill>
                    <w14:srgbClr w14:val="000000">
                      <w14:alpha w14:val="100000"/>
                    </w14:srgbClr>
                  </w14:solidFill>
                </w14:textFill>
              </w:rPr>
              <w:t>|</w:t>
            </w:r>
            <w:r w:rsidRPr="00785872">
              <w:rPr>
                <w:iCs/>
                <w:color w:val="000000"/>
                <w:spacing w:val="1"/>
                <w:shd w:val="solid" w:color="000000" w:fill="000000"/>
                <w:fitText w:val="180" w:id="-1032081652"/>
                <w14:textFill>
                  <w14:solidFill>
                    <w14:srgbClr w14:val="000000">
                      <w14:alpha w14:val="100000"/>
                    </w14:srgbClr>
                  </w14:solidFill>
                </w14:textFill>
              </w:rPr>
              <w:t>|</w:t>
            </w:r>
          </w:p>
        </w:tc>
        <w:tc>
          <w:tcPr>
            <w:tcW w:w="472" w:type="pct"/>
            <w:tcBorders>
              <w:left w:val="single" w:sz="4" w:space="0" w:color="000000" w:themeColor="text1"/>
              <w:bottom w:val="single" w:sz="4" w:space="0" w:color="000000" w:themeColor="text1"/>
              <w:right w:val="single" w:sz="4" w:space="0" w:color="000000" w:themeColor="text1"/>
            </w:tcBorders>
            <w:noWrap/>
            <w:hideMark/>
          </w:tcPr>
          <w:p w14:paraId="42EB069A" w14:textId="77777777" w:rsidR="00BF136A" w:rsidRPr="00F92E56" w:rsidRDefault="00BF136A" w:rsidP="007762E7">
            <w:pPr>
              <w:pStyle w:val="Tabletext"/>
              <w:jc w:val="right"/>
              <w:rPr>
                <w:iCs/>
              </w:rPr>
            </w:pPr>
            <w:r w:rsidRPr="00F92E56">
              <w:rPr>
                <w:iCs/>
              </w:rPr>
              <w:t>1.072</w:t>
            </w:r>
          </w:p>
        </w:tc>
        <w:tc>
          <w:tcPr>
            <w:tcW w:w="471" w:type="pct"/>
            <w:tcBorders>
              <w:left w:val="single" w:sz="4" w:space="0" w:color="000000" w:themeColor="text1"/>
              <w:bottom w:val="single" w:sz="4" w:space="0" w:color="000000" w:themeColor="text1"/>
              <w:right w:val="single" w:sz="4" w:space="0" w:color="000000" w:themeColor="text1"/>
            </w:tcBorders>
            <w:noWrap/>
            <w:hideMark/>
          </w:tcPr>
          <w:p w14:paraId="4D690B13" w14:textId="7E0430D5"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651"/>
                <w14:textFill>
                  <w14:solidFill>
                    <w14:srgbClr w14:val="000000">
                      <w14:alpha w14:val="100000"/>
                    </w14:srgbClr>
                  </w14:solidFill>
                </w14:textFill>
              </w:rPr>
              <w:t xml:space="preserve">　</w:t>
            </w:r>
            <w:r w:rsidRPr="00785872">
              <w:rPr>
                <w:iCs/>
                <w:color w:val="000000"/>
                <w:w w:val="22"/>
                <w:shd w:val="solid" w:color="000000" w:fill="000000"/>
                <w:fitText w:val="100" w:id="-1032081651"/>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651"/>
                <w14:textFill>
                  <w14:solidFill>
                    <w14:srgbClr w14:val="000000">
                      <w14:alpha w14:val="100000"/>
                    </w14:srgbClr>
                  </w14:solidFill>
                </w14:textFill>
              </w:rPr>
              <w:t xml:space="preserve">　</w:t>
            </w:r>
            <w:r w:rsidR="00BE598F">
              <w:rPr>
                <w:rFonts w:eastAsia="Calibri"/>
                <w:iCs/>
                <w:szCs w:val="20"/>
                <w:vertAlign w:val="superscript"/>
              </w:rPr>
              <w:t>3</w:t>
            </w:r>
          </w:p>
        </w:tc>
        <w:tc>
          <w:tcPr>
            <w:tcW w:w="601" w:type="pct"/>
            <w:tcBorders>
              <w:left w:val="single" w:sz="4" w:space="0" w:color="000000" w:themeColor="text1"/>
              <w:bottom w:val="single" w:sz="4" w:space="0" w:color="000000" w:themeColor="text1"/>
            </w:tcBorders>
            <w:noWrap/>
            <w:hideMark/>
          </w:tcPr>
          <w:p w14:paraId="51DABC88" w14:textId="00BBD5F9" w:rsidR="00BF136A" w:rsidRPr="00785872" w:rsidRDefault="00785872" w:rsidP="007762E7">
            <w:pPr>
              <w:pStyle w:val="Tabletext"/>
              <w:jc w:val="right"/>
              <w:rPr>
                <w:iCs/>
                <w:highlight w:val="darkGray"/>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138BA8EC" w14:textId="77777777" w:rsidTr="001D78FA">
        <w:tc>
          <w:tcPr>
            <w:tcW w:w="2984" w:type="pct"/>
            <w:tcBorders>
              <w:bottom w:val="single" w:sz="4" w:space="0" w:color="000000" w:themeColor="text1"/>
              <w:right w:val="nil"/>
            </w:tcBorders>
            <w:noWrap/>
            <w:hideMark/>
          </w:tcPr>
          <w:p w14:paraId="6A20F14F" w14:textId="77777777" w:rsidR="00BF136A" w:rsidRPr="00F92E56" w:rsidRDefault="00BF136A" w:rsidP="007762E7">
            <w:pPr>
              <w:pStyle w:val="Tabletext"/>
              <w:keepNext/>
              <w:rPr>
                <w:iCs/>
              </w:rPr>
            </w:pPr>
            <w:r w:rsidRPr="00F92E56">
              <w:rPr>
                <w:iCs/>
              </w:rPr>
              <w:t>DFS extrapolation (base case: both Gompertz)</w:t>
            </w:r>
          </w:p>
        </w:tc>
        <w:tc>
          <w:tcPr>
            <w:tcW w:w="472" w:type="pct"/>
            <w:tcBorders>
              <w:left w:val="nil"/>
              <w:bottom w:val="single" w:sz="4" w:space="0" w:color="000000" w:themeColor="text1"/>
              <w:right w:val="nil"/>
            </w:tcBorders>
            <w:noWrap/>
            <w:hideMark/>
          </w:tcPr>
          <w:p w14:paraId="0CD64183" w14:textId="77777777" w:rsidR="00BF136A" w:rsidRPr="00F92E56" w:rsidRDefault="00BF136A" w:rsidP="007762E7">
            <w:pPr>
              <w:pStyle w:val="Tabletext"/>
              <w:keepNext/>
              <w:jc w:val="right"/>
              <w:rPr>
                <w:iCs/>
              </w:rPr>
            </w:pPr>
          </w:p>
        </w:tc>
        <w:tc>
          <w:tcPr>
            <w:tcW w:w="472" w:type="pct"/>
            <w:tcBorders>
              <w:left w:val="nil"/>
              <w:bottom w:val="single" w:sz="4" w:space="0" w:color="000000" w:themeColor="text1"/>
              <w:right w:val="nil"/>
            </w:tcBorders>
            <w:noWrap/>
            <w:hideMark/>
          </w:tcPr>
          <w:p w14:paraId="129C01F4" w14:textId="77777777" w:rsidR="00BF136A" w:rsidRPr="00F92E56" w:rsidRDefault="00BF136A" w:rsidP="007762E7">
            <w:pPr>
              <w:pStyle w:val="Tabletext"/>
              <w:keepNext/>
              <w:jc w:val="right"/>
              <w:rPr>
                <w:iCs/>
              </w:rPr>
            </w:pPr>
          </w:p>
        </w:tc>
        <w:tc>
          <w:tcPr>
            <w:tcW w:w="471" w:type="pct"/>
            <w:tcBorders>
              <w:left w:val="nil"/>
              <w:bottom w:val="single" w:sz="4" w:space="0" w:color="000000" w:themeColor="text1"/>
              <w:right w:val="nil"/>
            </w:tcBorders>
            <w:noWrap/>
            <w:hideMark/>
          </w:tcPr>
          <w:p w14:paraId="0603AC6F" w14:textId="77777777" w:rsidR="00BF136A" w:rsidRPr="00F92E56" w:rsidRDefault="00BF136A" w:rsidP="007762E7">
            <w:pPr>
              <w:pStyle w:val="Tabletext"/>
              <w:keepNext/>
              <w:jc w:val="right"/>
              <w:rPr>
                <w:iCs/>
              </w:rPr>
            </w:pPr>
          </w:p>
        </w:tc>
        <w:tc>
          <w:tcPr>
            <w:tcW w:w="601" w:type="pct"/>
            <w:tcBorders>
              <w:left w:val="nil"/>
              <w:bottom w:val="single" w:sz="4" w:space="0" w:color="000000" w:themeColor="text1"/>
            </w:tcBorders>
            <w:noWrap/>
            <w:hideMark/>
          </w:tcPr>
          <w:p w14:paraId="55FADA0B" w14:textId="77777777" w:rsidR="00BF136A" w:rsidRPr="00F92E56" w:rsidRDefault="00BF136A" w:rsidP="007762E7">
            <w:pPr>
              <w:pStyle w:val="Tabletext"/>
              <w:keepNext/>
              <w:jc w:val="right"/>
              <w:rPr>
                <w:iCs/>
              </w:rPr>
            </w:pPr>
          </w:p>
        </w:tc>
      </w:tr>
      <w:tr w:rsidR="00BF136A" w:rsidRPr="00F92E56" w14:paraId="511C53FC" w14:textId="77777777" w:rsidTr="001D78FA">
        <w:tc>
          <w:tcPr>
            <w:tcW w:w="2984" w:type="pct"/>
            <w:tcBorders>
              <w:bottom w:val="nil"/>
            </w:tcBorders>
            <w:noWrap/>
            <w:hideMark/>
          </w:tcPr>
          <w:p w14:paraId="6FDC1FCD" w14:textId="77777777" w:rsidR="00BF136A" w:rsidRPr="00F92E56" w:rsidRDefault="00BF136A" w:rsidP="00E1556A">
            <w:pPr>
              <w:pStyle w:val="Tabletext"/>
              <w:numPr>
                <w:ilvl w:val="0"/>
                <w:numId w:val="16"/>
              </w:numPr>
              <w:ind w:left="306" w:hanging="142"/>
              <w:rPr>
                <w:iCs/>
              </w:rPr>
            </w:pPr>
            <w:r w:rsidRPr="00F92E56">
              <w:rPr>
                <w:iCs/>
              </w:rPr>
              <w:t>Both Generalised gamma</w:t>
            </w:r>
          </w:p>
        </w:tc>
        <w:tc>
          <w:tcPr>
            <w:tcW w:w="472" w:type="pct"/>
            <w:tcBorders>
              <w:bottom w:val="nil"/>
            </w:tcBorders>
            <w:noWrap/>
            <w:hideMark/>
          </w:tcPr>
          <w:p w14:paraId="6ABCF2E8" w14:textId="741B1CBC"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650"/>
                <w14:textFill>
                  <w14:solidFill>
                    <w14:srgbClr w14:val="000000">
                      <w14:alpha w14:val="100000"/>
                    </w14:srgbClr>
                  </w14:solidFill>
                </w14:textFill>
              </w:rPr>
              <w:t>|</w:t>
            </w:r>
            <w:r w:rsidRPr="00785872">
              <w:rPr>
                <w:iCs/>
                <w:color w:val="000000"/>
                <w:spacing w:val="1"/>
                <w:shd w:val="solid" w:color="000000" w:fill="000000"/>
                <w:fitText w:val="180" w:id="-1032081650"/>
                <w14:textFill>
                  <w14:solidFill>
                    <w14:srgbClr w14:val="000000">
                      <w14:alpha w14:val="100000"/>
                    </w14:srgbClr>
                  </w14:solidFill>
                </w14:textFill>
              </w:rPr>
              <w:t>|</w:t>
            </w:r>
          </w:p>
        </w:tc>
        <w:tc>
          <w:tcPr>
            <w:tcW w:w="472" w:type="pct"/>
            <w:tcBorders>
              <w:bottom w:val="nil"/>
            </w:tcBorders>
            <w:noWrap/>
            <w:hideMark/>
          </w:tcPr>
          <w:p w14:paraId="6DBF9CCC" w14:textId="77777777" w:rsidR="00BF136A" w:rsidRPr="00F92E56" w:rsidRDefault="00BF136A" w:rsidP="007762E7">
            <w:pPr>
              <w:pStyle w:val="Tabletext"/>
              <w:jc w:val="right"/>
              <w:rPr>
                <w:iCs/>
              </w:rPr>
            </w:pPr>
            <w:r w:rsidRPr="00F92E56">
              <w:rPr>
                <w:iCs/>
              </w:rPr>
              <w:t>1.258</w:t>
            </w:r>
          </w:p>
        </w:tc>
        <w:tc>
          <w:tcPr>
            <w:tcW w:w="471" w:type="pct"/>
            <w:tcBorders>
              <w:bottom w:val="nil"/>
            </w:tcBorders>
            <w:noWrap/>
            <w:hideMark/>
          </w:tcPr>
          <w:p w14:paraId="6AEF3B3D" w14:textId="71AE41BF"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649"/>
                <w14:textFill>
                  <w14:solidFill>
                    <w14:srgbClr w14:val="000000">
                      <w14:alpha w14:val="100000"/>
                    </w14:srgbClr>
                  </w14:solidFill>
                </w14:textFill>
              </w:rPr>
              <w:t xml:space="preserve">　</w:t>
            </w:r>
            <w:r w:rsidRPr="00785872">
              <w:rPr>
                <w:iCs/>
                <w:color w:val="000000"/>
                <w:w w:val="22"/>
                <w:shd w:val="solid" w:color="000000" w:fill="000000"/>
                <w:fitText w:val="100" w:id="-1032081649"/>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649"/>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bottom w:val="nil"/>
            </w:tcBorders>
            <w:noWrap/>
            <w:hideMark/>
          </w:tcPr>
          <w:p w14:paraId="76C07A2F" w14:textId="0A2A4790" w:rsidR="00BF136A" w:rsidRPr="00F92E56" w:rsidRDefault="00BF136A" w:rsidP="007762E7">
            <w:pPr>
              <w:pStyle w:val="Tabletext"/>
              <w:jc w:val="right"/>
              <w:rPr>
                <w:iCs/>
              </w:rPr>
            </w:pPr>
            <w:r w:rsidRPr="00F92E56">
              <w:rPr>
                <w:iCs/>
              </w:rPr>
              <w:t>−</w:t>
            </w:r>
            <w:r w:rsidR="00785872" w:rsidRPr="00785872">
              <w:rPr>
                <w:iCs/>
              </w:rPr>
              <w:t xml:space="preserve"> </w:t>
            </w:r>
            <w:r w:rsidR="00785872" w:rsidRPr="00785872">
              <w:rPr>
                <w:rFonts w:hint="eastAsia"/>
                <w:iCs/>
                <w:color w:val="000000"/>
                <w:w w:val="15"/>
                <w:shd w:val="solid" w:color="000000" w:fill="000000"/>
                <w:fitText w:val="40" w:id="-1032081648"/>
                <w14:textFill>
                  <w14:solidFill>
                    <w14:srgbClr w14:val="000000">
                      <w14:alpha w14:val="100000"/>
                    </w14:srgbClr>
                  </w14:solidFill>
                </w14:textFill>
              </w:rPr>
              <w:t xml:space="preserve">　</w:t>
            </w:r>
            <w:r w:rsidR="00785872" w:rsidRPr="00785872">
              <w:rPr>
                <w:iCs/>
                <w:color w:val="000000"/>
                <w:w w:val="15"/>
                <w:shd w:val="solid" w:color="000000" w:fill="000000"/>
                <w:fitText w:val="40" w:id="-1032081648"/>
                <w14:textFill>
                  <w14:solidFill>
                    <w14:srgbClr w14:val="000000">
                      <w14:alpha w14:val="100000"/>
                    </w14:srgbClr>
                  </w14:solidFill>
                </w14:textFill>
              </w:rPr>
              <w:t>|</w:t>
            </w:r>
            <w:r w:rsidR="00785872" w:rsidRPr="00785872">
              <w:rPr>
                <w:rFonts w:hint="eastAsia"/>
                <w:iCs/>
                <w:color w:val="000000"/>
                <w:spacing w:val="-25"/>
                <w:w w:val="15"/>
                <w:shd w:val="solid" w:color="000000" w:fill="000000"/>
                <w:fitText w:val="40" w:id="-1032081648"/>
                <w14:textFill>
                  <w14:solidFill>
                    <w14:srgbClr w14:val="000000">
                      <w14:alpha w14:val="100000"/>
                    </w14:srgbClr>
                  </w14:solidFill>
                </w14:textFill>
              </w:rPr>
              <w:t xml:space="preserve">　</w:t>
            </w:r>
          </w:p>
        </w:tc>
      </w:tr>
      <w:tr w:rsidR="00BF136A" w:rsidRPr="00F92E56" w14:paraId="579E03EF" w14:textId="77777777" w:rsidTr="001D78FA">
        <w:tc>
          <w:tcPr>
            <w:tcW w:w="2984" w:type="pct"/>
            <w:tcBorders>
              <w:top w:val="nil"/>
              <w:bottom w:val="single" w:sz="4" w:space="0" w:color="000000" w:themeColor="text1"/>
            </w:tcBorders>
            <w:noWrap/>
            <w:hideMark/>
          </w:tcPr>
          <w:p w14:paraId="46CECE93" w14:textId="77777777" w:rsidR="00BF136A" w:rsidRPr="00F92E56" w:rsidRDefault="00BF136A" w:rsidP="00E1556A">
            <w:pPr>
              <w:pStyle w:val="Tabletext"/>
              <w:numPr>
                <w:ilvl w:val="0"/>
                <w:numId w:val="16"/>
              </w:numPr>
              <w:ind w:left="306" w:hanging="142"/>
              <w:rPr>
                <w:iCs/>
              </w:rPr>
            </w:pPr>
            <w:r w:rsidRPr="00F92E56">
              <w:rPr>
                <w:iCs/>
              </w:rPr>
              <w:t xml:space="preserve">nivolumab by Generalised Gamma, placebo by Gompertz </w:t>
            </w:r>
            <w:r w:rsidRPr="00F92E56">
              <w:rPr>
                <w:b/>
                <w:bCs/>
                <w:iCs/>
              </w:rPr>
              <w:t>(#3)</w:t>
            </w:r>
          </w:p>
        </w:tc>
        <w:tc>
          <w:tcPr>
            <w:tcW w:w="472" w:type="pct"/>
            <w:tcBorders>
              <w:top w:val="nil"/>
              <w:bottom w:val="single" w:sz="4" w:space="0" w:color="000000" w:themeColor="text1"/>
            </w:tcBorders>
            <w:noWrap/>
            <w:hideMark/>
          </w:tcPr>
          <w:p w14:paraId="06D7CA0D" w14:textId="5884A93C"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664"/>
                <w14:textFill>
                  <w14:solidFill>
                    <w14:srgbClr w14:val="000000">
                      <w14:alpha w14:val="100000"/>
                    </w14:srgbClr>
                  </w14:solidFill>
                </w14:textFill>
              </w:rPr>
              <w:t>|</w:t>
            </w:r>
            <w:r w:rsidRPr="00785872">
              <w:rPr>
                <w:iCs/>
                <w:color w:val="000000"/>
                <w:spacing w:val="1"/>
                <w:shd w:val="solid" w:color="000000" w:fill="000000"/>
                <w:fitText w:val="180" w:id="-1032081664"/>
                <w14:textFill>
                  <w14:solidFill>
                    <w14:srgbClr w14:val="000000">
                      <w14:alpha w14:val="100000"/>
                    </w14:srgbClr>
                  </w14:solidFill>
                </w14:textFill>
              </w:rPr>
              <w:t>|</w:t>
            </w:r>
          </w:p>
        </w:tc>
        <w:tc>
          <w:tcPr>
            <w:tcW w:w="472" w:type="pct"/>
            <w:tcBorders>
              <w:top w:val="nil"/>
              <w:bottom w:val="single" w:sz="4" w:space="0" w:color="000000" w:themeColor="text1"/>
            </w:tcBorders>
            <w:noWrap/>
            <w:hideMark/>
          </w:tcPr>
          <w:p w14:paraId="1F6F16BD" w14:textId="77777777" w:rsidR="00BF136A" w:rsidRPr="00F92E56" w:rsidRDefault="00BF136A" w:rsidP="007762E7">
            <w:pPr>
              <w:pStyle w:val="Tabletext"/>
              <w:jc w:val="right"/>
              <w:rPr>
                <w:iCs/>
              </w:rPr>
            </w:pPr>
            <w:r w:rsidRPr="00F92E56">
              <w:rPr>
                <w:iCs/>
              </w:rPr>
              <w:t>1.200</w:t>
            </w:r>
          </w:p>
        </w:tc>
        <w:tc>
          <w:tcPr>
            <w:tcW w:w="471" w:type="pct"/>
            <w:tcBorders>
              <w:top w:val="nil"/>
              <w:bottom w:val="single" w:sz="4" w:space="0" w:color="000000" w:themeColor="text1"/>
            </w:tcBorders>
            <w:noWrap/>
            <w:hideMark/>
          </w:tcPr>
          <w:p w14:paraId="03C8051D" w14:textId="552133BC"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663"/>
                <w14:textFill>
                  <w14:solidFill>
                    <w14:srgbClr w14:val="000000">
                      <w14:alpha w14:val="100000"/>
                    </w14:srgbClr>
                  </w14:solidFill>
                </w14:textFill>
              </w:rPr>
              <w:t xml:space="preserve">　</w:t>
            </w:r>
            <w:r w:rsidRPr="00785872">
              <w:rPr>
                <w:iCs/>
                <w:color w:val="000000"/>
                <w:w w:val="22"/>
                <w:shd w:val="solid" w:color="000000" w:fill="000000"/>
                <w:fitText w:val="100" w:id="-1032081663"/>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663"/>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top w:val="nil"/>
              <w:bottom w:val="single" w:sz="4" w:space="0" w:color="000000" w:themeColor="text1"/>
            </w:tcBorders>
            <w:noWrap/>
            <w:hideMark/>
          </w:tcPr>
          <w:p w14:paraId="2B78E2B5" w14:textId="57867E4B" w:rsidR="00BF136A" w:rsidRPr="00785872" w:rsidRDefault="00785872" w:rsidP="007762E7">
            <w:pPr>
              <w:pStyle w:val="Tabletext"/>
              <w:jc w:val="right"/>
              <w:rPr>
                <w:iCs/>
                <w:highlight w:val="darkGray"/>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7C3591CE" w14:textId="77777777" w:rsidTr="001D78FA">
        <w:tc>
          <w:tcPr>
            <w:tcW w:w="2984" w:type="pct"/>
            <w:tcBorders>
              <w:top w:val="nil"/>
              <w:bottom w:val="single" w:sz="4" w:space="0" w:color="000000" w:themeColor="text1"/>
            </w:tcBorders>
            <w:noWrap/>
            <w:hideMark/>
          </w:tcPr>
          <w:p w14:paraId="6409BAEB" w14:textId="77777777" w:rsidR="00BF136A" w:rsidRPr="00F92E56" w:rsidRDefault="00BF136A" w:rsidP="007762E7">
            <w:pPr>
              <w:pStyle w:val="Tabletext"/>
              <w:rPr>
                <w:iCs/>
              </w:rPr>
            </w:pPr>
            <w:r w:rsidRPr="00F92E56">
              <w:rPr>
                <w:iCs/>
              </w:rPr>
              <w:t>Cure assumptions, none (base case: 5 years)</w:t>
            </w:r>
          </w:p>
        </w:tc>
        <w:tc>
          <w:tcPr>
            <w:tcW w:w="472" w:type="pct"/>
            <w:tcBorders>
              <w:top w:val="nil"/>
              <w:bottom w:val="single" w:sz="4" w:space="0" w:color="000000" w:themeColor="text1"/>
            </w:tcBorders>
            <w:noWrap/>
            <w:hideMark/>
          </w:tcPr>
          <w:p w14:paraId="6454B411" w14:textId="6AAD8777"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662"/>
                <w14:textFill>
                  <w14:solidFill>
                    <w14:srgbClr w14:val="000000">
                      <w14:alpha w14:val="100000"/>
                    </w14:srgbClr>
                  </w14:solidFill>
                </w14:textFill>
              </w:rPr>
              <w:t>|</w:t>
            </w:r>
            <w:r w:rsidRPr="00785872">
              <w:rPr>
                <w:iCs/>
                <w:color w:val="000000"/>
                <w:spacing w:val="1"/>
                <w:shd w:val="solid" w:color="000000" w:fill="000000"/>
                <w:fitText w:val="180" w:id="-1032081662"/>
                <w14:textFill>
                  <w14:solidFill>
                    <w14:srgbClr w14:val="000000">
                      <w14:alpha w14:val="100000"/>
                    </w14:srgbClr>
                  </w14:solidFill>
                </w14:textFill>
              </w:rPr>
              <w:t>|</w:t>
            </w:r>
          </w:p>
        </w:tc>
        <w:tc>
          <w:tcPr>
            <w:tcW w:w="472" w:type="pct"/>
            <w:tcBorders>
              <w:top w:val="nil"/>
              <w:bottom w:val="single" w:sz="4" w:space="0" w:color="000000" w:themeColor="text1"/>
            </w:tcBorders>
            <w:noWrap/>
            <w:hideMark/>
          </w:tcPr>
          <w:p w14:paraId="208CE331" w14:textId="77777777" w:rsidR="00BF136A" w:rsidRPr="00F92E56" w:rsidRDefault="00BF136A" w:rsidP="007762E7">
            <w:pPr>
              <w:pStyle w:val="Tabletext"/>
              <w:jc w:val="right"/>
              <w:rPr>
                <w:iCs/>
              </w:rPr>
            </w:pPr>
            <w:r w:rsidRPr="00F92E56">
              <w:rPr>
                <w:iCs/>
              </w:rPr>
              <w:t>1.202</w:t>
            </w:r>
          </w:p>
        </w:tc>
        <w:tc>
          <w:tcPr>
            <w:tcW w:w="471" w:type="pct"/>
            <w:tcBorders>
              <w:top w:val="nil"/>
              <w:bottom w:val="single" w:sz="4" w:space="0" w:color="000000" w:themeColor="text1"/>
            </w:tcBorders>
            <w:noWrap/>
            <w:hideMark/>
          </w:tcPr>
          <w:p w14:paraId="57F4A1AC" w14:textId="21C17A73"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661"/>
                <w14:textFill>
                  <w14:solidFill>
                    <w14:srgbClr w14:val="000000">
                      <w14:alpha w14:val="100000"/>
                    </w14:srgbClr>
                  </w14:solidFill>
                </w14:textFill>
              </w:rPr>
              <w:t xml:space="preserve">　</w:t>
            </w:r>
            <w:r w:rsidRPr="00785872">
              <w:rPr>
                <w:iCs/>
                <w:color w:val="000000"/>
                <w:w w:val="22"/>
                <w:shd w:val="solid" w:color="000000" w:fill="000000"/>
                <w:fitText w:val="100" w:id="-1032081661"/>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661"/>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top w:val="nil"/>
              <w:bottom w:val="single" w:sz="4" w:space="0" w:color="000000" w:themeColor="text1"/>
            </w:tcBorders>
            <w:noWrap/>
            <w:hideMark/>
          </w:tcPr>
          <w:p w14:paraId="5EEB1947" w14:textId="063D652B" w:rsidR="00BF136A" w:rsidRPr="00785872" w:rsidRDefault="00785872" w:rsidP="007762E7">
            <w:pPr>
              <w:pStyle w:val="Tabletext"/>
              <w:jc w:val="right"/>
              <w:rPr>
                <w:iCs/>
                <w:highlight w:val="darkGray"/>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571B6F9B" w14:textId="77777777" w:rsidTr="001D78FA">
        <w:tc>
          <w:tcPr>
            <w:tcW w:w="2984" w:type="pct"/>
            <w:tcBorders>
              <w:bottom w:val="single" w:sz="4" w:space="0" w:color="000000" w:themeColor="text1"/>
              <w:right w:val="single" w:sz="4" w:space="0" w:color="000000" w:themeColor="text1"/>
            </w:tcBorders>
            <w:noWrap/>
            <w:hideMark/>
          </w:tcPr>
          <w:p w14:paraId="2E2783F3" w14:textId="77777777" w:rsidR="00BF136A" w:rsidRPr="00F92E56" w:rsidRDefault="00BF136A" w:rsidP="007762E7">
            <w:pPr>
              <w:pStyle w:val="Tabletext"/>
              <w:keepNext/>
              <w:rPr>
                <w:iCs/>
              </w:rPr>
            </w:pPr>
            <w:r w:rsidRPr="00F92E56">
              <w:rPr>
                <w:iCs/>
              </w:rPr>
              <w:t xml:space="preserve">Duration of increased mortality risk, lifetime (base case: 5 years) </w:t>
            </w:r>
            <w:r w:rsidRPr="00F92E56">
              <w:rPr>
                <w:b/>
                <w:bCs/>
                <w:iCs/>
              </w:rPr>
              <w:t>(#2)</w:t>
            </w:r>
          </w:p>
        </w:tc>
        <w:tc>
          <w:tcPr>
            <w:tcW w:w="472" w:type="pct"/>
            <w:tcBorders>
              <w:left w:val="single" w:sz="4" w:space="0" w:color="000000" w:themeColor="text1"/>
              <w:bottom w:val="single" w:sz="4" w:space="0" w:color="000000" w:themeColor="text1"/>
              <w:right w:val="single" w:sz="4" w:space="0" w:color="000000" w:themeColor="text1"/>
            </w:tcBorders>
            <w:noWrap/>
            <w:hideMark/>
          </w:tcPr>
          <w:p w14:paraId="3CFDBB59" w14:textId="52EB4933" w:rsidR="00BF136A" w:rsidRPr="00785872" w:rsidRDefault="00785872" w:rsidP="007762E7">
            <w:pPr>
              <w:pStyle w:val="Tabletext"/>
              <w:keepNext/>
              <w:jc w:val="right"/>
              <w:rPr>
                <w:iCs/>
                <w:highlight w:val="darkGray"/>
              </w:rPr>
            </w:pPr>
            <w:r w:rsidRPr="00785872">
              <w:rPr>
                <w:iCs/>
              </w:rPr>
              <w:t xml:space="preserve"> </w:t>
            </w:r>
            <w:r w:rsidRPr="00785872">
              <w:rPr>
                <w:iCs/>
                <w:color w:val="000000"/>
                <w:spacing w:val="94"/>
                <w:shd w:val="solid" w:color="000000" w:fill="000000"/>
                <w:fitText w:val="180" w:id="-1032081408"/>
                <w14:textFill>
                  <w14:solidFill>
                    <w14:srgbClr w14:val="000000">
                      <w14:alpha w14:val="100000"/>
                    </w14:srgbClr>
                  </w14:solidFill>
                </w14:textFill>
              </w:rPr>
              <w:t>|</w:t>
            </w:r>
            <w:r w:rsidRPr="00785872">
              <w:rPr>
                <w:iCs/>
                <w:color w:val="000000"/>
                <w:spacing w:val="1"/>
                <w:shd w:val="solid" w:color="000000" w:fill="000000"/>
                <w:fitText w:val="180" w:id="-1032081408"/>
                <w14:textFill>
                  <w14:solidFill>
                    <w14:srgbClr w14:val="000000">
                      <w14:alpha w14:val="100000"/>
                    </w14:srgbClr>
                  </w14:solidFill>
                </w14:textFill>
              </w:rPr>
              <w:t>|</w:t>
            </w:r>
          </w:p>
        </w:tc>
        <w:tc>
          <w:tcPr>
            <w:tcW w:w="472" w:type="pct"/>
            <w:tcBorders>
              <w:left w:val="single" w:sz="4" w:space="0" w:color="000000" w:themeColor="text1"/>
              <w:bottom w:val="single" w:sz="4" w:space="0" w:color="000000" w:themeColor="text1"/>
              <w:right w:val="single" w:sz="4" w:space="0" w:color="000000" w:themeColor="text1"/>
            </w:tcBorders>
            <w:noWrap/>
            <w:hideMark/>
          </w:tcPr>
          <w:p w14:paraId="6D091667" w14:textId="77777777" w:rsidR="00BF136A" w:rsidRPr="00F92E56" w:rsidRDefault="00BF136A" w:rsidP="007762E7">
            <w:pPr>
              <w:pStyle w:val="Tabletext"/>
              <w:keepNext/>
              <w:jc w:val="right"/>
              <w:rPr>
                <w:iCs/>
              </w:rPr>
            </w:pPr>
            <w:r w:rsidRPr="00F92E56">
              <w:rPr>
                <w:iCs/>
              </w:rPr>
              <w:t>1.137</w:t>
            </w:r>
          </w:p>
        </w:tc>
        <w:tc>
          <w:tcPr>
            <w:tcW w:w="471" w:type="pct"/>
            <w:tcBorders>
              <w:left w:val="single" w:sz="4" w:space="0" w:color="000000" w:themeColor="text1"/>
              <w:bottom w:val="single" w:sz="4" w:space="0" w:color="000000" w:themeColor="text1"/>
              <w:right w:val="single" w:sz="4" w:space="0" w:color="000000" w:themeColor="text1"/>
            </w:tcBorders>
            <w:noWrap/>
            <w:hideMark/>
          </w:tcPr>
          <w:p w14:paraId="10AD5BCA" w14:textId="1781EECF" w:rsidR="00BF136A" w:rsidRPr="00785872" w:rsidRDefault="00785872" w:rsidP="007762E7">
            <w:pPr>
              <w:pStyle w:val="Tabletext"/>
              <w:keepNext/>
              <w:jc w:val="right"/>
              <w:rPr>
                <w:iCs/>
                <w:highlight w:val="darkGray"/>
              </w:rPr>
            </w:pPr>
            <w:r w:rsidRPr="00785872">
              <w:rPr>
                <w:iCs/>
              </w:rPr>
              <w:t xml:space="preserve"> </w:t>
            </w:r>
            <w:r w:rsidRPr="00785872">
              <w:rPr>
                <w:rFonts w:hint="eastAsia"/>
                <w:iCs/>
                <w:color w:val="000000"/>
                <w:w w:val="22"/>
                <w:shd w:val="solid" w:color="000000" w:fill="000000"/>
                <w:fitText w:val="100" w:id="-1032081407"/>
                <w14:textFill>
                  <w14:solidFill>
                    <w14:srgbClr w14:val="000000">
                      <w14:alpha w14:val="100000"/>
                    </w14:srgbClr>
                  </w14:solidFill>
                </w14:textFill>
              </w:rPr>
              <w:t xml:space="preserve">　</w:t>
            </w:r>
            <w:r w:rsidRPr="00785872">
              <w:rPr>
                <w:iCs/>
                <w:color w:val="000000"/>
                <w:w w:val="22"/>
                <w:shd w:val="solid" w:color="000000" w:fill="000000"/>
                <w:fitText w:val="100" w:id="-1032081407"/>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407"/>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left w:val="single" w:sz="4" w:space="0" w:color="000000" w:themeColor="text1"/>
              <w:bottom w:val="single" w:sz="4" w:space="0" w:color="000000" w:themeColor="text1"/>
            </w:tcBorders>
            <w:noWrap/>
            <w:hideMark/>
          </w:tcPr>
          <w:p w14:paraId="65A71D49" w14:textId="39A24261" w:rsidR="00BF136A" w:rsidRPr="00785872" w:rsidRDefault="00785872" w:rsidP="007762E7">
            <w:pPr>
              <w:pStyle w:val="Tabletext"/>
              <w:keepNext/>
              <w:jc w:val="right"/>
              <w:rPr>
                <w:iCs/>
                <w:highlight w:val="darkGray"/>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4193E676" w14:textId="77777777" w:rsidTr="001D78FA">
        <w:tc>
          <w:tcPr>
            <w:tcW w:w="2984" w:type="pct"/>
            <w:tcBorders>
              <w:bottom w:val="single" w:sz="4" w:space="0" w:color="000000" w:themeColor="text1"/>
              <w:right w:val="nil"/>
            </w:tcBorders>
            <w:noWrap/>
            <w:hideMark/>
          </w:tcPr>
          <w:p w14:paraId="52957156" w14:textId="77777777" w:rsidR="00BF136A" w:rsidRPr="00F92E56" w:rsidRDefault="00BF136A" w:rsidP="007762E7">
            <w:pPr>
              <w:pStyle w:val="Tabletext"/>
              <w:keepNext/>
              <w:rPr>
                <w:iCs/>
              </w:rPr>
            </w:pPr>
            <w:r w:rsidRPr="00F92E56">
              <w:rPr>
                <w:iCs/>
              </w:rPr>
              <w:t>Distribution of recurrences (base case: 29% locoregional)</w:t>
            </w:r>
          </w:p>
        </w:tc>
        <w:tc>
          <w:tcPr>
            <w:tcW w:w="472" w:type="pct"/>
            <w:tcBorders>
              <w:left w:val="nil"/>
              <w:bottom w:val="single" w:sz="4" w:space="0" w:color="000000" w:themeColor="text1"/>
              <w:right w:val="nil"/>
            </w:tcBorders>
            <w:noWrap/>
            <w:hideMark/>
          </w:tcPr>
          <w:p w14:paraId="4A29DCE3" w14:textId="77777777" w:rsidR="00BF136A" w:rsidRPr="00F92E56" w:rsidRDefault="00BF136A" w:rsidP="007762E7">
            <w:pPr>
              <w:pStyle w:val="Tabletext"/>
              <w:keepNext/>
              <w:jc w:val="right"/>
              <w:rPr>
                <w:iCs/>
              </w:rPr>
            </w:pPr>
          </w:p>
        </w:tc>
        <w:tc>
          <w:tcPr>
            <w:tcW w:w="472" w:type="pct"/>
            <w:tcBorders>
              <w:left w:val="nil"/>
              <w:bottom w:val="single" w:sz="4" w:space="0" w:color="000000" w:themeColor="text1"/>
              <w:right w:val="nil"/>
            </w:tcBorders>
            <w:noWrap/>
            <w:hideMark/>
          </w:tcPr>
          <w:p w14:paraId="430BD8D7" w14:textId="77777777" w:rsidR="00BF136A" w:rsidRPr="00F92E56" w:rsidRDefault="00BF136A" w:rsidP="007762E7">
            <w:pPr>
              <w:pStyle w:val="Tabletext"/>
              <w:keepNext/>
              <w:jc w:val="right"/>
              <w:rPr>
                <w:iCs/>
              </w:rPr>
            </w:pPr>
          </w:p>
        </w:tc>
        <w:tc>
          <w:tcPr>
            <w:tcW w:w="471" w:type="pct"/>
            <w:tcBorders>
              <w:left w:val="nil"/>
              <w:bottom w:val="single" w:sz="4" w:space="0" w:color="000000" w:themeColor="text1"/>
              <w:right w:val="nil"/>
            </w:tcBorders>
            <w:noWrap/>
            <w:hideMark/>
          </w:tcPr>
          <w:p w14:paraId="388A8AEB" w14:textId="77777777" w:rsidR="00BF136A" w:rsidRPr="00F92E56" w:rsidRDefault="00BF136A" w:rsidP="007762E7">
            <w:pPr>
              <w:pStyle w:val="Tabletext"/>
              <w:keepNext/>
              <w:jc w:val="right"/>
              <w:rPr>
                <w:iCs/>
              </w:rPr>
            </w:pPr>
          </w:p>
        </w:tc>
        <w:tc>
          <w:tcPr>
            <w:tcW w:w="601" w:type="pct"/>
            <w:tcBorders>
              <w:left w:val="nil"/>
              <w:bottom w:val="single" w:sz="4" w:space="0" w:color="000000" w:themeColor="text1"/>
            </w:tcBorders>
            <w:noWrap/>
            <w:hideMark/>
          </w:tcPr>
          <w:p w14:paraId="360038E8" w14:textId="77777777" w:rsidR="00BF136A" w:rsidRPr="00F92E56" w:rsidRDefault="00BF136A" w:rsidP="007762E7">
            <w:pPr>
              <w:pStyle w:val="Tabletext"/>
              <w:keepNext/>
              <w:jc w:val="right"/>
              <w:rPr>
                <w:iCs/>
              </w:rPr>
            </w:pPr>
          </w:p>
        </w:tc>
      </w:tr>
      <w:tr w:rsidR="00BF136A" w:rsidRPr="00F92E56" w14:paraId="616960FD" w14:textId="77777777" w:rsidTr="001D78FA">
        <w:tc>
          <w:tcPr>
            <w:tcW w:w="2984" w:type="pct"/>
            <w:tcBorders>
              <w:bottom w:val="nil"/>
            </w:tcBorders>
            <w:noWrap/>
            <w:hideMark/>
          </w:tcPr>
          <w:p w14:paraId="61FD0FF6" w14:textId="77777777" w:rsidR="00BF136A" w:rsidRPr="00F92E56" w:rsidRDefault="00BF136A" w:rsidP="00E1556A">
            <w:pPr>
              <w:pStyle w:val="Tabletext"/>
              <w:numPr>
                <w:ilvl w:val="0"/>
                <w:numId w:val="16"/>
              </w:numPr>
              <w:ind w:left="306" w:hanging="142"/>
              <w:rPr>
                <w:iCs/>
              </w:rPr>
            </w:pPr>
            <w:r w:rsidRPr="00F92E56">
              <w:rPr>
                <w:iCs/>
              </w:rPr>
              <w:t>All locoregional</w:t>
            </w:r>
          </w:p>
        </w:tc>
        <w:tc>
          <w:tcPr>
            <w:tcW w:w="472" w:type="pct"/>
            <w:tcBorders>
              <w:bottom w:val="nil"/>
            </w:tcBorders>
            <w:noWrap/>
            <w:hideMark/>
          </w:tcPr>
          <w:p w14:paraId="445A3B11" w14:textId="1474532C"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406"/>
                <w14:textFill>
                  <w14:solidFill>
                    <w14:srgbClr w14:val="000000">
                      <w14:alpha w14:val="100000"/>
                    </w14:srgbClr>
                  </w14:solidFill>
                </w14:textFill>
              </w:rPr>
              <w:t>|</w:t>
            </w:r>
            <w:r w:rsidRPr="00785872">
              <w:rPr>
                <w:iCs/>
                <w:color w:val="000000"/>
                <w:spacing w:val="1"/>
                <w:shd w:val="solid" w:color="000000" w:fill="000000"/>
                <w:fitText w:val="180" w:id="-1032081406"/>
                <w14:textFill>
                  <w14:solidFill>
                    <w14:srgbClr w14:val="000000">
                      <w14:alpha w14:val="100000"/>
                    </w14:srgbClr>
                  </w14:solidFill>
                </w14:textFill>
              </w:rPr>
              <w:t>|</w:t>
            </w:r>
          </w:p>
        </w:tc>
        <w:tc>
          <w:tcPr>
            <w:tcW w:w="472" w:type="pct"/>
            <w:tcBorders>
              <w:bottom w:val="nil"/>
            </w:tcBorders>
            <w:noWrap/>
            <w:hideMark/>
          </w:tcPr>
          <w:p w14:paraId="5498C7D4" w14:textId="77777777" w:rsidR="00BF136A" w:rsidRPr="00F92E56" w:rsidRDefault="00BF136A" w:rsidP="007762E7">
            <w:pPr>
              <w:pStyle w:val="Tabletext"/>
              <w:jc w:val="right"/>
              <w:rPr>
                <w:iCs/>
              </w:rPr>
            </w:pPr>
            <w:r w:rsidRPr="00F92E56">
              <w:rPr>
                <w:iCs/>
              </w:rPr>
              <w:t>1.288</w:t>
            </w:r>
          </w:p>
        </w:tc>
        <w:tc>
          <w:tcPr>
            <w:tcW w:w="471" w:type="pct"/>
            <w:tcBorders>
              <w:bottom w:val="nil"/>
            </w:tcBorders>
            <w:noWrap/>
            <w:hideMark/>
          </w:tcPr>
          <w:p w14:paraId="0436E2E4" w14:textId="1DAB828D"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405"/>
                <w14:textFill>
                  <w14:solidFill>
                    <w14:srgbClr w14:val="000000">
                      <w14:alpha w14:val="100000"/>
                    </w14:srgbClr>
                  </w14:solidFill>
                </w14:textFill>
              </w:rPr>
              <w:t xml:space="preserve">　</w:t>
            </w:r>
            <w:r w:rsidRPr="00785872">
              <w:rPr>
                <w:iCs/>
                <w:color w:val="000000"/>
                <w:w w:val="22"/>
                <w:shd w:val="solid" w:color="000000" w:fill="000000"/>
                <w:fitText w:val="100" w:id="-1032081405"/>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405"/>
                <w14:textFill>
                  <w14:solidFill>
                    <w14:srgbClr w14:val="000000">
                      <w14:alpha w14:val="100000"/>
                    </w14:srgbClr>
                  </w14:solidFill>
                </w14:textFill>
              </w:rPr>
              <w:t xml:space="preserve">　</w:t>
            </w:r>
            <w:r w:rsidR="00BE598F">
              <w:rPr>
                <w:rFonts w:eastAsia="Calibri"/>
                <w:iCs/>
                <w:szCs w:val="20"/>
                <w:vertAlign w:val="superscript"/>
              </w:rPr>
              <w:t>3</w:t>
            </w:r>
          </w:p>
        </w:tc>
        <w:tc>
          <w:tcPr>
            <w:tcW w:w="601" w:type="pct"/>
            <w:tcBorders>
              <w:bottom w:val="nil"/>
            </w:tcBorders>
            <w:noWrap/>
            <w:hideMark/>
          </w:tcPr>
          <w:p w14:paraId="48AAF442" w14:textId="5D88EA9E" w:rsidR="00BF136A" w:rsidRPr="00F92E56" w:rsidRDefault="00785872" w:rsidP="007762E7">
            <w:pPr>
              <w:pStyle w:val="Tabletext"/>
              <w:jc w:val="right"/>
              <w:rPr>
                <w:iCs/>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508E8DD9" w14:textId="77777777" w:rsidTr="001D78FA">
        <w:tc>
          <w:tcPr>
            <w:tcW w:w="2984" w:type="pct"/>
            <w:tcBorders>
              <w:top w:val="nil"/>
              <w:bottom w:val="single" w:sz="4" w:space="0" w:color="000000" w:themeColor="text1"/>
            </w:tcBorders>
            <w:noWrap/>
            <w:hideMark/>
          </w:tcPr>
          <w:p w14:paraId="22BAC206" w14:textId="77777777" w:rsidR="00BF136A" w:rsidRPr="00F92E56" w:rsidRDefault="00BF136A" w:rsidP="00E1556A">
            <w:pPr>
              <w:pStyle w:val="Tabletext"/>
              <w:numPr>
                <w:ilvl w:val="0"/>
                <w:numId w:val="16"/>
              </w:numPr>
              <w:ind w:left="306" w:hanging="142"/>
              <w:rPr>
                <w:iCs/>
              </w:rPr>
            </w:pPr>
            <w:r w:rsidRPr="00F92E56">
              <w:rPr>
                <w:iCs/>
              </w:rPr>
              <w:t>None locoregional</w:t>
            </w:r>
          </w:p>
        </w:tc>
        <w:tc>
          <w:tcPr>
            <w:tcW w:w="472" w:type="pct"/>
            <w:tcBorders>
              <w:top w:val="nil"/>
              <w:bottom w:val="single" w:sz="4" w:space="0" w:color="000000" w:themeColor="text1"/>
            </w:tcBorders>
            <w:noWrap/>
            <w:hideMark/>
          </w:tcPr>
          <w:p w14:paraId="71B21A2C" w14:textId="30E8EBAF"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404"/>
                <w14:textFill>
                  <w14:solidFill>
                    <w14:srgbClr w14:val="000000">
                      <w14:alpha w14:val="100000"/>
                    </w14:srgbClr>
                  </w14:solidFill>
                </w14:textFill>
              </w:rPr>
              <w:t>|</w:t>
            </w:r>
            <w:r w:rsidRPr="00785872">
              <w:rPr>
                <w:iCs/>
                <w:color w:val="000000"/>
                <w:spacing w:val="1"/>
                <w:shd w:val="solid" w:color="000000" w:fill="000000"/>
                <w:fitText w:val="180" w:id="-1032081404"/>
                <w14:textFill>
                  <w14:solidFill>
                    <w14:srgbClr w14:val="000000">
                      <w14:alpha w14:val="100000"/>
                    </w14:srgbClr>
                  </w14:solidFill>
                </w14:textFill>
              </w:rPr>
              <w:t>|</w:t>
            </w:r>
          </w:p>
        </w:tc>
        <w:tc>
          <w:tcPr>
            <w:tcW w:w="472" w:type="pct"/>
            <w:tcBorders>
              <w:top w:val="nil"/>
              <w:bottom w:val="single" w:sz="4" w:space="0" w:color="000000" w:themeColor="text1"/>
            </w:tcBorders>
            <w:noWrap/>
            <w:hideMark/>
          </w:tcPr>
          <w:p w14:paraId="58A2FA73" w14:textId="77777777" w:rsidR="00BF136A" w:rsidRPr="00F92E56" w:rsidRDefault="00BF136A" w:rsidP="007762E7">
            <w:pPr>
              <w:pStyle w:val="Tabletext"/>
              <w:jc w:val="right"/>
              <w:rPr>
                <w:iCs/>
              </w:rPr>
            </w:pPr>
            <w:r w:rsidRPr="00F92E56">
              <w:rPr>
                <w:iCs/>
              </w:rPr>
              <w:t>1.202</w:t>
            </w:r>
          </w:p>
        </w:tc>
        <w:tc>
          <w:tcPr>
            <w:tcW w:w="471" w:type="pct"/>
            <w:tcBorders>
              <w:top w:val="nil"/>
              <w:bottom w:val="single" w:sz="4" w:space="0" w:color="000000" w:themeColor="text1"/>
            </w:tcBorders>
            <w:noWrap/>
            <w:hideMark/>
          </w:tcPr>
          <w:p w14:paraId="7F6F0057" w14:textId="5BDB6D21"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403"/>
                <w14:textFill>
                  <w14:solidFill>
                    <w14:srgbClr w14:val="000000">
                      <w14:alpha w14:val="100000"/>
                    </w14:srgbClr>
                  </w14:solidFill>
                </w14:textFill>
              </w:rPr>
              <w:t xml:space="preserve">　</w:t>
            </w:r>
            <w:r w:rsidRPr="00785872">
              <w:rPr>
                <w:iCs/>
                <w:color w:val="000000"/>
                <w:w w:val="22"/>
                <w:shd w:val="solid" w:color="000000" w:fill="000000"/>
                <w:fitText w:val="100" w:id="-1032081403"/>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403"/>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top w:val="nil"/>
              <w:bottom w:val="single" w:sz="4" w:space="0" w:color="000000" w:themeColor="text1"/>
            </w:tcBorders>
            <w:noWrap/>
            <w:hideMark/>
          </w:tcPr>
          <w:p w14:paraId="606CFF64" w14:textId="3AD09959" w:rsidR="00BF136A" w:rsidRPr="00F92E56" w:rsidRDefault="00BF136A" w:rsidP="007762E7">
            <w:pPr>
              <w:pStyle w:val="Tabletext"/>
              <w:jc w:val="right"/>
              <w:rPr>
                <w:iCs/>
              </w:rPr>
            </w:pPr>
            <w:r w:rsidRPr="00F92E56">
              <w:rPr>
                <w:iCs/>
              </w:rPr>
              <w:t>−</w:t>
            </w:r>
            <w:r w:rsidR="00785872" w:rsidRPr="00785872">
              <w:rPr>
                <w:iCs/>
              </w:rPr>
              <w:t xml:space="preserve"> </w:t>
            </w:r>
            <w:r w:rsidR="00785872" w:rsidRPr="00785872">
              <w:rPr>
                <w:rFonts w:hint="eastAsia"/>
                <w:iCs/>
                <w:color w:val="000000"/>
                <w:w w:val="15"/>
                <w:shd w:val="solid" w:color="000000" w:fill="000000"/>
                <w:fitText w:val="40" w:id="-1032081402"/>
                <w14:textFill>
                  <w14:solidFill>
                    <w14:srgbClr w14:val="000000">
                      <w14:alpha w14:val="100000"/>
                    </w14:srgbClr>
                  </w14:solidFill>
                </w14:textFill>
              </w:rPr>
              <w:t xml:space="preserve">　</w:t>
            </w:r>
            <w:r w:rsidR="00785872" w:rsidRPr="00785872">
              <w:rPr>
                <w:iCs/>
                <w:color w:val="000000"/>
                <w:w w:val="15"/>
                <w:shd w:val="solid" w:color="000000" w:fill="000000"/>
                <w:fitText w:val="40" w:id="-1032081402"/>
                <w14:textFill>
                  <w14:solidFill>
                    <w14:srgbClr w14:val="000000">
                      <w14:alpha w14:val="100000"/>
                    </w14:srgbClr>
                  </w14:solidFill>
                </w14:textFill>
              </w:rPr>
              <w:t>|</w:t>
            </w:r>
            <w:r w:rsidR="00785872" w:rsidRPr="00785872">
              <w:rPr>
                <w:rFonts w:hint="eastAsia"/>
                <w:iCs/>
                <w:color w:val="000000"/>
                <w:spacing w:val="-25"/>
                <w:w w:val="15"/>
                <w:shd w:val="solid" w:color="000000" w:fill="000000"/>
                <w:fitText w:val="40" w:id="-1032081402"/>
                <w14:textFill>
                  <w14:solidFill>
                    <w14:srgbClr w14:val="000000">
                      <w14:alpha w14:val="100000"/>
                    </w14:srgbClr>
                  </w14:solidFill>
                </w14:textFill>
              </w:rPr>
              <w:t xml:space="preserve">　</w:t>
            </w:r>
          </w:p>
        </w:tc>
      </w:tr>
      <w:tr w:rsidR="00BF136A" w:rsidRPr="00F92E56" w14:paraId="67259875" w14:textId="77777777" w:rsidTr="007762E7">
        <w:tc>
          <w:tcPr>
            <w:tcW w:w="5000" w:type="pct"/>
            <w:gridSpan w:val="5"/>
            <w:tcBorders>
              <w:bottom w:val="single" w:sz="4" w:space="0" w:color="000000" w:themeColor="text1"/>
            </w:tcBorders>
            <w:noWrap/>
            <w:hideMark/>
          </w:tcPr>
          <w:p w14:paraId="07E4949A" w14:textId="77777777" w:rsidR="00BF136A" w:rsidRPr="00F92E56" w:rsidRDefault="00BF136A" w:rsidP="007762E7">
            <w:pPr>
              <w:pStyle w:val="Tabletext"/>
              <w:keepNext/>
              <w:rPr>
                <w:iCs/>
              </w:rPr>
            </w:pPr>
            <w:r w:rsidRPr="00F92E56">
              <w:rPr>
                <w:iCs/>
              </w:rPr>
              <w:t>Cure rate in distant recurrence (base case: NIVO 2.7%, WW 4.2%)</w:t>
            </w:r>
          </w:p>
        </w:tc>
      </w:tr>
      <w:tr w:rsidR="00BF136A" w:rsidRPr="00F92E56" w14:paraId="66FC00AA" w14:textId="77777777" w:rsidTr="001D78FA">
        <w:tc>
          <w:tcPr>
            <w:tcW w:w="2984" w:type="pct"/>
            <w:tcBorders>
              <w:bottom w:val="nil"/>
            </w:tcBorders>
            <w:noWrap/>
            <w:hideMark/>
          </w:tcPr>
          <w:p w14:paraId="2856A968" w14:textId="77777777" w:rsidR="00BF136A" w:rsidRPr="00F92E56" w:rsidRDefault="00BF136A" w:rsidP="00E1556A">
            <w:pPr>
              <w:pStyle w:val="Tabletext"/>
              <w:numPr>
                <w:ilvl w:val="0"/>
                <w:numId w:val="16"/>
              </w:numPr>
              <w:ind w:left="306" w:hanging="142"/>
              <w:rPr>
                <w:iCs/>
              </w:rPr>
            </w:pPr>
            <w:r w:rsidRPr="00F92E56">
              <w:rPr>
                <w:iCs/>
              </w:rPr>
              <w:t>0% NIVO, 5% WW</w:t>
            </w:r>
          </w:p>
        </w:tc>
        <w:tc>
          <w:tcPr>
            <w:tcW w:w="472" w:type="pct"/>
            <w:tcBorders>
              <w:bottom w:val="nil"/>
            </w:tcBorders>
            <w:noWrap/>
            <w:hideMark/>
          </w:tcPr>
          <w:p w14:paraId="1FADB9A6" w14:textId="370179CD"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401"/>
                <w14:textFill>
                  <w14:solidFill>
                    <w14:srgbClr w14:val="000000">
                      <w14:alpha w14:val="100000"/>
                    </w14:srgbClr>
                  </w14:solidFill>
                </w14:textFill>
              </w:rPr>
              <w:t>|</w:t>
            </w:r>
            <w:r w:rsidRPr="00785872">
              <w:rPr>
                <w:iCs/>
                <w:color w:val="000000"/>
                <w:spacing w:val="1"/>
                <w:shd w:val="solid" w:color="000000" w:fill="000000"/>
                <w:fitText w:val="180" w:id="-1032081401"/>
                <w14:textFill>
                  <w14:solidFill>
                    <w14:srgbClr w14:val="000000">
                      <w14:alpha w14:val="100000"/>
                    </w14:srgbClr>
                  </w14:solidFill>
                </w14:textFill>
              </w:rPr>
              <w:t>|</w:t>
            </w:r>
          </w:p>
        </w:tc>
        <w:tc>
          <w:tcPr>
            <w:tcW w:w="472" w:type="pct"/>
            <w:tcBorders>
              <w:bottom w:val="nil"/>
            </w:tcBorders>
            <w:noWrap/>
            <w:hideMark/>
          </w:tcPr>
          <w:p w14:paraId="66B7D7FD" w14:textId="77777777" w:rsidR="00BF136A" w:rsidRPr="00F92E56" w:rsidRDefault="00BF136A" w:rsidP="007762E7">
            <w:pPr>
              <w:pStyle w:val="Tabletext"/>
              <w:jc w:val="right"/>
              <w:rPr>
                <w:iCs/>
              </w:rPr>
            </w:pPr>
            <w:r w:rsidRPr="00F92E56">
              <w:rPr>
                <w:iCs/>
              </w:rPr>
              <w:t>1.110</w:t>
            </w:r>
          </w:p>
        </w:tc>
        <w:tc>
          <w:tcPr>
            <w:tcW w:w="471" w:type="pct"/>
            <w:tcBorders>
              <w:bottom w:val="nil"/>
            </w:tcBorders>
            <w:noWrap/>
            <w:hideMark/>
          </w:tcPr>
          <w:p w14:paraId="35E5F813" w14:textId="7AC350B2"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400"/>
                <w14:textFill>
                  <w14:solidFill>
                    <w14:srgbClr w14:val="000000">
                      <w14:alpha w14:val="100000"/>
                    </w14:srgbClr>
                  </w14:solidFill>
                </w14:textFill>
              </w:rPr>
              <w:t xml:space="preserve">　</w:t>
            </w:r>
            <w:r w:rsidRPr="00785872">
              <w:rPr>
                <w:iCs/>
                <w:color w:val="000000"/>
                <w:w w:val="22"/>
                <w:shd w:val="solid" w:color="000000" w:fill="000000"/>
                <w:fitText w:val="100" w:id="-1032081400"/>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400"/>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bottom w:val="nil"/>
            </w:tcBorders>
            <w:noWrap/>
            <w:hideMark/>
          </w:tcPr>
          <w:p w14:paraId="526AD1B5" w14:textId="3E5F13EB" w:rsidR="00BF136A" w:rsidRPr="00F92E56" w:rsidRDefault="00785872" w:rsidP="007762E7">
            <w:pPr>
              <w:pStyle w:val="Tabletext"/>
              <w:jc w:val="right"/>
              <w:rPr>
                <w:iCs/>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2641931F" w14:textId="77777777" w:rsidTr="001D78FA">
        <w:tc>
          <w:tcPr>
            <w:tcW w:w="2984" w:type="pct"/>
            <w:tcBorders>
              <w:top w:val="nil"/>
              <w:bottom w:val="single" w:sz="4" w:space="0" w:color="000000" w:themeColor="text1"/>
            </w:tcBorders>
            <w:noWrap/>
            <w:hideMark/>
          </w:tcPr>
          <w:p w14:paraId="6CB279E2" w14:textId="77777777" w:rsidR="00BF136A" w:rsidRPr="00F92E56" w:rsidRDefault="00BF136A" w:rsidP="00E1556A">
            <w:pPr>
              <w:pStyle w:val="Tabletext"/>
              <w:numPr>
                <w:ilvl w:val="0"/>
                <w:numId w:val="16"/>
              </w:numPr>
              <w:ind w:left="306" w:hanging="142"/>
              <w:rPr>
                <w:iCs/>
              </w:rPr>
            </w:pPr>
            <w:r w:rsidRPr="00F92E56">
              <w:rPr>
                <w:iCs/>
              </w:rPr>
              <w:t>No cure</w:t>
            </w:r>
          </w:p>
        </w:tc>
        <w:tc>
          <w:tcPr>
            <w:tcW w:w="472" w:type="pct"/>
            <w:tcBorders>
              <w:top w:val="nil"/>
              <w:bottom w:val="single" w:sz="4" w:space="0" w:color="000000" w:themeColor="text1"/>
            </w:tcBorders>
            <w:noWrap/>
            <w:hideMark/>
          </w:tcPr>
          <w:p w14:paraId="15FAC42C" w14:textId="107DA4E9"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399"/>
                <w14:textFill>
                  <w14:solidFill>
                    <w14:srgbClr w14:val="000000">
                      <w14:alpha w14:val="100000"/>
                    </w14:srgbClr>
                  </w14:solidFill>
                </w14:textFill>
              </w:rPr>
              <w:t>|</w:t>
            </w:r>
            <w:r w:rsidRPr="00785872">
              <w:rPr>
                <w:iCs/>
                <w:color w:val="000000"/>
                <w:spacing w:val="1"/>
                <w:shd w:val="solid" w:color="000000" w:fill="000000"/>
                <w:fitText w:val="180" w:id="-1032081399"/>
                <w14:textFill>
                  <w14:solidFill>
                    <w14:srgbClr w14:val="000000">
                      <w14:alpha w14:val="100000"/>
                    </w14:srgbClr>
                  </w14:solidFill>
                </w14:textFill>
              </w:rPr>
              <w:t>|</w:t>
            </w:r>
          </w:p>
        </w:tc>
        <w:tc>
          <w:tcPr>
            <w:tcW w:w="472" w:type="pct"/>
            <w:tcBorders>
              <w:top w:val="nil"/>
              <w:bottom w:val="single" w:sz="4" w:space="0" w:color="000000" w:themeColor="text1"/>
            </w:tcBorders>
            <w:noWrap/>
            <w:hideMark/>
          </w:tcPr>
          <w:p w14:paraId="50448335" w14:textId="77777777" w:rsidR="00BF136A" w:rsidRPr="00F92E56" w:rsidRDefault="00BF136A" w:rsidP="007762E7">
            <w:pPr>
              <w:pStyle w:val="Tabletext"/>
              <w:jc w:val="right"/>
              <w:rPr>
                <w:iCs/>
              </w:rPr>
            </w:pPr>
            <w:r w:rsidRPr="00F92E56">
              <w:rPr>
                <w:iCs/>
              </w:rPr>
              <w:t>1.314</w:t>
            </w:r>
          </w:p>
        </w:tc>
        <w:tc>
          <w:tcPr>
            <w:tcW w:w="471" w:type="pct"/>
            <w:tcBorders>
              <w:top w:val="nil"/>
              <w:bottom w:val="single" w:sz="4" w:space="0" w:color="000000" w:themeColor="text1"/>
            </w:tcBorders>
            <w:noWrap/>
            <w:hideMark/>
          </w:tcPr>
          <w:p w14:paraId="6F6A5D12" w14:textId="5D50C649"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398"/>
                <w14:textFill>
                  <w14:solidFill>
                    <w14:srgbClr w14:val="000000">
                      <w14:alpha w14:val="100000"/>
                    </w14:srgbClr>
                  </w14:solidFill>
                </w14:textFill>
              </w:rPr>
              <w:t xml:space="preserve">　</w:t>
            </w:r>
            <w:r w:rsidRPr="00785872">
              <w:rPr>
                <w:iCs/>
                <w:color w:val="000000"/>
                <w:w w:val="22"/>
                <w:shd w:val="solid" w:color="000000" w:fill="000000"/>
                <w:fitText w:val="100" w:id="-1032081398"/>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398"/>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top w:val="nil"/>
              <w:bottom w:val="single" w:sz="4" w:space="0" w:color="000000" w:themeColor="text1"/>
            </w:tcBorders>
            <w:noWrap/>
            <w:hideMark/>
          </w:tcPr>
          <w:p w14:paraId="5E816D0E" w14:textId="730466FC" w:rsidR="00BF136A" w:rsidRPr="00F92E56" w:rsidRDefault="00BF136A" w:rsidP="007762E7">
            <w:pPr>
              <w:pStyle w:val="Tabletext"/>
              <w:jc w:val="right"/>
              <w:rPr>
                <w:iCs/>
              </w:rPr>
            </w:pPr>
            <w:r w:rsidRPr="00F92E56">
              <w:rPr>
                <w:iCs/>
              </w:rPr>
              <w:t>−</w:t>
            </w:r>
            <w:r w:rsidR="00785872" w:rsidRPr="00785872">
              <w:rPr>
                <w:iCs/>
              </w:rPr>
              <w:t xml:space="preserve"> </w:t>
            </w:r>
            <w:r w:rsidR="00785872" w:rsidRPr="00785872">
              <w:rPr>
                <w:rFonts w:hint="eastAsia"/>
                <w:iCs/>
                <w:color w:val="000000"/>
                <w:w w:val="15"/>
                <w:shd w:val="solid" w:color="000000" w:fill="000000"/>
                <w:fitText w:val="40" w:id="-1032081397"/>
                <w14:textFill>
                  <w14:solidFill>
                    <w14:srgbClr w14:val="000000">
                      <w14:alpha w14:val="100000"/>
                    </w14:srgbClr>
                  </w14:solidFill>
                </w14:textFill>
              </w:rPr>
              <w:t xml:space="preserve">　</w:t>
            </w:r>
            <w:r w:rsidR="00785872" w:rsidRPr="00785872">
              <w:rPr>
                <w:iCs/>
                <w:color w:val="000000"/>
                <w:w w:val="15"/>
                <w:shd w:val="solid" w:color="000000" w:fill="000000"/>
                <w:fitText w:val="40" w:id="-1032081397"/>
                <w14:textFill>
                  <w14:solidFill>
                    <w14:srgbClr w14:val="000000">
                      <w14:alpha w14:val="100000"/>
                    </w14:srgbClr>
                  </w14:solidFill>
                </w14:textFill>
              </w:rPr>
              <w:t>|</w:t>
            </w:r>
            <w:r w:rsidR="00785872" w:rsidRPr="00785872">
              <w:rPr>
                <w:rFonts w:hint="eastAsia"/>
                <w:iCs/>
                <w:color w:val="000000"/>
                <w:spacing w:val="-25"/>
                <w:w w:val="15"/>
                <w:shd w:val="solid" w:color="000000" w:fill="000000"/>
                <w:fitText w:val="40" w:id="-1032081397"/>
                <w14:textFill>
                  <w14:solidFill>
                    <w14:srgbClr w14:val="000000">
                      <w14:alpha w14:val="100000"/>
                    </w14:srgbClr>
                  </w14:solidFill>
                </w14:textFill>
              </w:rPr>
              <w:t xml:space="preserve">　</w:t>
            </w:r>
          </w:p>
        </w:tc>
      </w:tr>
      <w:tr w:rsidR="00BF136A" w:rsidRPr="00F92E56" w14:paraId="24D41876" w14:textId="77777777" w:rsidTr="007762E7">
        <w:tc>
          <w:tcPr>
            <w:tcW w:w="5000" w:type="pct"/>
            <w:gridSpan w:val="5"/>
            <w:tcBorders>
              <w:bottom w:val="single" w:sz="4" w:space="0" w:color="000000" w:themeColor="text1"/>
            </w:tcBorders>
            <w:noWrap/>
            <w:hideMark/>
          </w:tcPr>
          <w:p w14:paraId="3CB5C85B" w14:textId="77777777" w:rsidR="00BF136A" w:rsidRPr="00F92E56" w:rsidRDefault="00BF136A" w:rsidP="007762E7">
            <w:pPr>
              <w:pStyle w:val="Tabletext"/>
              <w:keepNext/>
              <w:rPr>
                <w:iCs/>
              </w:rPr>
            </w:pPr>
            <w:r w:rsidRPr="00F92E56">
              <w:rPr>
                <w:iCs/>
              </w:rPr>
              <w:t>Distant recurrence mean survival following NIVO (base case: 16.3 months)</w:t>
            </w:r>
          </w:p>
        </w:tc>
      </w:tr>
      <w:tr w:rsidR="00BF136A" w:rsidRPr="00F92E56" w14:paraId="49DB3945" w14:textId="77777777" w:rsidTr="001D78FA">
        <w:tc>
          <w:tcPr>
            <w:tcW w:w="2984" w:type="pct"/>
            <w:tcBorders>
              <w:bottom w:val="nil"/>
            </w:tcBorders>
            <w:noWrap/>
            <w:hideMark/>
          </w:tcPr>
          <w:p w14:paraId="77BB32B1" w14:textId="77777777" w:rsidR="00BF136A" w:rsidRPr="00F92E56" w:rsidRDefault="00BF136A" w:rsidP="00E1556A">
            <w:pPr>
              <w:pStyle w:val="Tabletext"/>
              <w:numPr>
                <w:ilvl w:val="0"/>
                <w:numId w:val="16"/>
              </w:numPr>
              <w:ind w:left="306" w:hanging="142"/>
              <w:rPr>
                <w:iCs/>
              </w:rPr>
            </w:pPr>
            <w:r w:rsidRPr="00F92E56">
              <w:rPr>
                <w:iCs/>
              </w:rPr>
              <w:t>1.5x increase</w:t>
            </w:r>
          </w:p>
        </w:tc>
        <w:tc>
          <w:tcPr>
            <w:tcW w:w="472" w:type="pct"/>
            <w:tcBorders>
              <w:bottom w:val="nil"/>
            </w:tcBorders>
            <w:shd w:val="clear" w:color="auto" w:fill="auto"/>
            <w:noWrap/>
            <w:hideMark/>
          </w:tcPr>
          <w:p w14:paraId="6394A99C" w14:textId="3FA0FE7F"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396"/>
                <w14:textFill>
                  <w14:solidFill>
                    <w14:srgbClr w14:val="000000">
                      <w14:alpha w14:val="100000"/>
                    </w14:srgbClr>
                  </w14:solidFill>
                </w14:textFill>
              </w:rPr>
              <w:t>|</w:t>
            </w:r>
            <w:r w:rsidRPr="00785872">
              <w:rPr>
                <w:iCs/>
                <w:color w:val="000000"/>
                <w:spacing w:val="1"/>
                <w:shd w:val="solid" w:color="000000" w:fill="000000"/>
                <w:fitText w:val="180" w:id="-1032081396"/>
                <w14:textFill>
                  <w14:solidFill>
                    <w14:srgbClr w14:val="000000">
                      <w14:alpha w14:val="100000"/>
                    </w14:srgbClr>
                  </w14:solidFill>
                </w14:textFill>
              </w:rPr>
              <w:t>|</w:t>
            </w:r>
          </w:p>
        </w:tc>
        <w:tc>
          <w:tcPr>
            <w:tcW w:w="472" w:type="pct"/>
            <w:tcBorders>
              <w:bottom w:val="nil"/>
            </w:tcBorders>
            <w:shd w:val="clear" w:color="auto" w:fill="auto"/>
            <w:noWrap/>
            <w:hideMark/>
          </w:tcPr>
          <w:p w14:paraId="593BA282" w14:textId="77777777" w:rsidR="00BF136A" w:rsidRPr="00F92E56" w:rsidRDefault="00BF136A" w:rsidP="007762E7">
            <w:pPr>
              <w:pStyle w:val="Tabletext"/>
              <w:jc w:val="right"/>
              <w:rPr>
                <w:iCs/>
              </w:rPr>
            </w:pPr>
            <w:r w:rsidRPr="00F92E56">
              <w:rPr>
                <w:iCs/>
              </w:rPr>
              <w:t>1.401</w:t>
            </w:r>
          </w:p>
        </w:tc>
        <w:tc>
          <w:tcPr>
            <w:tcW w:w="471" w:type="pct"/>
            <w:tcBorders>
              <w:bottom w:val="nil"/>
            </w:tcBorders>
            <w:shd w:val="clear" w:color="auto" w:fill="auto"/>
            <w:noWrap/>
            <w:hideMark/>
          </w:tcPr>
          <w:p w14:paraId="5FD63116" w14:textId="13AD1A42" w:rsidR="00BF136A" w:rsidRPr="00785872" w:rsidRDefault="00785872" w:rsidP="00BE598F">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395"/>
                <w14:textFill>
                  <w14:solidFill>
                    <w14:srgbClr w14:val="000000">
                      <w14:alpha w14:val="100000"/>
                    </w14:srgbClr>
                  </w14:solidFill>
                </w14:textFill>
              </w:rPr>
              <w:t xml:space="preserve">　</w:t>
            </w:r>
            <w:r w:rsidRPr="00785872">
              <w:rPr>
                <w:iCs/>
                <w:color w:val="000000"/>
                <w:w w:val="22"/>
                <w:shd w:val="solid" w:color="000000" w:fill="000000"/>
                <w:fitText w:val="100" w:id="-1032081395"/>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395"/>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bottom w:val="nil"/>
            </w:tcBorders>
            <w:shd w:val="clear" w:color="auto" w:fill="auto"/>
            <w:noWrap/>
            <w:hideMark/>
          </w:tcPr>
          <w:p w14:paraId="37260D5B" w14:textId="3FA694C6" w:rsidR="00BF136A" w:rsidRPr="00F92E56" w:rsidRDefault="00BF136A" w:rsidP="007762E7">
            <w:pPr>
              <w:pStyle w:val="Tabletext"/>
              <w:jc w:val="right"/>
              <w:rPr>
                <w:iCs/>
              </w:rPr>
            </w:pPr>
            <w:r w:rsidRPr="00F92E56">
              <w:rPr>
                <w:iCs/>
              </w:rPr>
              <w:t>−</w:t>
            </w:r>
            <w:r w:rsidR="00785872" w:rsidRPr="00785872">
              <w:rPr>
                <w:iCs/>
              </w:rPr>
              <w:t xml:space="preserve"> </w:t>
            </w:r>
            <w:r w:rsidR="00785872" w:rsidRPr="00785872">
              <w:rPr>
                <w:rFonts w:hint="eastAsia"/>
                <w:iCs/>
                <w:color w:val="000000"/>
                <w:w w:val="15"/>
                <w:shd w:val="solid" w:color="000000" w:fill="000000"/>
                <w:fitText w:val="40" w:id="-1032081394"/>
                <w14:textFill>
                  <w14:solidFill>
                    <w14:srgbClr w14:val="000000">
                      <w14:alpha w14:val="100000"/>
                    </w14:srgbClr>
                  </w14:solidFill>
                </w14:textFill>
              </w:rPr>
              <w:t xml:space="preserve">　</w:t>
            </w:r>
            <w:r w:rsidR="00785872" w:rsidRPr="00785872">
              <w:rPr>
                <w:iCs/>
                <w:color w:val="000000"/>
                <w:w w:val="15"/>
                <w:shd w:val="solid" w:color="000000" w:fill="000000"/>
                <w:fitText w:val="40" w:id="-1032081394"/>
                <w14:textFill>
                  <w14:solidFill>
                    <w14:srgbClr w14:val="000000">
                      <w14:alpha w14:val="100000"/>
                    </w14:srgbClr>
                  </w14:solidFill>
                </w14:textFill>
              </w:rPr>
              <w:t>|</w:t>
            </w:r>
            <w:r w:rsidR="00785872" w:rsidRPr="00785872">
              <w:rPr>
                <w:rFonts w:hint="eastAsia"/>
                <w:iCs/>
                <w:color w:val="000000"/>
                <w:spacing w:val="-25"/>
                <w:w w:val="15"/>
                <w:shd w:val="solid" w:color="000000" w:fill="000000"/>
                <w:fitText w:val="40" w:id="-1032081394"/>
                <w14:textFill>
                  <w14:solidFill>
                    <w14:srgbClr w14:val="000000">
                      <w14:alpha w14:val="100000"/>
                    </w14:srgbClr>
                  </w14:solidFill>
                </w14:textFill>
              </w:rPr>
              <w:t xml:space="preserve">　</w:t>
            </w:r>
          </w:p>
        </w:tc>
      </w:tr>
      <w:tr w:rsidR="00BF136A" w:rsidRPr="00F92E56" w14:paraId="6FC2930F" w14:textId="77777777" w:rsidTr="001D78FA">
        <w:tc>
          <w:tcPr>
            <w:tcW w:w="2984" w:type="pct"/>
            <w:tcBorders>
              <w:top w:val="nil"/>
              <w:bottom w:val="single" w:sz="4" w:space="0" w:color="000000" w:themeColor="text1"/>
            </w:tcBorders>
            <w:noWrap/>
            <w:hideMark/>
          </w:tcPr>
          <w:p w14:paraId="7A30E467" w14:textId="77777777" w:rsidR="00BF136A" w:rsidRPr="00F92E56" w:rsidRDefault="00BF136A" w:rsidP="00E1556A">
            <w:pPr>
              <w:pStyle w:val="Tabletext"/>
              <w:numPr>
                <w:ilvl w:val="0"/>
                <w:numId w:val="16"/>
              </w:numPr>
              <w:ind w:left="306" w:hanging="142"/>
              <w:rPr>
                <w:iCs/>
              </w:rPr>
            </w:pPr>
            <w:r w:rsidRPr="00F92E56">
              <w:rPr>
                <w:iCs/>
              </w:rPr>
              <w:t>1.5x decrease</w:t>
            </w:r>
          </w:p>
        </w:tc>
        <w:tc>
          <w:tcPr>
            <w:tcW w:w="472" w:type="pct"/>
            <w:tcBorders>
              <w:top w:val="nil"/>
              <w:bottom w:val="single" w:sz="4" w:space="0" w:color="000000" w:themeColor="text1"/>
            </w:tcBorders>
            <w:shd w:val="clear" w:color="auto" w:fill="auto"/>
            <w:noWrap/>
            <w:hideMark/>
          </w:tcPr>
          <w:p w14:paraId="40B7498A" w14:textId="2FA173A3"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393"/>
                <w14:textFill>
                  <w14:solidFill>
                    <w14:srgbClr w14:val="000000">
                      <w14:alpha w14:val="100000"/>
                    </w14:srgbClr>
                  </w14:solidFill>
                </w14:textFill>
              </w:rPr>
              <w:t>|</w:t>
            </w:r>
            <w:r w:rsidRPr="00785872">
              <w:rPr>
                <w:iCs/>
                <w:color w:val="000000"/>
                <w:spacing w:val="1"/>
                <w:shd w:val="solid" w:color="000000" w:fill="000000"/>
                <w:fitText w:val="180" w:id="-1032081393"/>
                <w14:textFill>
                  <w14:solidFill>
                    <w14:srgbClr w14:val="000000">
                      <w14:alpha w14:val="100000"/>
                    </w14:srgbClr>
                  </w14:solidFill>
                </w14:textFill>
              </w:rPr>
              <w:t>|</w:t>
            </w:r>
          </w:p>
        </w:tc>
        <w:tc>
          <w:tcPr>
            <w:tcW w:w="472" w:type="pct"/>
            <w:tcBorders>
              <w:top w:val="nil"/>
              <w:bottom w:val="single" w:sz="4" w:space="0" w:color="000000" w:themeColor="text1"/>
            </w:tcBorders>
            <w:shd w:val="clear" w:color="auto" w:fill="auto"/>
            <w:noWrap/>
            <w:hideMark/>
          </w:tcPr>
          <w:p w14:paraId="528D125E" w14:textId="77777777" w:rsidR="00BF136A" w:rsidRPr="00F92E56" w:rsidRDefault="00BF136A" w:rsidP="007762E7">
            <w:pPr>
              <w:pStyle w:val="Tabletext"/>
              <w:jc w:val="right"/>
              <w:rPr>
                <w:iCs/>
              </w:rPr>
            </w:pPr>
            <w:r w:rsidRPr="00F92E56">
              <w:rPr>
                <w:iCs/>
              </w:rPr>
              <w:t>1.105</w:t>
            </w:r>
          </w:p>
        </w:tc>
        <w:tc>
          <w:tcPr>
            <w:tcW w:w="471" w:type="pct"/>
            <w:tcBorders>
              <w:top w:val="nil"/>
              <w:bottom w:val="single" w:sz="4" w:space="0" w:color="000000" w:themeColor="text1"/>
            </w:tcBorders>
            <w:shd w:val="clear" w:color="auto" w:fill="auto"/>
            <w:noWrap/>
            <w:hideMark/>
          </w:tcPr>
          <w:p w14:paraId="090674D2" w14:textId="2D01FA48" w:rsidR="00BF136A" w:rsidRPr="00785872" w:rsidRDefault="00785872" w:rsidP="00BE598F">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392"/>
                <w14:textFill>
                  <w14:solidFill>
                    <w14:srgbClr w14:val="000000">
                      <w14:alpha w14:val="100000"/>
                    </w14:srgbClr>
                  </w14:solidFill>
                </w14:textFill>
              </w:rPr>
              <w:t xml:space="preserve">　</w:t>
            </w:r>
            <w:r w:rsidRPr="00785872">
              <w:rPr>
                <w:iCs/>
                <w:color w:val="000000"/>
                <w:w w:val="22"/>
                <w:shd w:val="solid" w:color="000000" w:fill="000000"/>
                <w:fitText w:val="100" w:id="-1032081392"/>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392"/>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top w:val="nil"/>
              <w:bottom w:val="single" w:sz="4" w:space="0" w:color="000000" w:themeColor="text1"/>
            </w:tcBorders>
            <w:shd w:val="clear" w:color="auto" w:fill="auto"/>
            <w:noWrap/>
            <w:hideMark/>
          </w:tcPr>
          <w:p w14:paraId="57BC5981" w14:textId="59591639" w:rsidR="00BF136A" w:rsidRPr="00F92E56" w:rsidRDefault="00785872" w:rsidP="007762E7">
            <w:pPr>
              <w:pStyle w:val="Tabletext"/>
              <w:jc w:val="right"/>
              <w:rPr>
                <w:iCs/>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4678A4DD" w14:textId="77777777" w:rsidTr="007762E7">
        <w:tc>
          <w:tcPr>
            <w:tcW w:w="5000" w:type="pct"/>
            <w:gridSpan w:val="5"/>
            <w:tcBorders>
              <w:bottom w:val="single" w:sz="4" w:space="0" w:color="000000" w:themeColor="text1"/>
            </w:tcBorders>
            <w:noWrap/>
            <w:hideMark/>
          </w:tcPr>
          <w:p w14:paraId="1690A78E" w14:textId="77777777" w:rsidR="00BF136A" w:rsidRPr="00F92E56" w:rsidRDefault="00BF136A" w:rsidP="007762E7">
            <w:pPr>
              <w:pStyle w:val="Tabletext"/>
              <w:keepNext/>
              <w:rPr>
                <w:iCs/>
              </w:rPr>
            </w:pPr>
            <w:r w:rsidRPr="00F92E56">
              <w:rPr>
                <w:iCs/>
              </w:rPr>
              <w:t>Distant recurrence mean survival following WW (base case: 24.9 months)</w:t>
            </w:r>
          </w:p>
        </w:tc>
      </w:tr>
      <w:tr w:rsidR="00BF136A" w:rsidRPr="00F92E56" w14:paraId="698C3D56" w14:textId="77777777" w:rsidTr="001D78FA">
        <w:tc>
          <w:tcPr>
            <w:tcW w:w="2984" w:type="pct"/>
            <w:tcBorders>
              <w:bottom w:val="nil"/>
            </w:tcBorders>
            <w:noWrap/>
            <w:hideMark/>
          </w:tcPr>
          <w:p w14:paraId="1D59878E" w14:textId="77777777" w:rsidR="00BF136A" w:rsidRPr="00F92E56" w:rsidRDefault="00BF136A" w:rsidP="00E1556A">
            <w:pPr>
              <w:pStyle w:val="Tabletext"/>
              <w:numPr>
                <w:ilvl w:val="0"/>
                <w:numId w:val="16"/>
              </w:numPr>
              <w:ind w:left="306" w:hanging="142"/>
              <w:rPr>
                <w:iCs/>
              </w:rPr>
            </w:pPr>
            <w:r w:rsidRPr="00F92E56">
              <w:rPr>
                <w:iCs/>
              </w:rPr>
              <w:t>1.5x increase</w:t>
            </w:r>
          </w:p>
        </w:tc>
        <w:tc>
          <w:tcPr>
            <w:tcW w:w="472" w:type="pct"/>
            <w:tcBorders>
              <w:bottom w:val="nil"/>
            </w:tcBorders>
            <w:shd w:val="clear" w:color="auto" w:fill="auto"/>
            <w:noWrap/>
            <w:hideMark/>
          </w:tcPr>
          <w:p w14:paraId="0EB22130" w14:textId="309B85A1"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408"/>
                <w14:textFill>
                  <w14:solidFill>
                    <w14:srgbClr w14:val="000000">
                      <w14:alpha w14:val="100000"/>
                    </w14:srgbClr>
                  </w14:solidFill>
                </w14:textFill>
              </w:rPr>
              <w:t>|</w:t>
            </w:r>
            <w:r w:rsidRPr="00785872">
              <w:rPr>
                <w:iCs/>
                <w:color w:val="000000"/>
                <w:spacing w:val="1"/>
                <w:shd w:val="solid" w:color="000000" w:fill="000000"/>
                <w:fitText w:val="180" w:id="-1032081408"/>
                <w14:textFill>
                  <w14:solidFill>
                    <w14:srgbClr w14:val="000000">
                      <w14:alpha w14:val="100000"/>
                    </w14:srgbClr>
                  </w14:solidFill>
                </w14:textFill>
              </w:rPr>
              <w:t>|</w:t>
            </w:r>
          </w:p>
        </w:tc>
        <w:tc>
          <w:tcPr>
            <w:tcW w:w="472" w:type="pct"/>
            <w:tcBorders>
              <w:bottom w:val="nil"/>
            </w:tcBorders>
            <w:shd w:val="clear" w:color="auto" w:fill="auto"/>
            <w:noWrap/>
            <w:hideMark/>
          </w:tcPr>
          <w:p w14:paraId="62AFF6AB" w14:textId="77777777" w:rsidR="00BF136A" w:rsidRPr="00F92E56" w:rsidRDefault="00BF136A" w:rsidP="007762E7">
            <w:pPr>
              <w:pStyle w:val="Tabletext"/>
              <w:jc w:val="right"/>
              <w:rPr>
                <w:iCs/>
              </w:rPr>
            </w:pPr>
            <w:r w:rsidRPr="00F92E56">
              <w:rPr>
                <w:iCs/>
              </w:rPr>
              <w:t>0.897</w:t>
            </w:r>
          </w:p>
        </w:tc>
        <w:tc>
          <w:tcPr>
            <w:tcW w:w="471" w:type="pct"/>
            <w:tcBorders>
              <w:bottom w:val="nil"/>
            </w:tcBorders>
            <w:shd w:val="clear" w:color="auto" w:fill="auto"/>
            <w:noWrap/>
            <w:hideMark/>
          </w:tcPr>
          <w:p w14:paraId="1396DBDC" w14:textId="562BE629"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407"/>
                <w14:textFill>
                  <w14:solidFill>
                    <w14:srgbClr w14:val="000000">
                      <w14:alpha w14:val="100000"/>
                    </w14:srgbClr>
                  </w14:solidFill>
                </w14:textFill>
              </w:rPr>
              <w:t xml:space="preserve">　</w:t>
            </w:r>
            <w:r w:rsidRPr="00785872">
              <w:rPr>
                <w:iCs/>
                <w:color w:val="000000"/>
                <w:w w:val="22"/>
                <w:shd w:val="solid" w:color="000000" w:fill="000000"/>
                <w:fitText w:val="100" w:id="-1032081407"/>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407"/>
                <w14:textFill>
                  <w14:solidFill>
                    <w14:srgbClr w14:val="000000">
                      <w14:alpha w14:val="100000"/>
                    </w14:srgbClr>
                  </w14:solidFill>
                </w14:textFill>
              </w:rPr>
              <w:t xml:space="preserve">　</w:t>
            </w:r>
            <w:r w:rsidR="00BE598F">
              <w:rPr>
                <w:rFonts w:eastAsia="Calibri"/>
                <w:iCs/>
                <w:szCs w:val="20"/>
                <w:vertAlign w:val="superscript"/>
              </w:rPr>
              <w:t>3</w:t>
            </w:r>
          </w:p>
        </w:tc>
        <w:tc>
          <w:tcPr>
            <w:tcW w:w="601" w:type="pct"/>
            <w:tcBorders>
              <w:bottom w:val="nil"/>
            </w:tcBorders>
            <w:shd w:val="clear" w:color="auto" w:fill="auto"/>
            <w:noWrap/>
            <w:hideMark/>
          </w:tcPr>
          <w:p w14:paraId="1D7D4351" w14:textId="4DD81D15" w:rsidR="00BF136A" w:rsidRPr="00F92E56" w:rsidRDefault="00785872" w:rsidP="007762E7">
            <w:pPr>
              <w:pStyle w:val="Tabletext"/>
              <w:jc w:val="right"/>
              <w:rPr>
                <w:iCs/>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5784D39F" w14:textId="77777777" w:rsidTr="001D78FA">
        <w:tc>
          <w:tcPr>
            <w:tcW w:w="2984" w:type="pct"/>
            <w:tcBorders>
              <w:top w:val="nil"/>
              <w:bottom w:val="single" w:sz="4" w:space="0" w:color="000000" w:themeColor="text1"/>
            </w:tcBorders>
            <w:noWrap/>
            <w:hideMark/>
          </w:tcPr>
          <w:p w14:paraId="4419EDF3" w14:textId="77777777" w:rsidR="00BF136A" w:rsidRPr="00F92E56" w:rsidRDefault="00BF136A" w:rsidP="00E1556A">
            <w:pPr>
              <w:pStyle w:val="Tabletext"/>
              <w:numPr>
                <w:ilvl w:val="0"/>
                <w:numId w:val="16"/>
              </w:numPr>
              <w:ind w:left="306" w:hanging="142"/>
              <w:rPr>
                <w:iCs/>
              </w:rPr>
            </w:pPr>
            <w:r w:rsidRPr="00F92E56">
              <w:rPr>
                <w:iCs/>
              </w:rPr>
              <w:t>1.5x decrease</w:t>
            </w:r>
          </w:p>
        </w:tc>
        <w:tc>
          <w:tcPr>
            <w:tcW w:w="472" w:type="pct"/>
            <w:tcBorders>
              <w:top w:val="nil"/>
              <w:bottom w:val="single" w:sz="4" w:space="0" w:color="000000" w:themeColor="text1"/>
            </w:tcBorders>
            <w:shd w:val="clear" w:color="auto" w:fill="auto"/>
            <w:noWrap/>
            <w:hideMark/>
          </w:tcPr>
          <w:p w14:paraId="31CA57B9" w14:textId="2CBD84E6"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406"/>
                <w14:textFill>
                  <w14:solidFill>
                    <w14:srgbClr w14:val="000000">
                      <w14:alpha w14:val="100000"/>
                    </w14:srgbClr>
                  </w14:solidFill>
                </w14:textFill>
              </w:rPr>
              <w:t>|</w:t>
            </w:r>
            <w:r w:rsidRPr="00785872">
              <w:rPr>
                <w:iCs/>
                <w:color w:val="000000"/>
                <w:spacing w:val="1"/>
                <w:shd w:val="solid" w:color="000000" w:fill="000000"/>
                <w:fitText w:val="180" w:id="-1032081406"/>
                <w14:textFill>
                  <w14:solidFill>
                    <w14:srgbClr w14:val="000000">
                      <w14:alpha w14:val="100000"/>
                    </w14:srgbClr>
                  </w14:solidFill>
                </w14:textFill>
              </w:rPr>
              <w:t>|</w:t>
            </w:r>
          </w:p>
        </w:tc>
        <w:tc>
          <w:tcPr>
            <w:tcW w:w="472" w:type="pct"/>
            <w:tcBorders>
              <w:top w:val="nil"/>
              <w:bottom w:val="single" w:sz="4" w:space="0" w:color="000000" w:themeColor="text1"/>
            </w:tcBorders>
            <w:shd w:val="clear" w:color="auto" w:fill="auto"/>
            <w:noWrap/>
            <w:hideMark/>
          </w:tcPr>
          <w:p w14:paraId="3A9422E2" w14:textId="77777777" w:rsidR="00BF136A" w:rsidRPr="00F92E56" w:rsidRDefault="00BF136A" w:rsidP="007762E7">
            <w:pPr>
              <w:pStyle w:val="Tabletext"/>
              <w:jc w:val="right"/>
              <w:rPr>
                <w:iCs/>
              </w:rPr>
            </w:pPr>
            <w:r w:rsidRPr="00F92E56">
              <w:rPr>
                <w:iCs/>
              </w:rPr>
              <w:t>1.465</w:t>
            </w:r>
          </w:p>
        </w:tc>
        <w:tc>
          <w:tcPr>
            <w:tcW w:w="471" w:type="pct"/>
            <w:tcBorders>
              <w:top w:val="nil"/>
              <w:bottom w:val="single" w:sz="4" w:space="0" w:color="000000" w:themeColor="text1"/>
            </w:tcBorders>
            <w:shd w:val="clear" w:color="auto" w:fill="auto"/>
            <w:noWrap/>
            <w:hideMark/>
          </w:tcPr>
          <w:p w14:paraId="600B074D" w14:textId="5E9CA5A5"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405"/>
                <w14:textFill>
                  <w14:solidFill>
                    <w14:srgbClr w14:val="000000">
                      <w14:alpha w14:val="100000"/>
                    </w14:srgbClr>
                  </w14:solidFill>
                </w14:textFill>
              </w:rPr>
              <w:t xml:space="preserve">　</w:t>
            </w:r>
            <w:r w:rsidRPr="00785872">
              <w:rPr>
                <w:iCs/>
                <w:color w:val="000000"/>
                <w:w w:val="22"/>
                <w:shd w:val="solid" w:color="000000" w:fill="000000"/>
                <w:fitText w:val="100" w:id="-1032081405"/>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405"/>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top w:val="nil"/>
              <w:bottom w:val="single" w:sz="4" w:space="0" w:color="000000" w:themeColor="text1"/>
            </w:tcBorders>
            <w:shd w:val="clear" w:color="auto" w:fill="auto"/>
            <w:noWrap/>
            <w:hideMark/>
          </w:tcPr>
          <w:p w14:paraId="2223EE97" w14:textId="56FE2133" w:rsidR="00BF136A" w:rsidRPr="00F92E56" w:rsidRDefault="00BF136A" w:rsidP="007762E7">
            <w:pPr>
              <w:pStyle w:val="Tabletext"/>
              <w:jc w:val="right"/>
              <w:rPr>
                <w:iCs/>
              </w:rPr>
            </w:pPr>
            <w:r w:rsidRPr="00F92E56">
              <w:rPr>
                <w:iCs/>
              </w:rPr>
              <w:t>−</w:t>
            </w:r>
            <w:r w:rsidR="00785872" w:rsidRPr="00785872">
              <w:rPr>
                <w:iCs/>
              </w:rPr>
              <w:t xml:space="preserve"> </w:t>
            </w:r>
            <w:r w:rsidR="00785872" w:rsidRPr="00785872">
              <w:rPr>
                <w:rFonts w:hint="eastAsia"/>
                <w:iCs/>
                <w:color w:val="000000"/>
                <w:w w:val="15"/>
                <w:shd w:val="solid" w:color="000000" w:fill="000000"/>
                <w:fitText w:val="40" w:id="-1032081404"/>
                <w14:textFill>
                  <w14:solidFill>
                    <w14:srgbClr w14:val="000000">
                      <w14:alpha w14:val="100000"/>
                    </w14:srgbClr>
                  </w14:solidFill>
                </w14:textFill>
              </w:rPr>
              <w:t xml:space="preserve">　</w:t>
            </w:r>
            <w:r w:rsidR="00785872" w:rsidRPr="00785872">
              <w:rPr>
                <w:iCs/>
                <w:color w:val="000000"/>
                <w:w w:val="15"/>
                <w:shd w:val="solid" w:color="000000" w:fill="000000"/>
                <w:fitText w:val="40" w:id="-1032081404"/>
                <w14:textFill>
                  <w14:solidFill>
                    <w14:srgbClr w14:val="000000">
                      <w14:alpha w14:val="100000"/>
                    </w14:srgbClr>
                  </w14:solidFill>
                </w14:textFill>
              </w:rPr>
              <w:t>|</w:t>
            </w:r>
            <w:r w:rsidR="00785872" w:rsidRPr="00785872">
              <w:rPr>
                <w:rFonts w:hint="eastAsia"/>
                <w:iCs/>
                <w:color w:val="000000"/>
                <w:spacing w:val="-25"/>
                <w:w w:val="15"/>
                <w:shd w:val="solid" w:color="000000" w:fill="000000"/>
                <w:fitText w:val="40" w:id="-1032081404"/>
                <w14:textFill>
                  <w14:solidFill>
                    <w14:srgbClr w14:val="000000">
                      <w14:alpha w14:val="100000"/>
                    </w14:srgbClr>
                  </w14:solidFill>
                </w14:textFill>
              </w:rPr>
              <w:t xml:space="preserve">　</w:t>
            </w:r>
          </w:p>
        </w:tc>
      </w:tr>
      <w:tr w:rsidR="00BF136A" w:rsidRPr="00F92E56" w14:paraId="1EFE750F" w14:textId="77777777" w:rsidTr="007762E7">
        <w:tc>
          <w:tcPr>
            <w:tcW w:w="5000" w:type="pct"/>
            <w:gridSpan w:val="5"/>
            <w:tcBorders>
              <w:bottom w:val="single" w:sz="4" w:space="0" w:color="000000" w:themeColor="text1"/>
            </w:tcBorders>
            <w:noWrap/>
          </w:tcPr>
          <w:p w14:paraId="1DB76084" w14:textId="77777777" w:rsidR="00BF136A" w:rsidRPr="00F92E56" w:rsidRDefault="00BF136A" w:rsidP="007762E7">
            <w:pPr>
              <w:pStyle w:val="Tabletext"/>
              <w:keepNext/>
              <w:rPr>
                <w:iCs/>
              </w:rPr>
            </w:pPr>
            <w:r w:rsidRPr="00F92E56">
              <w:rPr>
                <w:iCs/>
              </w:rPr>
              <w:t>Utility values (base case: prior NAC 3 level) (pre-recurrence: 0.820, LR: 0.700, DR: 0.731)</w:t>
            </w:r>
          </w:p>
        </w:tc>
      </w:tr>
      <w:tr w:rsidR="00BF136A" w:rsidRPr="00F92E56" w14:paraId="72D20ACF" w14:textId="77777777" w:rsidTr="001D78FA">
        <w:tc>
          <w:tcPr>
            <w:tcW w:w="2984" w:type="pct"/>
            <w:tcBorders>
              <w:bottom w:val="nil"/>
            </w:tcBorders>
            <w:noWrap/>
          </w:tcPr>
          <w:p w14:paraId="22DD7068" w14:textId="77777777" w:rsidR="00BF136A" w:rsidRPr="00F92E56" w:rsidRDefault="00BF136A" w:rsidP="00E1556A">
            <w:pPr>
              <w:pStyle w:val="Tabletext"/>
              <w:numPr>
                <w:ilvl w:val="0"/>
                <w:numId w:val="16"/>
              </w:numPr>
              <w:ind w:left="306" w:hanging="142"/>
              <w:rPr>
                <w:iCs/>
              </w:rPr>
            </w:pPr>
            <w:r w:rsidRPr="00F92E56">
              <w:rPr>
                <w:iCs/>
              </w:rPr>
              <w:t>ITT (3 level): pre-recurrence: 0.830, LR: 0.746, DR: 0.727</w:t>
            </w:r>
          </w:p>
        </w:tc>
        <w:tc>
          <w:tcPr>
            <w:tcW w:w="472" w:type="pct"/>
            <w:tcBorders>
              <w:bottom w:val="nil"/>
            </w:tcBorders>
            <w:noWrap/>
            <w:vAlign w:val="center"/>
          </w:tcPr>
          <w:p w14:paraId="242E02DA" w14:textId="26458CC0"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403"/>
                <w14:textFill>
                  <w14:solidFill>
                    <w14:srgbClr w14:val="000000">
                      <w14:alpha w14:val="100000"/>
                    </w14:srgbClr>
                  </w14:solidFill>
                </w14:textFill>
              </w:rPr>
              <w:t>|</w:t>
            </w:r>
            <w:r w:rsidRPr="00785872">
              <w:rPr>
                <w:iCs/>
                <w:color w:val="000000"/>
                <w:spacing w:val="1"/>
                <w:shd w:val="solid" w:color="000000" w:fill="000000"/>
                <w:fitText w:val="180" w:id="-1032081403"/>
                <w14:textFill>
                  <w14:solidFill>
                    <w14:srgbClr w14:val="000000">
                      <w14:alpha w14:val="100000"/>
                    </w14:srgbClr>
                  </w14:solidFill>
                </w14:textFill>
              </w:rPr>
              <w:t>|</w:t>
            </w:r>
          </w:p>
        </w:tc>
        <w:tc>
          <w:tcPr>
            <w:tcW w:w="472" w:type="pct"/>
            <w:tcBorders>
              <w:bottom w:val="nil"/>
            </w:tcBorders>
            <w:noWrap/>
            <w:vAlign w:val="center"/>
          </w:tcPr>
          <w:p w14:paraId="14301A19" w14:textId="77777777" w:rsidR="00BF136A" w:rsidRPr="00F92E56" w:rsidRDefault="00BF136A" w:rsidP="007762E7">
            <w:pPr>
              <w:pStyle w:val="Tabletext"/>
              <w:jc w:val="right"/>
              <w:rPr>
                <w:iCs/>
              </w:rPr>
            </w:pPr>
            <w:r w:rsidRPr="00F92E56">
              <w:rPr>
                <w:iCs/>
              </w:rPr>
              <w:t>1.246</w:t>
            </w:r>
          </w:p>
        </w:tc>
        <w:tc>
          <w:tcPr>
            <w:tcW w:w="471" w:type="pct"/>
            <w:tcBorders>
              <w:bottom w:val="nil"/>
            </w:tcBorders>
            <w:noWrap/>
            <w:vAlign w:val="center"/>
          </w:tcPr>
          <w:p w14:paraId="1465EDB4" w14:textId="12BB4FEC"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402"/>
                <w14:textFill>
                  <w14:solidFill>
                    <w14:srgbClr w14:val="000000">
                      <w14:alpha w14:val="100000"/>
                    </w14:srgbClr>
                  </w14:solidFill>
                </w14:textFill>
              </w:rPr>
              <w:t xml:space="preserve">　</w:t>
            </w:r>
            <w:r w:rsidRPr="00785872">
              <w:rPr>
                <w:iCs/>
                <w:color w:val="000000"/>
                <w:w w:val="22"/>
                <w:shd w:val="solid" w:color="000000" w:fill="000000"/>
                <w:fitText w:val="100" w:id="-1032081402"/>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402"/>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bottom w:val="nil"/>
            </w:tcBorders>
            <w:noWrap/>
            <w:vAlign w:val="center"/>
          </w:tcPr>
          <w:p w14:paraId="255CC3D8" w14:textId="4F8BADFD" w:rsidR="00BF136A" w:rsidRPr="00F92E56" w:rsidRDefault="00BF136A" w:rsidP="007762E7">
            <w:pPr>
              <w:pStyle w:val="Tabletext"/>
              <w:jc w:val="right"/>
              <w:rPr>
                <w:iCs/>
              </w:rPr>
            </w:pPr>
            <w:r w:rsidRPr="00F92E56">
              <w:rPr>
                <w:iCs/>
              </w:rPr>
              <w:t>−</w:t>
            </w:r>
            <w:r w:rsidR="00785872" w:rsidRPr="00785872">
              <w:rPr>
                <w:iCs/>
              </w:rPr>
              <w:t xml:space="preserve"> </w:t>
            </w:r>
            <w:r w:rsidR="00785872" w:rsidRPr="00785872">
              <w:rPr>
                <w:rFonts w:hint="eastAsia"/>
                <w:iCs/>
                <w:color w:val="000000"/>
                <w:w w:val="15"/>
                <w:shd w:val="solid" w:color="000000" w:fill="000000"/>
                <w:fitText w:val="40" w:id="-1032081401"/>
                <w14:textFill>
                  <w14:solidFill>
                    <w14:srgbClr w14:val="000000">
                      <w14:alpha w14:val="100000"/>
                    </w14:srgbClr>
                  </w14:solidFill>
                </w14:textFill>
              </w:rPr>
              <w:t xml:space="preserve">　</w:t>
            </w:r>
            <w:r w:rsidR="00785872" w:rsidRPr="00785872">
              <w:rPr>
                <w:iCs/>
                <w:color w:val="000000"/>
                <w:w w:val="15"/>
                <w:shd w:val="solid" w:color="000000" w:fill="000000"/>
                <w:fitText w:val="40" w:id="-1032081401"/>
                <w14:textFill>
                  <w14:solidFill>
                    <w14:srgbClr w14:val="000000">
                      <w14:alpha w14:val="100000"/>
                    </w14:srgbClr>
                  </w14:solidFill>
                </w14:textFill>
              </w:rPr>
              <w:t>|</w:t>
            </w:r>
            <w:r w:rsidR="00785872" w:rsidRPr="00785872">
              <w:rPr>
                <w:rFonts w:hint="eastAsia"/>
                <w:iCs/>
                <w:color w:val="000000"/>
                <w:spacing w:val="-25"/>
                <w:w w:val="15"/>
                <w:shd w:val="solid" w:color="000000" w:fill="000000"/>
                <w:fitText w:val="40" w:id="-1032081401"/>
                <w14:textFill>
                  <w14:solidFill>
                    <w14:srgbClr w14:val="000000">
                      <w14:alpha w14:val="100000"/>
                    </w14:srgbClr>
                  </w14:solidFill>
                </w14:textFill>
              </w:rPr>
              <w:t xml:space="preserve">　</w:t>
            </w:r>
          </w:p>
        </w:tc>
      </w:tr>
      <w:tr w:rsidR="00BF136A" w:rsidRPr="00F92E56" w14:paraId="2E82ACA3" w14:textId="77777777" w:rsidTr="001D78FA">
        <w:tc>
          <w:tcPr>
            <w:tcW w:w="2984" w:type="pct"/>
            <w:tcBorders>
              <w:top w:val="nil"/>
              <w:bottom w:val="single" w:sz="4" w:space="0" w:color="000000" w:themeColor="text1"/>
            </w:tcBorders>
            <w:noWrap/>
          </w:tcPr>
          <w:p w14:paraId="7EF5A321" w14:textId="77777777" w:rsidR="00BF136A" w:rsidRPr="00F92E56" w:rsidRDefault="00BF136A" w:rsidP="00E1556A">
            <w:pPr>
              <w:pStyle w:val="Tabletext"/>
              <w:numPr>
                <w:ilvl w:val="0"/>
                <w:numId w:val="16"/>
              </w:numPr>
              <w:ind w:left="306" w:hanging="142"/>
              <w:rPr>
                <w:iCs/>
              </w:rPr>
            </w:pPr>
            <w:r w:rsidRPr="00F92E56">
              <w:rPr>
                <w:iCs/>
              </w:rPr>
              <w:t xml:space="preserve">Pre-recurrence: 0.780, post-recurrence: 0.634 </w:t>
            </w:r>
            <w:r w:rsidRPr="00F92E56">
              <w:rPr>
                <w:iCs/>
                <w:vertAlign w:val="superscript"/>
              </w:rPr>
              <w:t>a</w:t>
            </w:r>
          </w:p>
        </w:tc>
        <w:tc>
          <w:tcPr>
            <w:tcW w:w="472" w:type="pct"/>
            <w:tcBorders>
              <w:top w:val="nil"/>
              <w:bottom w:val="single" w:sz="4" w:space="0" w:color="000000" w:themeColor="text1"/>
            </w:tcBorders>
            <w:noWrap/>
          </w:tcPr>
          <w:p w14:paraId="3080139D" w14:textId="4DE24CFE"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400"/>
                <w14:textFill>
                  <w14:solidFill>
                    <w14:srgbClr w14:val="000000">
                      <w14:alpha w14:val="100000"/>
                    </w14:srgbClr>
                  </w14:solidFill>
                </w14:textFill>
              </w:rPr>
              <w:t>|</w:t>
            </w:r>
            <w:r w:rsidRPr="00785872">
              <w:rPr>
                <w:iCs/>
                <w:color w:val="000000"/>
                <w:spacing w:val="1"/>
                <w:shd w:val="solid" w:color="000000" w:fill="000000"/>
                <w:fitText w:val="180" w:id="-1032081400"/>
                <w14:textFill>
                  <w14:solidFill>
                    <w14:srgbClr w14:val="000000">
                      <w14:alpha w14:val="100000"/>
                    </w14:srgbClr>
                  </w14:solidFill>
                </w14:textFill>
              </w:rPr>
              <w:t>|</w:t>
            </w:r>
          </w:p>
        </w:tc>
        <w:tc>
          <w:tcPr>
            <w:tcW w:w="472" w:type="pct"/>
            <w:tcBorders>
              <w:top w:val="nil"/>
              <w:bottom w:val="single" w:sz="4" w:space="0" w:color="000000" w:themeColor="text1"/>
            </w:tcBorders>
            <w:noWrap/>
          </w:tcPr>
          <w:p w14:paraId="3C7D33CB" w14:textId="77777777" w:rsidR="00BF136A" w:rsidRPr="00F92E56" w:rsidRDefault="00BF136A" w:rsidP="007762E7">
            <w:pPr>
              <w:pStyle w:val="Tabletext"/>
              <w:jc w:val="right"/>
              <w:rPr>
                <w:iCs/>
              </w:rPr>
            </w:pPr>
            <w:r w:rsidRPr="00F92E56">
              <w:rPr>
                <w:iCs/>
              </w:rPr>
              <w:t>1.201</w:t>
            </w:r>
          </w:p>
        </w:tc>
        <w:tc>
          <w:tcPr>
            <w:tcW w:w="471" w:type="pct"/>
            <w:tcBorders>
              <w:top w:val="nil"/>
              <w:bottom w:val="single" w:sz="4" w:space="0" w:color="000000" w:themeColor="text1"/>
            </w:tcBorders>
            <w:noWrap/>
          </w:tcPr>
          <w:p w14:paraId="2A38D0B5" w14:textId="7EB0AB9D"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399"/>
                <w14:textFill>
                  <w14:solidFill>
                    <w14:srgbClr w14:val="000000">
                      <w14:alpha w14:val="100000"/>
                    </w14:srgbClr>
                  </w14:solidFill>
                </w14:textFill>
              </w:rPr>
              <w:t xml:space="preserve">　</w:t>
            </w:r>
            <w:r w:rsidRPr="00785872">
              <w:rPr>
                <w:iCs/>
                <w:color w:val="000000"/>
                <w:w w:val="22"/>
                <w:shd w:val="solid" w:color="000000" w:fill="000000"/>
                <w:fitText w:val="100" w:id="-1032081399"/>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399"/>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top w:val="nil"/>
              <w:bottom w:val="single" w:sz="4" w:space="0" w:color="000000" w:themeColor="text1"/>
            </w:tcBorders>
            <w:noWrap/>
          </w:tcPr>
          <w:p w14:paraId="60AB810D" w14:textId="23271314" w:rsidR="00BF136A" w:rsidRPr="00F92E56" w:rsidRDefault="00785872" w:rsidP="007762E7">
            <w:pPr>
              <w:pStyle w:val="Tabletext"/>
              <w:jc w:val="right"/>
              <w:rPr>
                <w:iCs/>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6E7D5DA3" w14:textId="77777777" w:rsidTr="001D78FA">
        <w:tc>
          <w:tcPr>
            <w:tcW w:w="2984" w:type="pct"/>
            <w:tcBorders>
              <w:bottom w:val="single" w:sz="4" w:space="0" w:color="000000" w:themeColor="text1"/>
            </w:tcBorders>
            <w:noWrap/>
          </w:tcPr>
          <w:p w14:paraId="6625A5AE" w14:textId="77777777" w:rsidR="00BF136A" w:rsidRPr="00F92E56" w:rsidRDefault="00BF136A" w:rsidP="007762E7">
            <w:pPr>
              <w:pStyle w:val="Tabletext"/>
              <w:rPr>
                <w:iCs/>
              </w:rPr>
            </w:pPr>
            <w:r w:rsidRPr="00F92E56">
              <w:rPr>
                <w:iCs/>
              </w:rPr>
              <w:t>Disutility values, from Bregman (2020)</w:t>
            </w:r>
            <w:r w:rsidRPr="00F92E56">
              <w:rPr>
                <w:iCs/>
                <w:vertAlign w:val="superscript"/>
              </w:rPr>
              <w:t>b</w:t>
            </w:r>
            <w:r w:rsidRPr="00F92E56">
              <w:rPr>
                <w:iCs/>
              </w:rPr>
              <w:t xml:space="preserve"> where available </w:t>
            </w:r>
            <w:r w:rsidRPr="00F92E56">
              <w:rPr>
                <w:b/>
                <w:bCs/>
                <w:iCs/>
              </w:rPr>
              <w:t>(#4)</w:t>
            </w:r>
          </w:p>
        </w:tc>
        <w:tc>
          <w:tcPr>
            <w:tcW w:w="472" w:type="pct"/>
            <w:tcBorders>
              <w:bottom w:val="single" w:sz="4" w:space="0" w:color="000000" w:themeColor="text1"/>
            </w:tcBorders>
            <w:noWrap/>
          </w:tcPr>
          <w:p w14:paraId="4D51F474" w14:textId="7BA985A7"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398"/>
                <w14:textFill>
                  <w14:solidFill>
                    <w14:srgbClr w14:val="000000">
                      <w14:alpha w14:val="100000"/>
                    </w14:srgbClr>
                  </w14:solidFill>
                </w14:textFill>
              </w:rPr>
              <w:t>|</w:t>
            </w:r>
            <w:r w:rsidRPr="00785872">
              <w:rPr>
                <w:iCs/>
                <w:color w:val="000000"/>
                <w:spacing w:val="1"/>
                <w:shd w:val="solid" w:color="000000" w:fill="000000"/>
                <w:fitText w:val="180" w:id="-1032081398"/>
                <w14:textFill>
                  <w14:solidFill>
                    <w14:srgbClr w14:val="000000">
                      <w14:alpha w14:val="100000"/>
                    </w14:srgbClr>
                  </w14:solidFill>
                </w14:textFill>
              </w:rPr>
              <w:t>|</w:t>
            </w:r>
          </w:p>
        </w:tc>
        <w:tc>
          <w:tcPr>
            <w:tcW w:w="472" w:type="pct"/>
            <w:tcBorders>
              <w:bottom w:val="single" w:sz="4" w:space="0" w:color="000000" w:themeColor="text1"/>
            </w:tcBorders>
            <w:noWrap/>
          </w:tcPr>
          <w:p w14:paraId="5C1BE3BA" w14:textId="77777777" w:rsidR="00BF136A" w:rsidRPr="00F92E56" w:rsidRDefault="00BF136A" w:rsidP="007762E7">
            <w:pPr>
              <w:pStyle w:val="Tabletext"/>
              <w:jc w:val="right"/>
              <w:rPr>
                <w:iCs/>
              </w:rPr>
            </w:pPr>
            <w:r w:rsidRPr="00F92E56">
              <w:rPr>
                <w:iCs/>
              </w:rPr>
              <w:t>1.225</w:t>
            </w:r>
          </w:p>
        </w:tc>
        <w:tc>
          <w:tcPr>
            <w:tcW w:w="471" w:type="pct"/>
            <w:tcBorders>
              <w:bottom w:val="single" w:sz="4" w:space="0" w:color="000000" w:themeColor="text1"/>
            </w:tcBorders>
            <w:noWrap/>
          </w:tcPr>
          <w:p w14:paraId="34FC2B64" w14:textId="6E773514"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397"/>
                <w14:textFill>
                  <w14:solidFill>
                    <w14:srgbClr w14:val="000000">
                      <w14:alpha w14:val="100000"/>
                    </w14:srgbClr>
                  </w14:solidFill>
                </w14:textFill>
              </w:rPr>
              <w:t xml:space="preserve">　</w:t>
            </w:r>
            <w:r w:rsidRPr="00785872">
              <w:rPr>
                <w:iCs/>
                <w:color w:val="000000"/>
                <w:w w:val="22"/>
                <w:shd w:val="solid" w:color="000000" w:fill="000000"/>
                <w:fitText w:val="100" w:id="-1032081397"/>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397"/>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bottom w:val="single" w:sz="4" w:space="0" w:color="000000" w:themeColor="text1"/>
            </w:tcBorders>
            <w:noWrap/>
          </w:tcPr>
          <w:p w14:paraId="4919667B" w14:textId="52D4AFCD" w:rsidR="00BF136A" w:rsidRPr="00F92E56" w:rsidRDefault="00785872" w:rsidP="007762E7">
            <w:pPr>
              <w:pStyle w:val="Tabletext"/>
              <w:jc w:val="right"/>
              <w:rPr>
                <w:iCs/>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3B4F8160" w14:textId="77777777" w:rsidTr="001D78FA">
        <w:tc>
          <w:tcPr>
            <w:tcW w:w="2984" w:type="pct"/>
            <w:tcBorders>
              <w:bottom w:val="single" w:sz="4" w:space="0" w:color="000000" w:themeColor="text1"/>
            </w:tcBorders>
            <w:noWrap/>
          </w:tcPr>
          <w:p w14:paraId="5A7E3810" w14:textId="77777777" w:rsidR="00BF136A" w:rsidRPr="00F92E56" w:rsidRDefault="00BF136A" w:rsidP="007762E7">
            <w:pPr>
              <w:pStyle w:val="Tabletext"/>
              <w:rPr>
                <w:iCs/>
              </w:rPr>
            </w:pPr>
            <w:r w:rsidRPr="00F92E56">
              <w:rPr>
                <w:iCs/>
              </w:rPr>
              <w:t xml:space="preserve">No. administrations per chemotherapy cycle, 2 (base case: 1) </w:t>
            </w:r>
            <w:r w:rsidRPr="00F92E56">
              <w:rPr>
                <w:iCs/>
                <w:vertAlign w:val="superscript"/>
              </w:rPr>
              <w:t xml:space="preserve">c </w:t>
            </w:r>
            <w:r w:rsidRPr="00F92E56">
              <w:rPr>
                <w:b/>
                <w:bCs/>
                <w:iCs/>
              </w:rPr>
              <w:t>(#4)</w:t>
            </w:r>
          </w:p>
        </w:tc>
        <w:tc>
          <w:tcPr>
            <w:tcW w:w="472" w:type="pct"/>
            <w:tcBorders>
              <w:bottom w:val="single" w:sz="4" w:space="0" w:color="000000" w:themeColor="text1"/>
            </w:tcBorders>
            <w:noWrap/>
          </w:tcPr>
          <w:p w14:paraId="3739B5C6" w14:textId="0CCDCB59"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396"/>
                <w14:textFill>
                  <w14:solidFill>
                    <w14:srgbClr w14:val="000000">
                      <w14:alpha w14:val="100000"/>
                    </w14:srgbClr>
                  </w14:solidFill>
                </w14:textFill>
              </w:rPr>
              <w:t>|</w:t>
            </w:r>
            <w:r w:rsidRPr="00785872">
              <w:rPr>
                <w:iCs/>
                <w:color w:val="000000"/>
                <w:spacing w:val="1"/>
                <w:shd w:val="solid" w:color="000000" w:fill="000000"/>
                <w:fitText w:val="180" w:id="-1032081396"/>
                <w14:textFill>
                  <w14:solidFill>
                    <w14:srgbClr w14:val="000000">
                      <w14:alpha w14:val="100000"/>
                    </w14:srgbClr>
                  </w14:solidFill>
                </w14:textFill>
              </w:rPr>
              <w:t>|</w:t>
            </w:r>
          </w:p>
        </w:tc>
        <w:tc>
          <w:tcPr>
            <w:tcW w:w="472" w:type="pct"/>
            <w:tcBorders>
              <w:bottom w:val="single" w:sz="4" w:space="0" w:color="000000" w:themeColor="text1"/>
            </w:tcBorders>
            <w:noWrap/>
          </w:tcPr>
          <w:p w14:paraId="3BFF3F5A" w14:textId="77777777" w:rsidR="00BF136A" w:rsidRPr="00F92E56" w:rsidRDefault="00BF136A" w:rsidP="007762E7">
            <w:pPr>
              <w:pStyle w:val="Tabletext"/>
              <w:jc w:val="right"/>
              <w:rPr>
                <w:iCs/>
              </w:rPr>
            </w:pPr>
            <w:r w:rsidRPr="00F92E56">
              <w:rPr>
                <w:iCs/>
              </w:rPr>
              <w:t>1.227</w:t>
            </w:r>
          </w:p>
        </w:tc>
        <w:tc>
          <w:tcPr>
            <w:tcW w:w="471" w:type="pct"/>
            <w:tcBorders>
              <w:bottom w:val="single" w:sz="4" w:space="0" w:color="000000" w:themeColor="text1"/>
            </w:tcBorders>
            <w:noWrap/>
          </w:tcPr>
          <w:p w14:paraId="4A2E320B" w14:textId="79122632"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395"/>
                <w14:textFill>
                  <w14:solidFill>
                    <w14:srgbClr w14:val="000000">
                      <w14:alpha w14:val="100000"/>
                    </w14:srgbClr>
                  </w14:solidFill>
                </w14:textFill>
              </w:rPr>
              <w:t xml:space="preserve">　</w:t>
            </w:r>
            <w:r w:rsidRPr="00785872">
              <w:rPr>
                <w:iCs/>
                <w:color w:val="000000"/>
                <w:w w:val="22"/>
                <w:shd w:val="solid" w:color="000000" w:fill="000000"/>
                <w:fitText w:val="100" w:id="-1032081395"/>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395"/>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bottom w:val="single" w:sz="4" w:space="0" w:color="000000" w:themeColor="text1"/>
            </w:tcBorders>
            <w:noWrap/>
          </w:tcPr>
          <w:p w14:paraId="69429B5F" w14:textId="27B37A31" w:rsidR="00BF136A" w:rsidRPr="00F92E56" w:rsidRDefault="00BF136A" w:rsidP="007762E7">
            <w:pPr>
              <w:pStyle w:val="Tabletext"/>
              <w:jc w:val="right"/>
              <w:rPr>
                <w:iCs/>
              </w:rPr>
            </w:pPr>
            <w:r w:rsidRPr="00F92E56">
              <w:rPr>
                <w:iCs/>
              </w:rPr>
              <w:t>−</w:t>
            </w:r>
            <w:r w:rsidR="00785872" w:rsidRPr="00785872">
              <w:rPr>
                <w:iCs/>
              </w:rPr>
              <w:t xml:space="preserve"> </w:t>
            </w:r>
            <w:r w:rsidR="00785872" w:rsidRPr="00785872">
              <w:rPr>
                <w:rFonts w:hint="eastAsia"/>
                <w:iCs/>
                <w:color w:val="000000"/>
                <w:w w:val="15"/>
                <w:shd w:val="solid" w:color="000000" w:fill="000000"/>
                <w:fitText w:val="40" w:id="-1032081394"/>
                <w14:textFill>
                  <w14:solidFill>
                    <w14:srgbClr w14:val="000000">
                      <w14:alpha w14:val="100000"/>
                    </w14:srgbClr>
                  </w14:solidFill>
                </w14:textFill>
              </w:rPr>
              <w:t xml:space="preserve">　</w:t>
            </w:r>
            <w:r w:rsidR="00785872" w:rsidRPr="00785872">
              <w:rPr>
                <w:iCs/>
                <w:color w:val="000000"/>
                <w:w w:val="15"/>
                <w:shd w:val="solid" w:color="000000" w:fill="000000"/>
                <w:fitText w:val="40" w:id="-1032081394"/>
                <w14:textFill>
                  <w14:solidFill>
                    <w14:srgbClr w14:val="000000">
                      <w14:alpha w14:val="100000"/>
                    </w14:srgbClr>
                  </w14:solidFill>
                </w14:textFill>
              </w:rPr>
              <w:t>|</w:t>
            </w:r>
            <w:r w:rsidR="00785872" w:rsidRPr="00785872">
              <w:rPr>
                <w:rFonts w:hint="eastAsia"/>
                <w:iCs/>
                <w:color w:val="000000"/>
                <w:spacing w:val="-25"/>
                <w:w w:val="15"/>
                <w:shd w:val="solid" w:color="000000" w:fill="000000"/>
                <w:fitText w:val="40" w:id="-1032081394"/>
                <w14:textFill>
                  <w14:solidFill>
                    <w14:srgbClr w14:val="000000">
                      <w14:alpha w14:val="100000"/>
                    </w14:srgbClr>
                  </w14:solidFill>
                </w14:textFill>
              </w:rPr>
              <w:t xml:space="preserve">　</w:t>
            </w:r>
          </w:p>
        </w:tc>
      </w:tr>
      <w:tr w:rsidR="00BF136A" w:rsidRPr="00F92E56" w14:paraId="2E5E702F" w14:textId="77777777" w:rsidTr="001D78FA">
        <w:tc>
          <w:tcPr>
            <w:tcW w:w="2984" w:type="pct"/>
            <w:tcBorders>
              <w:bottom w:val="single" w:sz="4" w:space="0" w:color="000000" w:themeColor="text1"/>
            </w:tcBorders>
            <w:noWrap/>
            <w:hideMark/>
          </w:tcPr>
          <w:p w14:paraId="74230EFF" w14:textId="77777777" w:rsidR="00BF136A" w:rsidRPr="00F92E56" w:rsidRDefault="00BF136A" w:rsidP="007762E7">
            <w:pPr>
              <w:pStyle w:val="Tabletext"/>
              <w:rPr>
                <w:iCs/>
              </w:rPr>
            </w:pPr>
            <w:r w:rsidRPr="00F92E56">
              <w:rPr>
                <w:iCs/>
              </w:rPr>
              <w:t>Exclude costs and outcomes of avelumab maintenance</w:t>
            </w:r>
          </w:p>
        </w:tc>
        <w:tc>
          <w:tcPr>
            <w:tcW w:w="472" w:type="pct"/>
            <w:tcBorders>
              <w:bottom w:val="single" w:sz="4" w:space="0" w:color="000000" w:themeColor="text1"/>
            </w:tcBorders>
            <w:noWrap/>
            <w:hideMark/>
          </w:tcPr>
          <w:p w14:paraId="000345A6" w14:textId="3E5DAA51"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393"/>
                <w14:textFill>
                  <w14:solidFill>
                    <w14:srgbClr w14:val="000000">
                      <w14:alpha w14:val="100000"/>
                    </w14:srgbClr>
                  </w14:solidFill>
                </w14:textFill>
              </w:rPr>
              <w:t>|</w:t>
            </w:r>
            <w:r w:rsidRPr="00785872">
              <w:rPr>
                <w:iCs/>
                <w:color w:val="000000"/>
                <w:spacing w:val="1"/>
                <w:shd w:val="solid" w:color="000000" w:fill="000000"/>
                <w:fitText w:val="180" w:id="-1032081393"/>
                <w14:textFill>
                  <w14:solidFill>
                    <w14:srgbClr w14:val="000000">
                      <w14:alpha w14:val="100000"/>
                    </w14:srgbClr>
                  </w14:solidFill>
                </w14:textFill>
              </w:rPr>
              <w:t>|</w:t>
            </w:r>
          </w:p>
        </w:tc>
        <w:tc>
          <w:tcPr>
            <w:tcW w:w="472" w:type="pct"/>
            <w:tcBorders>
              <w:bottom w:val="single" w:sz="4" w:space="0" w:color="000000" w:themeColor="text1"/>
            </w:tcBorders>
            <w:noWrap/>
            <w:hideMark/>
          </w:tcPr>
          <w:p w14:paraId="1893B245" w14:textId="77777777" w:rsidR="00BF136A" w:rsidRPr="00F92E56" w:rsidRDefault="00BF136A" w:rsidP="007762E7">
            <w:pPr>
              <w:pStyle w:val="Tabletext"/>
              <w:jc w:val="right"/>
              <w:rPr>
                <w:iCs/>
              </w:rPr>
            </w:pPr>
            <w:r w:rsidRPr="00F92E56">
              <w:rPr>
                <w:iCs/>
              </w:rPr>
              <w:t>1.473</w:t>
            </w:r>
          </w:p>
        </w:tc>
        <w:tc>
          <w:tcPr>
            <w:tcW w:w="471" w:type="pct"/>
            <w:tcBorders>
              <w:bottom w:val="single" w:sz="4" w:space="0" w:color="000000" w:themeColor="text1"/>
            </w:tcBorders>
            <w:noWrap/>
            <w:hideMark/>
          </w:tcPr>
          <w:p w14:paraId="752AC70C" w14:textId="53852C08"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392"/>
                <w14:textFill>
                  <w14:solidFill>
                    <w14:srgbClr w14:val="000000">
                      <w14:alpha w14:val="100000"/>
                    </w14:srgbClr>
                  </w14:solidFill>
                </w14:textFill>
              </w:rPr>
              <w:t xml:space="preserve">　</w:t>
            </w:r>
            <w:r w:rsidRPr="00785872">
              <w:rPr>
                <w:iCs/>
                <w:color w:val="000000"/>
                <w:w w:val="22"/>
                <w:shd w:val="solid" w:color="000000" w:fill="000000"/>
                <w:fitText w:val="100" w:id="-1032081392"/>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392"/>
                <w14:textFill>
                  <w14:solidFill>
                    <w14:srgbClr w14:val="000000">
                      <w14:alpha w14:val="100000"/>
                    </w14:srgbClr>
                  </w14:solidFill>
                </w14:textFill>
              </w:rPr>
              <w:t xml:space="preserve">　</w:t>
            </w:r>
            <w:r w:rsidR="00BE598F">
              <w:rPr>
                <w:rFonts w:eastAsia="Calibri"/>
                <w:iCs/>
                <w:szCs w:val="20"/>
                <w:vertAlign w:val="superscript"/>
              </w:rPr>
              <w:t>3</w:t>
            </w:r>
          </w:p>
        </w:tc>
        <w:tc>
          <w:tcPr>
            <w:tcW w:w="601" w:type="pct"/>
            <w:tcBorders>
              <w:bottom w:val="single" w:sz="4" w:space="0" w:color="000000" w:themeColor="text1"/>
            </w:tcBorders>
            <w:noWrap/>
            <w:hideMark/>
          </w:tcPr>
          <w:p w14:paraId="0523180D" w14:textId="5CDB45F8" w:rsidR="00BF136A" w:rsidRPr="00F92E56" w:rsidRDefault="00785872" w:rsidP="007762E7">
            <w:pPr>
              <w:pStyle w:val="Tabletext"/>
              <w:jc w:val="right"/>
              <w:rPr>
                <w:iCs/>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5AD3207F" w14:textId="77777777" w:rsidTr="001D78FA">
        <w:tc>
          <w:tcPr>
            <w:tcW w:w="2984" w:type="pct"/>
            <w:tcBorders>
              <w:bottom w:val="single" w:sz="4" w:space="0" w:color="000000" w:themeColor="text1"/>
            </w:tcBorders>
            <w:noWrap/>
          </w:tcPr>
          <w:p w14:paraId="78027D28" w14:textId="1D4680DD" w:rsidR="00BF136A" w:rsidRPr="00F92E56" w:rsidRDefault="00BF136A" w:rsidP="00BF136A">
            <w:pPr>
              <w:pStyle w:val="Tabletext"/>
            </w:pPr>
            <w:r w:rsidRPr="00F92E56">
              <w:t xml:space="preserve">Applying consistent proportions of avelumab use in the costs and outcomes of treating distant metastasis </w:t>
            </w:r>
            <w:r w:rsidRPr="00F92E56">
              <w:rPr>
                <w:vertAlign w:val="superscript"/>
              </w:rPr>
              <w:t xml:space="preserve">d </w:t>
            </w:r>
            <w:r w:rsidRPr="00F92E56">
              <w:rPr>
                <w:b/>
                <w:bCs/>
              </w:rPr>
              <w:t>(#7)</w:t>
            </w:r>
          </w:p>
        </w:tc>
        <w:tc>
          <w:tcPr>
            <w:tcW w:w="472" w:type="pct"/>
            <w:tcBorders>
              <w:bottom w:val="single" w:sz="4" w:space="0" w:color="000000" w:themeColor="text1"/>
            </w:tcBorders>
            <w:noWrap/>
          </w:tcPr>
          <w:p w14:paraId="12886FAE" w14:textId="0E97887F" w:rsidR="00BF136A" w:rsidRPr="00785872" w:rsidRDefault="00785872" w:rsidP="00BF136A">
            <w:pPr>
              <w:pStyle w:val="Tabletext"/>
              <w:jc w:val="right"/>
              <w:rPr>
                <w:highlight w:val="darkGray"/>
              </w:rPr>
            </w:pPr>
            <w:r w:rsidRPr="00785872">
              <w:t xml:space="preserve"> </w:t>
            </w:r>
            <w:r w:rsidRPr="00785872">
              <w:rPr>
                <w:color w:val="000000"/>
                <w:spacing w:val="94"/>
                <w:shd w:val="solid" w:color="000000" w:fill="000000"/>
                <w:fitText w:val="180" w:id="-1032081408"/>
                <w14:textFill>
                  <w14:solidFill>
                    <w14:srgbClr w14:val="000000">
                      <w14:alpha w14:val="100000"/>
                    </w14:srgbClr>
                  </w14:solidFill>
                </w14:textFill>
              </w:rPr>
              <w:t>|</w:t>
            </w:r>
            <w:r w:rsidRPr="00785872">
              <w:rPr>
                <w:color w:val="000000"/>
                <w:spacing w:val="1"/>
                <w:shd w:val="solid" w:color="000000" w:fill="000000"/>
                <w:fitText w:val="180" w:id="-1032081408"/>
                <w14:textFill>
                  <w14:solidFill>
                    <w14:srgbClr w14:val="000000">
                      <w14:alpha w14:val="100000"/>
                    </w14:srgbClr>
                  </w14:solidFill>
                </w14:textFill>
              </w:rPr>
              <w:t>|</w:t>
            </w:r>
          </w:p>
        </w:tc>
        <w:tc>
          <w:tcPr>
            <w:tcW w:w="472" w:type="pct"/>
            <w:tcBorders>
              <w:bottom w:val="single" w:sz="4" w:space="0" w:color="000000" w:themeColor="text1"/>
            </w:tcBorders>
            <w:noWrap/>
          </w:tcPr>
          <w:p w14:paraId="17311B57" w14:textId="5144F0C9" w:rsidR="00BF136A" w:rsidRPr="00F92E56" w:rsidRDefault="00BF136A" w:rsidP="00BF136A">
            <w:pPr>
              <w:pStyle w:val="Tabletext"/>
              <w:jc w:val="right"/>
            </w:pPr>
            <w:r w:rsidRPr="00F92E56">
              <w:t>1.240</w:t>
            </w:r>
          </w:p>
        </w:tc>
        <w:tc>
          <w:tcPr>
            <w:tcW w:w="471" w:type="pct"/>
            <w:tcBorders>
              <w:bottom w:val="single" w:sz="4" w:space="0" w:color="000000" w:themeColor="text1"/>
            </w:tcBorders>
            <w:noWrap/>
          </w:tcPr>
          <w:p w14:paraId="51F283C3" w14:textId="56170BC4" w:rsidR="00BF136A" w:rsidRPr="00785872" w:rsidRDefault="00785872" w:rsidP="00BF136A">
            <w:pPr>
              <w:pStyle w:val="Tabletext"/>
              <w:jc w:val="right"/>
              <w:rPr>
                <w:highlight w:val="darkGray"/>
              </w:rPr>
            </w:pPr>
            <w:r w:rsidRPr="00785872">
              <w:t xml:space="preserve"> </w:t>
            </w:r>
            <w:r w:rsidRPr="00785872">
              <w:rPr>
                <w:rFonts w:hint="eastAsia"/>
                <w:color w:val="000000"/>
                <w:w w:val="22"/>
                <w:shd w:val="solid" w:color="000000" w:fill="000000"/>
                <w:fitText w:val="100" w:id="-1032081407"/>
                <w14:textFill>
                  <w14:solidFill>
                    <w14:srgbClr w14:val="000000">
                      <w14:alpha w14:val="100000"/>
                    </w14:srgbClr>
                  </w14:solidFill>
                </w14:textFill>
              </w:rPr>
              <w:t xml:space="preserve">　</w:t>
            </w:r>
            <w:r w:rsidRPr="00785872">
              <w:rPr>
                <w:color w:val="000000"/>
                <w:w w:val="22"/>
                <w:shd w:val="solid" w:color="000000" w:fill="000000"/>
                <w:fitText w:val="100" w:id="-1032081407"/>
                <w14:textFill>
                  <w14:solidFill>
                    <w14:srgbClr w14:val="000000">
                      <w14:alpha w14:val="100000"/>
                    </w14:srgbClr>
                  </w14:solidFill>
                </w14:textFill>
              </w:rPr>
              <w:t>|</w:t>
            </w:r>
            <w:r w:rsidRPr="00785872">
              <w:rPr>
                <w:rFonts w:hint="eastAsia"/>
                <w:color w:val="000000"/>
                <w:spacing w:val="3"/>
                <w:w w:val="22"/>
                <w:shd w:val="solid" w:color="000000" w:fill="000000"/>
                <w:fitText w:val="100" w:id="-1032081407"/>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bottom w:val="single" w:sz="4" w:space="0" w:color="000000" w:themeColor="text1"/>
            </w:tcBorders>
            <w:noWrap/>
          </w:tcPr>
          <w:p w14:paraId="5FB5C1A8" w14:textId="3E37B0DA" w:rsidR="00BF136A" w:rsidRPr="00F92E56" w:rsidRDefault="00BF136A" w:rsidP="00BF136A">
            <w:pPr>
              <w:pStyle w:val="Tabletext"/>
              <w:jc w:val="right"/>
            </w:pPr>
            <w:r w:rsidRPr="00F92E56">
              <w:rPr>
                <w:iCs/>
              </w:rPr>
              <w:t>−</w:t>
            </w:r>
            <w:r w:rsidR="00785872" w:rsidRPr="00785872">
              <w:rPr>
                <w:iCs/>
              </w:rPr>
              <w:t xml:space="preserve"> </w:t>
            </w:r>
            <w:r w:rsidR="00785872" w:rsidRPr="00785872">
              <w:rPr>
                <w:rFonts w:hint="eastAsia"/>
                <w:iCs/>
                <w:color w:val="000000"/>
                <w:w w:val="15"/>
                <w:shd w:val="solid" w:color="000000" w:fill="000000"/>
                <w:fitText w:val="40" w:id="-1032081406"/>
                <w14:textFill>
                  <w14:solidFill>
                    <w14:srgbClr w14:val="000000">
                      <w14:alpha w14:val="100000"/>
                    </w14:srgbClr>
                  </w14:solidFill>
                </w14:textFill>
              </w:rPr>
              <w:t xml:space="preserve">　</w:t>
            </w:r>
            <w:r w:rsidR="00785872" w:rsidRPr="00785872">
              <w:rPr>
                <w:iCs/>
                <w:color w:val="000000"/>
                <w:w w:val="15"/>
                <w:shd w:val="solid" w:color="000000" w:fill="000000"/>
                <w:fitText w:val="40" w:id="-1032081406"/>
                <w14:textFill>
                  <w14:solidFill>
                    <w14:srgbClr w14:val="000000">
                      <w14:alpha w14:val="100000"/>
                    </w14:srgbClr>
                  </w14:solidFill>
                </w14:textFill>
              </w:rPr>
              <w:t>|</w:t>
            </w:r>
            <w:r w:rsidR="00785872" w:rsidRPr="00785872">
              <w:rPr>
                <w:rFonts w:hint="eastAsia"/>
                <w:iCs/>
                <w:color w:val="000000"/>
                <w:spacing w:val="-25"/>
                <w:w w:val="15"/>
                <w:shd w:val="solid" w:color="000000" w:fill="000000"/>
                <w:fitText w:val="40" w:id="-1032081406"/>
                <w14:textFill>
                  <w14:solidFill>
                    <w14:srgbClr w14:val="000000">
                      <w14:alpha w14:val="100000"/>
                    </w14:srgbClr>
                  </w14:solidFill>
                </w14:textFill>
              </w:rPr>
              <w:t xml:space="preserve">　</w:t>
            </w:r>
          </w:p>
        </w:tc>
      </w:tr>
      <w:tr w:rsidR="00BF136A" w:rsidRPr="00F92E56" w14:paraId="4BCBFD89" w14:textId="77777777" w:rsidTr="001D78FA">
        <w:trPr>
          <w:trHeight w:val="326"/>
        </w:trPr>
        <w:tc>
          <w:tcPr>
            <w:tcW w:w="2984" w:type="pct"/>
            <w:tcBorders>
              <w:bottom w:val="single" w:sz="4" w:space="0" w:color="000000" w:themeColor="text1"/>
              <w:right w:val="nil"/>
            </w:tcBorders>
            <w:noWrap/>
            <w:hideMark/>
          </w:tcPr>
          <w:p w14:paraId="70929980" w14:textId="77777777" w:rsidR="00BF136A" w:rsidRPr="00F92E56" w:rsidRDefault="00BF136A" w:rsidP="007762E7">
            <w:pPr>
              <w:pStyle w:val="Tabletext"/>
              <w:keepNext/>
              <w:rPr>
                <w:iCs/>
              </w:rPr>
            </w:pPr>
            <w:r w:rsidRPr="00F92E56">
              <w:rPr>
                <w:iCs/>
              </w:rPr>
              <w:t>Avelumab treatment duration (base case: 12.6 months)</w:t>
            </w:r>
          </w:p>
        </w:tc>
        <w:tc>
          <w:tcPr>
            <w:tcW w:w="472" w:type="pct"/>
            <w:tcBorders>
              <w:left w:val="nil"/>
              <w:bottom w:val="single" w:sz="4" w:space="0" w:color="000000" w:themeColor="text1"/>
              <w:right w:val="nil"/>
            </w:tcBorders>
            <w:noWrap/>
            <w:hideMark/>
          </w:tcPr>
          <w:p w14:paraId="4317BCE2" w14:textId="77777777" w:rsidR="00BF136A" w:rsidRPr="00F92E56" w:rsidRDefault="00BF136A" w:rsidP="007762E7">
            <w:pPr>
              <w:pStyle w:val="Tabletext"/>
              <w:keepNext/>
              <w:jc w:val="right"/>
              <w:rPr>
                <w:iCs/>
              </w:rPr>
            </w:pPr>
          </w:p>
        </w:tc>
        <w:tc>
          <w:tcPr>
            <w:tcW w:w="472" w:type="pct"/>
            <w:tcBorders>
              <w:left w:val="nil"/>
              <w:bottom w:val="single" w:sz="4" w:space="0" w:color="000000" w:themeColor="text1"/>
              <w:right w:val="nil"/>
            </w:tcBorders>
            <w:noWrap/>
            <w:hideMark/>
          </w:tcPr>
          <w:p w14:paraId="00B60DD6" w14:textId="77777777" w:rsidR="00BF136A" w:rsidRPr="00F92E56" w:rsidRDefault="00BF136A" w:rsidP="007762E7">
            <w:pPr>
              <w:pStyle w:val="Tabletext"/>
              <w:keepNext/>
              <w:jc w:val="right"/>
              <w:rPr>
                <w:iCs/>
              </w:rPr>
            </w:pPr>
          </w:p>
        </w:tc>
        <w:tc>
          <w:tcPr>
            <w:tcW w:w="471" w:type="pct"/>
            <w:tcBorders>
              <w:left w:val="nil"/>
              <w:bottom w:val="single" w:sz="4" w:space="0" w:color="000000" w:themeColor="text1"/>
              <w:right w:val="nil"/>
            </w:tcBorders>
            <w:noWrap/>
            <w:hideMark/>
          </w:tcPr>
          <w:p w14:paraId="633D7526" w14:textId="77777777" w:rsidR="00BF136A" w:rsidRPr="00F92E56" w:rsidRDefault="00BF136A" w:rsidP="007762E7">
            <w:pPr>
              <w:pStyle w:val="Tabletext"/>
              <w:keepNext/>
              <w:jc w:val="right"/>
              <w:rPr>
                <w:iCs/>
              </w:rPr>
            </w:pPr>
          </w:p>
        </w:tc>
        <w:tc>
          <w:tcPr>
            <w:tcW w:w="601" w:type="pct"/>
            <w:tcBorders>
              <w:left w:val="nil"/>
              <w:bottom w:val="single" w:sz="4" w:space="0" w:color="000000" w:themeColor="text1"/>
            </w:tcBorders>
            <w:noWrap/>
            <w:hideMark/>
          </w:tcPr>
          <w:p w14:paraId="47C42BAA" w14:textId="77777777" w:rsidR="00BF136A" w:rsidRPr="00F92E56" w:rsidRDefault="00BF136A" w:rsidP="007762E7">
            <w:pPr>
              <w:pStyle w:val="Tabletext"/>
              <w:keepNext/>
              <w:jc w:val="right"/>
              <w:rPr>
                <w:iCs/>
              </w:rPr>
            </w:pPr>
          </w:p>
        </w:tc>
      </w:tr>
      <w:tr w:rsidR="00BF136A" w:rsidRPr="00F92E56" w14:paraId="7278EFF0" w14:textId="77777777" w:rsidTr="001D78FA">
        <w:tc>
          <w:tcPr>
            <w:tcW w:w="2984" w:type="pct"/>
            <w:tcBorders>
              <w:bottom w:val="nil"/>
            </w:tcBorders>
            <w:noWrap/>
            <w:hideMark/>
          </w:tcPr>
          <w:p w14:paraId="6BCA565F" w14:textId="77777777" w:rsidR="00BF136A" w:rsidRPr="00F92E56" w:rsidRDefault="00BF136A" w:rsidP="00E1556A">
            <w:pPr>
              <w:pStyle w:val="Tabletext"/>
              <w:numPr>
                <w:ilvl w:val="0"/>
                <w:numId w:val="16"/>
              </w:numPr>
              <w:ind w:left="306" w:hanging="142"/>
              <w:rPr>
                <w:iCs/>
              </w:rPr>
            </w:pPr>
            <w:r w:rsidRPr="00F92E56">
              <w:rPr>
                <w:iCs/>
              </w:rPr>
              <w:t>8 months</w:t>
            </w:r>
          </w:p>
        </w:tc>
        <w:tc>
          <w:tcPr>
            <w:tcW w:w="472" w:type="pct"/>
            <w:tcBorders>
              <w:bottom w:val="nil"/>
            </w:tcBorders>
            <w:noWrap/>
            <w:hideMark/>
          </w:tcPr>
          <w:p w14:paraId="4C60600A" w14:textId="69185C86"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405"/>
                <w14:textFill>
                  <w14:solidFill>
                    <w14:srgbClr w14:val="000000">
                      <w14:alpha w14:val="100000"/>
                    </w14:srgbClr>
                  </w14:solidFill>
                </w14:textFill>
              </w:rPr>
              <w:t>|</w:t>
            </w:r>
            <w:r w:rsidRPr="00785872">
              <w:rPr>
                <w:iCs/>
                <w:color w:val="000000"/>
                <w:spacing w:val="1"/>
                <w:shd w:val="solid" w:color="000000" w:fill="000000"/>
                <w:fitText w:val="180" w:id="-1032081405"/>
                <w14:textFill>
                  <w14:solidFill>
                    <w14:srgbClr w14:val="000000">
                      <w14:alpha w14:val="100000"/>
                    </w14:srgbClr>
                  </w14:solidFill>
                </w14:textFill>
              </w:rPr>
              <w:t>|</w:t>
            </w:r>
          </w:p>
        </w:tc>
        <w:tc>
          <w:tcPr>
            <w:tcW w:w="472" w:type="pct"/>
            <w:tcBorders>
              <w:bottom w:val="nil"/>
            </w:tcBorders>
            <w:noWrap/>
            <w:hideMark/>
          </w:tcPr>
          <w:p w14:paraId="28513E45" w14:textId="77777777" w:rsidR="00BF136A" w:rsidRPr="00F92E56" w:rsidRDefault="00BF136A" w:rsidP="007762E7">
            <w:pPr>
              <w:pStyle w:val="Tabletext"/>
              <w:jc w:val="right"/>
              <w:rPr>
                <w:iCs/>
              </w:rPr>
            </w:pPr>
            <w:r w:rsidRPr="00F92E56">
              <w:rPr>
                <w:iCs/>
              </w:rPr>
              <w:t>1.227</w:t>
            </w:r>
          </w:p>
        </w:tc>
        <w:tc>
          <w:tcPr>
            <w:tcW w:w="471" w:type="pct"/>
            <w:tcBorders>
              <w:bottom w:val="nil"/>
            </w:tcBorders>
            <w:noWrap/>
            <w:hideMark/>
          </w:tcPr>
          <w:p w14:paraId="4FCEA05A" w14:textId="66F2603D"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404"/>
                <w14:textFill>
                  <w14:solidFill>
                    <w14:srgbClr w14:val="000000">
                      <w14:alpha w14:val="100000"/>
                    </w14:srgbClr>
                  </w14:solidFill>
                </w14:textFill>
              </w:rPr>
              <w:t xml:space="preserve">　</w:t>
            </w:r>
            <w:r w:rsidRPr="00785872">
              <w:rPr>
                <w:iCs/>
                <w:color w:val="000000"/>
                <w:w w:val="22"/>
                <w:shd w:val="solid" w:color="000000" w:fill="000000"/>
                <w:fitText w:val="100" w:id="-1032081404"/>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404"/>
                <w14:textFill>
                  <w14:solidFill>
                    <w14:srgbClr w14:val="000000">
                      <w14:alpha w14:val="100000"/>
                    </w14:srgbClr>
                  </w14:solidFill>
                </w14:textFill>
              </w:rPr>
              <w:t xml:space="preserve">　</w:t>
            </w:r>
            <w:r w:rsidR="00BE598F">
              <w:rPr>
                <w:rFonts w:eastAsia="Calibri"/>
                <w:iCs/>
                <w:szCs w:val="20"/>
                <w:vertAlign w:val="superscript"/>
              </w:rPr>
              <w:t>3</w:t>
            </w:r>
          </w:p>
        </w:tc>
        <w:tc>
          <w:tcPr>
            <w:tcW w:w="601" w:type="pct"/>
            <w:tcBorders>
              <w:bottom w:val="nil"/>
            </w:tcBorders>
            <w:noWrap/>
            <w:hideMark/>
          </w:tcPr>
          <w:p w14:paraId="44EA7AE1" w14:textId="6DD9A269" w:rsidR="00BF136A" w:rsidRPr="00785872" w:rsidRDefault="00785872" w:rsidP="007762E7">
            <w:pPr>
              <w:pStyle w:val="Tabletext"/>
              <w:jc w:val="right"/>
              <w:rPr>
                <w:iCs/>
                <w:highlight w:val="darkGray"/>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196E328E" w14:textId="77777777" w:rsidTr="001D78FA">
        <w:tc>
          <w:tcPr>
            <w:tcW w:w="2984" w:type="pct"/>
            <w:tcBorders>
              <w:top w:val="nil"/>
              <w:bottom w:val="nil"/>
            </w:tcBorders>
            <w:noWrap/>
            <w:hideMark/>
          </w:tcPr>
          <w:p w14:paraId="2499C11A" w14:textId="77777777" w:rsidR="00BF136A" w:rsidRPr="00F92E56" w:rsidRDefault="00BF136A" w:rsidP="00E1556A">
            <w:pPr>
              <w:pStyle w:val="Tabletext"/>
              <w:numPr>
                <w:ilvl w:val="0"/>
                <w:numId w:val="16"/>
              </w:numPr>
              <w:ind w:left="306" w:hanging="142"/>
              <w:rPr>
                <w:iCs/>
              </w:rPr>
            </w:pPr>
            <w:r w:rsidRPr="00F92E56">
              <w:rPr>
                <w:iCs/>
              </w:rPr>
              <w:t xml:space="preserve">10 months </w:t>
            </w:r>
            <w:r w:rsidRPr="00F92E56">
              <w:rPr>
                <w:b/>
                <w:bCs/>
                <w:iCs/>
              </w:rPr>
              <w:t>(#6)</w:t>
            </w:r>
          </w:p>
        </w:tc>
        <w:tc>
          <w:tcPr>
            <w:tcW w:w="472" w:type="pct"/>
            <w:tcBorders>
              <w:top w:val="nil"/>
              <w:bottom w:val="nil"/>
            </w:tcBorders>
            <w:noWrap/>
            <w:hideMark/>
          </w:tcPr>
          <w:p w14:paraId="3991C01D" w14:textId="09105122"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403"/>
                <w14:textFill>
                  <w14:solidFill>
                    <w14:srgbClr w14:val="000000">
                      <w14:alpha w14:val="100000"/>
                    </w14:srgbClr>
                  </w14:solidFill>
                </w14:textFill>
              </w:rPr>
              <w:t>|</w:t>
            </w:r>
            <w:r w:rsidRPr="00785872">
              <w:rPr>
                <w:iCs/>
                <w:color w:val="000000"/>
                <w:spacing w:val="1"/>
                <w:shd w:val="solid" w:color="000000" w:fill="000000"/>
                <w:fitText w:val="180" w:id="-1032081403"/>
                <w14:textFill>
                  <w14:solidFill>
                    <w14:srgbClr w14:val="000000">
                      <w14:alpha w14:val="100000"/>
                    </w14:srgbClr>
                  </w14:solidFill>
                </w14:textFill>
              </w:rPr>
              <w:t>|</w:t>
            </w:r>
          </w:p>
        </w:tc>
        <w:tc>
          <w:tcPr>
            <w:tcW w:w="472" w:type="pct"/>
            <w:tcBorders>
              <w:top w:val="nil"/>
              <w:bottom w:val="nil"/>
            </w:tcBorders>
            <w:noWrap/>
            <w:hideMark/>
          </w:tcPr>
          <w:p w14:paraId="2783DED2" w14:textId="77777777" w:rsidR="00BF136A" w:rsidRPr="00F92E56" w:rsidRDefault="00BF136A" w:rsidP="007762E7">
            <w:pPr>
              <w:pStyle w:val="Tabletext"/>
              <w:jc w:val="right"/>
              <w:rPr>
                <w:iCs/>
              </w:rPr>
            </w:pPr>
            <w:r w:rsidRPr="00F92E56">
              <w:rPr>
                <w:iCs/>
              </w:rPr>
              <w:t>1.227</w:t>
            </w:r>
          </w:p>
        </w:tc>
        <w:tc>
          <w:tcPr>
            <w:tcW w:w="471" w:type="pct"/>
            <w:tcBorders>
              <w:top w:val="nil"/>
              <w:bottom w:val="nil"/>
            </w:tcBorders>
            <w:noWrap/>
            <w:hideMark/>
          </w:tcPr>
          <w:p w14:paraId="0907E04E" w14:textId="23504A31"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402"/>
                <w14:textFill>
                  <w14:solidFill>
                    <w14:srgbClr w14:val="000000">
                      <w14:alpha w14:val="100000"/>
                    </w14:srgbClr>
                  </w14:solidFill>
                </w14:textFill>
              </w:rPr>
              <w:t xml:space="preserve">　</w:t>
            </w:r>
            <w:r w:rsidRPr="00785872">
              <w:rPr>
                <w:iCs/>
                <w:color w:val="000000"/>
                <w:w w:val="22"/>
                <w:shd w:val="solid" w:color="000000" w:fill="000000"/>
                <w:fitText w:val="100" w:id="-1032081402"/>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402"/>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top w:val="nil"/>
              <w:bottom w:val="nil"/>
            </w:tcBorders>
            <w:noWrap/>
            <w:hideMark/>
          </w:tcPr>
          <w:p w14:paraId="0E34C4CA" w14:textId="3AF9B7E0" w:rsidR="00BF136A" w:rsidRPr="00785872" w:rsidRDefault="00785872" w:rsidP="007762E7">
            <w:pPr>
              <w:pStyle w:val="Tabletext"/>
              <w:jc w:val="right"/>
              <w:rPr>
                <w:iCs/>
                <w:highlight w:val="darkGray"/>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257FA14D" w14:textId="77777777" w:rsidTr="007762E7">
        <w:tc>
          <w:tcPr>
            <w:tcW w:w="5000" w:type="pct"/>
            <w:gridSpan w:val="5"/>
            <w:tcBorders>
              <w:bottom w:val="single" w:sz="4" w:space="0" w:color="000000" w:themeColor="text1"/>
            </w:tcBorders>
            <w:noWrap/>
            <w:hideMark/>
          </w:tcPr>
          <w:p w14:paraId="33963BC4" w14:textId="77777777" w:rsidR="00BF136A" w:rsidRPr="00F92E56" w:rsidRDefault="00BF136A" w:rsidP="007762E7">
            <w:pPr>
              <w:pStyle w:val="Tabletext"/>
              <w:rPr>
                <w:iCs/>
              </w:rPr>
            </w:pPr>
            <w:r w:rsidRPr="00F92E56">
              <w:rPr>
                <w:iCs/>
              </w:rPr>
              <w:t>Proportion of patients who receive avelumab maintenance after chemotherapy (base case: 63%)</w:t>
            </w:r>
          </w:p>
        </w:tc>
      </w:tr>
      <w:tr w:rsidR="00BF136A" w:rsidRPr="00F92E56" w14:paraId="5A3ED36B" w14:textId="77777777" w:rsidTr="001D78FA">
        <w:tc>
          <w:tcPr>
            <w:tcW w:w="2984" w:type="pct"/>
            <w:tcBorders>
              <w:bottom w:val="nil"/>
            </w:tcBorders>
            <w:noWrap/>
            <w:hideMark/>
          </w:tcPr>
          <w:p w14:paraId="2C5BCB4F" w14:textId="77777777" w:rsidR="00BF136A" w:rsidRPr="00F92E56" w:rsidRDefault="00BF136A" w:rsidP="00E1556A">
            <w:pPr>
              <w:pStyle w:val="Tabletext"/>
              <w:numPr>
                <w:ilvl w:val="0"/>
                <w:numId w:val="16"/>
              </w:numPr>
              <w:ind w:left="306" w:hanging="142"/>
              <w:rPr>
                <w:iCs/>
              </w:rPr>
            </w:pPr>
            <w:r w:rsidRPr="00F92E56">
              <w:rPr>
                <w:iCs/>
              </w:rPr>
              <w:t>39%</w:t>
            </w:r>
          </w:p>
        </w:tc>
        <w:tc>
          <w:tcPr>
            <w:tcW w:w="472" w:type="pct"/>
            <w:tcBorders>
              <w:bottom w:val="nil"/>
            </w:tcBorders>
            <w:noWrap/>
            <w:hideMark/>
          </w:tcPr>
          <w:p w14:paraId="5893625A" w14:textId="78DE6213"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401"/>
                <w14:textFill>
                  <w14:solidFill>
                    <w14:srgbClr w14:val="000000">
                      <w14:alpha w14:val="100000"/>
                    </w14:srgbClr>
                  </w14:solidFill>
                </w14:textFill>
              </w:rPr>
              <w:t>|</w:t>
            </w:r>
            <w:r w:rsidRPr="00785872">
              <w:rPr>
                <w:iCs/>
                <w:color w:val="000000"/>
                <w:spacing w:val="1"/>
                <w:shd w:val="solid" w:color="000000" w:fill="000000"/>
                <w:fitText w:val="180" w:id="-1032081401"/>
                <w14:textFill>
                  <w14:solidFill>
                    <w14:srgbClr w14:val="000000">
                      <w14:alpha w14:val="100000"/>
                    </w14:srgbClr>
                  </w14:solidFill>
                </w14:textFill>
              </w:rPr>
              <w:t>|</w:t>
            </w:r>
          </w:p>
        </w:tc>
        <w:tc>
          <w:tcPr>
            <w:tcW w:w="472" w:type="pct"/>
            <w:tcBorders>
              <w:bottom w:val="nil"/>
            </w:tcBorders>
            <w:noWrap/>
            <w:hideMark/>
          </w:tcPr>
          <w:p w14:paraId="2930E991" w14:textId="77777777" w:rsidR="00BF136A" w:rsidRPr="00F92E56" w:rsidRDefault="00BF136A" w:rsidP="007762E7">
            <w:pPr>
              <w:pStyle w:val="Tabletext"/>
              <w:jc w:val="right"/>
              <w:rPr>
                <w:iCs/>
              </w:rPr>
            </w:pPr>
            <w:r w:rsidRPr="00F92E56">
              <w:rPr>
                <w:iCs/>
              </w:rPr>
              <w:t>1.319</w:t>
            </w:r>
          </w:p>
        </w:tc>
        <w:tc>
          <w:tcPr>
            <w:tcW w:w="471" w:type="pct"/>
            <w:tcBorders>
              <w:bottom w:val="nil"/>
            </w:tcBorders>
            <w:noWrap/>
            <w:hideMark/>
          </w:tcPr>
          <w:p w14:paraId="547D3578" w14:textId="0074BAAD"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400"/>
                <w14:textFill>
                  <w14:solidFill>
                    <w14:srgbClr w14:val="000000">
                      <w14:alpha w14:val="100000"/>
                    </w14:srgbClr>
                  </w14:solidFill>
                </w14:textFill>
              </w:rPr>
              <w:t xml:space="preserve">　</w:t>
            </w:r>
            <w:r w:rsidRPr="00785872">
              <w:rPr>
                <w:iCs/>
                <w:color w:val="000000"/>
                <w:w w:val="22"/>
                <w:shd w:val="solid" w:color="000000" w:fill="000000"/>
                <w:fitText w:val="100" w:id="-1032081400"/>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400"/>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bottom w:val="nil"/>
            </w:tcBorders>
            <w:noWrap/>
            <w:hideMark/>
          </w:tcPr>
          <w:p w14:paraId="6279159B" w14:textId="27F006C3" w:rsidR="00BF136A" w:rsidRPr="00F92E56" w:rsidRDefault="00785872" w:rsidP="007762E7">
            <w:pPr>
              <w:pStyle w:val="Tabletext"/>
              <w:jc w:val="right"/>
              <w:rPr>
                <w:iCs/>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109ED75C" w14:textId="77777777" w:rsidTr="001D78FA">
        <w:tc>
          <w:tcPr>
            <w:tcW w:w="2984" w:type="pct"/>
            <w:tcBorders>
              <w:top w:val="nil"/>
            </w:tcBorders>
            <w:noWrap/>
            <w:hideMark/>
          </w:tcPr>
          <w:p w14:paraId="3741903B" w14:textId="77777777" w:rsidR="00BF136A" w:rsidRPr="00F92E56" w:rsidRDefault="00BF136A" w:rsidP="00E1556A">
            <w:pPr>
              <w:pStyle w:val="Tabletext"/>
              <w:numPr>
                <w:ilvl w:val="0"/>
                <w:numId w:val="16"/>
              </w:numPr>
              <w:ind w:left="306" w:hanging="142"/>
              <w:rPr>
                <w:iCs/>
              </w:rPr>
            </w:pPr>
            <w:r w:rsidRPr="00F92E56">
              <w:rPr>
                <w:iCs/>
              </w:rPr>
              <w:t>71%</w:t>
            </w:r>
          </w:p>
        </w:tc>
        <w:tc>
          <w:tcPr>
            <w:tcW w:w="472" w:type="pct"/>
            <w:tcBorders>
              <w:top w:val="nil"/>
            </w:tcBorders>
            <w:noWrap/>
            <w:hideMark/>
          </w:tcPr>
          <w:p w14:paraId="6946F189" w14:textId="2ACAC1E7"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399"/>
                <w14:textFill>
                  <w14:solidFill>
                    <w14:srgbClr w14:val="000000">
                      <w14:alpha w14:val="100000"/>
                    </w14:srgbClr>
                  </w14:solidFill>
                </w14:textFill>
              </w:rPr>
              <w:t>|</w:t>
            </w:r>
            <w:r w:rsidRPr="00785872">
              <w:rPr>
                <w:iCs/>
                <w:color w:val="000000"/>
                <w:spacing w:val="1"/>
                <w:shd w:val="solid" w:color="000000" w:fill="000000"/>
                <w:fitText w:val="180" w:id="-1032081399"/>
                <w14:textFill>
                  <w14:solidFill>
                    <w14:srgbClr w14:val="000000">
                      <w14:alpha w14:val="100000"/>
                    </w14:srgbClr>
                  </w14:solidFill>
                </w14:textFill>
              </w:rPr>
              <w:t>|</w:t>
            </w:r>
          </w:p>
        </w:tc>
        <w:tc>
          <w:tcPr>
            <w:tcW w:w="472" w:type="pct"/>
            <w:tcBorders>
              <w:top w:val="nil"/>
            </w:tcBorders>
            <w:noWrap/>
            <w:hideMark/>
          </w:tcPr>
          <w:p w14:paraId="61AD0742" w14:textId="77777777" w:rsidR="00BF136A" w:rsidRPr="00F92E56" w:rsidRDefault="00BF136A" w:rsidP="007762E7">
            <w:pPr>
              <w:pStyle w:val="Tabletext"/>
              <w:jc w:val="right"/>
              <w:rPr>
                <w:iCs/>
              </w:rPr>
            </w:pPr>
            <w:r w:rsidRPr="00F92E56">
              <w:rPr>
                <w:iCs/>
              </w:rPr>
              <w:t>1.197</w:t>
            </w:r>
          </w:p>
        </w:tc>
        <w:tc>
          <w:tcPr>
            <w:tcW w:w="471" w:type="pct"/>
            <w:tcBorders>
              <w:top w:val="nil"/>
            </w:tcBorders>
            <w:noWrap/>
            <w:hideMark/>
          </w:tcPr>
          <w:p w14:paraId="45FC5DCC" w14:textId="0AA3522F"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398"/>
                <w14:textFill>
                  <w14:solidFill>
                    <w14:srgbClr w14:val="000000">
                      <w14:alpha w14:val="100000"/>
                    </w14:srgbClr>
                  </w14:solidFill>
                </w14:textFill>
              </w:rPr>
              <w:t xml:space="preserve">　</w:t>
            </w:r>
            <w:r w:rsidRPr="00785872">
              <w:rPr>
                <w:iCs/>
                <w:color w:val="000000"/>
                <w:w w:val="22"/>
                <w:shd w:val="solid" w:color="000000" w:fill="000000"/>
                <w:fitText w:val="100" w:id="-1032081398"/>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398"/>
                <w14:textFill>
                  <w14:solidFill>
                    <w14:srgbClr w14:val="000000">
                      <w14:alpha w14:val="100000"/>
                    </w14:srgbClr>
                  </w14:solidFill>
                </w14:textFill>
              </w:rPr>
              <w:t xml:space="preserve">　</w:t>
            </w:r>
            <w:r w:rsidR="00BE598F">
              <w:rPr>
                <w:rFonts w:eastAsia="Calibri"/>
                <w:iCs/>
                <w:szCs w:val="20"/>
                <w:vertAlign w:val="superscript"/>
              </w:rPr>
              <w:t>1</w:t>
            </w:r>
          </w:p>
        </w:tc>
        <w:tc>
          <w:tcPr>
            <w:tcW w:w="601" w:type="pct"/>
            <w:tcBorders>
              <w:top w:val="nil"/>
            </w:tcBorders>
            <w:noWrap/>
            <w:hideMark/>
          </w:tcPr>
          <w:p w14:paraId="7DA72762" w14:textId="3561CEFC" w:rsidR="00BF136A" w:rsidRPr="00F92E56" w:rsidRDefault="00BF136A" w:rsidP="007762E7">
            <w:pPr>
              <w:pStyle w:val="Tabletext"/>
              <w:jc w:val="right"/>
              <w:rPr>
                <w:iCs/>
              </w:rPr>
            </w:pPr>
            <w:r w:rsidRPr="00F92E56">
              <w:rPr>
                <w:iCs/>
              </w:rPr>
              <w:t>−</w:t>
            </w:r>
            <w:r w:rsidR="00785872" w:rsidRPr="00785872">
              <w:rPr>
                <w:iCs/>
              </w:rPr>
              <w:t xml:space="preserve"> </w:t>
            </w:r>
            <w:r w:rsidR="00785872" w:rsidRPr="00785872">
              <w:rPr>
                <w:rFonts w:hint="eastAsia"/>
                <w:iCs/>
                <w:color w:val="000000"/>
                <w:w w:val="15"/>
                <w:shd w:val="solid" w:color="000000" w:fill="000000"/>
                <w:fitText w:val="40" w:id="-1032081397"/>
                <w14:textFill>
                  <w14:solidFill>
                    <w14:srgbClr w14:val="000000">
                      <w14:alpha w14:val="100000"/>
                    </w14:srgbClr>
                  </w14:solidFill>
                </w14:textFill>
              </w:rPr>
              <w:t xml:space="preserve">　</w:t>
            </w:r>
            <w:r w:rsidR="00785872" w:rsidRPr="00785872">
              <w:rPr>
                <w:iCs/>
                <w:color w:val="000000"/>
                <w:w w:val="15"/>
                <w:shd w:val="solid" w:color="000000" w:fill="000000"/>
                <w:fitText w:val="40" w:id="-1032081397"/>
                <w14:textFill>
                  <w14:solidFill>
                    <w14:srgbClr w14:val="000000">
                      <w14:alpha w14:val="100000"/>
                    </w14:srgbClr>
                  </w14:solidFill>
                </w14:textFill>
              </w:rPr>
              <w:t>|</w:t>
            </w:r>
            <w:r w:rsidR="00785872" w:rsidRPr="00785872">
              <w:rPr>
                <w:rFonts w:hint="eastAsia"/>
                <w:iCs/>
                <w:color w:val="000000"/>
                <w:spacing w:val="-25"/>
                <w:w w:val="15"/>
                <w:shd w:val="solid" w:color="000000" w:fill="000000"/>
                <w:fitText w:val="40" w:id="-1032081397"/>
                <w14:textFill>
                  <w14:solidFill>
                    <w14:srgbClr w14:val="000000">
                      <w14:alpha w14:val="100000"/>
                    </w14:srgbClr>
                  </w14:solidFill>
                </w14:textFill>
              </w:rPr>
              <w:t xml:space="preserve">　</w:t>
            </w:r>
          </w:p>
        </w:tc>
      </w:tr>
      <w:tr w:rsidR="00BF136A" w:rsidRPr="00F92E56" w14:paraId="5CCF823D" w14:textId="77777777" w:rsidTr="001D78FA">
        <w:tc>
          <w:tcPr>
            <w:tcW w:w="2984" w:type="pct"/>
            <w:tcBorders>
              <w:bottom w:val="single" w:sz="4" w:space="0" w:color="000000" w:themeColor="text1"/>
              <w:right w:val="nil"/>
            </w:tcBorders>
            <w:noWrap/>
          </w:tcPr>
          <w:p w14:paraId="38B8A888" w14:textId="77777777" w:rsidR="00BF136A" w:rsidRPr="00F92E56" w:rsidRDefault="00BF136A" w:rsidP="007762E7">
            <w:pPr>
              <w:pStyle w:val="Tabletext"/>
              <w:rPr>
                <w:b/>
                <w:bCs/>
                <w:iCs/>
              </w:rPr>
            </w:pPr>
            <w:r w:rsidRPr="00F92E56">
              <w:rPr>
                <w:b/>
                <w:bCs/>
                <w:iCs/>
              </w:rPr>
              <w:t>Multivariate analyses</w:t>
            </w:r>
          </w:p>
        </w:tc>
        <w:tc>
          <w:tcPr>
            <w:tcW w:w="472" w:type="pct"/>
            <w:tcBorders>
              <w:left w:val="nil"/>
              <w:bottom w:val="single" w:sz="4" w:space="0" w:color="000000" w:themeColor="text1"/>
              <w:right w:val="nil"/>
            </w:tcBorders>
            <w:noWrap/>
          </w:tcPr>
          <w:p w14:paraId="1F264785" w14:textId="77777777" w:rsidR="00BF136A" w:rsidRPr="00F92E56" w:rsidRDefault="00BF136A" w:rsidP="007762E7">
            <w:pPr>
              <w:pStyle w:val="Tabletext"/>
              <w:jc w:val="right"/>
              <w:rPr>
                <w:b/>
                <w:bCs/>
                <w:iCs/>
              </w:rPr>
            </w:pPr>
          </w:p>
        </w:tc>
        <w:tc>
          <w:tcPr>
            <w:tcW w:w="472" w:type="pct"/>
            <w:tcBorders>
              <w:left w:val="nil"/>
              <w:bottom w:val="single" w:sz="4" w:space="0" w:color="000000" w:themeColor="text1"/>
              <w:right w:val="nil"/>
            </w:tcBorders>
            <w:noWrap/>
          </w:tcPr>
          <w:p w14:paraId="1A927231" w14:textId="77777777" w:rsidR="00BF136A" w:rsidRPr="00F92E56" w:rsidRDefault="00BF136A" w:rsidP="007762E7">
            <w:pPr>
              <w:pStyle w:val="Tabletext"/>
              <w:jc w:val="right"/>
              <w:rPr>
                <w:b/>
                <w:bCs/>
                <w:iCs/>
              </w:rPr>
            </w:pPr>
          </w:p>
        </w:tc>
        <w:tc>
          <w:tcPr>
            <w:tcW w:w="471" w:type="pct"/>
            <w:tcBorders>
              <w:left w:val="nil"/>
              <w:bottom w:val="single" w:sz="4" w:space="0" w:color="000000" w:themeColor="text1"/>
              <w:right w:val="nil"/>
            </w:tcBorders>
            <w:noWrap/>
          </w:tcPr>
          <w:p w14:paraId="7F33701A" w14:textId="77777777" w:rsidR="00BF136A" w:rsidRPr="00F92E56" w:rsidRDefault="00BF136A" w:rsidP="007762E7">
            <w:pPr>
              <w:pStyle w:val="Tabletext"/>
              <w:jc w:val="right"/>
              <w:rPr>
                <w:b/>
                <w:bCs/>
                <w:iCs/>
              </w:rPr>
            </w:pPr>
          </w:p>
        </w:tc>
        <w:tc>
          <w:tcPr>
            <w:tcW w:w="601" w:type="pct"/>
            <w:tcBorders>
              <w:left w:val="nil"/>
              <w:bottom w:val="single" w:sz="4" w:space="0" w:color="000000" w:themeColor="text1"/>
            </w:tcBorders>
            <w:noWrap/>
          </w:tcPr>
          <w:p w14:paraId="73609F63" w14:textId="77777777" w:rsidR="00BF136A" w:rsidRPr="00F92E56" w:rsidRDefault="00BF136A" w:rsidP="007762E7">
            <w:pPr>
              <w:pStyle w:val="Tabletext"/>
              <w:jc w:val="right"/>
              <w:rPr>
                <w:b/>
                <w:bCs/>
                <w:iCs/>
              </w:rPr>
            </w:pPr>
          </w:p>
        </w:tc>
      </w:tr>
      <w:tr w:rsidR="00BF136A" w:rsidRPr="00F92E56" w14:paraId="697B8116" w14:textId="77777777" w:rsidTr="001D78FA">
        <w:tc>
          <w:tcPr>
            <w:tcW w:w="2984" w:type="pct"/>
            <w:tcBorders>
              <w:bottom w:val="nil"/>
            </w:tcBorders>
            <w:noWrap/>
          </w:tcPr>
          <w:p w14:paraId="1FC43FF2" w14:textId="77777777" w:rsidR="00BF136A" w:rsidRPr="00F92E56" w:rsidRDefault="00BF136A" w:rsidP="007762E7">
            <w:pPr>
              <w:pStyle w:val="Tabletext"/>
              <w:rPr>
                <w:iCs/>
              </w:rPr>
            </w:pPr>
            <w:r w:rsidRPr="00F92E56">
              <w:rPr>
                <w:iCs/>
              </w:rPr>
              <w:t>#1 AND #2</w:t>
            </w:r>
          </w:p>
        </w:tc>
        <w:tc>
          <w:tcPr>
            <w:tcW w:w="472" w:type="pct"/>
            <w:tcBorders>
              <w:bottom w:val="nil"/>
            </w:tcBorders>
            <w:noWrap/>
          </w:tcPr>
          <w:p w14:paraId="46D5DBF7" w14:textId="1A30072B"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396"/>
                <w14:textFill>
                  <w14:solidFill>
                    <w14:srgbClr w14:val="000000">
                      <w14:alpha w14:val="100000"/>
                    </w14:srgbClr>
                  </w14:solidFill>
                </w14:textFill>
              </w:rPr>
              <w:t>|</w:t>
            </w:r>
            <w:r w:rsidRPr="00785872">
              <w:rPr>
                <w:iCs/>
                <w:color w:val="000000"/>
                <w:spacing w:val="1"/>
                <w:shd w:val="solid" w:color="000000" w:fill="000000"/>
                <w:fitText w:val="180" w:id="-1032081396"/>
                <w14:textFill>
                  <w14:solidFill>
                    <w14:srgbClr w14:val="000000">
                      <w14:alpha w14:val="100000"/>
                    </w14:srgbClr>
                  </w14:solidFill>
                </w14:textFill>
              </w:rPr>
              <w:t>|</w:t>
            </w:r>
          </w:p>
        </w:tc>
        <w:tc>
          <w:tcPr>
            <w:tcW w:w="472" w:type="pct"/>
            <w:tcBorders>
              <w:bottom w:val="nil"/>
            </w:tcBorders>
            <w:noWrap/>
          </w:tcPr>
          <w:p w14:paraId="15645D49" w14:textId="77777777" w:rsidR="00BF136A" w:rsidRPr="00F92E56" w:rsidRDefault="00BF136A" w:rsidP="007762E7">
            <w:pPr>
              <w:pStyle w:val="Tabletext"/>
              <w:jc w:val="right"/>
              <w:rPr>
                <w:iCs/>
              </w:rPr>
            </w:pPr>
            <w:r w:rsidRPr="00F92E56">
              <w:rPr>
                <w:iCs/>
              </w:rPr>
              <w:t>0.997</w:t>
            </w:r>
          </w:p>
        </w:tc>
        <w:tc>
          <w:tcPr>
            <w:tcW w:w="471" w:type="pct"/>
            <w:tcBorders>
              <w:bottom w:val="nil"/>
            </w:tcBorders>
            <w:noWrap/>
          </w:tcPr>
          <w:p w14:paraId="465B8918" w14:textId="3F50C5FA"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395"/>
                <w14:textFill>
                  <w14:solidFill>
                    <w14:srgbClr w14:val="000000">
                      <w14:alpha w14:val="100000"/>
                    </w14:srgbClr>
                  </w14:solidFill>
                </w14:textFill>
              </w:rPr>
              <w:t xml:space="preserve">　</w:t>
            </w:r>
            <w:r w:rsidRPr="00785872">
              <w:rPr>
                <w:iCs/>
                <w:color w:val="000000"/>
                <w:w w:val="22"/>
                <w:shd w:val="solid" w:color="000000" w:fill="000000"/>
                <w:fitText w:val="100" w:id="-1032081395"/>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395"/>
                <w14:textFill>
                  <w14:solidFill>
                    <w14:srgbClr w14:val="000000">
                      <w14:alpha w14:val="100000"/>
                    </w14:srgbClr>
                  </w14:solidFill>
                </w14:textFill>
              </w:rPr>
              <w:t xml:space="preserve">　</w:t>
            </w:r>
            <w:r w:rsidR="00BE598F">
              <w:rPr>
                <w:rFonts w:eastAsia="Calibri"/>
                <w:iCs/>
                <w:szCs w:val="20"/>
                <w:vertAlign w:val="superscript"/>
              </w:rPr>
              <w:t>3</w:t>
            </w:r>
          </w:p>
        </w:tc>
        <w:tc>
          <w:tcPr>
            <w:tcW w:w="601" w:type="pct"/>
            <w:tcBorders>
              <w:bottom w:val="nil"/>
            </w:tcBorders>
            <w:noWrap/>
          </w:tcPr>
          <w:p w14:paraId="40A733D0" w14:textId="0A7234BA" w:rsidR="00BF136A" w:rsidRPr="00785872" w:rsidRDefault="00785872" w:rsidP="007762E7">
            <w:pPr>
              <w:pStyle w:val="Tabletext"/>
              <w:jc w:val="right"/>
              <w:rPr>
                <w:iCs/>
                <w:highlight w:val="darkGray"/>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473D170E" w14:textId="77777777" w:rsidTr="001D78FA">
        <w:tc>
          <w:tcPr>
            <w:tcW w:w="2984" w:type="pct"/>
            <w:tcBorders>
              <w:top w:val="nil"/>
              <w:bottom w:val="nil"/>
            </w:tcBorders>
            <w:noWrap/>
          </w:tcPr>
          <w:p w14:paraId="4214109E" w14:textId="77777777" w:rsidR="00BF136A" w:rsidRPr="00F92E56" w:rsidRDefault="00BF136A" w:rsidP="007762E7">
            <w:pPr>
              <w:pStyle w:val="Tabletext"/>
              <w:rPr>
                <w:iCs/>
              </w:rPr>
            </w:pPr>
            <w:r w:rsidRPr="00F92E56">
              <w:rPr>
                <w:iCs/>
              </w:rPr>
              <w:t>#1, #2 AND #3</w:t>
            </w:r>
          </w:p>
        </w:tc>
        <w:tc>
          <w:tcPr>
            <w:tcW w:w="472" w:type="pct"/>
            <w:tcBorders>
              <w:top w:val="nil"/>
              <w:bottom w:val="nil"/>
            </w:tcBorders>
            <w:noWrap/>
          </w:tcPr>
          <w:p w14:paraId="16CE5F42" w14:textId="4C3540A3"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394"/>
                <w14:textFill>
                  <w14:solidFill>
                    <w14:srgbClr w14:val="000000">
                      <w14:alpha w14:val="100000"/>
                    </w14:srgbClr>
                  </w14:solidFill>
                </w14:textFill>
              </w:rPr>
              <w:t>|</w:t>
            </w:r>
            <w:r w:rsidRPr="00785872">
              <w:rPr>
                <w:iCs/>
                <w:color w:val="000000"/>
                <w:spacing w:val="1"/>
                <w:shd w:val="solid" w:color="000000" w:fill="000000"/>
                <w:fitText w:val="180" w:id="-1032081394"/>
                <w14:textFill>
                  <w14:solidFill>
                    <w14:srgbClr w14:val="000000">
                      <w14:alpha w14:val="100000"/>
                    </w14:srgbClr>
                  </w14:solidFill>
                </w14:textFill>
              </w:rPr>
              <w:t>|</w:t>
            </w:r>
          </w:p>
        </w:tc>
        <w:tc>
          <w:tcPr>
            <w:tcW w:w="472" w:type="pct"/>
            <w:tcBorders>
              <w:top w:val="nil"/>
              <w:bottom w:val="nil"/>
            </w:tcBorders>
            <w:noWrap/>
          </w:tcPr>
          <w:p w14:paraId="062922FF" w14:textId="77777777" w:rsidR="00BF136A" w:rsidRPr="00F92E56" w:rsidRDefault="00BF136A" w:rsidP="007762E7">
            <w:pPr>
              <w:pStyle w:val="Tabletext"/>
              <w:jc w:val="right"/>
              <w:rPr>
                <w:iCs/>
              </w:rPr>
            </w:pPr>
            <w:r w:rsidRPr="00F92E56">
              <w:rPr>
                <w:iCs/>
              </w:rPr>
              <w:t>0.973</w:t>
            </w:r>
          </w:p>
        </w:tc>
        <w:tc>
          <w:tcPr>
            <w:tcW w:w="471" w:type="pct"/>
            <w:tcBorders>
              <w:top w:val="nil"/>
              <w:bottom w:val="nil"/>
            </w:tcBorders>
            <w:noWrap/>
          </w:tcPr>
          <w:p w14:paraId="73305711" w14:textId="5AA2B116"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393"/>
                <w14:textFill>
                  <w14:solidFill>
                    <w14:srgbClr w14:val="000000">
                      <w14:alpha w14:val="100000"/>
                    </w14:srgbClr>
                  </w14:solidFill>
                </w14:textFill>
              </w:rPr>
              <w:t xml:space="preserve">　</w:t>
            </w:r>
            <w:r w:rsidRPr="00785872">
              <w:rPr>
                <w:iCs/>
                <w:color w:val="000000"/>
                <w:w w:val="22"/>
                <w:shd w:val="solid" w:color="000000" w:fill="000000"/>
                <w:fitText w:val="100" w:id="-1032081393"/>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393"/>
                <w14:textFill>
                  <w14:solidFill>
                    <w14:srgbClr w14:val="000000">
                      <w14:alpha w14:val="100000"/>
                    </w14:srgbClr>
                  </w14:solidFill>
                </w14:textFill>
              </w:rPr>
              <w:t xml:space="preserve">　</w:t>
            </w:r>
            <w:r w:rsidR="00BE598F">
              <w:rPr>
                <w:rFonts w:eastAsia="Calibri"/>
                <w:iCs/>
                <w:szCs w:val="20"/>
                <w:vertAlign w:val="superscript"/>
              </w:rPr>
              <w:t>3</w:t>
            </w:r>
          </w:p>
        </w:tc>
        <w:tc>
          <w:tcPr>
            <w:tcW w:w="601" w:type="pct"/>
            <w:tcBorders>
              <w:top w:val="nil"/>
              <w:bottom w:val="nil"/>
            </w:tcBorders>
            <w:noWrap/>
          </w:tcPr>
          <w:p w14:paraId="20891D7D" w14:textId="4169DE00" w:rsidR="00BF136A" w:rsidRPr="00785872" w:rsidRDefault="00785872" w:rsidP="007762E7">
            <w:pPr>
              <w:pStyle w:val="Tabletext"/>
              <w:jc w:val="right"/>
              <w:rPr>
                <w:iCs/>
                <w:highlight w:val="darkGray"/>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58D6EDAB" w14:textId="77777777" w:rsidTr="001D78FA">
        <w:tc>
          <w:tcPr>
            <w:tcW w:w="2984" w:type="pct"/>
            <w:tcBorders>
              <w:top w:val="nil"/>
              <w:bottom w:val="nil"/>
            </w:tcBorders>
            <w:noWrap/>
          </w:tcPr>
          <w:p w14:paraId="0DAA5B57" w14:textId="77777777" w:rsidR="00BF136A" w:rsidRPr="00F92E56" w:rsidRDefault="00BF136A" w:rsidP="007762E7">
            <w:pPr>
              <w:pStyle w:val="Tabletext"/>
              <w:rPr>
                <w:iCs/>
              </w:rPr>
            </w:pPr>
            <w:r w:rsidRPr="00F92E56">
              <w:rPr>
                <w:iCs/>
              </w:rPr>
              <w:t>#1, #2, #3 AND #4</w:t>
            </w:r>
          </w:p>
        </w:tc>
        <w:tc>
          <w:tcPr>
            <w:tcW w:w="472" w:type="pct"/>
            <w:tcBorders>
              <w:top w:val="nil"/>
              <w:bottom w:val="nil"/>
            </w:tcBorders>
            <w:noWrap/>
          </w:tcPr>
          <w:p w14:paraId="5B7ED79E" w14:textId="3DCB45DD"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392"/>
                <w14:textFill>
                  <w14:solidFill>
                    <w14:srgbClr w14:val="000000">
                      <w14:alpha w14:val="100000"/>
                    </w14:srgbClr>
                  </w14:solidFill>
                </w14:textFill>
              </w:rPr>
              <w:t>|</w:t>
            </w:r>
            <w:r w:rsidRPr="00785872">
              <w:rPr>
                <w:iCs/>
                <w:color w:val="000000"/>
                <w:spacing w:val="1"/>
                <w:shd w:val="solid" w:color="000000" w:fill="000000"/>
                <w:fitText w:val="180" w:id="-1032081392"/>
                <w14:textFill>
                  <w14:solidFill>
                    <w14:srgbClr w14:val="000000">
                      <w14:alpha w14:val="100000"/>
                    </w14:srgbClr>
                  </w14:solidFill>
                </w14:textFill>
              </w:rPr>
              <w:t>|</w:t>
            </w:r>
          </w:p>
        </w:tc>
        <w:tc>
          <w:tcPr>
            <w:tcW w:w="472" w:type="pct"/>
            <w:tcBorders>
              <w:top w:val="nil"/>
              <w:bottom w:val="nil"/>
            </w:tcBorders>
            <w:noWrap/>
          </w:tcPr>
          <w:p w14:paraId="2C22BF63" w14:textId="77777777" w:rsidR="00BF136A" w:rsidRPr="00F92E56" w:rsidRDefault="00BF136A" w:rsidP="007762E7">
            <w:pPr>
              <w:pStyle w:val="Tabletext"/>
              <w:jc w:val="right"/>
              <w:rPr>
                <w:iCs/>
              </w:rPr>
            </w:pPr>
            <w:r w:rsidRPr="00F92E56">
              <w:rPr>
                <w:iCs/>
              </w:rPr>
              <w:t>0.971</w:t>
            </w:r>
          </w:p>
        </w:tc>
        <w:tc>
          <w:tcPr>
            <w:tcW w:w="471" w:type="pct"/>
            <w:tcBorders>
              <w:top w:val="nil"/>
              <w:bottom w:val="nil"/>
            </w:tcBorders>
            <w:noWrap/>
          </w:tcPr>
          <w:p w14:paraId="4C14FD86" w14:textId="113B3F7D"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408"/>
                <w14:textFill>
                  <w14:solidFill>
                    <w14:srgbClr w14:val="000000">
                      <w14:alpha w14:val="100000"/>
                    </w14:srgbClr>
                  </w14:solidFill>
                </w14:textFill>
              </w:rPr>
              <w:t xml:space="preserve">　</w:t>
            </w:r>
            <w:r w:rsidRPr="00785872">
              <w:rPr>
                <w:iCs/>
                <w:color w:val="000000"/>
                <w:w w:val="22"/>
                <w:shd w:val="solid" w:color="000000" w:fill="000000"/>
                <w:fitText w:val="100" w:id="-1032081408"/>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408"/>
                <w14:textFill>
                  <w14:solidFill>
                    <w14:srgbClr w14:val="000000">
                      <w14:alpha w14:val="100000"/>
                    </w14:srgbClr>
                  </w14:solidFill>
                </w14:textFill>
              </w:rPr>
              <w:t xml:space="preserve">　</w:t>
            </w:r>
            <w:r w:rsidR="00BE598F">
              <w:rPr>
                <w:rFonts w:eastAsia="Calibri"/>
                <w:iCs/>
                <w:szCs w:val="20"/>
                <w:vertAlign w:val="superscript"/>
              </w:rPr>
              <w:t>3</w:t>
            </w:r>
          </w:p>
        </w:tc>
        <w:tc>
          <w:tcPr>
            <w:tcW w:w="601" w:type="pct"/>
            <w:tcBorders>
              <w:top w:val="nil"/>
              <w:bottom w:val="nil"/>
            </w:tcBorders>
            <w:noWrap/>
          </w:tcPr>
          <w:p w14:paraId="5C4EDF3C" w14:textId="382FF757" w:rsidR="00BF136A" w:rsidRPr="00785872" w:rsidRDefault="00785872" w:rsidP="007762E7">
            <w:pPr>
              <w:pStyle w:val="Tabletext"/>
              <w:jc w:val="right"/>
              <w:rPr>
                <w:iCs/>
                <w:highlight w:val="darkGray"/>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60454D2D" w14:textId="77777777" w:rsidTr="001D78FA">
        <w:tc>
          <w:tcPr>
            <w:tcW w:w="2984" w:type="pct"/>
            <w:tcBorders>
              <w:top w:val="nil"/>
              <w:bottom w:val="nil"/>
            </w:tcBorders>
            <w:noWrap/>
          </w:tcPr>
          <w:p w14:paraId="4868900A" w14:textId="77777777" w:rsidR="00BF136A" w:rsidRPr="00F92E56" w:rsidRDefault="00BF136A" w:rsidP="007762E7">
            <w:pPr>
              <w:pStyle w:val="Tabletext"/>
              <w:rPr>
                <w:iCs/>
              </w:rPr>
            </w:pPr>
            <w:r w:rsidRPr="00F92E56">
              <w:rPr>
                <w:iCs/>
              </w:rPr>
              <w:t>#1, #2, #3, #4 AND #5</w:t>
            </w:r>
          </w:p>
        </w:tc>
        <w:tc>
          <w:tcPr>
            <w:tcW w:w="472" w:type="pct"/>
            <w:tcBorders>
              <w:top w:val="nil"/>
              <w:bottom w:val="nil"/>
            </w:tcBorders>
            <w:noWrap/>
          </w:tcPr>
          <w:p w14:paraId="6E6A9E15" w14:textId="06C027E2"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407"/>
                <w14:textFill>
                  <w14:solidFill>
                    <w14:srgbClr w14:val="000000">
                      <w14:alpha w14:val="100000"/>
                    </w14:srgbClr>
                  </w14:solidFill>
                </w14:textFill>
              </w:rPr>
              <w:t>|</w:t>
            </w:r>
            <w:r w:rsidRPr="00785872">
              <w:rPr>
                <w:iCs/>
                <w:color w:val="000000"/>
                <w:spacing w:val="1"/>
                <w:shd w:val="solid" w:color="000000" w:fill="000000"/>
                <w:fitText w:val="180" w:id="-1032081407"/>
                <w14:textFill>
                  <w14:solidFill>
                    <w14:srgbClr w14:val="000000">
                      <w14:alpha w14:val="100000"/>
                    </w14:srgbClr>
                  </w14:solidFill>
                </w14:textFill>
              </w:rPr>
              <w:t>|</w:t>
            </w:r>
          </w:p>
        </w:tc>
        <w:tc>
          <w:tcPr>
            <w:tcW w:w="472" w:type="pct"/>
            <w:tcBorders>
              <w:top w:val="nil"/>
              <w:bottom w:val="nil"/>
            </w:tcBorders>
            <w:noWrap/>
          </w:tcPr>
          <w:p w14:paraId="0B3F6C4A" w14:textId="77777777" w:rsidR="00BF136A" w:rsidRPr="00F92E56" w:rsidRDefault="00BF136A" w:rsidP="007762E7">
            <w:pPr>
              <w:pStyle w:val="Tabletext"/>
              <w:jc w:val="right"/>
              <w:rPr>
                <w:iCs/>
              </w:rPr>
            </w:pPr>
            <w:r w:rsidRPr="00F92E56">
              <w:rPr>
                <w:iCs/>
              </w:rPr>
              <w:t>0.829</w:t>
            </w:r>
          </w:p>
        </w:tc>
        <w:tc>
          <w:tcPr>
            <w:tcW w:w="471" w:type="pct"/>
            <w:tcBorders>
              <w:top w:val="nil"/>
              <w:bottom w:val="nil"/>
            </w:tcBorders>
            <w:noWrap/>
          </w:tcPr>
          <w:p w14:paraId="1B2A12A6" w14:textId="589E9B21"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406"/>
                <w14:textFill>
                  <w14:solidFill>
                    <w14:srgbClr w14:val="000000">
                      <w14:alpha w14:val="100000"/>
                    </w14:srgbClr>
                  </w14:solidFill>
                </w14:textFill>
              </w:rPr>
              <w:t xml:space="preserve">　</w:t>
            </w:r>
            <w:r w:rsidRPr="00785872">
              <w:rPr>
                <w:iCs/>
                <w:color w:val="000000"/>
                <w:w w:val="22"/>
                <w:shd w:val="solid" w:color="000000" w:fill="000000"/>
                <w:fitText w:val="100" w:id="-1032081406"/>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406"/>
                <w14:textFill>
                  <w14:solidFill>
                    <w14:srgbClr w14:val="000000">
                      <w14:alpha w14:val="100000"/>
                    </w14:srgbClr>
                  </w14:solidFill>
                </w14:textFill>
              </w:rPr>
              <w:t xml:space="preserve">　</w:t>
            </w:r>
            <w:r w:rsidR="00BE598F">
              <w:rPr>
                <w:rFonts w:eastAsia="Calibri"/>
                <w:iCs/>
                <w:szCs w:val="20"/>
                <w:vertAlign w:val="superscript"/>
              </w:rPr>
              <w:t>5</w:t>
            </w:r>
          </w:p>
        </w:tc>
        <w:tc>
          <w:tcPr>
            <w:tcW w:w="601" w:type="pct"/>
            <w:tcBorders>
              <w:top w:val="nil"/>
              <w:bottom w:val="nil"/>
            </w:tcBorders>
            <w:noWrap/>
          </w:tcPr>
          <w:p w14:paraId="381A33E3" w14:textId="101F74E1" w:rsidR="00BF136A" w:rsidRPr="00785872" w:rsidRDefault="00785872" w:rsidP="007762E7">
            <w:pPr>
              <w:pStyle w:val="Tabletext"/>
              <w:jc w:val="right"/>
              <w:rPr>
                <w:iCs/>
                <w:highlight w:val="darkGray"/>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6E587B12" w14:textId="77777777" w:rsidTr="001D78FA">
        <w:tc>
          <w:tcPr>
            <w:tcW w:w="2984" w:type="pct"/>
            <w:tcBorders>
              <w:top w:val="nil"/>
              <w:bottom w:val="nil"/>
            </w:tcBorders>
            <w:noWrap/>
          </w:tcPr>
          <w:p w14:paraId="5DAE9CA6" w14:textId="77777777" w:rsidR="00BF136A" w:rsidRPr="00F92E56" w:rsidRDefault="00BF136A" w:rsidP="007762E7">
            <w:pPr>
              <w:pStyle w:val="Tabletext"/>
              <w:rPr>
                <w:iCs/>
              </w:rPr>
            </w:pPr>
            <w:r w:rsidRPr="00F92E56">
              <w:rPr>
                <w:iCs/>
              </w:rPr>
              <w:t>#1, #2, #3, #4, #5 AND #6</w:t>
            </w:r>
          </w:p>
        </w:tc>
        <w:tc>
          <w:tcPr>
            <w:tcW w:w="472" w:type="pct"/>
            <w:tcBorders>
              <w:top w:val="nil"/>
              <w:bottom w:val="nil"/>
            </w:tcBorders>
            <w:noWrap/>
          </w:tcPr>
          <w:p w14:paraId="0EBC7C53" w14:textId="769EEF27" w:rsidR="00BF136A" w:rsidRPr="00785872" w:rsidRDefault="00785872" w:rsidP="007762E7">
            <w:pPr>
              <w:pStyle w:val="Tabletext"/>
              <w:jc w:val="right"/>
              <w:rPr>
                <w:iCs/>
                <w:highlight w:val="darkGray"/>
              </w:rPr>
            </w:pPr>
            <w:r w:rsidRPr="00785872">
              <w:rPr>
                <w:iCs/>
              </w:rPr>
              <w:t xml:space="preserve"> </w:t>
            </w:r>
            <w:r w:rsidRPr="00785872">
              <w:rPr>
                <w:iCs/>
                <w:color w:val="000000"/>
                <w:spacing w:val="94"/>
                <w:shd w:val="solid" w:color="000000" w:fill="000000"/>
                <w:fitText w:val="180" w:id="-1032081405"/>
                <w14:textFill>
                  <w14:solidFill>
                    <w14:srgbClr w14:val="000000">
                      <w14:alpha w14:val="100000"/>
                    </w14:srgbClr>
                  </w14:solidFill>
                </w14:textFill>
              </w:rPr>
              <w:t>|</w:t>
            </w:r>
            <w:r w:rsidRPr="00785872">
              <w:rPr>
                <w:iCs/>
                <w:color w:val="000000"/>
                <w:spacing w:val="1"/>
                <w:shd w:val="solid" w:color="000000" w:fill="000000"/>
                <w:fitText w:val="180" w:id="-1032081405"/>
                <w14:textFill>
                  <w14:solidFill>
                    <w14:srgbClr w14:val="000000">
                      <w14:alpha w14:val="100000"/>
                    </w14:srgbClr>
                  </w14:solidFill>
                </w14:textFill>
              </w:rPr>
              <w:t>|</w:t>
            </w:r>
          </w:p>
        </w:tc>
        <w:tc>
          <w:tcPr>
            <w:tcW w:w="472" w:type="pct"/>
            <w:tcBorders>
              <w:top w:val="nil"/>
              <w:bottom w:val="nil"/>
            </w:tcBorders>
            <w:noWrap/>
          </w:tcPr>
          <w:p w14:paraId="6FFA44D5" w14:textId="77777777" w:rsidR="00BF136A" w:rsidRPr="00F92E56" w:rsidRDefault="00BF136A" w:rsidP="007762E7">
            <w:pPr>
              <w:pStyle w:val="Tabletext"/>
              <w:jc w:val="right"/>
              <w:rPr>
                <w:iCs/>
              </w:rPr>
            </w:pPr>
            <w:r w:rsidRPr="00F92E56">
              <w:rPr>
                <w:iCs/>
              </w:rPr>
              <w:t>0.829</w:t>
            </w:r>
          </w:p>
        </w:tc>
        <w:tc>
          <w:tcPr>
            <w:tcW w:w="471" w:type="pct"/>
            <w:tcBorders>
              <w:top w:val="nil"/>
              <w:bottom w:val="nil"/>
            </w:tcBorders>
            <w:noWrap/>
          </w:tcPr>
          <w:p w14:paraId="6F2F808F" w14:textId="0DE7FFC3" w:rsidR="00BF136A" w:rsidRPr="00785872" w:rsidRDefault="00785872" w:rsidP="007762E7">
            <w:pPr>
              <w:pStyle w:val="Tabletext"/>
              <w:jc w:val="right"/>
              <w:rPr>
                <w:iCs/>
                <w:highlight w:val="darkGray"/>
              </w:rPr>
            </w:pPr>
            <w:r w:rsidRPr="00785872">
              <w:rPr>
                <w:iCs/>
              </w:rPr>
              <w:t xml:space="preserve"> </w:t>
            </w:r>
            <w:r w:rsidRPr="00785872">
              <w:rPr>
                <w:rFonts w:hint="eastAsia"/>
                <w:iCs/>
                <w:color w:val="000000"/>
                <w:w w:val="22"/>
                <w:shd w:val="solid" w:color="000000" w:fill="000000"/>
                <w:fitText w:val="100" w:id="-1032081404"/>
                <w14:textFill>
                  <w14:solidFill>
                    <w14:srgbClr w14:val="000000">
                      <w14:alpha w14:val="100000"/>
                    </w14:srgbClr>
                  </w14:solidFill>
                </w14:textFill>
              </w:rPr>
              <w:t xml:space="preserve">　</w:t>
            </w:r>
            <w:r w:rsidRPr="00785872">
              <w:rPr>
                <w:iCs/>
                <w:color w:val="000000"/>
                <w:w w:val="22"/>
                <w:shd w:val="solid" w:color="000000" w:fill="000000"/>
                <w:fitText w:val="100" w:id="-1032081404"/>
                <w14:textFill>
                  <w14:solidFill>
                    <w14:srgbClr w14:val="000000">
                      <w14:alpha w14:val="100000"/>
                    </w14:srgbClr>
                  </w14:solidFill>
                </w14:textFill>
              </w:rPr>
              <w:t>|</w:t>
            </w:r>
            <w:r w:rsidRPr="00785872">
              <w:rPr>
                <w:rFonts w:hint="eastAsia"/>
                <w:iCs/>
                <w:color w:val="000000"/>
                <w:spacing w:val="3"/>
                <w:w w:val="22"/>
                <w:shd w:val="solid" w:color="000000" w:fill="000000"/>
                <w:fitText w:val="100" w:id="-1032081404"/>
                <w14:textFill>
                  <w14:solidFill>
                    <w14:srgbClr w14:val="000000">
                      <w14:alpha w14:val="100000"/>
                    </w14:srgbClr>
                  </w14:solidFill>
                </w14:textFill>
              </w:rPr>
              <w:t xml:space="preserve">　</w:t>
            </w:r>
            <w:r w:rsidR="00BE598F">
              <w:rPr>
                <w:rFonts w:eastAsia="Calibri"/>
                <w:iCs/>
                <w:szCs w:val="20"/>
                <w:vertAlign w:val="superscript"/>
              </w:rPr>
              <w:t>5</w:t>
            </w:r>
          </w:p>
        </w:tc>
        <w:tc>
          <w:tcPr>
            <w:tcW w:w="601" w:type="pct"/>
            <w:tcBorders>
              <w:top w:val="nil"/>
              <w:bottom w:val="nil"/>
            </w:tcBorders>
            <w:noWrap/>
          </w:tcPr>
          <w:p w14:paraId="0C63DE6C" w14:textId="1156ED2E" w:rsidR="00BF136A" w:rsidRPr="00785872" w:rsidRDefault="00785872" w:rsidP="007762E7">
            <w:pPr>
              <w:pStyle w:val="Tabletext"/>
              <w:jc w:val="right"/>
              <w:rPr>
                <w:iCs/>
                <w:highlight w:val="darkGray"/>
              </w:rPr>
            </w:pPr>
            <w:r w:rsidRPr="00785872">
              <w:rPr>
                <w:iCs/>
              </w:rPr>
              <w:t xml:space="preserve"> </w:t>
            </w:r>
            <w:r w:rsidRPr="00785872">
              <w:rPr>
                <w:iCs/>
                <w:color w:val="000000"/>
                <w:shd w:val="solid" w:color="000000" w:fill="000000"/>
                <w14:textFill>
                  <w14:solidFill>
                    <w14:srgbClr w14:val="000000">
                      <w14:alpha w14:val="100000"/>
                    </w14:srgbClr>
                  </w14:solidFill>
                </w14:textFill>
              </w:rPr>
              <w:t>|</w:t>
            </w:r>
          </w:p>
        </w:tc>
      </w:tr>
      <w:tr w:rsidR="00BF136A" w:rsidRPr="00F92E56" w14:paraId="4BE679B0" w14:textId="77777777" w:rsidTr="001D78FA">
        <w:tc>
          <w:tcPr>
            <w:tcW w:w="2984" w:type="pct"/>
            <w:tcBorders>
              <w:top w:val="nil"/>
            </w:tcBorders>
            <w:noWrap/>
          </w:tcPr>
          <w:p w14:paraId="53765753" w14:textId="77777777" w:rsidR="00BF136A" w:rsidRPr="00F92E56" w:rsidRDefault="007A0F9B" w:rsidP="007762E7">
            <w:pPr>
              <w:pStyle w:val="Tabletext"/>
              <w:rPr>
                <w:b/>
                <w:bCs/>
              </w:rPr>
            </w:pPr>
            <w:r w:rsidRPr="00F92E56">
              <w:rPr>
                <w:b/>
                <w:bCs/>
              </w:rPr>
              <w:t xml:space="preserve">Re-specified base case: </w:t>
            </w:r>
            <w:r w:rsidR="00BF136A" w:rsidRPr="00F92E56">
              <w:rPr>
                <w:b/>
                <w:bCs/>
              </w:rPr>
              <w:t>#1, #2, #3, #4, #5, #6 AND #7</w:t>
            </w:r>
            <w:r w:rsidRPr="00F92E56">
              <w:rPr>
                <w:b/>
                <w:bCs/>
              </w:rPr>
              <w:t xml:space="preserve"> </w:t>
            </w:r>
          </w:p>
        </w:tc>
        <w:tc>
          <w:tcPr>
            <w:tcW w:w="472" w:type="pct"/>
            <w:tcBorders>
              <w:top w:val="nil"/>
            </w:tcBorders>
            <w:noWrap/>
          </w:tcPr>
          <w:p w14:paraId="7E00F9AB" w14:textId="03F94187" w:rsidR="00BF136A" w:rsidRPr="00785872" w:rsidRDefault="00785872" w:rsidP="007762E7">
            <w:pPr>
              <w:pStyle w:val="Tabletext"/>
              <w:jc w:val="right"/>
              <w:rPr>
                <w:b/>
                <w:bCs/>
                <w:highlight w:val="darkGray"/>
              </w:rPr>
            </w:pPr>
            <w:r w:rsidRPr="00785872">
              <w:rPr>
                <w:b/>
                <w:bCs/>
              </w:rPr>
              <w:t xml:space="preserve"> </w:t>
            </w:r>
            <w:r w:rsidRPr="00785872">
              <w:rPr>
                <w:b/>
                <w:bCs/>
                <w:color w:val="000000"/>
                <w:spacing w:val="148"/>
                <w:shd w:val="solid" w:color="000000" w:fill="000000"/>
                <w:fitText w:val="240" w:id="-1032081403"/>
                <w14:textFill>
                  <w14:solidFill>
                    <w14:srgbClr w14:val="000000">
                      <w14:alpha w14:val="100000"/>
                    </w14:srgbClr>
                  </w14:solidFill>
                </w14:textFill>
              </w:rPr>
              <w:t>|</w:t>
            </w:r>
            <w:r w:rsidRPr="00785872">
              <w:rPr>
                <w:b/>
                <w:bCs/>
                <w:color w:val="000000"/>
                <w:spacing w:val="1"/>
                <w:shd w:val="solid" w:color="000000" w:fill="000000"/>
                <w:fitText w:val="240" w:id="-1032081403"/>
                <w14:textFill>
                  <w14:solidFill>
                    <w14:srgbClr w14:val="000000">
                      <w14:alpha w14:val="100000"/>
                    </w14:srgbClr>
                  </w14:solidFill>
                </w14:textFill>
              </w:rPr>
              <w:t>|</w:t>
            </w:r>
          </w:p>
        </w:tc>
        <w:tc>
          <w:tcPr>
            <w:tcW w:w="472" w:type="pct"/>
            <w:tcBorders>
              <w:top w:val="nil"/>
            </w:tcBorders>
            <w:noWrap/>
          </w:tcPr>
          <w:p w14:paraId="06771241" w14:textId="77777777" w:rsidR="00BF136A" w:rsidRPr="00F92E56" w:rsidRDefault="00BF136A" w:rsidP="007762E7">
            <w:pPr>
              <w:pStyle w:val="Tabletext"/>
              <w:jc w:val="right"/>
              <w:rPr>
                <w:b/>
                <w:bCs/>
              </w:rPr>
            </w:pPr>
            <w:r w:rsidRPr="00F92E56">
              <w:rPr>
                <w:b/>
                <w:bCs/>
              </w:rPr>
              <w:t>0.842</w:t>
            </w:r>
          </w:p>
        </w:tc>
        <w:tc>
          <w:tcPr>
            <w:tcW w:w="471" w:type="pct"/>
            <w:tcBorders>
              <w:top w:val="nil"/>
            </w:tcBorders>
            <w:noWrap/>
          </w:tcPr>
          <w:p w14:paraId="21040847" w14:textId="011BED74" w:rsidR="00BF136A" w:rsidRPr="00785872" w:rsidRDefault="00785872" w:rsidP="007762E7">
            <w:pPr>
              <w:pStyle w:val="Tabletext"/>
              <w:jc w:val="right"/>
              <w:rPr>
                <w:b/>
                <w:bCs/>
                <w:highlight w:val="darkGray"/>
              </w:rPr>
            </w:pPr>
            <w:r w:rsidRPr="00785872">
              <w:rPr>
                <w:b/>
                <w:bCs/>
              </w:rPr>
              <w:t xml:space="preserve"> </w:t>
            </w:r>
            <w:r w:rsidRPr="00785872">
              <w:rPr>
                <w:b/>
                <w:bCs/>
                <w:color w:val="000000"/>
                <w:spacing w:val="68"/>
                <w:shd w:val="solid" w:color="000000" w:fill="000000"/>
                <w:fitText w:val="160" w:id="-1032081402"/>
                <w14:textFill>
                  <w14:solidFill>
                    <w14:srgbClr w14:val="000000">
                      <w14:alpha w14:val="100000"/>
                    </w14:srgbClr>
                  </w14:solidFill>
                </w14:textFill>
              </w:rPr>
              <w:t>|</w:t>
            </w:r>
            <w:r w:rsidRPr="00785872">
              <w:rPr>
                <w:b/>
                <w:bCs/>
                <w:color w:val="000000"/>
                <w:spacing w:val="1"/>
                <w:shd w:val="solid" w:color="000000" w:fill="000000"/>
                <w:fitText w:val="160" w:id="-1032081402"/>
                <w14:textFill>
                  <w14:solidFill>
                    <w14:srgbClr w14:val="000000">
                      <w14:alpha w14:val="100000"/>
                    </w14:srgbClr>
                  </w14:solidFill>
                </w14:textFill>
              </w:rPr>
              <w:t>|</w:t>
            </w:r>
            <w:r w:rsidR="00BE598F">
              <w:rPr>
                <w:rFonts w:eastAsia="Calibri"/>
                <w:iCs/>
                <w:szCs w:val="20"/>
                <w:vertAlign w:val="superscript"/>
              </w:rPr>
              <w:t>5</w:t>
            </w:r>
          </w:p>
        </w:tc>
        <w:tc>
          <w:tcPr>
            <w:tcW w:w="601" w:type="pct"/>
            <w:tcBorders>
              <w:top w:val="nil"/>
            </w:tcBorders>
            <w:noWrap/>
          </w:tcPr>
          <w:p w14:paraId="32BE5C44" w14:textId="0C484B96" w:rsidR="00BF136A" w:rsidRPr="00785872" w:rsidRDefault="00785872" w:rsidP="007762E7">
            <w:pPr>
              <w:pStyle w:val="Tabletext"/>
              <w:jc w:val="right"/>
              <w:rPr>
                <w:b/>
                <w:bCs/>
                <w:highlight w:val="darkGray"/>
              </w:rPr>
            </w:pPr>
            <w:r w:rsidRPr="00785872">
              <w:rPr>
                <w:b/>
                <w:bCs/>
              </w:rPr>
              <w:t xml:space="preserve"> </w:t>
            </w:r>
            <w:r w:rsidRPr="001D78FA">
              <w:rPr>
                <w:rFonts w:hint="eastAsia"/>
                <w:b/>
                <w:bCs/>
                <w:color w:val="000000"/>
                <w:w w:val="15"/>
                <w:shd w:val="solid" w:color="000000" w:fill="000000"/>
                <w:fitText w:val="10" w:id="-1032081401"/>
                <w14:textFill>
                  <w14:solidFill>
                    <w14:srgbClr w14:val="000000">
                      <w14:alpha w14:val="100000"/>
                    </w14:srgbClr>
                  </w14:solidFill>
                </w14:textFill>
              </w:rPr>
              <w:t xml:space="preserve">　</w:t>
            </w:r>
            <w:r w:rsidRPr="001D78FA">
              <w:rPr>
                <w:b/>
                <w:bCs/>
                <w:color w:val="000000"/>
                <w:w w:val="15"/>
                <w:shd w:val="solid" w:color="000000" w:fill="000000"/>
                <w:fitText w:val="10" w:id="-1032081401"/>
                <w14:textFill>
                  <w14:solidFill>
                    <w14:srgbClr w14:val="000000">
                      <w14:alpha w14:val="100000"/>
                    </w14:srgbClr>
                  </w14:solidFill>
                </w14:textFill>
              </w:rPr>
              <w:t>|</w:t>
            </w:r>
            <w:r w:rsidRPr="001D78FA">
              <w:rPr>
                <w:rFonts w:hint="eastAsia"/>
                <w:b/>
                <w:bCs/>
                <w:color w:val="000000"/>
                <w:spacing w:val="-56"/>
                <w:w w:val="15"/>
                <w:shd w:val="solid" w:color="000000" w:fill="000000"/>
                <w:fitText w:val="10" w:id="-1032081401"/>
                <w14:textFill>
                  <w14:solidFill>
                    <w14:srgbClr w14:val="000000">
                      <w14:alpha w14:val="100000"/>
                    </w14:srgbClr>
                  </w14:solidFill>
                </w14:textFill>
              </w:rPr>
              <w:t xml:space="preserve">　</w:t>
            </w:r>
          </w:p>
        </w:tc>
      </w:tr>
    </w:tbl>
    <w:p w14:paraId="63D73EBC" w14:textId="77777777" w:rsidR="00BF136A" w:rsidRPr="00F92E56" w:rsidRDefault="00BF136A" w:rsidP="00BF136A">
      <w:pPr>
        <w:pStyle w:val="TableFigureFooter"/>
        <w:rPr>
          <w:iCs/>
        </w:rPr>
      </w:pPr>
      <w:r w:rsidRPr="00F92E56">
        <w:lastRenderedPageBreak/>
        <w:t xml:space="preserve">Source: Compiled during the evaluation, based on Table 80 and </w:t>
      </w:r>
      <w:r w:rsidRPr="00F92E56">
        <w:rPr>
          <w:iCs/>
        </w:rPr>
        <w:t xml:space="preserve">the </w:t>
      </w:r>
      <w:r w:rsidRPr="00F92E56">
        <w:t>‘Attachment 14 – Nivolumab Adjuvant MIUC Economic Evaluation’ Excel workbook</w:t>
      </w:r>
      <w:r w:rsidRPr="00F92E56">
        <w:rPr>
          <w:iCs/>
        </w:rPr>
        <w:t>.</w:t>
      </w:r>
    </w:p>
    <w:p w14:paraId="538E9E6B" w14:textId="77777777" w:rsidR="00BF136A" w:rsidRPr="00F92E56" w:rsidRDefault="00BF136A" w:rsidP="00BF136A">
      <w:pPr>
        <w:pStyle w:val="TableFigureFooter"/>
        <w:rPr>
          <w:rFonts w:eastAsia="Calibri"/>
          <w:szCs w:val="20"/>
        </w:rPr>
      </w:pPr>
      <w:r w:rsidRPr="00F92E56">
        <w:t xml:space="preserve">DFS = disease free survival; DR = distant recurrence; </w:t>
      </w:r>
      <w:r w:rsidRPr="00F92E56">
        <w:rPr>
          <w:rFonts w:eastAsia="Calibri"/>
          <w:szCs w:val="20"/>
        </w:rPr>
        <w:t xml:space="preserve">ICER = incremental cost-effectiveness ratio; ITT = intention-to-treat; KM = Kaplan-Meier; LR = locoregional recurrence; </w:t>
      </w:r>
      <w:r w:rsidRPr="00F92E56">
        <w:t>NAC = neoadjuvant platinum-based chemotherapy</w:t>
      </w:r>
      <w:r w:rsidRPr="00F92E56">
        <w:rPr>
          <w:rFonts w:eastAsia="Calibri"/>
          <w:szCs w:val="20"/>
        </w:rPr>
        <w:t>; NIVO = nivolumab; QALY = quality adjusted life year; WW = watchful waiting.</w:t>
      </w:r>
    </w:p>
    <w:p w14:paraId="21604CD5" w14:textId="77777777" w:rsidR="00BF136A" w:rsidRPr="00F92E56" w:rsidRDefault="00BF136A" w:rsidP="00BF136A">
      <w:pPr>
        <w:pStyle w:val="TableFigureFooter"/>
        <w:rPr>
          <w:rFonts w:eastAsia="Calibri"/>
          <w:szCs w:val="20"/>
        </w:rPr>
      </w:pPr>
      <w:r w:rsidRPr="00F92E56">
        <w:rPr>
          <w:rFonts w:eastAsia="Calibri"/>
          <w:szCs w:val="20"/>
          <w:vertAlign w:val="superscript"/>
        </w:rPr>
        <w:t>a</w:t>
      </w:r>
      <w:r w:rsidRPr="00F92E56">
        <w:rPr>
          <w:rFonts w:eastAsia="Calibri"/>
          <w:szCs w:val="20"/>
        </w:rPr>
        <w:t xml:space="preserve"> Analysis presented in sensitivity analyses previously (Table 16, nivolumab PSD, July 2022 PBAC meeting)</w:t>
      </w:r>
    </w:p>
    <w:p w14:paraId="067058AE" w14:textId="77777777" w:rsidR="00BF136A" w:rsidRPr="00F92E56" w:rsidRDefault="00BF136A" w:rsidP="00BF136A">
      <w:pPr>
        <w:pStyle w:val="TableFigureFooter"/>
        <w:rPr>
          <w:rFonts w:eastAsia="Calibri"/>
          <w:szCs w:val="20"/>
        </w:rPr>
      </w:pPr>
      <w:r w:rsidRPr="00F92E56">
        <w:rPr>
          <w:rFonts w:eastAsia="Calibri"/>
          <w:szCs w:val="20"/>
          <w:vertAlign w:val="superscript"/>
        </w:rPr>
        <w:t>b</w:t>
      </w:r>
      <w:r w:rsidRPr="00F92E56">
        <w:rPr>
          <w:rFonts w:eastAsia="Calibri"/>
          <w:szCs w:val="20"/>
        </w:rPr>
        <w:t xml:space="preserve"> Bregman B, Teitsson S, Orsini I, Cotté F-E, Amadi A, Moshyk A, et al. Cost–Utility Analysis of Nivolumab in Adjuvant Treatment of Melanoma in France. Dermatology and Therapy. 2020 2020/12/01;10(6):1331-43.</w:t>
      </w:r>
    </w:p>
    <w:p w14:paraId="1F06C1C3" w14:textId="0178CC28" w:rsidR="00BF136A" w:rsidRPr="00F92E56" w:rsidRDefault="00BF136A" w:rsidP="00BF136A">
      <w:pPr>
        <w:pStyle w:val="TableFigureFooter"/>
        <w:rPr>
          <w:rFonts w:eastAsia="Calibri"/>
          <w:szCs w:val="20"/>
        </w:rPr>
      </w:pPr>
      <w:r w:rsidRPr="00F92E56">
        <w:rPr>
          <w:rFonts w:eastAsia="Calibri"/>
          <w:szCs w:val="20"/>
          <w:vertAlign w:val="superscript"/>
        </w:rPr>
        <w:t xml:space="preserve">c </w:t>
      </w:r>
      <w:r w:rsidRPr="00F92E56">
        <w:rPr>
          <w:rFonts w:eastAsia="Calibri"/>
          <w:szCs w:val="20"/>
        </w:rPr>
        <w:t>As gemcitabine is administered in days 1 and 8 per treatment cycle, two services of MBS item 13950 should be applied per treatment cycle, rather than one, as assumed in the resubmission base case analysis.</w:t>
      </w:r>
    </w:p>
    <w:p w14:paraId="592F528F" w14:textId="2FF189E1" w:rsidR="00BF136A" w:rsidRDefault="00BF136A" w:rsidP="00BF136A">
      <w:pPr>
        <w:pStyle w:val="TableFigureFooter"/>
        <w:rPr>
          <w:rFonts w:eastAsia="Calibri"/>
          <w:iCs/>
          <w:szCs w:val="20"/>
        </w:rPr>
      </w:pPr>
      <w:r w:rsidRPr="00F92E56">
        <w:rPr>
          <w:rFonts w:eastAsia="Calibri"/>
          <w:iCs/>
          <w:szCs w:val="20"/>
          <w:vertAlign w:val="superscript"/>
        </w:rPr>
        <w:t>d</w:t>
      </w:r>
      <w:r w:rsidRPr="00F92E56">
        <w:rPr>
          <w:rFonts w:eastAsia="Calibri"/>
          <w:iCs/>
          <w:szCs w:val="20"/>
        </w:rPr>
        <w:t xml:space="preserve"> The base case assumed that 42.5% of patients experiencing a distant metastasis would incur the cost of avelumab use, however outcomes were modelled assuming avelumab use in 45.0% of patients experiencing a distant metastasis. As experts advised (Attachment 3 to the resubmission) 42.5% avelumab use in distant metastasis, the approach to model outcomes has been adjusted for consistency in this sensitivity analysis. </w:t>
      </w:r>
    </w:p>
    <w:p w14:paraId="604358F9" w14:textId="1D595375" w:rsidR="00BE598F" w:rsidRPr="00785872" w:rsidRDefault="00BE598F" w:rsidP="00BF136A">
      <w:pPr>
        <w:pStyle w:val="TableFigureFooter"/>
        <w:rPr>
          <w:rFonts w:eastAsia="Calibri"/>
          <w:i/>
          <w:szCs w:val="20"/>
        </w:rPr>
      </w:pPr>
      <w:r w:rsidRPr="00785872">
        <w:rPr>
          <w:rFonts w:eastAsia="Calibri"/>
          <w:i/>
          <w:szCs w:val="20"/>
        </w:rPr>
        <w:t>The redacted values correspond to the following ranges:</w:t>
      </w:r>
    </w:p>
    <w:p w14:paraId="06E372A5" w14:textId="387B67AE" w:rsidR="00BE598F" w:rsidRPr="00785872" w:rsidRDefault="00BE598F" w:rsidP="00BF136A">
      <w:pPr>
        <w:pStyle w:val="TableFigureFooter"/>
        <w:rPr>
          <w:rFonts w:eastAsia="Calibri"/>
          <w:i/>
          <w:szCs w:val="20"/>
        </w:rPr>
      </w:pPr>
      <w:r w:rsidRPr="00785872">
        <w:rPr>
          <w:rFonts w:eastAsia="Calibri"/>
          <w:i/>
          <w:szCs w:val="20"/>
          <w:vertAlign w:val="superscript"/>
        </w:rPr>
        <w:t>1</w:t>
      </w:r>
      <w:r w:rsidRPr="00785872">
        <w:rPr>
          <w:rFonts w:eastAsia="Calibri"/>
          <w:i/>
          <w:szCs w:val="20"/>
        </w:rPr>
        <w:t xml:space="preserve"> $25,000 to &lt; $35,000</w:t>
      </w:r>
    </w:p>
    <w:p w14:paraId="71454E02" w14:textId="60D27EE6" w:rsidR="00BE598F" w:rsidRPr="00785872" w:rsidRDefault="00BE598F" w:rsidP="00BF136A">
      <w:pPr>
        <w:pStyle w:val="TableFigureFooter"/>
        <w:rPr>
          <w:rFonts w:eastAsia="Calibri"/>
          <w:i/>
          <w:szCs w:val="20"/>
        </w:rPr>
      </w:pPr>
      <w:r w:rsidRPr="00785872">
        <w:rPr>
          <w:rFonts w:eastAsia="Calibri"/>
          <w:i/>
          <w:szCs w:val="20"/>
          <w:vertAlign w:val="superscript"/>
        </w:rPr>
        <w:t>2</w:t>
      </w:r>
      <w:r w:rsidRPr="00785872">
        <w:rPr>
          <w:rFonts w:eastAsia="Calibri"/>
          <w:i/>
          <w:szCs w:val="20"/>
        </w:rPr>
        <w:t xml:space="preserve"> $15,000 to &lt; $25,000</w:t>
      </w:r>
    </w:p>
    <w:p w14:paraId="065B3944" w14:textId="1C6F535D" w:rsidR="00BE598F" w:rsidRPr="00785872" w:rsidRDefault="00BE598F" w:rsidP="00BF136A">
      <w:pPr>
        <w:pStyle w:val="TableFigureFooter"/>
        <w:rPr>
          <w:rFonts w:eastAsia="Calibri"/>
          <w:i/>
          <w:szCs w:val="20"/>
        </w:rPr>
      </w:pPr>
      <w:r w:rsidRPr="00785872">
        <w:rPr>
          <w:rFonts w:eastAsia="Calibri"/>
          <w:i/>
          <w:szCs w:val="20"/>
          <w:vertAlign w:val="superscript"/>
        </w:rPr>
        <w:t>3</w:t>
      </w:r>
      <w:r w:rsidRPr="00785872">
        <w:rPr>
          <w:rFonts w:eastAsia="Calibri"/>
          <w:i/>
          <w:szCs w:val="20"/>
        </w:rPr>
        <w:t xml:space="preserve"> $35,000 to &lt; $45,000</w:t>
      </w:r>
    </w:p>
    <w:p w14:paraId="75DDC9E2" w14:textId="710E3F7C" w:rsidR="00BE598F" w:rsidRPr="00785872" w:rsidRDefault="00BE598F" w:rsidP="00BF136A">
      <w:pPr>
        <w:pStyle w:val="TableFigureFooter"/>
        <w:rPr>
          <w:rFonts w:eastAsia="Calibri"/>
          <w:i/>
          <w:szCs w:val="20"/>
        </w:rPr>
      </w:pPr>
      <w:r w:rsidRPr="00785872">
        <w:rPr>
          <w:rFonts w:eastAsia="Calibri"/>
          <w:i/>
          <w:szCs w:val="20"/>
          <w:vertAlign w:val="superscript"/>
        </w:rPr>
        <w:t>4</w:t>
      </w:r>
      <w:r w:rsidRPr="00785872">
        <w:rPr>
          <w:rFonts w:eastAsia="Calibri"/>
          <w:i/>
          <w:szCs w:val="20"/>
        </w:rPr>
        <w:t xml:space="preserve"> $95,000 to &lt; $115,000</w:t>
      </w:r>
    </w:p>
    <w:p w14:paraId="4AA66E82" w14:textId="184B3C30" w:rsidR="00BE598F" w:rsidRPr="00785872" w:rsidRDefault="00BE598F" w:rsidP="00BF136A">
      <w:pPr>
        <w:pStyle w:val="TableFigureFooter"/>
        <w:rPr>
          <w:rFonts w:eastAsia="Calibri"/>
          <w:i/>
          <w:szCs w:val="20"/>
        </w:rPr>
      </w:pPr>
      <w:r w:rsidRPr="00785872">
        <w:rPr>
          <w:rFonts w:eastAsia="Calibri"/>
          <w:i/>
          <w:szCs w:val="20"/>
          <w:vertAlign w:val="superscript"/>
        </w:rPr>
        <w:t>5</w:t>
      </w:r>
      <w:r w:rsidRPr="00785872">
        <w:rPr>
          <w:rFonts w:eastAsia="Calibri"/>
          <w:i/>
          <w:szCs w:val="20"/>
        </w:rPr>
        <w:t xml:space="preserve"> $45,000 to &lt; $55,000</w:t>
      </w:r>
    </w:p>
    <w:p w14:paraId="2298F702" w14:textId="6FE905A2" w:rsidR="00FC688D" w:rsidRPr="00F92E56" w:rsidRDefault="00FC688D" w:rsidP="00236876">
      <w:pPr>
        <w:pStyle w:val="3-BodyText"/>
      </w:pPr>
      <w:bookmarkStart w:id="67" w:name="_Toc22897646"/>
      <w:r w:rsidRPr="00F92E56">
        <w:t xml:space="preserve">The analyses were most sensitive to assumptions related to cost and outcomes of avelumab maintenance treatment. As described above, the use and cost of avelumab treatment </w:t>
      </w:r>
      <w:r w:rsidR="009A1AF4" w:rsidRPr="00F92E56">
        <w:t>are</w:t>
      </w:r>
      <w:r w:rsidRPr="00F92E56">
        <w:t xml:space="preserve"> likely to be overestimated</w:t>
      </w:r>
      <w:r w:rsidR="009A1AF4" w:rsidRPr="00F92E56">
        <w:t>,</w:t>
      </w:r>
      <w:r w:rsidRPr="00F92E56">
        <w:t xml:space="preserve"> and due to transitivity issues between the external studies used to inform survival after disease recurrence, the incremental benefit of avelumab modelled is highly uncertain. The analysis was also sensitive to reductions in the time horizon, changing the truncation time point for watchful waiting DFS, and extending the increased all-cause mortality risk throughout the model time horizon. </w:t>
      </w:r>
    </w:p>
    <w:p w14:paraId="02835BA9" w14:textId="0F5A4261" w:rsidR="00CB0871" w:rsidRPr="00F92E56" w:rsidRDefault="009A1AF4" w:rsidP="00236876">
      <w:pPr>
        <w:pStyle w:val="3-BodyText"/>
      </w:pPr>
      <w:r w:rsidRPr="00F92E56">
        <w:t>M</w:t>
      </w:r>
      <w:r w:rsidR="00FC688D" w:rsidRPr="00F92E56">
        <w:t>ultivariate analyses</w:t>
      </w:r>
      <w:r w:rsidRPr="00F92E56">
        <w:t xml:space="preserve"> were</w:t>
      </w:r>
      <w:r w:rsidR="00FC688D" w:rsidRPr="00F92E56">
        <w:t xml:space="preserve"> conducted during the evaluation around these key areas of uncertainty identified, including changes made in the respecified base case presented previously or other concerns raised by the PBAC (</w:t>
      </w:r>
      <w:r w:rsidR="00724199">
        <w:t>paragraph</w:t>
      </w:r>
      <w:r w:rsidR="00FC688D" w:rsidRPr="00F92E56">
        <w:t xml:space="preserve"> 7.9, nivolumab PSD, July 2022 PBAC Meeting). </w:t>
      </w:r>
    </w:p>
    <w:p w14:paraId="1647C7F9" w14:textId="2EFF9BDF" w:rsidR="0031004F" w:rsidRPr="00F92E56" w:rsidRDefault="00FC688D" w:rsidP="00236876">
      <w:pPr>
        <w:pStyle w:val="3-BodyText"/>
      </w:pPr>
      <w:bookmarkStart w:id="68" w:name="_Ref147955673"/>
      <w:bookmarkStart w:id="69" w:name="_Ref152069988"/>
      <w:r w:rsidRPr="00F92E56">
        <w:t xml:space="preserve">The </w:t>
      </w:r>
      <w:r w:rsidR="00CB0871" w:rsidRPr="00F92E56">
        <w:t xml:space="preserve">ESC considered that </w:t>
      </w:r>
      <w:bookmarkStart w:id="70" w:name="_Hlk151647774"/>
      <w:r w:rsidR="00CB0871" w:rsidRPr="00F92E56">
        <w:t xml:space="preserve">resubmission’s base case remained underestimated. </w:t>
      </w:r>
      <w:bookmarkEnd w:id="70"/>
      <w:r w:rsidR="00A366E6" w:rsidRPr="00F92E56">
        <w:t xml:space="preserve">The ESC considered this was </w:t>
      </w:r>
      <w:bookmarkStart w:id="71" w:name="_Hlk152068870"/>
      <w:r w:rsidR="00A366E6" w:rsidRPr="00F92E56">
        <w:t xml:space="preserve">primarily due to concerns regarding the: time horizon; DFS extrapolation function applied; truncation time point for watchful waiting DFS; duration of increased mortality risk; and avelumab treatment duration (see paragraphs </w:t>
      </w:r>
      <w:r w:rsidR="00A366E6" w:rsidRPr="00F92E56">
        <w:fldChar w:fldCharType="begin" w:fldLock="1"/>
      </w:r>
      <w:r w:rsidR="00A366E6" w:rsidRPr="00F92E56">
        <w:instrText xml:space="preserve"> REF _Ref147406553 \r \h </w:instrText>
      </w:r>
      <w:r w:rsidR="0031004F" w:rsidRPr="00F92E56">
        <w:instrText xml:space="preserve"> \* MERGEFORMAT </w:instrText>
      </w:r>
      <w:r w:rsidR="00A366E6" w:rsidRPr="00F92E56">
        <w:fldChar w:fldCharType="separate"/>
      </w:r>
      <w:r w:rsidR="00D612B3">
        <w:t>6.57</w:t>
      </w:r>
      <w:r w:rsidR="00A366E6" w:rsidRPr="00F92E56">
        <w:fldChar w:fldCharType="end"/>
      </w:r>
      <w:r w:rsidR="00A366E6" w:rsidRPr="00F92E56">
        <w:t xml:space="preserve"> and </w:t>
      </w:r>
      <w:r w:rsidR="00A366E6" w:rsidRPr="00F92E56">
        <w:fldChar w:fldCharType="begin" w:fldLock="1"/>
      </w:r>
      <w:r w:rsidR="00A366E6" w:rsidRPr="00F92E56">
        <w:instrText xml:space="preserve"> REF _Ref147920690 \r \h </w:instrText>
      </w:r>
      <w:r w:rsidR="0031004F" w:rsidRPr="00F92E56">
        <w:instrText xml:space="preserve"> \* MERGEFORMAT </w:instrText>
      </w:r>
      <w:r w:rsidR="00A366E6" w:rsidRPr="00F92E56">
        <w:fldChar w:fldCharType="separate"/>
      </w:r>
      <w:r w:rsidR="00D612B3">
        <w:t>6.63</w:t>
      </w:r>
      <w:r w:rsidR="00A366E6" w:rsidRPr="00F92E56">
        <w:fldChar w:fldCharType="end"/>
      </w:r>
      <w:r w:rsidR="00A366E6" w:rsidRPr="00F92E56">
        <w:t>)</w:t>
      </w:r>
      <w:bookmarkEnd w:id="71"/>
      <w:r w:rsidR="00F92E56">
        <w:t xml:space="preserve">. </w:t>
      </w:r>
      <w:r w:rsidR="00CB0871" w:rsidRPr="00F92E56">
        <w:t xml:space="preserve">The </w:t>
      </w:r>
      <w:r w:rsidR="00BF136A" w:rsidRPr="00F92E56">
        <w:t xml:space="preserve">ESC noted that the </w:t>
      </w:r>
      <w:r w:rsidRPr="00F92E56">
        <w:t>ICER is sensitive to cumulative changes in the model</w:t>
      </w:r>
      <w:r w:rsidR="00CB0871" w:rsidRPr="00F92E56">
        <w:t xml:space="preserve"> and </w:t>
      </w:r>
      <w:r w:rsidR="00DE5CD3" w:rsidRPr="00F92E56">
        <w:t>considered t</w:t>
      </w:r>
      <w:r w:rsidR="007A0F9B" w:rsidRPr="00F92E56">
        <w:t>hat</w:t>
      </w:r>
      <w:r w:rsidR="00CB0871" w:rsidRPr="00F92E56">
        <w:t xml:space="preserve"> the</w:t>
      </w:r>
      <w:r w:rsidR="007A0F9B" w:rsidRPr="00F92E56">
        <w:t xml:space="preserve"> </w:t>
      </w:r>
      <w:r w:rsidR="00CB0871" w:rsidRPr="00F92E56">
        <w:t xml:space="preserve">multivariate analysis conducted during the evaluation </w:t>
      </w:r>
      <w:r w:rsidR="0028629F" w:rsidRPr="00F92E56">
        <w:t>resulting in an ICER of $</w:t>
      </w:r>
      <w:r w:rsidR="00BE598F">
        <w:t>45,000 to &lt; $55,000</w:t>
      </w:r>
      <w:r w:rsidR="0028629F" w:rsidRPr="00F92E56">
        <w:t xml:space="preserve"> per QALY gained </w:t>
      </w:r>
      <w:r w:rsidR="006346C6" w:rsidRPr="00F92E56">
        <w:t xml:space="preserve">would be more </w:t>
      </w:r>
      <w:r w:rsidR="00CB0871" w:rsidRPr="00F92E56">
        <w:t>appropriate.</w:t>
      </w:r>
      <w:r w:rsidR="006346C6" w:rsidRPr="00F92E56">
        <w:t xml:space="preserve"> However, the ESC also considered that due to the lack of provision of OS data, the results remain uncertain.</w:t>
      </w:r>
      <w:bookmarkEnd w:id="68"/>
      <w:r w:rsidR="0031004F" w:rsidRPr="00F92E56">
        <w:t xml:space="preserve"> The ESC considered the 113% increase in the requested price from </w:t>
      </w:r>
      <w:r w:rsidR="00785872" w:rsidRPr="00785872">
        <w:t>$</w:t>
      </w:r>
      <w:r w:rsidR="00785872" w:rsidRPr="001D78FA">
        <w:rPr>
          <w:color w:val="000000"/>
          <w:w w:val="15"/>
          <w:shd w:val="solid" w:color="000000" w:fill="000000"/>
          <w:fitText w:val="-20" w:id="-1032081400"/>
          <w14:textFill>
            <w14:solidFill>
              <w14:srgbClr w14:val="000000">
                <w14:alpha w14:val="100000"/>
              </w14:srgbClr>
            </w14:solidFill>
          </w14:textFill>
        </w:rPr>
        <w:t xml:space="preserve">| </w:t>
      </w:r>
      <w:r w:rsidR="00785872" w:rsidRPr="001D78FA">
        <w:rPr>
          <w:color w:val="000000"/>
          <w:spacing w:val="-61"/>
          <w:w w:val="15"/>
          <w:shd w:val="solid" w:color="000000" w:fill="000000"/>
          <w:fitText w:val="-20" w:id="-1032081400"/>
          <w14:textFill>
            <w14:solidFill>
              <w14:srgbClr w14:val="000000">
                <w14:alpha w14:val="100000"/>
              </w14:srgbClr>
            </w14:solidFill>
          </w14:textFill>
        </w:rPr>
        <w:t>|</w:t>
      </w:r>
      <w:r w:rsidR="0031004F" w:rsidRPr="00F92E56">
        <w:t xml:space="preserve"> in the March 2023 submission to </w:t>
      </w:r>
      <w:r w:rsidR="00785872" w:rsidRPr="00785872">
        <w:t>$</w:t>
      </w:r>
      <w:r w:rsidR="00785872" w:rsidRPr="001D78FA">
        <w:rPr>
          <w:color w:val="000000"/>
          <w:w w:val="15"/>
          <w:shd w:val="solid" w:color="000000" w:fill="000000"/>
          <w:fitText w:val="-20" w:id="-1032081399"/>
          <w14:textFill>
            <w14:solidFill>
              <w14:srgbClr w14:val="000000">
                <w14:alpha w14:val="100000"/>
              </w14:srgbClr>
            </w14:solidFill>
          </w14:textFill>
        </w:rPr>
        <w:t xml:space="preserve">| </w:t>
      </w:r>
      <w:r w:rsidR="00785872" w:rsidRPr="001D78FA">
        <w:rPr>
          <w:color w:val="000000"/>
          <w:spacing w:val="-61"/>
          <w:w w:val="15"/>
          <w:shd w:val="solid" w:color="000000" w:fill="000000"/>
          <w:fitText w:val="-20" w:id="-1032081399"/>
          <w14:textFill>
            <w14:solidFill>
              <w14:srgbClr w14:val="000000">
                <w14:alpha w14:val="100000"/>
              </w14:srgbClr>
            </w14:solidFill>
          </w14:textFill>
        </w:rPr>
        <w:t>|</w:t>
      </w:r>
      <w:r w:rsidR="0031004F" w:rsidRPr="00F92E56">
        <w:t xml:space="preserve"> per vial on the basis of restricting the population modelled to those who had received prior NAC and including costs and outcomes of avelumab in the comparator arm was not justified given:</w:t>
      </w:r>
      <w:bookmarkEnd w:id="69"/>
      <w:r w:rsidR="0031004F" w:rsidRPr="00F92E56">
        <w:t xml:space="preserve"> </w:t>
      </w:r>
    </w:p>
    <w:p w14:paraId="72E272E4" w14:textId="303419B3" w:rsidR="0031004F" w:rsidRPr="00F92E56" w:rsidRDefault="0031004F" w:rsidP="00C76B7E">
      <w:pPr>
        <w:pStyle w:val="ListParagraph"/>
        <w:numPr>
          <w:ilvl w:val="0"/>
          <w:numId w:val="15"/>
        </w:numPr>
        <w:ind w:left="1276"/>
      </w:pPr>
      <w:r w:rsidRPr="00F92E56">
        <w:t xml:space="preserve">the proposed restriction will allow patients not receiving, or receiving minimal NAC, to access nivolumab. The ESC considered even if the criteria allowing use </w:t>
      </w:r>
      <w:r w:rsidRPr="00F92E56">
        <w:lastRenderedPageBreak/>
        <w:t>in patients with contraindications/intolerance to NAC is removed from the restriction, the efficacy observed in clinical practice is likely to be less than observed in the trial subgroup;</w:t>
      </w:r>
    </w:p>
    <w:p w14:paraId="745E7F13" w14:textId="4D030A59" w:rsidR="0031004F" w:rsidRPr="00F92E56" w:rsidRDefault="0031004F" w:rsidP="00C76B7E">
      <w:pPr>
        <w:pStyle w:val="ListParagraph"/>
        <w:numPr>
          <w:ilvl w:val="0"/>
          <w:numId w:val="15"/>
        </w:numPr>
        <w:ind w:left="1276"/>
      </w:pPr>
      <w:r w:rsidRPr="00F92E56">
        <w:t>the ICER is less reliable given it is based on a subgroup of the trial patients;</w:t>
      </w:r>
    </w:p>
    <w:p w14:paraId="683DEB9E" w14:textId="7A104624" w:rsidR="0031004F" w:rsidRPr="00F92E56" w:rsidRDefault="0031004F" w:rsidP="00C76B7E">
      <w:pPr>
        <w:pStyle w:val="ListParagraph"/>
        <w:numPr>
          <w:ilvl w:val="0"/>
          <w:numId w:val="15"/>
        </w:numPr>
        <w:ind w:left="1276"/>
      </w:pPr>
      <w:r w:rsidRPr="00F92E56">
        <w:t>lack of clinical data supporting the claim of an increase in OS; and</w:t>
      </w:r>
    </w:p>
    <w:p w14:paraId="43EFA136" w14:textId="30B00744" w:rsidR="00FC688D" w:rsidRPr="00F92E56" w:rsidRDefault="0031004F" w:rsidP="00C76B7E">
      <w:pPr>
        <w:pStyle w:val="ListParagraph"/>
        <w:numPr>
          <w:ilvl w:val="0"/>
          <w:numId w:val="15"/>
        </w:numPr>
        <w:ind w:left="1276"/>
      </w:pPr>
      <w:r w:rsidRPr="00F92E56">
        <w:t>the underestimation of the base case ICER in the submission.</w:t>
      </w:r>
    </w:p>
    <w:p w14:paraId="6C1380C9" w14:textId="21A74940" w:rsidR="00AF7751" w:rsidRPr="00F92E56" w:rsidRDefault="00AF7751" w:rsidP="00236876">
      <w:pPr>
        <w:pStyle w:val="3-BodyText"/>
      </w:pPr>
      <w:r w:rsidRPr="00F92E56">
        <w:t>The pre-PBAC response</w:t>
      </w:r>
      <w:r w:rsidR="00785872" w:rsidRPr="00785872">
        <w:t xml:space="preserve"> </w:t>
      </w:r>
      <w:r w:rsidRPr="00F92E56">
        <w:t>disagreed with the ESC assessment that the resubmission’s base case remained underestimated</w:t>
      </w:r>
      <w:r w:rsidR="001B6A03" w:rsidRPr="00F92E56">
        <w:t>. In addition, the pre-PBAC response</w:t>
      </w:r>
      <w:r w:rsidR="00785872" w:rsidRPr="00785872">
        <w:t xml:space="preserve"> </w:t>
      </w:r>
      <w:r w:rsidR="001B6A03" w:rsidRPr="00F92E56">
        <w:t>argued that</w:t>
      </w:r>
      <w:r w:rsidR="00DA0B51" w:rsidRPr="00F92E56">
        <w:t>,</w:t>
      </w:r>
      <w:r w:rsidR="001B6A03" w:rsidRPr="00F92E56">
        <w:t xml:space="preserve"> while it </w:t>
      </w:r>
      <w:r w:rsidR="00A63912" w:rsidRPr="00F92E56">
        <w:t>wa</w:t>
      </w:r>
      <w:r w:rsidR="001B6A03" w:rsidRPr="00F92E56">
        <w:t>s likely that additional patients wi</w:t>
      </w:r>
      <w:r w:rsidR="00A63912" w:rsidRPr="00F92E56">
        <w:t>ll</w:t>
      </w:r>
      <w:r w:rsidR="001B6A03" w:rsidRPr="00F92E56">
        <w:t xml:space="preserve"> be treated with NAC compared to current rates, the CM274 trial represent</w:t>
      </w:r>
      <w:r w:rsidR="00A63912" w:rsidRPr="00F92E56">
        <w:t>ed</w:t>
      </w:r>
      <w:r w:rsidR="001B6A03" w:rsidRPr="00F92E56">
        <w:t xml:space="preserve"> the best available evidence for the efficacy of nivolumab as adjuvant treatment for MIUC in NAC treated patients. The pre-PBAC response</w:t>
      </w:r>
      <w:r w:rsidR="00785872" w:rsidRPr="00785872">
        <w:t xml:space="preserve"> </w:t>
      </w:r>
      <w:r w:rsidR="00DA0B51" w:rsidRPr="00F92E56">
        <w:t xml:space="preserve">also </w:t>
      </w:r>
      <w:r w:rsidR="001B6A03" w:rsidRPr="00F92E56">
        <w:t xml:space="preserve">noted the selection of a trial subgroup was based directly on advice from the PBAC in its July 2022 consideration of nivolumab and </w:t>
      </w:r>
      <w:r w:rsidR="00DA0B51" w:rsidRPr="00F92E56">
        <w:t>argued</w:t>
      </w:r>
      <w:r w:rsidR="001B6A03" w:rsidRPr="00F92E56">
        <w:t xml:space="preserve"> the resubmission ICER may be </w:t>
      </w:r>
      <w:r w:rsidR="00DA0B51" w:rsidRPr="00F92E56">
        <w:t>more reliable given the granularity in health states and additional follow-up provided in the model. Finally, the pre-PBAC response</w:t>
      </w:r>
      <w:r w:rsidR="00785872" w:rsidRPr="00785872">
        <w:t xml:space="preserve"> </w:t>
      </w:r>
      <w:r w:rsidR="00DA0B51" w:rsidRPr="00F92E56">
        <w:t xml:space="preserve">argued that the economic model does not directly claim increased OS for patients receiving nivolumab </w:t>
      </w:r>
      <w:r w:rsidR="001E79F3" w:rsidRPr="00F92E56">
        <w:t xml:space="preserve">with time spent by patients in the pre-recurrence state instead informed through direct evidence of DFS from CM274. </w:t>
      </w:r>
    </w:p>
    <w:p w14:paraId="67BD2AAD" w14:textId="632956B1" w:rsidR="001D66D4" w:rsidRPr="00F92E56" w:rsidRDefault="001D66D4" w:rsidP="001D66D4">
      <w:pPr>
        <w:pStyle w:val="4-SubsectionHeading"/>
      </w:pPr>
      <w:bookmarkStart w:id="72" w:name="_Toc145496539"/>
      <w:r w:rsidRPr="00F92E56">
        <w:t>Drug cost/patient/course</w:t>
      </w:r>
      <w:bookmarkEnd w:id="67"/>
      <w:bookmarkEnd w:id="72"/>
    </w:p>
    <w:p w14:paraId="5F1B0DEE" w14:textId="5B74E5EB" w:rsidR="001D66D4" w:rsidRPr="00F92E56" w:rsidRDefault="001D66D4" w:rsidP="00236876">
      <w:pPr>
        <w:pStyle w:val="3-BodyText"/>
      </w:pPr>
      <w:bookmarkStart w:id="73" w:name="_Ref104805102"/>
      <w:r w:rsidRPr="00F92E56">
        <w:t xml:space="preserve">The per patient cost of nivolumab used in the model and </w:t>
      </w:r>
      <w:r w:rsidR="00754DA5" w:rsidRPr="00F92E56">
        <w:t>the</w:t>
      </w:r>
      <w:r w:rsidRPr="00F92E56">
        <w:t xml:space="preserve"> financial analysis, is presented in </w:t>
      </w:r>
      <w:r w:rsidR="00C7399A" w:rsidRPr="00F92E56">
        <w:fldChar w:fldCharType="begin" w:fldLock="1"/>
      </w:r>
      <w:r w:rsidR="00C7399A" w:rsidRPr="00F92E56">
        <w:instrText xml:space="preserve"> REF _Ref142836551 \h </w:instrText>
      </w:r>
      <w:r w:rsidR="005E043E" w:rsidRPr="00F92E56">
        <w:instrText xml:space="preserve"> \* MERGEFORMAT </w:instrText>
      </w:r>
      <w:r w:rsidR="00C7399A" w:rsidRPr="00F92E56">
        <w:fldChar w:fldCharType="separate"/>
      </w:r>
      <w:r w:rsidR="0096718A" w:rsidRPr="00F92E56">
        <w:t xml:space="preserve">Table </w:t>
      </w:r>
      <w:r w:rsidR="0096718A" w:rsidRPr="00346867">
        <w:t>17</w:t>
      </w:r>
      <w:r w:rsidR="00C7399A" w:rsidRPr="00F92E56">
        <w:fldChar w:fldCharType="end"/>
      </w:r>
      <w:r w:rsidRPr="00F92E56">
        <w:t xml:space="preserve">. As all patients who had received prior NAC in CM274 had discontinued treatment at the time of the latest data cut, the cumulative average dose received in the trial was applied directly in the economic analysis and financial impact, assuming that patients would receive the recommended dose each cycle. While the </w:t>
      </w:r>
      <w:r w:rsidR="00143F75" w:rsidRPr="00F92E56">
        <w:t xml:space="preserve">total </w:t>
      </w:r>
      <w:r w:rsidRPr="00F92E56">
        <w:t>dose applied was consistent across the analyses, due to different assumptions in dos</w:t>
      </w:r>
      <w:r w:rsidR="00143F75" w:rsidRPr="00F92E56">
        <w:t>ing regimen</w:t>
      </w:r>
      <w:r w:rsidRPr="00F92E56">
        <w:t xml:space="preserve"> applied, slight differences were observed.</w:t>
      </w:r>
    </w:p>
    <w:p w14:paraId="2BF2508F" w14:textId="18201BCC" w:rsidR="001D66D4" w:rsidRPr="00F92E56" w:rsidRDefault="001D66D4" w:rsidP="00236876">
      <w:pPr>
        <w:pStyle w:val="3-BodyText"/>
      </w:pPr>
      <w:r w:rsidRPr="00F92E56">
        <w:t xml:space="preserve">Due to the proposed increase in the effective price, the cost per patient estimated was substantially higher than in the previous submission (approximately </w:t>
      </w:r>
      <w:r w:rsidR="00785872" w:rsidRPr="00785872">
        <w:t>$</w:t>
      </w:r>
      <w:r w:rsidR="00785872" w:rsidRPr="001D78FA">
        <w:rPr>
          <w:color w:val="000000"/>
          <w:w w:val="15"/>
          <w:shd w:val="solid" w:color="000000" w:fill="000000"/>
          <w:fitText w:val="-20" w:id="-1032081398"/>
          <w14:textFill>
            <w14:solidFill>
              <w14:srgbClr w14:val="000000">
                <w14:alpha w14:val="100000"/>
              </w14:srgbClr>
            </w14:solidFill>
          </w14:textFill>
        </w:rPr>
        <w:t xml:space="preserve">| </w:t>
      </w:r>
      <w:r w:rsidR="00785872" w:rsidRPr="001D78FA">
        <w:rPr>
          <w:color w:val="000000"/>
          <w:spacing w:val="-61"/>
          <w:w w:val="15"/>
          <w:shd w:val="solid" w:color="000000" w:fill="000000"/>
          <w:fitText w:val="-20" w:id="-1032081398"/>
          <w14:textFill>
            <w14:solidFill>
              <w14:srgbClr w14:val="000000">
                <w14:alpha w14:val="100000"/>
              </w14:srgbClr>
            </w14:solidFill>
          </w14:textFill>
        </w:rPr>
        <w:t>|</w:t>
      </w:r>
      <w:r w:rsidRPr="00F92E56">
        <w:t xml:space="preserve">). </w:t>
      </w:r>
    </w:p>
    <w:p w14:paraId="0A094369" w14:textId="19583A89" w:rsidR="001D66D4" w:rsidRPr="00F92E56" w:rsidRDefault="001D66D4" w:rsidP="001D66D4">
      <w:pPr>
        <w:pStyle w:val="Caption"/>
        <w:rPr>
          <w:rStyle w:val="CommentReference"/>
          <w:b/>
          <w:szCs w:val="24"/>
        </w:rPr>
      </w:pPr>
      <w:bookmarkStart w:id="74" w:name="_Ref142836551"/>
      <w:r w:rsidRPr="00F92E56">
        <w:t xml:space="preserve">Table </w:t>
      </w:r>
      <w:r w:rsidR="001D78FA">
        <w:fldChar w:fldCharType="begin" w:fldLock="1"/>
      </w:r>
      <w:r w:rsidR="001D78FA">
        <w:instrText xml:space="preserve"> SEQ Table \* ARABIC </w:instrText>
      </w:r>
      <w:r w:rsidR="001D78FA">
        <w:fldChar w:fldCharType="separate"/>
      </w:r>
      <w:r w:rsidR="0096718A" w:rsidRPr="00346867">
        <w:t>17</w:t>
      </w:r>
      <w:r w:rsidR="001D78FA">
        <w:fldChar w:fldCharType="end"/>
      </w:r>
      <w:bookmarkEnd w:id="73"/>
      <w:bookmarkEnd w:id="74"/>
      <w:r w:rsidRPr="00F92E56">
        <w:t>:</w:t>
      </w:r>
      <w:r w:rsidRPr="00F92E56">
        <w:rPr>
          <w:rStyle w:val="CommentReference"/>
          <w:b/>
          <w:szCs w:val="24"/>
        </w:rPr>
        <w:t xml:space="preserve"> Drug cost per patient for nivolumab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9"/>
        <w:gridCol w:w="2162"/>
        <w:gridCol w:w="2160"/>
        <w:gridCol w:w="2166"/>
      </w:tblGrid>
      <w:tr w:rsidR="001D66D4" w:rsidRPr="00F92E56" w14:paraId="0D1F7C77" w14:textId="77777777" w:rsidTr="00553EDF">
        <w:trPr>
          <w:cantSplit/>
          <w:tblHeader/>
          <w:jc w:val="center"/>
        </w:trPr>
        <w:tc>
          <w:tcPr>
            <w:tcW w:w="1402" w:type="pct"/>
            <w:shd w:val="clear" w:color="auto" w:fill="auto"/>
            <w:vAlign w:val="center"/>
          </w:tcPr>
          <w:p w14:paraId="206BD53C" w14:textId="77777777" w:rsidR="001D66D4" w:rsidRPr="00346867" w:rsidRDefault="001D66D4" w:rsidP="00553EDF">
            <w:pPr>
              <w:pStyle w:val="In-tableHeading"/>
              <w:jc w:val="center"/>
              <w:rPr>
                <w:lang w:val="en-AU"/>
              </w:rPr>
            </w:pPr>
          </w:p>
        </w:tc>
        <w:tc>
          <w:tcPr>
            <w:tcW w:w="1199" w:type="pct"/>
            <w:shd w:val="clear" w:color="auto" w:fill="auto"/>
            <w:vAlign w:val="center"/>
          </w:tcPr>
          <w:p w14:paraId="63E01A37" w14:textId="77777777" w:rsidR="001D66D4" w:rsidRPr="00346867" w:rsidRDefault="001D66D4" w:rsidP="00553EDF">
            <w:pPr>
              <w:pStyle w:val="In-tableHeading"/>
              <w:jc w:val="center"/>
              <w:rPr>
                <w:lang w:val="en-AU"/>
              </w:rPr>
            </w:pPr>
            <w:r w:rsidRPr="00346867">
              <w:rPr>
                <w:lang w:val="en-AU"/>
              </w:rPr>
              <w:t>Trial dose and duration</w:t>
            </w:r>
          </w:p>
        </w:tc>
        <w:tc>
          <w:tcPr>
            <w:tcW w:w="1198" w:type="pct"/>
            <w:shd w:val="clear" w:color="auto" w:fill="auto"/>
            <w:vAlign w:val="center"/>
          </w:tcPr>
          <w:p w14:paraId="275A8B65" w14:textId="77777777" w:rsidR="001D66D4" w:rsidRPr="00346867" w:rsidRDefault="001D66D4" w:rsidP="00553EDF">
            <w:pPr>
              <w:pStyle w:val="In-tableHeading"/>
              <w:jc w:val="center"/>
              <w:rPr>
                <w:lang w:val="en-AU"/>
              </w:rPr>
            </w:pPr>
            <w:r w:rsidRPr="00346867">
              <w:rPr>
                <w:lang w:val="en-AU"/>
              </w:rPr>
              <w:t>Model</w:t>
            </w:r>
          </w:p>
        </w:tc>
        <w:tc>
          <w:tcPr>
            <w:tcW w:w="1201" w:type="pct"/>
            <w:shd w:val="clear" w:color="auto" w:fill="auto"/>
            <w:vAlign w:val="center"/>
          </w:tcPr>
          <w:p w14:paraId="57A26C3E" w14:textId="77777777" w:rsidR="001D66D4" w:rsidRPr="00346867" w:rsidRDefault="001D66D4" w:rsidP="00553EDF">
            <w:pPr>
              <w:pStyle w:val="In-tableHeading"/>
              <w:jc w:val="center"/>
              <w:rPr>
                <w:lang w:val="en-AU"/>
              </w:rPr>
            </w:pPr>
            <w:r w:rsidRPr="00346867">
              <w:rPr>
                <w:lang w:val="en-AU"/>
              </w:rPr>
              <w:t>Financial estimates</w:t>
            </w:r>
          </w:p>
        </w:tc>
      </w:tr>
      <w:tr w:rsidR="001D66D4" w:rsidRPr="00F92E56" w14:paraId="382E7905" w14:textId="77777777" w:rsidTr="00553EDF">
        <w:trPr>
          <w:cantSplit/>
          <w:jc w:val="center"/>
        </w:trPr>
        <w:tc>
          <w:tcPr>
            <w:tcW w:w="1402" w:type="pct"/>
            <w:shd w:val="clear" w:color="auto" w:fill="auto"/>
            <w:vAlign w:val="center"/>
          </w:tcPr>
          <w:p w14:paraId="0BF690F7" w14:textId="77777777" w:rsidR="001D66D4" w:rsidRPr="00346867" w:rsidRDefault="001D66D4" w:rsidP="00553EDF">
            <w:pPr>
              <w:pStyle w:val="TableText0"/>
            </w:pPr>
            <w:r w:rsidRPr="00346867">
              <w:t xml:space="preserve">Total cumulative mean dose </w:t>
            </w:r>
            <w:r w:rsidRPr="00346867">
              <w:br/>
              <w:t>(dosing regimen)</w:t>
            </w:r>
          </w:p>
        </w:tc>
        <w:tc>
          <w:tcPr>
            <w:tcW w:w="1199" w:type="pct"/>
            <w:shd w:val="clear" w:color="auto" w:fill="auto"/>
            <w:vAlign w:val="center"/>
          </w:tcPr>
          <w:p w14:paraId="0D23FBE5" w14:textId="77777777" w:rsidR="001D66D4" w:rsidRPr="00346867" w:rsidRDefault="001D66D4" w:rsidP="00553EDF">
            <w:pPr>
              <w:pStyle w:val="TableText0"/>
              <w:jc w:val="center"/>
              <w:rPr>
                <w:b/>
              </w:rPr>
            </w:pPr>
            <w:r w:rsidRPr="00346867">
              <w:t>4,272 mg</w:t>
            </w:r>
            <w:r w:rsidRPr="00346867">
              <w:br/>
              <w:t>(240mg Q2W)</w:t>
            </w:r>
          </w:p>
        </w:tc>
        <w:tc>
          <w:tcPr>
            <w:tcW w:w="1198" w:type="pct"/>
            <w:shd w:val="clear" w:color="auto" w:fill="auto"/>
            <w:vAlign w:val="center"/>
          </w:tcPr>
          <w:p w14:paraId="38834174" w14:textId="77777777" w:rsidR="001D66D4" w:rsidRPr="00346867" w:rsidRDefault="001D66D4" w:rsidP="00553EDF">
            <w:pPr>
              <w:pStyle w:val="TableText0"/>
              <w:jc w:val="center"/>
              <w:rPr>
                <w:b/>
              </w:rPr>
            </w:pPr>
            <w:r w:rsidRPr="00346867">
              <w:t>4,272 mg</w:t>
            </w:r>
            <w:r w:rsidRPr="00346867">
              <w:br/>
              <w:t>(480mg Q4W)</w:t>
            </w:r>
          </w:p>
        </w:tc>
        <w:tc>
          <w:tcPr>
            <w:tcW w:w="1201" w:type="pct"/>
            <w:shd w:val="clear" w:color="auto" w:fill="auto"/>
            <w:vAlign w:val="center"/>
          </w:tcPr>
          <w:p w14:paraId="1E72E100" w14:textId="77777777" w:rsidR="001D66D4" w:rsidRPr="00346867" w:rsidRDefault="001D66D4" w:rsidP="00553EDF">
            <w:pPr>
              <w:pStyle w:val="TableText0"/>
              <w:jc w:val="center"/>
              <w:rPr>
                <w:b/>
              </w:rPr>
            </w:pPr>
            <w:r w:rsidRPr="00346867">
              <w:t>4,272 mg</w:t>
            </w:r>
            <w:r w:rsidRPr="00346867">
              <w:br/>
              <w:t>(10% 240mg Q2W; 90% 480mg Q4W)</w:t>
            </w:r>
          </w:p>
        </w:tc>
      </w:tr>
      <w:tr w:rsidR="001D66D4" w:rsidRPr="00F92E56" w14:paraId="5A5EB5C4" w14:textId="77777777" w:rsidTr="00553EDF">
        <w:trPr>
          <w:cantSplit/>
          <w:jc w:val="center"/>
        </w:trPr>
        <w:tc>
          <w:tcPr>
            <w:tcW w:w="1402" w:type="pct"/>
            <w:shd w:val="clear" w:color="auto" w:fill="auto"/>
            <w:vAlign w:val="center"/>
          </w:tcPr>
          <w:p w14:paraId="69E57B3F" w14:textId="77777777" w:rsidR="001D66D4" w:rsidRPr="00346867" w:rsidRDefault="001D66D4" w:rsidP="00553EDF">
            <w:pPr>
              <w:pStyle w:val="TableText0"/>
            </w:pPr>
            <w:r w:rsidRPr="00346867">
              <w:t>Mean no. cycles</w:t>
            </w:r>
          </w:p>
        </w:tc>
        <w:tc>
          <w:tcPr>
            <w:tcW w:w="1199" w:type="pct"/>
            <w:shd w:val="clear" w:color="auto" w:fill="auto"/>
            <w:vAlign w:val="center"/>
          </w:tcPr>
          <w:p w14:paraId="23B61633" w14:textId="55466EA9" w:rsidR="001D66D4" w:rsidRPr="00346867" w:rsidRDefault="001D66D4" w:rsidP="00553EDF">
            <w:pPr>
              <w:pStyle w:val="TableText0"/>
              <w:jc w:val="center"/>
              <w:rPr>
                <w:b/>
              </w:rPr>
            </w:pPr>
            <w:r w:rsidRPr="00346867">
              <w:t>17.8</w:t>
            </w:r>
            <w:r w:rsidR="00EB787E" w:rsidRPr="00346867">
              <w:t>0</w:t>
            </w:r>
            <w:r w:rsidRPr="00346867">
              <w:t xml:space="preserve"> cycles</w:t>
            </w:r>
            <w:r w:rsidRPr="00346867">
              <w:rPr>
                <w:vertAlign w:val="superscript"/>
              </w:rPr>
              <w:t>a</w:t>
            </w:r>
          </w:p>
        </w:tc>
        <w:tc>
          <w:tcPr>
            <w:tcW w:w="1198" w:type="pct"/>
            <w:shd w:val="clear" w:color="auto" w:fill="auto"/>
            <w:vAlign w:val="center"/>
          </w:tcPr>
          <w:p w14:paraId="1B7E751A" w14:textId="3139C2AF" w:rsidR="001D66D4" w:rsidRPr="00346867" w:rsidRDefault="001D66D4" w:rsidP="00553EDF">
            <w:pPr>
              <w:pStyle w:val="TableText0"/>
              <w:jc w:val="center"/>
              <w:rPr>
                <w:b/>
              </w:rPr>
            </w:pPr>
            <w:r w:rsidRPr="00346867">
              <w:t>8.9</w:t>
            </w:r>
            <w:r w:rsidR="00EB787E" w:rsidRPr="00346867">
              <w:t>0</w:t>
            </w:r>
            <w:r w:rsidRPr="00346867">
              <w:t xml:space="preserve"> cycles</w:t>
            </w:r>
            <w:r w:rsidRPr="00346867">
              <w:rPr>
                <w:vertAlign w:val="superscript"/>
              </w:rPr>
              <w:t>a</w:t>
            </w:r>
          </w:p>
        </w:tc>
        <w:tc>
          <w:tcPr>
            <w:tcW w:w="1201" w:type="pct"/>
            <w:shd w:val="clear" w:color="auto" w:fill="auto"/>
            <w:vAlign w:val="center"/>
          </w:tcPr>
          <w:p w14:paraId="5D5F205D" w14:textId="071B2E36" w:rsidR="001D66D4" w:rsidRPr="00346867" w:rsidRDefault="001D66D4" w:rsidP="00553EDF">
            <w:pPr>
              <w:pStyle w:val="TableText0"/>
              <w:jc w:val="center"/>
              <w:rPr>
                <w:vertAlign w:val="superscript"/>
              </w:rPr>
            </w:pPr>
            <w:r w:rsidRPr="00346867">
              <w:t>240mg Q2W: 17.8</w:t>
            </w:r>
            <w:r w:rsidR="00EB787E" w:rsidRPr="00346867">
              <w:t>6</w:t>
            </w:r>
            <w:r w:rsidRPr="00346867">
              <w:t xml:space="preserve"> cycles</w:t>
            </w:r>
            <w:r w:rsidRPr="00346867">
              <w:rPr>
                <w:vertAlign w:val="superscript"/>
              </w:rPr>
              <w:t>a</w:t>
            </w:r>
          </w:p>
          <w:p w14:paraId="25697949" w14:textId="114D07ED" w:rsidR="001D66D4" w:rsidRPr="00346867" w:rsidRDefault="001D66D4" w:rsidP="00553EDF">
            <w:pPr>
              <w:pStyle w:val="TableText0"/>
              <w:jc w:val="center"/>
              <w:rPr>
                <w:b/>
              </w:rPr>
            </w:pPr>
            <w:r w:rsidRPr="00346867">
              <w:t>480mg Q4W: 8.9</w:t>
            </w:r>
            <w:r w:rsidR="00EB787E" w:rsidRPr="00346867">
              <w:t>3</w:t>
            </w:r>
            <w:r w:rsidRPr="00346867">
              <w:t xml:space="preserve"> cycles</w:t>
            </w:r>
            <w:r w:rsidRPr="00346867">
              <w:rPr>
                <w:vertAlign w:val="superscript"/>
              </w:rPr>
              <w:t>a</w:t>
            </w:r>
          </w:p>
        </w:tc>
      </w:tr>
      <w:tr w:rsidR="001D66D4" w:rsidRPr="00F92E56" w14:paraId="4347A30C" w14:textId="77777777" w:rsidTr="00553EDF">
        <w:trPr>
          <w:cantSplit/>
          <w:jc w:val="center"/>
        </w:trPr>
        <w:tc>
          <w:tcPr>
            <w:tcW w:w="1402" w:type="pct"/>
            <w:shd w:val="clear" w:color="auto" w:fill="auto"/>
            <w:vAlign w:val="center"/>
          </w:tcPr>
          <w:p w14:paraId="7E700EA5" w14:textId="7369AC5F" w:rsidR="001D66D4" w:rsidRPr="00346867" w:rsidRDefault="001D66D4" w:rsidP="00553EDF">
            <w:pPr>
              <w:pStyle w:val="TableText0"/>
            </w:pPr>
            <w:r w:rsidRPr="00346867">
              <w:t>Cost/patient/cycle</w:t>
            </w:r>
            <w:r w:rsidR="00BE598F">
              <w:t xml:space="preserve"> ($)</w:t>
            </w:r>
          </w:p>
        </w:tc>
        <w:tc>
          <w:tcPr>
            <w:tcW w:w="1199" w:type="pct"/>
            <w:shd w:val="clear" w:color="auto" w:fill="auto"/>
            <w:vAlign w:val="center"/>
          </w:tcPr>
          <w:p w14:paraId="2BEEC61B" w14:textId="64343D6A" w:rsidR="001D66D4" w:rsidRPr="00346867" w:rsidRDefault="00785872" w:rsidP="00553EDF">
            <w:pPr>
              <w:pStyle w:val="TableText0"/>
              <w:jc w:val="center"/>
            </w:pPr>
            <w:r w:rsidRPr="00785872">
              <w:t xml:space="preserve"> </w:t>
            </w:r>
            <w:r w:rsidRPr="00785872">
              <w:rPr>
                <w:color w:val="000000"/>
                <w:shd w:val="solid" w:color="000000" w:fill="000000"/>
                <w14:textFill>
                  <w14:solidFill>
                    <w14:srgbClr w14:val="000000">
                      <w14:alpha w14:val="100000"/>
                    </w14:srgbClr>
                  </w14:solidFill>
                </w14:textFill>
              </w:rPr>
              <w:t>|</w:t>
            </w:r>
            <w:r w:rsidR="001D66D4" w:rsidRPr="00346867">
              <w:rPr>
                <w:vertAlign w:val="superscript"/>
              </w:rPr>
              <w:t>b</w:t>
            </w:r>
          </w:p>
        </w:tc>
        <w:tc>
          <w:tcPr>
            <w:tcW w:w="1198" w:type="pct"/>
            <w:shd w:val="clear" w:color="auto" w:fill="auto"/>
            <w:vAlign w:val="center"/>
          </w:tcPr>
          <w:p w14:paraId="0232BE86" w14:textId="69F5F88B" w:rsidR="001D66D4" w:rsidRPr="00346867" w:rsidRDefault="00785872" w:rsidP="00553EDF">
            <w:pPr>
              <w:pStyle w:val="TableText0"/>
              <w:jc w:val="center"/>
            </w:pPr>
            <w:r w:rsidRPr="00785872">
              <w:t xml:space="preserve"> </w:t>
            </w:r>
            <w:r w:rsidRPr="00785872">
              <w:rPr>
                <w:color w:val="000000"/>
                <w:shd w:val="solid" w:color="000000" w:fill="000000"/>
                <w14:textFill>
                  <w14:solidFill>
                    <w14:srgbClr w14:val="000000">
                      <w14:alpha w14:val="100000"/>
                    </w14:srgbClr>
                  </w14:solidFill>
                </w14:textFill>
              </w:rPr>
              <w:t>|</w:t>
            </w:r>
            <w:r w:rsidR="001D66D4" w:rsidRPr="00346867">
              <w:rPr>
                <w:vertAlign w:val="superscript"/>
              </w:rPr>
              <w:t>b</w:t>
            </w:r>
          </w:p>
        </w:tc>
        <w:tc>
          <w:tcPr>
            <w:tcW w:w="1201" w:type="pct"/>
            <w:shd w:val="clear" w:color="auto" w:fill="auto"/>
            <w:vAlign w:val="center"/>
          </w:tcPr>
          <w:p w14:paraId="6FC3BD72" w14:textId="132AECFD" w:rsidR="001D66D4" w:rsidRPr="00346867" w:rsidRDefault="001D66D4" w:rsidP="00553EDF">
            <w:pPr>
              <w:pStyle w:val="TableText0"/>
              <w:jc w:val="center"/>
            </w:pPr>
            <w:r w:rsidRPr="00346867">
              <w:t>240mg Q2W:</w:t>
            </w:r>
            <w:r w:rsidR="00785872" w:rsidRPr="00785872">
              <w:t xml:space="preserve"> </w:t>
            </w:r>
            <w:r w:rsidR="00785872" w:rsidRPr="00785872">
              <w:rPr>
                <w:rFonts w:hint="eastAsia"/>
                <w:color w:val="000000"/>
                <w:w w:val="15"/>
                <w:shd w:val="solid" w:color="000000" w:fill="000000"/>
                <w:fitText w:val="70" w:id="-1032081397"/>
                <w14:textFill>
                  <w14:solidFill>
                    <w14:srgbClr w14:val="000000">
                      <w14:alpha w14:val="100000"/>
                    </w14:srgbClr>
                  </w14:solidFill>
                </w14:textFill>
              </w:rPr>
              <w:t xml:space="preserve">　</w:t>
            </w:r>
            <w:r w:rsidR="00785872" w:rsidRPr="00785872">
              <w:rPr>
                <w:color w:val="000000"/>
                <w:w w:val="15"/>
                <w:shd w:val="solid" w:color="000000" w:fill="000000"/>
                <w:fitText w:val="70" w:id="-1032081397"/>
                <w14:textFill>
                  <w14:solidFill>
                    <w14:srgbClr w14:val="000000">
                      <w14:alpha w14:val="100000"/>
                    </w14:srgbClr>
                  </w14:solidFill>
                </w14:textFill>
              </w:rPr>
              <w:t>|</w:t>
            </w:r>
            <w:r w:rsidR="00785872" w:rsidRPr="00785872">
              <w:rPr>
                <w:rFonts w:hint="eastAsia"/>
                <w:color w:val="000000"/>
                <w:w w:val="15"/>
                <w:shd w:val="solid" w:color="000000" w:fill="000000"/>
                <w:fitText w:val="70" w:id="-1032081397"/>
                <w14:textFill>
                  <w14:solidFill>
                    <w14:srgbClr w14:val="000000">
                      <w14:alpha w14:val="100000"/>
                    </w14:srgbClr>
                  </w14:solidFill>
                </w14:textFill>
              </w:rPr>
              <w:t xml:space="preserve">　</w:t>
            </w:r>
            <w:r w:rsidRPr="00346867">
              <w:rPr>
                <w:vertAlign w:val="superscript"/>
              </w:rPr>
              <w:t>b</w:t>
            </w:r>
            <w:r w:rsidR="00391C98">
              <w:rPr>
                <w:vertAlign w:val="superscript"/>
              </w:rPr>
              <w:t>,</w:t>
            </w:r>
            <w:r w:rsidR="00785872" w:rsidRPr="00785872">
              <w:rPr>
                <w:vertAlign w:val="superscript"/>
              </w:rPr>
              <w:t xml:space="preserve"> </w:t>
            </w:r>
            <w:r w:rsidRPr="00346867">
              <w:t>480mg Q4W:</w:t>
            </w:r>
            <w:r w:rsidR="00785872" w:rsidRPr="00785872">
              <w:t xml:space="preserve"> </w:t>
            </w:r>
            <w:r w:rsidR="00785872" w:rsidRPr="00785872">
              <w:rPr>
                <w:color w:val="000000"/>
                <w:shd w:val="solid" w:color="000000" w:fill="000000"/>
                <w14:textFill>
                  <w14:solidFill>
                    <w14:srgbClr w14:val="000000">
                      <w14:alpha w14:val="100000"/>
                    </w14:srgbClr>
                  </w14:solidFill>
                </w14:textFill>
              </w:rPr>
              <w:t>|</w:t>
            </w:r>
            <w:r w:rsidRPr="00346867">
              <w:rPr>
                <w:vertAlign w:val="superscript"/>
              </w:rPr>
              <w:t>b</w:t>
            </w:r>
          </w:p>
        </w:tc>
      </w:tr>
      <w:tr w:rsidR="001D66D4" w:rsidRPr="00F92E56" w14:paraId="640C6DDC" w14:textId="77777777" w:rsidTr="00553EDF">
        <w:trPr>
          <w:cantSplit/>
          <w:jc w:val="center"/>
        </w:trPr>
        <w:tc>
          <w:tcPr>
            <w:tcW w:w="1402" w:type="pct"/>
            <w:shd w:val="clear" w:color="auto" w:fill="auto"/>
            <w:vAlign w:val="center"/>
          </w:tcPr>
          <w:p w14:paraId="2E46CBAB" w14:textId="4540745D" w:rsidR="001D66D4" w:rsidRPr="00346867" w:rsidRDefault="001D66D4" w:rsidP="00553EDF">
            <w:pPr>
              <w:pStyle w:val="TableText0"/>
            </w:pPr>
            <w:r w:rsidRPr="00346867">
              <w:t>Cost/patient/course</w:t>
            </w:r>
            <w:r w:rsidR="00BE598F">
              <w:t xml:space="preserve"> ($)</w:t>
            </w:r>
          </w:p>
        </w:tc>
        <w:tc>
          <w:tcPr>
            <w:tcW w:w="1199" w:type="pct"/>
            <w:shd w:val="clear" w:color="auto" w:fill="auto"/>
            <w:vAlign w:val="center"/>
          </w:tcPr>
          <w:p w14:paraId="6D001D76" w14:textId="0AF6331D" w:rsidR="001D66D4" w:rsidRPr="00346867" w:rsidRDefault="00785872" w:rsidP="00553EDF">
            <w:pPr>
              <w:pStyle w:val="TableText0"/>
              <w:jc w:val="center"/>
            </w:pPr>
            <w:r w:rsidRPr="00785872">
              <w:t xml:space="preserve"> </w:t>
            </w:r>
            <w:r w:rsidRPr="00785872">
              <w:rPr>
                <w:color w:val="000000"/>
                <w:shd w:val="solid" w:color="000000" w:fill="000000"/>
                <w14:textFill>
                  <w14:solidFill>
                    <w14:srgbClr w14:val="000000">
                      <w14:alpha w14:val="100000"/>
                    </w14:srgbClr>
                  </w14:solidFill>
                </w14:textFill>
              </w:rPr>
              <w:t>|</w:t>
            </w:r>
          </w:p>
        </w:tc>
        <w:tc>
          <w:tcPr>
            <w:tcW w:w="1198" w:type="pct"/>
            <w:shd w:val="clear" w:color="auto" w:fill="auto"/>
            <w:vAlign w:val="center"/>
          </w:tcPr>
          <w:p w14:paraId="38771681" w14:textId="553E140B" w:rsidR="001D66D4" w:rsidRPr="00346867" w:rsidRDefault="00785872" w:rsidP="00553EDF">
            <w:pPr>
              <w:pStyle w:val="TableText0"/>
              <w:jc w:val="center"/>
            </w:pPr>
            <w:r w:rsidRPr="00785872">
              <w:t xml:space="preserve"> </w:t>
            </w:r>
            <w:r w:rsidRPr="00785872">
              <w:rPr>
                <w:color w:val="000000"/>
                <w:shd w:val="solid" w:color="000000" w:fill="000000"/>
                <w14:textFill>
                  <w14:solidFill>
                    <w14:srgbClr w14:val="000000">
                      <w14:alpha w14:val="100000"/>
                    </w14:srgbClr>
                  </w14:solidFill>
                </w14:textFill>
              </w:rPr>
              <w:t>|</w:t>
            </w:r>
          </w:p>
        </w:tc>
        <w:tc>
          <w:tcPr>
            <w:tcW w:w="1201" w:type="pct"/>
            <w:shd w:val="clear" w:color="auto" w:fill="auto"/>
            <w:vAlign w:val="center"/>
          </w:tcPr>
          <w:p w14:paraId="4BA71639" w14:textId="2F6EFAA1" w:rsidR="001D66D4" w:rsidRPr="00346867" w:rsidRDefault="00785872" w:rsidP="00553EDF">
            <w:pPr>
              <w:pStyle w:val="TableText0"/>
              <w:jc w:val="center"/>
            </w:pPr>
            <w:r w:rsidRPr="00785872">
              <w:t xml:space="preserve"> </w:t>
            </w:r>
            <w:r w:rsidRPr="00785872">
              <w:rPr>
                <w:color w:val="000000"/>
                <w:shd w:val="solid" w:color="000000" w:fill="000000"/>
                <w14:textFill>
                  <w14:solidFill>
                    <w14:srgbClr w14:val="000000">
                      <w14:alpha w14:val="100000"/>
                    </w14:srgbClr>
                  </w14:solidFill>
                </w14:textFill>
              </w:rPr>
              <w:t>|</w:t>
            </w:r>
          </w:p>
        </w:tc>
      </w:tr>
    </w:tbl>
    <w:p w14:paraId="4BDF7301" w14:textId="77777777" w:rsidR="001D66D4" w:rsidRPr="00F92E56" w:rsidRDefault="001D66D4" w:rsidP="001D66D4">
      <w:pPr>
        <w:pStyle w:val="TableFigureFooter"/>
        <w:rPr>
          <w:rFonts w:eastAsiaTheme="minorHAnsi"/>
          <w:bCs/>
          <w:color w:val="222222"/>
          <w:szCs w:val="18"/>
          <w:lang w:eastAsia="en-US"/>
        </w:rPr>
      </w:pPr>
      <w:r w:rsidRPr="00F92E56">
        <w:t>Source: Table constructed during the evaluation</w:t>
      </w:r>
    </w:p>
    <w:p w14:paraId="564BBE49" w14:textId="77777777" w:rsidR="001D66D4" w:rsidRPr="00F92E56" w:rsidRDefault="001D66D4" w:rsidP="001D66D4">
      <w:pPr>
        <w:pStyle w:val="TableFigureFooter"/>
      </w:pPr>
      <w:r w:rsidRPr="00F92E56">
        <w:t>Q2W = every 2 weeks; Q4W = every 4 weeks</w:t>
      </w:r>
    </w:p>
    <w:p w14:paraId="32CFD6F4" w14:textId="77777777" w:rsidR="001D66D4" w:rsidRPr="00F92E56" w:rsidRDefault="001D66D4" w:rsidP="001D66D4">
      <w:pPr>
        <w:pStyle w:val="TableFigureFooter"/>
      </w:pPr>
      <w:r w:rsidRPr="00F92E56">
        <w:rPr>
          <w:vertAlign w:val="superscript"/>
        </w:rPr>
        <w:t>a</w:t>
      </w:r>
      <w:r w:rsidRPr="00F92E56">
        <w:t xml:space="preserve"> Derived from total cumulative mean dose divided by dose (e.g. 4,272 ÷ 240 mg = 17.8)</w:t>
      </w:r>
    </w:p>
    <w:p w14:paraId="3108236A" w14:textId="37C1D7A6" w:rsidR="00391C98" w:rsidRPr="00785872" w:rsidRDefault="001D66D4" w:rsidP="001D66D4">
      <w:pPr>
        <w:pStyle w:val="TableFigureFooter"/>
        <w:rPr>
          <w:i/>
          <w:iCs/>
        </w:rPr>
      </w:pPr>
      <w:r w:rsidRPr="00F92E56">
        <w:rPr>
          <w:vertAlign w:val="superscript"/>
        </w:rPr>
        <w:t>b</w:t>
      </w:r>
      <w:r w:rsidRPr="00F92E56">
        <w:t xml:space="preserve"> Assuming 33.86% of the nivolumab scripts will be dispensed in a public hospital setting, and 66.24% in a private hospital setting.</w:t>
      </w:r>
    </w:p>
    <w:p w14:paraId="50AB777C" w14:textId="77777777" w:rsidR="001D66D4" w:rsidRPr="00F92E56" w:rsidRDefault="001D66D4" w:rsidP="001D66D4">
      <w:pPr>
        <w:pStyle w:val="4-SubsectionHeading"/>
      </w:pPr>
      <w:bookmarkStart w:id="75" w:name="_Toc22897647"/>
      <w:bookmarkStart w:id="76" w:name="_Toc145496540"/>
      <w:r w:rsidRPr="00F92E56">
        <w:lastRenderedPageBreak/>
        <w:t>Estimated PBS usage &amp; financial implications</w:t>
      </w:r>
      <w:bookmarkEnd w:id="75"/>
      <w:bookmarkEnd w:id="76"/>
    </w:p>
    <w:p w14:paraId="5D13BF3D" w14:textId="5C20397A" w:rsidR="001D66D4" w:rsidRPr="00F92E56" w:rsidRDefault="001D66D4" w:rsidP="00236876">
      <w:pPr>
        <w:pStyle w:val="3-BodyText"/>
      </w:pPr>
      <w:r w:rsidRPr="00F92E56">
        <w:t>This resubmission w</w:t>
      </w:r>
      <w:r w:rsidR="00D56301" w:rsidRPr="00F92E56">
        <w:t>as</w:t>
      </w:r>
      <w:r w:rsidRPr="00F92E56">
        <w:t xml:space="preserve"> not</w:t>
      </w:r>
      <w:r w:rsidR="00D56301" w:rsidRPr="00F92E56">
        <w:t xml:space="preserve"> </w:t>
      </w:r>
      <w:r w:rsidRPr="00F92E56">
        <w:t>considered by DUSC. The resubmission used an epidemiological approach to estimate the expected utilisation and financial impacts associated with the proposed PBS listing of nivolumab. This approach is unchanged from the previous submission and was reasonable.</w:t>
      </w:r>
    </w:p>
    <w:p w14:paraId="599C7647" w14:textId="3DD9E58F" w:rsidR="001D66D4" w:rsidRPr="00F92E56" w:rsidRDefault="001D66D4" w:rsidP="00236876">
      <w:pPr>
        <w:pStyle w:val="3-BodyText"/>
      </w:pPr>
      <w:r w:rsidRPr="00F92E56">
        <w:t>The PBAC</w:t>
      </w:r>
      <w:r w:rsidR="00754DA5" w:rsidRPr="00F92E56">
        <w:t xml:space="preserve"> previously</w:t>
      </w:r>
      <w:r w:rsidRPr="00F92E56">
        <w:t xml:space="preserve"> considered the financial estimates presented in the previous submission were high and potentially underestimated. Concerns were noted relating to the incidence growth rate assumed, the percentage of patients at high-risk of recurrence, and the assumed rate</w:t>
      </w:r>
      <w:r w:rsidR="0025316A" w:rsidRPr="00F92E56">
        <w:t xml:space="preserve"> of nivolumab uptake</w:t>
      </w:r>
      <w:r w:rsidRPr="00F92E56">
        <w:t xml:space="preserve"> (</w:t>
      </w:r>
      <w:r w:rsidR="00724199">
        <w:t>paragraph</w:t>
      </w:r>
      <w:r w:rsidRPr="00F92E56">
        <w:t xml:space="preserve"> 7.1</w:t>
      </w:r>
      <w:r w:rsidR="00B35185" w:rsidRPr="00F92E56">
        <w:t>0</w:t>
      </w:r>
      <w:r w:rsidRPr="00F92E56">
        <w:t xml:space="preserve">, </w:t>
      </w:r>
      <w:r w:rsidR="00B35185" w:rsidRPr="00F92E56">
        <w:t>n</w:t>
      </w:r>
      <w:r w:rsidRPr="00F92E56">
        <w:t>ivolumab PSD</w:t>
      </w:r>
      <w:r w:rsidR="00B35185" w:rsidRPr="00F92E56">
        <w:t>,</w:t>
      </w:r>
      <w:r w:rsidRPr="00F92E56">
        <w:t xml:space="preserve"> July 2022 PBAC </w:t>
      </w:r>
      <w:r w:rsidR="00B64874" w:rsidRPr="00F92E56">
        <w:t>meeting</w:t>
      </w:r>
      <w:r w:rsidRPr="00F92E56">
        <w:t xml:space="preserve">). While the uptake rate of nivolumab was updated in the resubmission, inputs related to the incidence growth rate and proportion of patients at high-risk of recurrence were unchanged. </w:t>
      </w:r>
    </w:p>
    <w:p w14:paraId="627269F1" w14:textId="77777777" w:rsidR="001D66D4" w:rsidRPr="00F92E56" w:rsidRDefault="001D66D4" w:rsidP="00236876">
      <w:pPr>
        <w:pStyle w:val="3-BodyText"/>
      </w:pPr>
      <w:r w:rsidRPr="00F92E56">
        <w:t>Changes included in the resubmission to estimate the financial impact are:</w:t>
      </w:r>
    </w:p>
    <w:p w14:paraId="5A572ED2" w14:textId="4F1B706D" w:rsidR="001D66D4" w:rsidRPr="00F92E56" w:rsidRDefault="001D66D4" w:rsidP="00C76B7E">
      <w:pPr>
        <w:pStyle w:val="ListParagraph"/>
        <w:numPr>
          <w:ilvl w:val="0"/>
          <w:numId w:val="20"/>
        </w:numPr>
        <w:ind w:left="1276"/>
      </w:pPr>
      <w:r w:rsidRPr="00F92E56">
        <w:t xml:space="preserve">restricting treatment to patients who have received prior </w:t>
      </w:r>
      <w:r w:rsidR="00B827C3" w:rsidRPr="00F92E56">
        <w:t>NAC</w:t>
      </w:r>
      <w:r w:rsidRPr="00F92E56">
        <w:t xml:space="preserve">; </w:t>
      </w:r>
    </w:p>
    <w:p w14:paraId="5DAC1A2F" w14:textId="19222C21" w:rsidR="001D66D4" w:rsidRPr="00F92E56" w:rsidRDefault="001D66D4" w:rsidP="00C76B7E">
      <w:pPr>
        <w:pStyle w:val="ListParagraph"/>
        <w:numPr>
          <w:ilvl w:val="0"/>
          <w:numId w:val="20"/>
        </w:numPr>
        <w:ind w:left="1276"/>
      </w:pPr>
      <w:r w:rsidRPr="00F92E56">
        <w:t xml:space="preserve">avelumab cost offsets in metastatic patients; </w:t>
      </w:r>
    </w:p>
    <w:p w14:paraId="2E756C7E" w14:textId="77777777" w:rsidR="001D66D4" w:rsidRPr="00F92E56" w:rsidRDefault="001D66D4" w:rsidP="00C76B7E">
      <w:pPr>
        <w:pStyle w:val="ListParagraph"/>
        <w:numPr>
          <w:ilvl w:val="0"/>
          <w:numId w:val="20"/>
        </w:numPr>
        <w:ind w:left="1276"/>
      </w:pPr>
      <w:r w:rsidRPr="00F92E56">
        <w:t xml:space="preserve">inclusion of prevalent pool of patients in Year 1; </w:t>
      </w:r>
    </w:p>
    <w:p w14:paraId="69CFFB6E" w14:textId="77777777" w:rsidR="001D66D4" w:rsidRPr="00F92E56" w:rsidRDefault="001D66D4" w:rsidP="00C76B7E">
      <w:pPr>
        <w:pStyle w:val="ListParagraph"/>
        <w:numPr>
          <w:ilvl w:val="0"/>
          <w:numId w:val="20"/>
        </w:numPr>
        <w:ind w:left="1276"/>
      </w:pPr>
      <w:r w:rsidRPr="00F92E56">
        <w:t>increase in the uptake of nivolumab to 90%; and</w:t>
      </w:r>
    </w:p>
    <w:p w14:paraId="6AEDAD1C" w14:textId="5F5E677F" w:rsidR="001D66D4" w:rsidRPr="00F92E56" w:rsidRDefault="001D66D4" w:rsidP="00C76B7E">
      <w:pPr>
        <w:pStyle w:val="ListParagraph"/>
        <w:numPr>
          <w:ilvl w:val="0"/>
          <w:numId w:val="20"/>
        </w:numPr>
        <w:ind w:left="1276"/>
      </w:pPr>
      <w:r w:rsidRPr="00F92E56">
        <w:t xml:space="preserve">increase in the uptake of prior </w:t>
      </w:r>
      <w:r w:rsidR="0025316A" w:rsidRPr="00F92E56">
        <w:t>NAC</w:t>
      </w:r>
      <w:r w:rsidRPr="00F92E56">
        <w:t xml:space="preserve"> due to listing of nivolumab. </w:t>
      </w:r>
    </w:p>
    <w:p w14:paraId="3B16F891" w14:textId="28F6AA80" w:rsidR="001D66D4" w:rsidRPr="00F92E56" w:rsidRDefault="001D66D4" w:rsidP="00236876">
      <w:pPr>
        <w:pStyle w:val="3-BodyText"/>
      </w:pPr>
      <w:r w:rsidRPr="00F92E56">
        <w:t xml:space="preserve">A summary of the data sources and parameter values used to estimate the utilisation and financial implications associated with the listing of adjuvant nivolumab is provided in </w:t>
      </w:r>
      <w:r w:rsidR="00C7399A" w:rsidRPr="00F92E56">
        <w:rPr>
          <w:highlight w:val="yellow"/>
        </w:rPr>
        <w:fldChar w:fldCharType="begin" w:fldLock="1"/>
      </w:r>
      <w:r w:rsidR="00C7399A" w:rsidRPr="00F92E56">
        <w:instrText xml:space="preserve"> REF _Ref104805262 \h </w:instrText>
      </w:r>
      <w:r w:rsidR="005E043E" w:rsidRPr="00F92E56">
        <w:rPr>
          <w:highlight w:val="yellow"/>
        </w:rPr>
        <w:instrText xml:space="preserve"> \* MERGEFORMAT </w:instrText>
      </w:r>
      <w:r w:rsidR="00C7399A" w:rsidRPr="00F92E56">
        <w:rPr>
          <w:highlight w:val="yellow"/>
        </w:rPr>
      </w:r>
      <w:r w:rsidR="00C7399A" w:rsidRPr="00F92E56">
        <w:rPr>
          <w:highlight w:val="yellow"/>
        </w:rPr>
        <w:fldChar w:fldCharType="separate"/>
      </w:r>
      <w:r w:rsidR="0096718A" w:rsidRPr="00F92E56">
        <w:t xml:space="preserve">Table </w:t>
      </w:r>
      <w:r w:rsidR="0096718A" w:rsidRPr="00346867">
        <w:t>18</w:t>
      </w:r>
      <w:r w:rsidR="00C7399A" w:rsidRPr="00F92E56">
        <w:rPr>
          <w:highlight w:val="yellow"/>
        </w:rPr>
        <w:fldChar w:fldCharType="end"/>
      </w:r>
      <w:r w:rsidRPr="00F92E56">
        <w:t>.</w:t>
      </w:r>
    </w:p>
    <w:p w14:paraId="7B4AB401" w14:textId="6F0127BF" w:rsidR="001D66D4" w:rsidRPr="00F92E56" w:rsidRDefault="001D66D4" w:rsidP="001D66D4">
      <w:pPr>
        <w:pStyle w:val="Caption"/>
        <w:rPr>
          <w:rStyle w:val="CommentReference"/>
          <w:b/>
          <w:szCs w:val="24"/>
        </w:rPr>
      </w:pPr>
      <w:bookmarkStart w:id="77" w:name="_Ref104805262"/>
      <w:r w:rsidRPr="00F92E56">
        <w:t xml:space="preserve">Table </w:t>
      </w:r>
      <w:r w:rsidR="001D78FA">
        <w:fldChar w:fldCharType="begin" w:fldLock="1"/>
      </w:r>
      <w:r w:rsidR="001D78FA">
        <w:instrText xml:space="preserve"> SEQ Table \* ARABIC </w:instrText>
      </w:r>
      <w:r w:rsidR="001D78FA">
        <w:fldChar w:fldCharType="separate"/>
      </w:r>
      <w:r w:rsidR="0096718A" w:rsidRPr="00346867">
        <w:t>18</w:t>
      </w:r>
      <w:r w:rsidR="001D78FA">
        <w:fldChar w:fldCharType="end"/>
      </w:r>
      <w:bookmarkEnd w:id="77"/>
      <w:r w:rsidRPr="00F92E56">
        <w:t>:</w:t>
      </w:r>
      <w:r w:rsidRPr="00F92E56">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0"/>
        <w:gridCol w:w="4112"/>
        <w:gridCol w:w="2925"/>
      </w:tblGrid>
      <w:tr w:rsidR="001D66D4" w:rsidRPr="00F92E56" w14:paraId="79981703" w14:textId="77777777" w:rsidTr="00553EDF">
        <w:trPr>
          <w:tblHeader/>
        </w:trPr>
        <w:tc>
          <w:tcPr>
            <w:tcW w:w="1098" w:type="pct"/>
            <w:shd w:val="clear" w:color="auto" w:fill="auto"/>
            <w:vAlign w:val="center"/>
          </w:tcPr>
          <w:p w14:paraId="7BE888B0" w14:textId="77777777" w:rsidR="001D66D4" w:rsidRPr="00346867" w:rsidRDefault="001D66D4" w:rsidP="00A3465A">
            <w:pPr>
              <w:pStyle w:val="In-tableHeading"/>
              <w:keepNext w:val="0"/>
              <w:rPr>
                <w:lang w:val="en-AU"/>
              </w:rPr>
            </w:pPr>
            <w:r w:rsidRPr="00346867">
              <w:rPr>
                <w:lang w:val="en-AU"/>
              </w:rPr>
              <w:t>Parameter</w:t>
            </w:r>
          </w:p>
        </w:tc>
        <w:tc>
          <w:tcPr>
            <w:tcW w:w="2280" w:type="pct"/>
            <w:shd w:val="clear" w:color="auto" w:fill="auto"/>
            <w:vAlign w:val="center"/>
          </w:tcPr>
          <w:p w14:paraId="22D0D1BC" w14:textId="77777777" w:rsidR="001D66D4" w:rsidRPr="00346867" w:rsidRDefault="001D66D4" w:rsidP="00A3465A">
            <w:pPr>
              <w:pStyle w:val="In-tableHeading"/>
              <w:keepNext w:val="0"/>
              <w:rPr>
                <w:lang w:val="en-AU"/>
              </w:rPr>
            </w:pPr>
            <w:r w:rsidRPr="00346867">
              <w:rPr>
                <w:lang w:val="en-AU"/>
              </w:rPr>
              <w:t>Value applied and source</w:t>
            </w:r>
          </w:p>
        </w:tc>
        <w:tc>
          <w:tcPr>
            <w:tcW w:w="1622" w:type="pct"/>
            <w:shd w:val="clear" w:color="auto" w:fill="auto"/>
            <w:vAlign w:val="center"/>
          </w:tcPr>
          <w:p w14:paraId="400ACE46" w14:textId="77777777" w:rsidR="001D66D4" w:rsidRPr="00346867" w:rsidRDefault="001D66D4" w:rsidP="00A3465A">
            <w:pPr>
              <w:pStyle w:val="In-tableHeading"/>
              <w:keepNext w:val="0"/>
              <w:rPr>
                <w:lang w:val="en-AU"/>
              </w:rPr>
            </w:pPr>
            <w:r w:rsidRPr="00346867">
              <w:rPr>
                <w:lang w:val="en-AU"/>
              </w:rPr>
              <w:t>Comment</w:t>
            </w:r>
          </w:p>
        </w:tc>
      </w:tr>
      <w:tr w:rsidR="001D66D4" w:rsidRPr="00F92E56" w14:paraId="20949455" w14:textId="77777777" w:rsidTr="00553EDF">
        <w:tc>
          <w:tcPr>
            <w:tcW w:w="1098" w:type="pct"/>
            <w:shd w:val="clear" w:color="auto" w:fill="B8CCE4" w:themeFill="accent1" w:themeFillTint="66"/>
            <w:vAlign w:val="center"/>
          </w:tcPr>
          <w:p w14:paraId="5AB7C826" w14:textId="77777777" w:rsidR="001D66D4" w:rsidRPr="00346867" w:rsidRDefault="001D66D4" w:rsidP="00A3465A">
            <w:pPr>
              <w:pStyle w:val="TableText0"/>
              <w:keepNext w:val="0"/>
            </w:pPr>
            <w:r w:rsidRPr="00346867">
              <w:t>Incident cases of bladder, ureter or renal pelvis cancer (T1-T4)</w:t>
            </w:r>
          </w:p>
        </w:tc>
        <w:tc>
          <w:tcPr>
            <w:tcW w:w="2280" w:type="pct"/>
            <w:shd w:val="clear" w:color="auto" w:fill="B8CCE4" w:themeFill="accent1" w:themeFillTint="66"/>
            <w:vAlign w:val="center"/>
          </w:tcPr>
          <w:p w14:paraId="57862F99" w14:textId="77777777" w:rsidR="001D66D4" w:rsidRPr="00346867" w:rsidRDefault="001D66D4" w:rsidP="00A3465A">
            <w:pPr>
              <w:pStyle w:val="TableText0"/>
              <w:keepNext w:val="0"/>
            </w:pPr>
            <w:r w:rsidRPr="00346867">
              <w:t>Incident cases reported by the AIHW in 2021 (bladder) and 2016 (ureter and renal pelvis cancer) were projected using Australian population growth estimates published by the ABS to 2024−29 estimates.</w:t>
            </w:r>
          </w:p>
        </w:tc>
        <w:tc>
          <w:tcPr>
            <w:tcW w:w="1622" w:type="pct"/>
            <w:shd w:val="clear" w:color="auto" w:fill="B8CCE4" w:themeFill="accent1" w:themeFillTint="66"/>
            <w:vAlign w:val="center"/>
          </w:tcPr>
          <w:p w14:paraId="51DCD999" w14:textId="7E850132" w:rsidR="001D66D4" w:rsidRPr="00346867" w:rsidRDefault="001D66D4" w:rsidP="00A3465A">
            <w:pPr>
              <w:pStyle w:val="TableText0"/>
              <w:keepNext w:val="0"/>
            </w:pPr>
            <w:r w:rsidRPr="00346867">
              <w:t xml:space="preserve">This was not reasonable as the AIHW have published incidence projections for bladder cancer and cancer of other urinary organs to 2031. </w:t>
            </w:r>
            <w:r w:rsidR="0025316A" w:rsidRPr="00346867">
              <w:rPr>
                <w:vertAlign w:val="superscript"/>
              </w:rPr>
              <w:t>a</w:t>
            </w:r>
          </w:p>
        </w:tc>
      </w:tr>
      <w:tr w:rsidR="001D66D4" w:rsidRPr="00F92E56" w14:paraId="1C3F7AF7" w14:textId="77777777" w:rsidTr="00553EDF">
        <w:tc>
          <w:tcPr>
            <w:tcW w:w="1098" w:type="pct"/>
            <w:shd w:val="clear" w:color="auto" w:fill="B8CCE4" w:themeFill="accent1" w:themeFillTint="66"/>
            <w:vAlign w:val="center"/>
          </w:tcPr>
          <w:p w14:paraId="7F0B3ADF" w14:textId="77777777" w:rsidR="001D66D4" w:rsidRPr="00346867" w:rsidRDefault="001D66D4" w:rsidP="00A3465A">
            <w:pPr>
              <w:pStyle w:val="TableText0"/>
              <w:keepNext w:val="0"/>
            </w:pPr>
            <w:r w:rsidRPr="00346867">
              <w:t>Incident cases of bladder, ureter or renal pelvis cancer (Ta and Tis)</w:t>
            </w:r>
          </w:p>
        </w:tc>
        <w:tc>
          <w:tcPr>
            <w:tcW w:w="2280" w:type="pct"/>
            <w:shd w:val="clear" w:color="auto" w:fill="B8CCE4" w:themeFill="accent1" w:themeFillTint="66"/>
            <w:vAlign w:val="center"/>
          </w:tcPr>
          <w:p w14:paraId="6CDE6D7A" w14:textId="361090B4" w:rsidR="001D66D4" w:rsidRPr="00346867" w:rsidRDefault="001D66D4" w:rsidP="00A3465A">
            <w:pPr>
              <w:pStyle w:val="TableText0"/>
              <w:keepNext w:val="0"/>
            </w:pPr>
            <w:r w:rsidRPr="00346867">
              <w:t>Assuming 55.9% of all urothelial cases in Australia (Reynolds et al. 2021)</w:t>
            </w:r>
            <w:r w:rsidR="0025316A" w:rsidRPr="00346867">
              <w:rPr>
                <w:vertAlign w:val="superscript"/>
              </w:rPr>
              <w:t>b</w:t>
            </w:r>
            <w:r w:rsidRPr="00346867">
              <w:t xml:space="preserve"> are Ta and Tis, incident cases were derived from the estimated incident T1-T4 cases.</w:t>
            </w:r>
          </w:p>
        </w:tc>
        <w:tc>
          <w:tcPr>
            <w:tcW w:w="1622" w:type="pct"/>
            <w:shd w:val="clear" w:color="auto" w:fill="B8CCE4" w:themeFill="accent1" w:themeFillTint="66"/>
            <w:vAlign w:val="center"/>
          </w:tcPr>
          <w:p w14:paraId="2C1AD3E3" w14:textId="77777777" w:rsidR="001D66D4" w:rsidRPr="00346867" w:rsidRDefault="001D66D4" w:rsidP="00A3465A">
            <w:pPr>
              <w:pStyle w:val="TableText0"/>
              <w:keepNext w:val="0"/>
            </w:pPr>
            <w:r w:rsidRPr="00346867">
              <w:t>This was unchanged from the previous submission and was reasonable.</w:t>
            </w:r>
          </w:p>
        </w:tc>
      </w:tr>
      <w:tr w:rsidR="001D66D4" w:rsidRPr="00F92E56" w14:paraId="4CDE6C9B" w14:textId="77777777" w:rsidTr="00553EDF">
        <w:tc>
          <w:tcPr>
            <w:tcW w:w="1098" w:type="pct"/>
            <w:shd w:val="clear" w:color="auto" w:fill="B8CCE4" w:themeFill="accent1" w:themeFillTint="66"/>
            <w:vAlign w:val="center"/>
          </w:tcPr>
          <w:p w14:paraId="4A5D24DB" w14:textId="77777777" w:rsidR="001D66D4" w:rsidRPr="00346867" w:rsidRDefault="001D66D4" w:rsidP="00A3465A">
            <w:pPr>
              <w:pStyle w:val="TableText0"/>
              <w:keepNext w:val="0"/>
            </w:pPr>
            <w:r w:rsidRPr="00346867">
              <w:t>Proportion with urothelial carcinoma</w:t>
            </w:r>
          </w:p>
        </w:tc>
        <w:tc>
          <w:tcPr>
            <w:tcW w:w="2280" w:type="pct"/>
            <w:shd w:val="clear" w:color="auto" w:fill="B8CCE4" w:themeFill="accent1" w:themeFillTint="66"/>
            <w:vAlign w:val="center"/>
          </w:tcPr>
          <w:p w14:paraId="725BB834" w14:textId="438C3D08" w:rsidR="001D66D4" w:rsidRPr="00346867" w:rsidRDefault="001D66D4" w:rsidP="00A3465A">
            <w:pPr>
              <w:pStyle w:val="TableText0"/>
              <w:keepNext w:val="0"/>
            </w:pPr>
            <w:r w:rsidRPr="00346867">
              <w:t>89% of bladder cancer and 93.5% of ureter or renal pelvis cancer, based on AIHW estimates (personal communication). 2% of patients were excluded due to possible double counting, based on the estimates from the BLADDA registry.</w:t>
            </w:r>
            <w:r w:rsidRPr="00346867">
              <w:rPr>
                <w:vertAlign w:val="superscript"/>
              </w:rPr>
              <w:t xml:space="preserve"> </w:t>
            </w:r>
            <w:r w:rsidR="0025316A" w:rsidRPr="00346867">
              <w:rPr>
                <w:vertAlign w:val="superscript"/>
              </w:rPr>
              <w:t>c</w:t>
            </w:r>
          </w:p>
        </w:tc>
        <w:tc>
          <w:tcPr>
            <w:tcW w:w="1622" w:type="pct"/>
            <w:shd w:val="clear" w:color="auto" w:fill="B8CCE4" w:themeFill="accent1" w:themeFillTint="66"/>
          </w:tcPr>
          <w:p w14:paraId="43B68A24" w14:textId="77777777" w:rsidR="001D66D4" w:rsidRPr="00346867" w:rsidRDefault="001D66D4" w:rsidP="00A3465A">
            <w:pPr>
              <w:pStyle w:val="TableText0"/>
              <w:keepNext w:val="0"/>
            </w:pPr>
            <w:r w:rsidRPr="00346867">
              <w:t>This was unchanged from the previous submission and was reasonable.</w:t>
            </w:r>
          </w:p>
        </w:tc>
      </w:tr>
      <w:tr w:rsidR="001D66D4" w:rsidRPr="00F92E56" w14:paraId="7FC3391D" w14:textId="77777777" w:rsidTr="00553EDF">
        <w:tc>
          <w:tcPr>
            <w:tcW w:w="1098" w:type="pct"/>
            <w:shd w:val="clear" w:color="auto" w:fill="B8CCE4" w:themeFill="accent1" w:themeFillTint="66"/>
            <w:vAlign w:val="center"/>
          </w:tcPr>
          <w:p w14:paraId="0BF954DF" w14:textId="48F7E33D" w:rsidR="001D66D4" w:rsidRPr="00346867" w:rsidRDefault="001D66D4" w:rsidP="00A3465A">
            <w:pPr>
              <w:pStyle w:val="TableText0"/>
              <w:keepNext w:val="0"/>
            </w:pPr>
            <w:r w:rsidRPr="00346867">
              <w:t>Proportion of T1-T4 who have MI</w:t>
            </w:r>
            <w:r w:rsidR="00033E91" w:rsidRPr="00346867">
              <w:t>U</w:t>
            </w:r>
            <w:r w:rsidRPr="00346867">
              <w:t>C at diagnosis</w:t>
            </w:r>
          </w:p>
        </w:tc>
        <w:tc>
          <w:tcPr>
            <w:tcW w:w="2280" w:type="pct"/>
            <w:shd w:val="clear" w:color="auto" w:fill="B8CCE4" w:themeFill="accent1" w:themeFillTint="66"/>
            <w:vAlign w:val="center"/>
          </w:tcPr>
          <w:p w14:paraId="7739AB53" w14:textId="66F14F7A" w:rsidR="001D66D4" w:rsidRPr="00346867" w:rsidRDefault="001D66D4" w:rsidP="00A3465A">
            <w:pPr>
              <w:pStyle w:val="TableText0"/>
              <w:keepNext w:val="0"/>
            </w:pPr>
            <w:r w:rsidRPr="00346867">
              <w:t>53.5% (Reynolds et al. 2021)</w:t>
            </w:r>
            <w:r w:rsidR="0025316A" w:rsidRPr="00346867">
              <w:rPr>
                <w:vertAlign w:val="superscript"/>
              </w:rPr>
              <w:t xml:space="preserve"> b</w:t>
            </w:r>
          </w:p>
        </w:tc>
        <w:tc>
          <w:tcPr>
            <w:tcW w:w="1622" w:type="pct"/>
            <w:shd w:val="clear" w:color="auto" w:fill="B8CCE4" w:themeFill="accent1" w:themeFillTint="66"/>
          </w:tcPr>
          <w:p w14:paraId="7A6E97D1" w14:textId="77777777" w:rsidR="001D66D4" w:rsidRPr="00346867" w:rsidRDefault="001D66D4" w:rsidP="00A3465A">
            <w:pPr>
              <w:pStyle w:val="TableText0"/>
              <w:keepNext w:val="0"/>
            </w:pPr>
            <w:r w:rsidRPr="00346867">
              <w:t>This was unchanged from the previous submission and was reasonable.</w:t>
            </w:r>
          </w:p>
        </w:tc>
      </w:tr>
      <w:tr w:rsidR="001D66D4" w:rsidRPr="00F92E56" w14:paraId="5890A2B7" w14:textId="77777777" w:rsidTr="00553EDF">
        <w:tc>
          <w:tcPr>
            <w:tcW w:w="1098" w:type="pct"/>
            <w:shd w:val="clear" w:color="auto" w:fill="auto"/>
            <w:vAlign w:val="center"/>
          </w:tcPr>
          <w:p w14:paraId="7F73080A" w14:textId="63B06AC6" w:rsidR="001D66D4" w:rsidRPr="00346867" w:rsidRDefault="001D66D4" w:rsidP="00A3465A">
            <w:pPr>
              <w:pStyle w:val="TableText0"/>
              <w:keepNext w:val="0"/>
            </w:pPr>
            <w:r w:rsidRPr="00346867">
              <w:t>Proportion of NMI</w:t>
            </w:r>
            <w:r w:rsidR="00033E91" w:rsidRPr="00346867">
              <w:t>U</w:t>
            </w:r>
            <w:r w:rsidRPr="00346867">
              <w:t>C who progress to MI</w:t>
            </w:r>
            <w:r w:rsidR="00033E91" w:rsidRPr="00346867">
              <w:t>U</w:t>
            </w:r>
            <w:r w:rsidRPr="00346867">
              <w:t>C</w:t>
            </w:r>
          </w:p>
        </w:tc>
        <w:tc>
          <w:tcPr>
            <w:tcW w:w="2280" w:type="pct"/>
            <w:shd w:val="clear" w:color="auto" w:fill="auto"/>
            <w:vAlign w:val="center"/>
          </w:tcPr>
          <w:p w14:paraId="7B08673B" w14:textId="3DC7BEB9" w:rsidR="001D66D4" w:rsidRPr="00346867" w:rsidRDefault="001D66D4" w:rsidP="00A3465A">
            <w:pPr>
              <w:pStyle w:val="TableText0"/>
              <w:keepNext w:val="0"/>
            </w:pPr>
            <w:r w:rsidRPr="00346867">
              <w:t>12% (BLADDA registry)</w:t>
            </w:r>
            <w:r w:rsidR="0025316A" w:rsidRPr="00346867">
              <w:rPr>
                <w:vertAlign w:val="superscript"/>
              </w:rPr>
              <w:t xml:space="preserve"> c</w:t>
            </w:r>
          </w:p>
        </w:tc>
        <w:tc>
          <w:tcPr>
            <w:tcW w:w="1622" w:type="pct"/>
            <w:vMerge w:val="restart"/>
            <w:shd w:val="clear" w:color="auto" w:fill="auto"/>
            <w:vAlign w:val="center"/>
          </w:tcPr>
          <w:p w14:paraId="0C6D4F87" w14:textId="4822F7CB" w:rsidR="001D66D4" w:rsidRPr="00346867" w:rsidRDefault="001D66D4" w:rsidP="00A3465A">
            <w:pPr>
              <w:pStyle w:val="TableText0"/>
              <w:keepNext w:val="0"/>
            </w:pPr>
            <w:r w:rsidRPr="00346867">
              <w:t>Minor changes were applied to these estimates from those used previously, based on updated data from BLADDA. </w:t>
            </w:r>
            <w:r w:rsidR="0025316A" w:rsidRPr="00346867">
              <w:rPr>
                <w:vertAlign w:val="superscript"/>
              </w:rPr>
              <w:t>c</w:t>
            </w:r>
            <w:r w:rsidRPr="00346867">
              <w:t xml:space="preserve"> These were reasonable.</w:t>
            </w:r>
          </w:p>
        </w:tc>
      </w:tr>
      <w:tr w:rsidR="001D66D4" w:rsidRPr="00F92E56" w14:paraId="7492252E" w14:textId="77777777" w:rsidTr="00553EDF">
        <w:tc>
          <w:tcPr>
            <w:tcW w:w="1098" w:type="pct"/>
            <w:shd w:val="clear" w:color="auto" w:fill="auto"/>
          </w:tcPr>
          <w:p w14:paraId="3FBF3AEB" w14:textId="77777777" w:rsidR="001D66D4" w:rsidRPr="00346867" w:rsidRDefault="001D66D4" w:rsidP="00A3465A">
            <w:pPr>
              <w:pStyle w:val="TableText0"/>
              <w:keepNext w:val="0"/>
            </w:pPr>
            <w:r w:rsidRPr="00F92E56">
              <w:t>Proportion of MIUC with radical resection</w:t>
            </w:r>
          </w:p>
        </w:tc>
        <w:tc>
          <w:tcPr>
            <w:tcW w:w="2280" w:type="pct"/>
            <w:shd w:val="clear" w:color="auto" w:fill="auto"/>
          </w:tcPr>
          <w:p w14:paraId="26442D8D" w14:textId="67ECF373" w:rsidR="001D66D4" w:rsidRPr="00346867" w:rsidRDefault="001D66D4" w:rsidP="00A3465A">
            <w:pPr>
              <w:pStyle w:val="TableText0"/>
              <w:keepNext w:val="0"/>
            </w:pPr>
            <w:r w:rsidRPr="00F92E56">
              <w:t xml:space="preserve">64.1% </w:t>
            </w:r>
            <w:r w:rsidRPr="00346867">
              <w:t>(BLADDA registry)</w:t>
            </w:r>
            <w:r w:rsidRPr="00346867">
              <w:rPr>
                <w:vertAlign w:val="superscript"/>
              </w:rPr>
              <w:t xml:space="preserve"> </w:t>
            </w:r>
            <w:r w:rsidR="0025316A" w:rsidRPr="00346867">
              <w:rPr>
                <w:vertAlign w:val="superscript"/>
              </w:rPr>
              <w:t>c</w:t>
            </w:r>
          </w:p>
        </w:tc>
        <w:tc>
          <w:tcPr>
            <w:tcW w:w="1622" w:type="pct"/>
            <w:vMerge/>
            <w:shd w:val="clear" w:color="auto" w:fill="auto"/>
            <w:vAlign w:val="center"/>
          </w:tcPr>
          <w:p w14:paraId="20944E72" w14:textId="77777777" w:rsidR="001D66D4" w:rsidRPr="00346867" w:rsidRDefault="001D66D4" w:rsidP="00A3465A">
            <w:pPr>
              <w:pStyle w:val="TableText0"/>
              <w:keepNext w:val="0"/>
            </w:pPr>
          </w:p>
        </w:tc>
      </w:tr>
      <w:tr w:rsidR="001D66D4" w:rsidRPr="00F92E56" w14:paraId="4DE0C1C4" w14:textId="77777777" w:rsidTr="00553EDF">
        <w:tc>
          <w:tcPr>
            <w:tcW w:w="1098" w:type="pct"/>
            <w:shd w:val="clear" w:color="auto" w:fill="auto"/>
          </w:tcPr>
          <w:p w14:paraId="25A957A3" w14:textId="77777777" w:rsidR="001D66D4" w:rsidRPr="00346867" w:rsidRDefault="001D66D4" w:rsidP="00A3465A">
            <w:pPr>
              <w:pStyle w:val="TableText0"/>
              <w:keepNext w:val="0"/>
            </w:pPr>
            <w:r w:rsidRPr="00F92E56">
              <w:t>Proportion of patients with WHO PS 0 or 1</w:t>
            </w:r>
          </w:p>
        </w:tc>
        <w:tc>
          <w:tcPr>
            <w:tcW w:w="2280" w:type="pct"/>
            <w:shd w:val="clear" w:color="auto" w:fill="auto"/>
          </w:tcPr>
          <w:p w14:paraId="6C93E0DA" w14:textId="7B6278BA" w:rsidR="001D66D4" w:rsidRPr="00346867" w:rsidRDefault="001D66D4" w:rsidP="00A3465A">
            <w:pPr>
              <w:pStyle w:val="TableText0"/>
              <w:keepNext w:val="0"/>
            </w:pPr>
            <w:r w:rsidRPr="00F92E56">
              <w:t xml:space="preserve">97% </w:t>
            </w:r>
            <w:r w:rsidRPr="00346867">
              <w:t>(BLADDA registry)</w:t>
            </w:r>
            <w:r w:rsidRPr="00346867">
              <w:rPr>
                <w:vertAlign w:val="superscript"/>
              </w:rPr>
              <w:t xml:space="preserve"> </w:t>
            </w:r>
            <w:r w:rsidR="0025316A" w:rsidRPr="00346867">
              <w:rPr>
                <w:vertAlign w:val="superscript"/>
              </w:rPr>
              <w:t>c</w:t>
            </w:r>
          </w:p>
        </w:tc>
        <w:tc>
          <w:tcPr>
            <w:tcW w:w="1622" w:type="pct"/>
            <w:vMerge/>
            <w:shd w:val="clear" w:color="auto" w:fill="auto"/>
            <w:vAlign w:val="center"/>
          </w:tcPr>
          <w:p w14:paraId="002606D5" w14:textId="77777777" w:rsidR="001D66D4" w:rsidRPr="00346867" w:rsidRDefault="001D66D4" w:rsidP="00A3465A">
            <w:pPr>
              <w:pStyle w:val="TableText0"/>
              <w:keepNext w:val="0"/>
            </w:pPr>
          </w:p>
        </w:tc>
      </w:tr>
      <w:tr w:rsidR="001D66D4" w:rsidRPr="00F92E56" w14:paraId="02E1E888" w14:textId="77777777" w:rsidTr="00553EDF">
        <w:tc>
          <w:tcPr>
            <w:tcW w:w="1098" w:type="pct"/>
            <w:shd w:val="clear" w:color="auto" w:fill="auto"/>
          </w:tcPr>
          <w:p w14:paraId="4276525F" w14:textId="77777777" w:rsidR="001D66D4" w:rsidRPr="00F92E56" w:rsidRDefault="001D66D4" w:rsidP="00A3465A">
            <w:pPr>
              <w:pStyle w:val="TableText0"/>
              <w:keepNext w:val="0"/>
            </w:pPr>
            <w:r w:rsidRPr="00F92E56">
              <w:lastRenderedPageBreak/>
              <w:t>Proportion of patients who receive prior NAC</w:t>
            </w:r>
          </w:p>
        </w:tc>
        <w:tc>
          <w:tcPr>
            <w:tcW w:w="2280" w:type="pct"/>
            <w:shd w:val="clear" w:color="auto" w:fill="auto"/>
          </w:tcPr>
          <w:p w14:paraId="5042EA64" w14:textId="77777777" w:rsidR="001D66D4" w:rsidRPr="00F92E56" w:rsidRDefault="001D66D4" w:rsidP="00A3465A">
            <w:pPr>
              <w:pStyle w:val="TableText0"/>
              <w:keepNext w:val="0"/>
            </w:pPr>
            <w:r w:rsidRPr="00F92E56">
              <w:t xml:space="preserve">Without nivolumab listing this was assumed to be 44.2%, based on use in the CM274 trial. </w:t>
            </w:r>
          </w:p>
          <w:p w14:paraId="3226DD0A" w14:textId="0BBE6558" w:rsidR="001D66D4" w:rsidRPr="00F92E56" w:rsidRDefault="001D66D4" w:rsidP="00A3465A">
            <w:pPr>
              <w:pStyle w:val="TableText0"/>
              <w:keepNext w:val="0"/>
            </w:pPr>
            <w:r w:rsidRPr="00F92E56">
              <w:t xml:space="preserve">Following nivolumab listing, this was assumed to increase to 50.8% in </w:t>
            </w:r>
            <w:r w:rsidR="005C097F" w:rsidRPr="00F92E56">
              <w:t>Year 1</w:t>
            </w:r>
            <w:r w:rsidRPr="00F92E56">
              <w:t xml:space="preserve"> to 67.4% by Year 6 based on clinical opinion.</w:t>
            </w:r>
          </w:p>
        </w:tc>
        <w:tc>
          <w:tcPr>
            <w:tcW w:w="1622" w:type="pct"/>
            <w:shd w:val="clear" w:color="auto" w:fill="auto"/>
            <w:vAlign w:val="center"/>
          </w:tcPr>
          <w:p w14:paraId="17FA92E4" w14:textId="77777777" w:rsidR="001D66D4" w:rsidRPr="00346867" w:rsidRDefault="001D66D4" w:rsidP="00A3465A">
            <w:pPr>
              <w:pStyle w:val="TableText0"/>
              <w:keepNext w:val="0"/>
            </w:pPr>
            <w:r w:rsidRPr="00346867">
              <w:t>The responses provided by clinicians were quite variable. The estimates applied were therefore highly uncertain.</w:t>
            </w:r>
          </w:p>
        </w:tc>
      </w:tr>
      <w:tr w:rsidR="001D66D4" w:rsidRPr="00F92E56" w14:paraId="774F56C7" w14:textId="77777777" w:rsidTr="00553EDF">
        <w:tc>
          <w:tcPr>
            <w:tcW w:w="1098" w:type="pct"/>
            <w:shd w:val="clear" w:color="auto" w:fill="B8CCE4" w:themeFill="accent1" w:themeFillTint="66"/>
          </w:tcPr>
          <w:p w14:paraId="2FA2699F" w14:textId="77777777" w:rsidR="001D66D4" w:rsidRPr="00F92E56" w:rsidRDefault="001D66D4" w:rsidP="00A3465A">
            <w:pPr>
              <w:pStyle w:val="TableText0"/>
              <w:keepNext w:val="0"/>
            </w:pPr>
            <w:r w:rsidRPr="00F92E56">
              <w:t>Risk of recurrence after radical surgery</w:t>
            </w:r>
          </w:p>
        </w:tc>
        <w:tc>
          <w:tcPr>
            <w:tcW w:w="2280" w:type="pct"/>
            <w:shd w:val="clear" w:color="auto" w:fill="B8CCE4" w:themeFill="accent1" w:themeFillTint="66"/>
          </w:tcPr>
          <w:p w14:paraId="04BAC5CB" w14:textId="77777777" w:rsidR="001D66D4" w:rsidRPr="00F92E56" w:rsidRDefault="001D66D4" w:rsidP="00A3465A">
            <w:pPr>
              <w:pStyle w:val="TableText0"/>
              <w:keepNext w:val="0"/>
            </w:pPr>
            <w:r w:rsidRPr="00F92E56">
              <w:t>50% based on a Pre-Advisory Board survey</w:t>
            </w:r>
          </w:p>
        </w:tc>
        <w:tc>
          <w:tcPr>
            <w:tcW w:w="1622" w:type="pct"/>
            <w:shd w:val="clear" w:color="auto" w:fill="B8CCE4" w:themeFill="accent1" w:themeFillTint="66"/>
            <w:vAlign w:val="center"/>
          </w:tcPr>
          <w:p w14:paraId="0C42BCBD" w14:textId="2A091F92" w:rsidR="001D66D4" w:rsidRPr="00346867" w:rsidRDefault="001D66D4" w:rsidP="00A3465A">
            <w:pPr>
              <w:pStyle w:val="TableText0"/>
              <w:keepNext w:val="0"/>
            </w:pPr>
            <w:r w:rsidRPr="00346867">
              <w:t xml:space="preserve">This was unchanged in the resubmission and may not be reasonable (para 7.10, </w:t>
            </w:r>
            <w:r w:rsidR="00B64874" w:rsidRPr="00346867">
              <w:t xml:space="preserve">nivolumab </w:t>
            </w:r>
            <w:r w:rsidRPr="00346867">
              <w:t>PSD</w:t>
            </w:r>
            <w:r w:rsidR="00B64874" w:rsidRPr="00346867">
              <w:t>,</w:t>
            </w:r>
            <w:r w:rsidRPr="00346867">
              <w:t xml:space="preserve"> July 2022 PBAC </w:t>
            </w:r>
            <w:r w:rsidR="00B64874" w:rsidRPr="00346867">
              <w:t>meeting</w:t>
            </w:r>
            <w:r w:rsidRPr="00346867">
              <w:t>).</w:t>
            </w:r>
          </w:p>
        </w:tc>
      </w:tr>
      <w:tr w:rsidR="001D66D4" w:rsidRPr="00F92E56" w14:paraId="2AF69B27" w14:textId="77777777" w:rsidTr="00553EDF">
        <w:tc>
          <w:tcPr>
            <w:tcW w:w="1098" w:type="pct"/>
            <w:shd w:val="clear" w:color="auto" w:fill="auto"/>
            <w:vAlign w:val="center"/>
          </w:tcPr>
          <w:p w14:paraId="39C1125F" w14:textId="77777777" w:rsidR="001D66D4" w:rsidRPr="00346867" w:rsidRDefault="001D66D4" w:rsidP="00A3465A">
            <w:pPr>
              <w:pStyle w:val="TableText0"/>
              <w:keepNext w:val="0"/>
            </w:pPr>
            <w:r w:rsidRPr="00346867">
              <w:t>Uptake of nivolumab</w:t>
            </w:r>
          </w:p>
        </w:tc>
        <w:tc>
          <w:tcPr>
            <w:tcW w:w="2280" w:type="pct"/>
            <w:shd w:val="clear" w:color="auto" w:fill="auto"/>
            <w:vAlign w:val="center"/>
          </w:tcPr>
          <w:p w14:paraId="3EEA8693" w14:textId="77777777" w:rsidR="001D66D4" w:rsidRPr="00346867" w:rsidRDefault="001D66D4" w:rsidP="00A3465A">
            <w:pPr>
              <w:pStyle w:val="TableText0"/>
              <w:keepNext w:val="0"/>
            </w:pPr>
            <w:r w:rsidRPr="00346867">
              <w:t>Assumed to be 90% based on the claim that patients would be treated with NAC with the intent to progress to adjuvant nivolumab</w:t>
            </w:r>
          </w:p>
        </w:tc>
        <w:tc>
          <w:tcPr>
            <w:tcW w:w="1622" w:type="pct"/>
            <w:shd w:val="clear" w:color="auto" w:fill="auto"/>
            <w:vAlign w:val="center"/>
          </w:tcPr>
          <w:p w14:paraId="46399ADB" w14:textId="142B1957" w:rsidR="001D66D4" w:rsidRPr="00346867" w:rsidRDefault="001D66D4" w:rsidP="00A3465A">
            <w:pPr>
              <w:pStyle w:val="TableText0"/>
              <w:keepNext w:val="0"/>
            </w:pPr>
            <w:r w:rsidRPr="00346867">
              <w:t xml:space="preserve">This was increased from </w:t>
            </w:r>
            <w:r w:rsidR="006E6C83" w:rsidRPr="00346867">
              <w:t>57</w:t>
            </w:r>
            <w:r w:rsidRPr="00346867">
              <w:t>% assumed previously and is uncertain.</w:t>
            </w:r>
          </w:p>
        </w:tc>
      </w:tr>
      <w:tr w:rsidR="001D66D4" w:rsidRPr="00F92E56" w14:paraId="15E59BE7" w14:textId="77777777" w:rsidTr="00553EDF">
        <w:tc>
          <w:tcPr>
            <w:tcW w:w="1098" w:type="pct"/>
            <w:shd w:val="clear" w:color="auto" w:fill="auto"/>
            <w:vAlign w:val="center"/>
          </w:tcPr>
          <w:p w14:paraId="51AAE79B" w14:textId="77777777" w:rsidR="001D66D4" w:rsidRPr="00346867" w:rsidRDefault="001D66D4" w:rsidP="00A3465A">
            <w:pPr>
              <w:pStyle w:val="TableText0"/>
              <w:keepNext w:val="0"/>
            </w:pPr>
            <w:r w:rsidRPr="00346867">
              <w:t>Prevalent patients</w:t>
            </w:r>
          </w:p>
        </w:tc>
        <w:tc>
          <w:tcPr>
            <w:tcW w:w="2280" w:type="pct"/>
            <w:shd w:val="clear" w:color="auto" w:fill="auto"/>
            <w:vAlign w:val="center"/>
          </w:tcPr>
          <w:p w14:paraId="2484073E" w14:textId="77777777" w:rsidR="001D66D4" w:rsidRPr="00346867" w:rsidRDefault="001D66D4" w:rsidP="00A3465A">
            <w:pPr>
              <w:pStyle w:val="TableText0"/>
              <w:keepNext w:val="0"/>
            </w:pPr>
            <w:r w:rsidRPr="00346867">
              <w:t>56% of incident cases in Year 1, based on the time interval from diagnosis to commencement of adjuvant therapy (approx. 204 days)</w:t>
            </w:r>
          </w:p>
        </w:tc>
        <w:tc>
          <w:tcPr>
            <w:tcW w:w="1622" w:type="pct"/>
            <w:shd w:val="clear" w:color="auto" w:fill="auto"/>
            <w:vAlign w:val="center"/>
          </w:tcPr>
          <w:p w14:paraId="78169882" w14:textId="336493FF" w:rsidR="001D66D4" w:rsidRPr="00346867" w:rsidRDefault="004F62C9" w:rsidP="00A3465A">
            <w:pPr>
              <w:pStyle w:val="TableText0"/>
              <w:keepNext w:val="0"/>
            </w:pPr>
            <w:r w:rsidRPr="00346867">
              <w:t>It is unclear whether patients would delay surgery in anticipation of nivolumab listing.</w:t>
            </w:r>
          </w:p>
        </w:tc>
      </w:tr>
      <w:tr w:rsidR="001D66D4" w:rsidRPr="00F92E56" w14:paraId="42D133D7" w14:textId="77777777" w:rsidTr="00553EDF">
        <w:tc>
          <w:tcPr>
            <w:tcW w:w="1098" w:type="pct"/>
            <w:shd w:val="clear" w:color="auto" w:fill="auto"/>
            <w:vAlign w:val="center"/>
          </w:tcPr>
          <w:p w14:paraId="249ABD51" w14:textId="77777777" w:rsidR="001D66D4" w:rsidRPr="00346867" w:rsidRDefault="001D66D4" w:rsidP="00A3465A">
            <w:pPr>
              <w:pStyle w:val="TableText0"/>
              <w:keepNext w:val="0"/>
            </w:pPr>
            <w:r w:rsidRPr="00346867">
              <w:t>Nivolumab dose</w:t>
            </w:r>
          </w:p>
        </w:tc>
        <w:tc>
          <w:tcPr>
            <w:tcW w:w="2280" w:type="pct"/>
            <w:shd w:val="clear" w:color="auto" w:fill="auto"/>
            <w:vAlign w:val="center"/>
          </w:tcPr>
          <w:p w14:paraId="5F5DA271" w14:textId="77777777" w:rsidR="001D66D4" w:rsidRPr="00346867" w:rsidRDefault="001D66D4" w:rsidP="00A3465A">
            <w:pPr>
              <w:pStyle w:val="TableText0"/>
              <w:keepNext w:val="0"/>
            </w:pPr>
            <w:r w:rsidRPr="00346867">
              <w:t>Cumulative mean total dose was 4,272 mg, based on use in the prior NAC subgroup of CM274. Assuming that patients would receive the recommended dose each cycle, this was equivalent to 17.8 Q2W and 8.9 Q4W doses</w:t>
            </w:r>
          </w:p>
        </w:tc>
        <w:tc>
          <w:tcPr>
            <w:tcW w:w="1622" w:type="pct"/>
            <w:shd w:val="clear" w:color="auto" w:fill="auto"/>
            <w:vAlign w:val="center"/>
          </w:tcPr>
          <w:p w14:paraId="262DB6F9" w14:textId="77777777" w:rsidR="001D66D4" w:rsidRPr="00346867" w:rsidRDefault="001D66D4" w:rsidP="00A3465A">
            <w:pPr>
              <w:pStyle w:val="TableText0"/>
              <w:keepNext w:val="0"/>
            </w:pPr>
            <w:r w:rsidRPr="00346867">
              <w:t>Nivolumab dosing was updated to reflect use in the prior NAC subgroup of CM274. This was reasonable.</w:t>
            </w:r>
          </w:p>
        </w:tc>
      </w:tr>
      <w:tr w:rsidR="001D66D4" w:rsidRPr="00F92E56" w14:paraId="1F413D03" w14:textId="77777777" w:rsidTr="00553EDF">
        <w:tc>
          <w:tcPr>
            <w:tcW w:w="1098" w:type="pct"/>
            <w:shd w:val="clear" w:color="auto" w:fill="B8CCE4" w:themeFill="accent1" w:themeFillTint="66"/>
          </w:tcPr>
          <w:p w14:paraId="6EBEA096" w14:textId="77777777" w:rsidR="001D66D4" w:rsidRPr="00346867" w:rsidRDefault="001D66D4" w:rsidP="00A3465A">
            <w:pPr>
              <w:pStyle w:val="TableText0"/>
              <w:keepNext w:val="0"/>
            </w:pPr>
            <w:r w:rsidRPr="00F92E56">
              <w:t xml:space="preserve">Relative use of nivolumab Q2W vs Q4W </w:t>
            </w:r>
          </w:p>
        </w:tc>
        <w:tc>
          <w:tcPr>
            <w:tcW w:w="2280" w:type="pct"/>
            <w:shd w:val="clear" w:color="auto" w:fill="B8CCE4" w:themeFill="accent1" w:themeFillTint="66"/>
          </w:tcPr>
          <w:p w14:paraId="22238066" w14:textId="32614753" w:rsidR="001D66D4" w:rsidRPr="00346867" w:rsidRDefault="001D66D4" w:rsidP="00A3465A">
            <w:pPr>
              <w:pStyle w:val="TableText0"/>
              <w:keepNext w:val="0"/>
            </w:pPr>
            <w:r w:rsidRPr="00F92E56">
              <w:t>Q2W: 10%, Q4W: 90% based on previous PBAC advice (</w:t>
            </w:r>
            <w:r w:rsidR="00B64874" w:rsidRPr="00F92E56">
              <w:t xml:space="preserve">para 5.4, nivolumab </w:t>
            </w:r>
            <w:r w:rsidRPr="00F92E56">
              <w:t>PSD, March 2019</w:t>
            </w:r>
            <w:r w:rsidR="00B64874" w:rsidRPr="00F92E56">
              <w:t xml:space="preserve"> PBAC meeting</w:t>
            </w:r>
            <w:r w:rsidRPr="00F92E56">
              <w:t>)</w:t>
            </w:r>
          </w:p>
        </w:tc>
        <w:tc>
          <w:tcPr>
            <w:tcW w:w="1622" w:type="pct"/>
            <w:shd w:val="clear" w:color="auto" w:fill="B8CCE4" w:themeFill="accent1" w:themeFillTint="66"/>
            <w:vAlign w:val="center"/>
          </w:tcPr>
          <w:p w14:paraId="47017DBB" w14:textId="77777777" w:rsidR="001D66D4" w:rsidRPr="00346867" w:rsidRDefault="001D66D4" w:rsidP="00A3465A">
            <w:pPr>
              <w:pStyle w:val="TableText0"/>
              <w:keepNext w:val="0"/>
            </w:pPr>
            <w:r w:rsidRPr="00346867">
              <w:t>This was unchanged from the previous submission and was reasonable.</w:t>
            </w:r>
          </w:p>
        </w:tc>
      </w:tr>
      <w:tr w:rsidR="001C5C88" w:rsidRPr="00F92E56" w14:paraId="2259A7F5" w14:textId="77777777" w:rsidTr="00553EDF">
        <w:tc>
          <w:tcPr>
            <w:tcW w:w="1098" w:type="pct"/>
            <w:shd w:val="clear" w:color="auto" w:fill="B8CCE4" w:themeFill="accent1" w:themeFillTint="66"/>
          </w:tcPr>
          <w:p w14:paraId="0B5889E4" w14:textId="2EBFE8FA" w:rsidR="001C5C88" w:rsidRPr="00F92E56" w:rsidRDefault="001C5C88" w:rsidP="00A3465A">
            <w:pPr>
              <w:pStyle w:val="TableText0"/>
              <w:keepNext w:val="0"/>
            </w:pPr>
            <w:r w:rsidRPr="00F92E56">
              <w:t>Proportion of patients who would develop distant recurrence in the absence of nivolumab</w:t>
            </w:r>
          </w:p>
        </w:tc>
        <w:tc>
          <w:tcPr>
            <w:tcW w:w="2280" w:type="pct"/>
            <w:shd w:val="clear" w:color="auto" w:fill="B8CCE4" w:themeFill="accent1" w:themeFillTint="66"/>
          </w:tcPr>
          <w:p w14:paraId="5EAE97C3" w14:textId="0A4C88D7" w:rsidR="001C5C88" w:rsidRPr="00F92E56" w:rsidRDefault="001C5C88" w:rsidP="00A3465A">
            <w:pPr>
              <w:pStyle w:val="TableText0"/>
              <w:keepNext w:val="0"/>
            </w:pPr>
            <w:r w:rsidRPr="00F92E56">
              <w:t>Output from the watchful waiting arm of the economic model on the incidence of distant recurrence</w:t>
            </w:r>
          </w:p>
        </w:tc>
        <w:tc>
          <w:tcPr>
            <w:tcW w:w="1622" w:type="pct"/>
            <w:shd w:val="clear" w:color="auto" w:fill="B8CCE4" w:themeFill="accent1" w:themeFillTint="66"/>
            <w:vAlign w:val="center"/>
          </w:tcPr>
          <w:p w14:paraId="6B010CEC" w14:textId="4E1CDBD3" w:rsidR="001C5C88" w:rsidRPr="00346867" w:rsidRDefault="001C5C88" w:rsidP="00A3465A">
            <w:pPr>
              <w:pStyle w:val="TableText0"/>
              <w:keepNext w:val="0"/>
            </w:pPr>
            <w:r w:rsidRPr="00F92E56">
              <w:rPr>
                <w:szCs w:val="22"/>
              </w:rPr>
              <w:t>While th</w:t>
            </w:r>
            <w:r w:rsidR="004442E5" w:rsidRPr="00F92E56">
              <w:rPr>
                <w:szCs w:val="22"/>
              </w:rPr>
              <w:t>e</w:t>
            </w:r>
            <w:r w:rsidRPr="00F92E56">
              <w:rPr>
                <w:szCs w:val="22"/>
              </w:rPr>
              <w:t xml:space="preserve"> source was reasonable, these data were incorrectly applied</w:t>
            </w:r>
            <w:r w:rsidR="004442E5" w:rsidRPr="00F92E56">
              <w:rPr>
                <w:szCs w:val="22"/>
              </w:rPr>
              <w:t xml:space="preserve"> </w:t>
            </w:r>
            <w:r w:rsidR="0025316A" w:rsidRPr="00F92E56">
              <w:rPr>
                <w:szCs w:val="22"/>
                <w:vertAlign w:val="superscript"/>
              </w:rPr>
              <w:t>d</w:t>
            </w:r>
            <w:r w:rsidRPr="00F92E56">
              <w:rPr>
                <w:szCs w:val="22"/>
              </w:rPr>
              <w:t xml:space="preserve"> and resulted in an underestimate of the number of patients with distant recurrence from Year 2 onwards.</w:t>
            </w:r>
          </w:p>
        </w:tc>
      </w:tr>
      <w:tr w:rsidR="001D66D4" w:rsidRPr="00F92E56" w14:paraId="64044D69" w14:textId="77777777" w:rsidTr="00553EDF">
        <w:tc>
          <w:tcPr>
            <w:tcW w:w="1098" w:type="pct"/>
            <w:shd w:val="clear" w:color="auto" w:fill="auto"/>
            <w:vAlign w:val="center"/>
          </w:tcPr>
          <w:p w14:paraId="24CE59E8" w14:textId="5464691B" w:rsidR="001D66D4" w:rsidRPr="00346867" w:rsidRDefault="004442E5" w:rsidP="00A3465A">
            <w:pPr>
              <w:pStyle w:val="TableText0"/>
              <w:keepNext w:val="0"/>
            </w:pPr>
            <w:r w:rsidRPr="00346867">
              <w:t>Use of a</w:t>
            </w:r>
            <w:r w:rsidR="001D66D4" w:rsidRPr="00346867">
              <w:t xml:space="preserve">velumab </w:t>
            </w:r>
            <w:r w:rsidRPr="00346867">
              <w:t>in distant recurrence</w:t>
            </w:r>
          </w:p>
        </w:tc>
        <w:tc>
          <w:tcPr>
            <w:tcW w:w="2280" w:type="pct"/>
            <w:shd w:val="clear" w:color="auto" w:fill="auto"/>
            <w:vAlign w:val="center"/>
          </w:tcPr>
          <w:p w14:paraId="1B5BED81" w14:textId="20B178C8" w:rsidR="001D66D4" w:rsidRPr="00346867" w:rsidRDefault="001D66D4" w:rsidP="00A3465A">
            <w:pPr>
              <w:pStyle w:val="TableText0"/>
              <w:keepNext w:val="0"/>
            </w:pPr>
            <w:r w:rsidRPr="00346867">
              <w:t>Assumed in 80% of patients who would otherwise have developed distant recurrence.</w:t>
            </w:r>
          </w:p>
        </w:tc>
        <w:tc>
          <w:tcPr>
            <w:tcW w:w="1622" w:type="pct"/>
            <w:shd w:val="clear" w:color="auto" w:fill="auto"/>
            <w:vAlign w:val="center"/>
          </w:tcPr>
          <w:p w14:paraId="30B327A2" w14:textId="1AED27CF" w:rsidR="001D66D4" w:rsidRPr="00346867" w:rsidRDefault="00DD6343" w:rsidP="00A3465A">
            <w:pPr>
              <w:pStyle w:val="TableText0"/>
              <w:keepNext w:val="0"/>
            </w:pPr>
            <w:r w:rsidRPr="00346867">
              <w:t>T</w:t>
            </w:r>
            <w:r w:rsidR="001C5C88" w:rsidRPr="00346867">
              <w:t>his</w:t>
            </w:r>
            <w:r w:rsidR="001D66D4" w:rsidRPr="00346867">
              <w:t xml:space="preserve"> was higher than applied in the economic model (4</w:t>
            </w:r>
            <w:r w:rsidR="00CE651F" w:rsidRPr="00346867">
              <w:t>3</w:t>
            </w:r>
            <w:r w:rsidR="001D66D4" w:rsidRPr="00346867">
              <w:t>% of distant recurrences</w:t>
            </w:r>
            <w:r w:rsidR="00206A5D" w:rsidRPr="00346867">
              <w:t>) and</w:t>
            </w:r>
            <w:r w:rsidR="001C5C88" w:rsidRPr="00346867">
              <w:t xml:space="preserve"> is likely an overestimate</w:t>
            </w:r>
            <w:r w:rsidR="00742712" w:rsidRPr="00346867">
              <w:t>.</w:t>
            </w:r>
          </w:p>
        </w:tc>
      </w:tr>
      <w:tr w:rsidR="001D66D4" w:rsidRPr="00F92E56" w14:paraId="015DAAB1" w14:textId="77777777" w:rsidTr="00553EDF">
        <w:tc>
          <w:tcPr>
            <w:tcW w:w="1098" w:type="pct"/>
            <w:shd w:val="clear" w:color="auto" w:fill="auto"/>
          </w:tcPr>
          <w:p w14:paraId="141AB400" w14:textId="77777777" w:rsidR="001D66D4" w:rsidRPr="00346867" w:rsidRDefault="001D66D4" w:rsidP="00A3465A">
            <w:pPr>
              <w:pStyle w:val="TableText0"/>
              <w:keepNext w:val="0"/>
            </w:pPr>
            <w:r w:rsidRPr="00F92E56">
              <w:t>Administration of antineoplastic agent</w:t>
            </w:r>
          </w:p>
        </w:tc>
        <w:tc>
          <w:tcPr>
            <w:tcW w:w="2280" w:type="pct"/>
            <w:shd w:val="clear" w:color="auto" w:fill="auto"/>
          </w:tcPr>
          <w:p w14:paraId="5F782B55" w14:textId="77777777" w:rsidR="001D66D4" w:rsidRPr="00346867" w:rsidRDefault="001D66D4" w:rsidP="00A3465A">
            <w:pPr>
              <w:pStyle w:val="TableText0"/>
              <w:keepNext w:val="0"/>
            </w:pPr>
            <w:r w:rsidRPr="00F92E56">
              <w:t>$114.20 based on MBS item 13950</w:t>
            </w:r>
          </w:p>
        </w:tc>
        <w:tc>
          <w:tcPr>
            <w:tcW w:w="1622" w:type="pct"/>
            <w:shd w:val="clear" w:color="auto" w:fill="auto"/>
            <w:vAlign w:val="center"/>
          </w:tcPr>
          <w:p w14:paraId="202332B9" w14:textId="77777777" w:rsidR="001D66D4" w:rsidRPr="00346867" w:rsidRDefault="001D66D4" w:rsidP="00A3465A">
            <w:pPr>
              <w:pStyle w:val="TableText0"/>
              <w:keepNext w:val="0"/>
            </w:pPr>
            <w:r w:rsidRPr="00346867">
              <w:t>This was reasonable.</w:t>
            </w:r>
          </w:p>
        </w:tc>
      </w:tr>
    </w:tbl>
    <w:p w14:paraId="016A06B8" w14:textId="77777777" w:rsidR="001D66D4" w:rsidRPr="00F92E56" w:rsidRDefault="001D66D4" w:rsidP="001D66D4">
      <w:pPr>
        <w:pStyle w:val="TableFigureFooter"/>
        <w:snapToGrid/>
        <w:rPr>
          <w:snapToGrid w:val="0"/>
        </w:rPr>
      </w:pPr>
      <w:r w:rsidRPr="00F92E56">
        <w:rPr>
          <w:snapToGrid w:val="0"/>
        </w:rPr>
        <w:t>Source: Table 83, p161-163 of the resubmission</w:t>
      </w:r>
    </w:p>
    <w:p w14:paraId="5B908015" w14:textId="77777777" w:rsidR="001D66D4" w:rsidRPr="00F92E56" w:rsidRDefault="001D66D4" w:rsidP="001D66D4">
      <w:pPr>
        <w:pStyle w:val="TableFigureFooter"/>
        <w:snapToGrid/>
        <w:rPr>
          <w:snapToGrid w:val="0"/>
        </w:rPr>
      </w:pPr>
      <w:r w:rsidRPr="00F92E56">
        <w:rPr>
          <w:snapToGrid w:val="0"/>
        </w:rPr>
        <w:t>ABS = Australian Bureau of Statistics; AIHW = Australian Institute of Health and Welfare; MIUC = muscle invasive urothelial carcinoma; NMIUC = non-muscle invasive urothelial carcinoma; PBAC = Pharmaceutical Benefits Advisory Committee; PBS = Pharmaceutical Benefits Scheme; PSD = public summary document; Q2W = two-weekly dosing; Q4W = four-weekly dosing; RPBS = Repatriation Pharmaceutical Benefits Scheme</w:t>
      </w:r>
    </w:p>
    <w:p w14:paraId="7E6273DD" w14:textId="382149AA" w:rsidR="0025316A" w:rsidRPr="00F92E56" w:rsidRDefault="0025316A" w:rsidP="001D66D4">
      <w:pPr>
        <w:pStyle w:val="TableFigureFooter"/>
        <w:snapToGrid/>
        <w:rPr>
          <w:snapToGrid w:val="0"/>
        </w:rPr>
      </w:pPr>
      <w:r w:rsidRPr="00F92E56">
        <w:rPr>
          <w:snapToGrid w:val="0"/>
          <w:vertAlign w:val="superscript"/>
        </w:rPr>
        <w:t>a</w:t>
      </w:r>
      <w:r w:rsidRPr="00F92E56">
        <w:rPr>
          <w:snapToGrid w:val="0"/>
        </w:rPr>
        <w:t xml:space="preserve"> Australian Institute of Health Welfare. Cancer in Australia 2021. Canberra: AIHW 2021. Report No.: Cancer series no. 133. Cat. no. CAN 144.</w:t>
      </w:r>
    </w:p>
    <w:p w14:paraId="44C92C76" w14:textId="77777777" w:rsidR="0025316A" w:rsidRPr="00F92E56" w:rsidRDefault="0025316A" w:rsidP="0025316A">
      <w:pPr>
        <w:pStyle w:val="TableFigureFooter"/>
        <w:snapToGrid/>
        <w:rPr>
          <w:snapToGrid w:val="0"/>
        </w:rPr>
      </w:pPr>
      <w:r w:rsidRPr="00346867">
        <w:rPr>
          <w:vertAlign w:val="superscript"/>
        </w:rPr>
        <w:t>b</w:t>
      </w:r>
      <w:r w:rsidRPr="00F92E56">
        <w:rPr>
          <w:snapToGrid w:val="0"/>
        </w:rPr>
        <w:t xml:space="preserve"> Reynolds BR, McCombie S, Botha E, Hawks C, Brown M, Hayne D. Ten-year outcomes of the first ‘one-stop haematuria clinic’ in an Australian public hospital. ANZ Journal of Surgery. 2021;91(4):565-70.</w:t>
      </w:r>
    </w:p>
    <w:p w14:paraId="17042033" w14:textId="6088ACBE" w:rsidR="001756D7" w:rsidRPr="00F92E56" w:rsidRDefault="0025316A" w:rsidP="001D66D4">
      <w:pPr>
        <w:pStyle w:val="TableFigureFooter"/>
        <w:snapToGrid/>
        <w:rPr>
          <w:snapToGrid w:val="0"/>
        </w:rPr>
      </w:pPr>
      <w:r w:rsidRPr="00346867">
        <w:rPr>
          <w:vertAlign w:val="superscript"/>
        </w:rPr>
        <w:t>c</w:t>
      </w:r>
      <w:r w:rsidR="001D66D4" w:rsidRPr="00F92E56">
        <w:rPr>
          <w:snapToGrid w:val="0"/>
          <w:vertAlign w:val="superscript"/>
        </w:rPr>
        <w:t xml:space="preserve"> </w:t>
      </w:r>
      <w:r w:rsidR="001D66D4" w:rsidRPr="00F92E56">
        <w:rPr>
          <w:snapToGrid w:val="0"/>
        </w:rPr>
        <w:t xml:space="preserve">Tran, B. (2023). BLADDA - Bladder and Urothelial Cancer Data and Biobank, Data Report. </w:t>
      </w:r>
    </w:p>
    <w:p w14:paraId="2149EE20" w14:textId="651A0ABA" w:rsidR="001C5C88" w:rsidRPr="00F92E56" w:rsidRDefault="0025316A" w:rsidP="001D66D4">
      <w:pPr>
        <w:pStyle w:val="TableFigureFooter"/>
        <w:snapToGrid/>
        <w:rPr>
          <w:snapToGrid w:val="0"/>
        </w:rPr>
      </w:pPr>
      <w:r w:rsidRPr="00F92E56">
        <w:rPr>
          <w:snapToGrid w:val="0"/>
          <w:vertAlign w:val="superscript"/>
        </w:rPr>
        <w:t>d</w:t>
      </w:r>
      <w:r w:rsidR="001C5C88" w:rsidRPr="00F92E56">
        <w:rPr>
          <w:snapToGrid w:val="0"/>
        </w:rPr>
        <w:t xml:space="preserve"> Model output related to the incidence of distant recurrence</w:t>
      </w:r>
      <w:r w:rsidR="0006671C" w:rsidRPr="00F92E56">
        <w:rPr>
          <w:snapToGrid w:val="0"/>
        </w:rPr>
        <w:t xml:space="preserve"> for an average patient over the first six years from model entry, however the resubmission applied these estimates</w:t>
      </w:r>
      <w:r w:rsidR="004442E5" w:rsidRPr="00F92E56">
        <w:rPr>
          <w:snapToGrid w:val="0"/>
        </w:rPr>
        <w:t xml:space="preserve"> to cohorts over time, rather than for each cohort e.g. distant recurrences for patients treated in Year 1 were assumed only within that first year, incidence in the second year was applied to patients treated in Year 2. </w:t>
      </w:r>
    </w:p>
    <w:p w14:paraId="565D2B30" w14:textId="3CBFAD7F" w:rsidR="001F30BF" w:rsidRPr="00F92E56" w:rsidRDefault="001D66D4" w:rsidP="00236876">
      <w:pPr>
        <w:pStyle w:val="3-BodyText"/>
        <w:rPr>
          <w:color w:val="0066FF"/>
        </w:rPr>
      </w:pPr>
      <w:bookmarkStart w:id="78" w:name="_Ref147407435"/>
      <w:r w:rsidRPr="00F92E56">
        <w:t xml:space="preserve">In its July 2022 meeting, the PBAC noted </w:t>
      </w:r>
      <w:r w:rsidR="00675311" w:rsidRPr="00F92E56">
        <w:t xml:space="preserve">concerns regarding the </w:t>
      </w:r>
      <w:r w:rsidRPr="00F92E56">
        <w:t xml:space="preserve">growth rate </w:t>
      </w:r>
      <w:r w:rsidR="00675311" w:rsidRPr="00F92E56">
        <w:t>used to estimate the number of incident cancer cases</w:t>
      </w:r>
      <w:r w:rsidR="008E0CF6" w:rsidRPr="00F92E56">
        <w:t xml:space="preserve"> (para</w:t>
      </w:r>
      <w:r w:rsidR="00724199">
        <w:t>graph</w:t>
      </w:r>
      <w:r w:rsidR="008E0CF6" w:rsidRPr="00F92E56">
        <w:t xml:space="preserve"> 7.10, nivolumab PSD, July</w:t>
      </w:r>
      <w:r w:rsidR="00C76B7E">
        <w:t> </w:t>
      </w:r>
      <w:r w:rsidR="008E0CF6" w:rsidRPr="00F92E56">
        <w:t>2022 PBAC meeting)</w:t>
      </w:r>
      <w:r w:rsidRPr="00F92E56">
        <w:t xml:space="preserve">. </w:t>
      </w:r>
      <w:r w:rsidR="006E6C83" w:rsidRPr="00F92E56">
        <w:t xml:space="preserve">The resubmission has not changed the approach used to estimate incident cases. This was not reasonable given that the AIHW have published </w:t>
      </w:r>
      <w:r w:rsidR="006E6C83" w:rsidRPr="00F92E56">
        <w:lastRenderedPageBreak/>
        <w:t>incidence projections to 2031.</w:t>
      </w:r>
      <w:r w:rsidR="0025316A" w:rsidRPr="00F92E56">
        <w:rPr>
          <w:rStyle w:val="FootnoteReference"/>
          <w:szCs w:val="22"/>
        </w:rPr>
        <w:footnoteReference w:id="22"/>
      </w:r>
      <w:r w:rsidR="006E6C83" w:rsidRPr="00F92E56">
        <w:t xml:space="preserve"> These estimates are higher than those applied in the resubmission and may be a more appropriate basis for the financial estimates.</w:t>
      </w:r>
      <w:r w:rsidR="00A43593" w:rsidRPr="00F92E56">
        <w:t xml:space="preserve"> </w:t>
      </w:r>
      <w:bookmarkStart w:id="79" w:name="_Hlk147398916"/>
    </w:p>
    <w:p w14:paraId="66368146" w14:textId="1F6D4BB1" w:rsidR="001D66D4" w:rsidRPr="00F92E56" w:rsidRDefault="00A43593" w:rsidP="00236876">
      <w:pPr>
        <w:pStyle w:val="3-BodyText"/>
        <w:rPr>
          <w:color w:val="0066FF"/>
        </w:rPr>
      </w:pPr>
      <w:bookmarkStart w:id="80" w:name="_Ref147489147"/>
      <w:r w:rsidRPr="00F92E56">
        <w:t xml:space="preserve">The </w:t>
      </w:r>
      <w:r w:rsidR="006A6D9F" w:rsidRPr="00F92E56">
        <w:t>PSCR</w:t>
      </w:r>
      <w:r w:rsidR="00785872" w:rsidRPr="00785872">
        <w:t xml:space="preserve"> </w:t>
      </w:r>
      <w:r w:rsidRPr="00F92E56">
        <w:t xml:space="preserve">provided </w:t>
      </w:r>
      <w:r w:rsidR="00202CBA" w:rsidRPr="00F92E56">
        <w:t>a revised</w:t>
      </w:r>
      <w:r w:rsidRPr="00F92E56">
        <w:t xml:space="preserve"> </w:t>
      </w:r>
      <w:r w:rsidR="0057497F" w:rsidRPr="00F92E56">
        <w:t>net cost to the PBS/RPBS</w:t>
      </w:r>
      <w:r w:rsidR="00CB3E47" w:rsidRPr="00F92E56">
        <w:t>. The PSCR</w:t>
      </w:r>
      <w:r w:rsidR="00202CBA" w:rsidRPr="00F92E56">
        <w:t xml:space="preserve"> stated</w:t>
      </w:r>
      <w:r w:rsidR="00CB3E47" w:rsidRPr="00F92E56">
        <w:t xml:space="preserve"> </w:t>
      </w:r>
      <w:r w:rsidR="0083592B" w:rsidRPr="00F92E56">
        <w:t>the updated</w:t>
      </w:r>
      <w:r w:rsidR="00CB3E47" w:rsidRPr="00F92E56">
        <w:t xml:space="preserve"> financial estimates</w:t>
      </w:r>
      <w:r w:rsidR="0057497F" w:rsidRPr="00F92E56">
        <w:t xml:space="preserve"> w</w:t>
      </w:r>
      <w:r w:rsidR="00CB3E47" w:rsidRPr="00F92E56">
        <w:t>ere</w:t>
      </w:r>
      <w:r w:rsidR="00AD2E7D" w:rsidRPr="00F92E56">
        <w:t xml:space="preserve"> based on the AIHW incidence projections</w:t>
      </w:r>
      <w:r w:rsidR="00CB3E47" w:rsidRPr="00F92E56">
        <w:t>,</w:t>
      </w:r>
      <w:r w:rsidR="00C8322A" w:rsidRPr="00F92E56">
        <w:t xml:space="preserve"> </w:t>
      </w:r>
      <w:r w:rsidR="001624C0" w:rsidRPr="00F92E56">
        <w:t xml:space="preserve">a </w:t>
      </w:r>
      <w:r w:rsidR="00AD2E7D" w:rsidRPr="00F92E56">
        <w:t>10</w:t>
      </w:r>
      <w:r w:rsidR="00C76B7E">
        <w:t> </w:t>
      </w:r>
      <w:r w:rsidR="00AD2E7D" w:rsidRPr="00F92E56">
        <w:t>month stopping rule for avelumab</w:t>
      </w:r>
      <w:r w:rsidR="006645B8" w:rsidRPr="00F92E56">
        <w:t xml:space="preserve"> and a percentage of patients with distant recurrence to receive avelumab consistent with the economic model (43%)</w:t>
      </w:r>
      <w:r w:rsidR="00C8322A" w:rsidRPr="00F92E56">
        <w:t xml:space="preserve">. </w:t>
      </w:r>
      <w:bookmarkEnd w:id="78"/>
      <w:bookmarkEnd w:id="79"/>
      <w:r w:rsidR="006A6D9F" w:rsidRPr="00F92E56">
        <w:t xml:space="preserve">However, the PSCR </w:t>
      </w:r>
      <w:r w:rsidR="00720320" w:rsidRPr="00F92E56">
        <w:t>applied</w:t>
      </w:r>
      <w:r w:rsidR="006A6D9F" w:rsidRPr="00F92E56">
        <w:t xml:space="preserve"> updated AIHW estimates for bladder cancer </w:t>
      </w:r>
      <w:r w:rsidR="00792E2C" w:rsidRPr="00F92E56">
        <w:t>but</w:t>
      </w:r>
      <w:r w:rsidR="006A6D9F" w:rsidRPr="00F92E56">
        <w:t xml:space="preserve"> not the updated projections published by the AIHW for other urinary organs. Further, the PSCR </w:t>
      </w:r>
      <w:r w:rsidR="003027C8" w:rsidRPr="00F92E56">
        <w:t>revised estimates did</w:t>
      </w:r>
      <w:r w:rsidR="006A6D9F" w:rsidRPr="00F92E56">
        <w:t xml:space="preserve"> not address the error identified in the commentary regarding how distant recurrences have been estimated in Years 2 onwards and therefore the incidence of distant recurrences in Years 2 onwards remains underestimate</w:t>
      </w:r>
      <w:r w:rsidR="00B16F4F" w:rsidRPr="00F92E56">
        <w:t>d</w:t>
      </w:r>
      <w:r w:rsidR="006A6D9F" w:rsidRPr="00F92E56">
        <w:t>.</w:t>
      </w:r>
      <w:bookmarkEnd w:id="80"/>
    </w:p>
    <w:p w14:paraId="540A36E4" w14:textId="4738D3C5" w:rsidR="001D66D4" w:rsidRPr="00F92E56" w:rsidRDefault="001D66D4" w:rsidP="00236876">
      <w:pPr>
        <w:pStyle w:val="3-BodyText"/>
      </w:pPr>
      <w:bookmarkStart w:id="81" w:name="_Ref147407449"/>
      <w:r w:rsidRPr="00F92E56">
        <w:t>As the proposed population is restricted to those who have received prior NAC, the resubmission estimated the usage of prior NAC and the impact of nivolumab listing on uptake of prior NAC from clinical expert feedback. Based on this</w:t>
      </w:r>
      <w:r w:rsidR="00D835A7">
        <w:t>,</w:t>
      </w:r>
      <w:r w:rsidRPr="00F92E56">
        <w:t xml:space="preserve"> it was estimated that uptake of prior NAC would increase from 50.83% in Year 1 to 67.38% in Year 6. The</w:t>
      </w:r>
      <w:r w:rsidRPr="00F92E56">
        <w:rPr>
          <w:szCs w:val="22"/>
        </w:rPr>
        <w:t xml:space="preserve"> clinical experts provided highly varied</w:t>
      </w:r>
      <w:r w:rsidRPr="00F92E56">
        <w:t xml:space="preserve"> responses,</w:t>
      </w:r>
      <w:r w:rsidRPr="00F92E56">
        <w:rPr>
          <w:szCs w:val="22"/>
        </w:rPr>
        <w:t xml:space="preserve"> ranging from estimated</w:t>
      </w:r>
      <w:r w:rsidRPr="00F92E56">
        <w:t xml:space="preserve"> uptake in Year 1 from 20% to 80%; and in Year 5 from 30% to 80%. Therefore, the estimated use of prior NAC is highly uncertain.</w:t>
      </w:r>
      <w:bookmarkEnd w:id="81"/>
      <w:r w:rsidR="00B16F4F" w:rsidRPr="00F92E56">
        <w:t xml:space="preserve"> </w:t>
      </w:r>
    </w:p>
    <w:p w14:paraId="26E8A837" w14:textId="1180A1FF" w:rsidR="001D66D4" w:rsidRPr="00F92E56" w:rsidRDefault="001D66D4" w:rsidP="00236876">
      <w:pPr>
        <w:pStyle w:val="3-BodyText"/>
        <w:rPr>
          <w:color w:val="0066FF"/>
        </w:rPr>
      </w:pPr>
      <w:r w:rsidRPr="00F92E56">
        <w:t>F</w:t>
      </w:r>
      <w:r w:rsidRPr="00F92E56" w:rsidDel="00695A8C">
        <w:t>ollowing radical resection</w:t>
      </w:r>
      <w:r w:rsidRPr="00F92E56">
        <w:t>, the proportion</w:t>
      </w:r>
      <w:r w:rsidRPr="00F92E56" w:rsidDel="00695A8C">
        <w:t xml:space="preserve"> assumed </w:t>
      </w:r>
      <w:r w:rsidRPr="00F92E56">
        <w:t xml:space="preserve">to be at high risk of recurrence </w:t>
      </w:r>
      <w:r w:rsidRPr="00F92E56" w:rsidDel="00695A8C">
        <w:t xml:space="preserve">(50%) </w:t>
      </w:r>
      <w:r w:rsidRPr="00F92E56">
        <w:t xml:space="preserve">was unchanged and so remained </w:t>
      </w:r>
      <w:r w:rsidRPr="00F92E56" w:rsidDel="00695A8C">
        <w:t xml:space="preserve">based on </w:t>
      </w:r>
      <w:r w:rsidRPr="00F92E56">
        <w:t xml:space="preserve">advice provided by the </w:t>
      </w:r>
      <w:r w:rsidRPr="00F92E56" w:rsidDel="00695A8C">
        <w:t xml:space="preserve">sponsor held Genitourinary Advisory Board meeting with medical oncologists and urologists. </w:t>
      </w:r>
      <w:r w:rsidR="009D5DF0" w:rsidRPr="00F92E56">
        <w:t>The E</w:t>
      </w:r>
      <w:r w:rsidRPr="00F92E56" w:rsidDel="00695A8C">
        <w:t xml:space="preserve">SC </w:t>
      </w:r>
      <w:r w:rsidR="009D5DF0" w:rsidRPr="00F92E56">
        <w:t xml:space="preserve">previously </w:t>
      </w:r>
      <w:r w:rsidRPr="00F92E56" w:rsidDel="00695A8C">
        <w:t>considered that this assumption was not reasonable and result</w:t>
      </w:r>
      <w:r w:rsidRPr="00F92E56">
        <w:t>ed</w:t>
      </w:r>
      <w:r w:rsidRPr="00F92E56" w:rsidDel="00695A8C">
        <w:t xml:space="preserve"> in uncertainty </w:t>
      </w:r>
      <w:r w:rsidRPr="00F92E56">
        <w:t>in</w:t>
      </w:r>
      <w:r w:rsidRPr="00F92E56" w:rsidDel="00695A8C">
        <w:t xml:space="preserve"> the number of eligible patients and the cost of nivolumab adjuvant treatment (</w:t>
      </w:r>
      <w:r w:rsidR="00724199">
        <w:t>paragraph</w:t>
      </w:r>
      <w:r w:rsidRPr="00F92E56" w:rsidDel="00695A8C">
        <w:t xml:space="preserve"> 6.69, </w:t>
      </w:r>
      <w:r w:rsidR="005C60EC" w:rsidRPr="00F92E56">
        <w:t>n</w:t>
      </w:r>
      <w:r w:rsidR="005C60EC" w:rsidRPr="00F92E56" w:rsidDel="00695A8C">
        <w:t xml:space="preserve">ivolumab </w:t>
      </w:r>
      <w:r w:rsidRPr="00F92E56" w:rsidDel="00695A8C">
        <w:t>PSD, July 2022</w:t>
      </w:r>
      <w:r w:rsidR="005C60EC" w:rsidRPr="00F92E56">
        <w:t xml:space="preserve"> PBAC meeting</w:t>
      </w:r>
      <w:r w:rsidRPr="00F92E56" w:rsidDel="00695A8C">
        <w:t xml:space="preserve">). </w:t>
      </w:r>
      <w:r w:rsidR="00B64874" w:rsidRPr="00F92E56">
        <w:t>Sensitivity analyses presented observed that a</w:t>
      </w:r>
      <w:r w:rsidRPr="00F92E56">
        <w:t xml:space="preserve"> 10% change in </w:t>
      </w:r>
      <w:r w:rsidR="00B64874" w:rsidRPr="00F92E56">
        <w:t xml:space="preserve">the </w:t>
      </w:r>
      <w:r w:rsidRPr="00F92E56">
        <w:t xml:space="preserve">proportion of patients at high-risk </w:t>
      </w:r>
      <w:r w:rsidR="00B64874" w:rsidRPr="00F92E56">
        <w:t xml:space="preserve">resulted </w:t>
      </w:r>
      <w:r w:rsidRPr="00F92E56">
        <w:t xml:space="preserve">in 20% change </w:t>
      </w:r>
      <w:r w:rsidR="00B64874" w:rsidRPr="00F92E56">
        <w:t>in the</w:t>
      </w:r>
      <w:r w:rsidRPr="00F92E56">
        <w:t xml:space="preserve"> net cost to PBS/RPBS</w:t>
      </w:r>
      <w:r w:rsidR="00BA1C65" w:rsidRPr="00F92E56">
        <w:t xml:space="preserve"> (</w:t>
      </w:r>
      <w:r w:rsidR="00E73A6C" w:rsidRPr="00F92E56">
        <w:fldChar w:fldCharType="begin" w:fldLock="1"/>
      </w:r>
      <w:r w:rsidR="00E73A6C" w:rsidRPr="00F92E56">
        <w:instrText xml:space="preserve"> REF _Ref144984333 \h  \* MERGEFORMAT </w:instrText>
      </w:r>
      <w:r w:rsidR="00E73A6C" w:rsidRPr="00F92E56">
        <w:fldChar w:fldCharType="separate"/>
      </w:r>
      <w:r w:rsidR="0096718A" w:rsidRPr="00F92E56">
        <w:t>Table 20</w:t>
      </w:r>
      <w:r w:rsidR="00E73A6C" w:rsidRPr="00F92E56">
        <w:fldChar w:fldCharType="end"/>
      </w:r>
      <w:r w:rsidR="00BA1C65" w:rsidRPr="00F92E56">
        <w:t>)</w:t>
      </w:r>
      <w:r w:rsidRPr="00F92E56">
        <w:t xml:space="preserve">. </w:t>
      </w:r>
    </w:p>
    <w:p w14:paraId="468A0239" w14:textId="632FB399" w:rsidR="001D66D4" w:rsidRPr="00F92E56" w:rsidRDefault="001D66D4" w:rsidP="00236876">
      <w:pPr>
        <w:pStyle w:val="3-BodyText"/>
      </w:pPr>
      <w:r w:rsidRPr="00F92E56">
        <w:t xml:space="preserve">A prevalent pool of patients was included for the first year of listing in the resubmission based on the time interval from diagnosis to commencement of adjuvant therapy. Time to treatment initiation with adjuvant nivolumab was estimated to be 204 days after diagnosis. This was based on maximum duration of neoadjuvant chemotherapy (84 days) and the proposed restriction criteria for treatment initiation with nivolumab after surgery (120 days). As 204 days </w:t>
      </w:r>
      <w:r w:rsidR="00D835A7">
        <w:t xml:space="preserve">equates to </w:t>
      </w:r>
      <w:r w:rsidRPr="00F92E56">
        <w:t xml:space="preserve">56% of </w:t>
      </w:r>
      <w:r w:rsidR="00D835A7">
        <w:t xml:space="preserve">a </w:t>
      </w:r>
      <w:r w:rsidRPr="00F92E56">
        <w:t xml:space="preserve">calendar year, an additional prevalent pool of patients (56% of incident cases in year 1) was estimated. </w:t>
      </w:r>
      <w:r w:rsidR="00433BF6" w:rsidRPr="00F92E56">
        <w:t>It is unclear whether patients would delay surgery in anticipation of nivolumab listing, reducing the prevalent pool to 33%</w:t>
      </w:r>
      <w:r w:rsidR="009D5DF0" w:rsidRPr="00F92E56">
        <w:t xml:space="preserve"> of incident cases</w:t>
      </w:r>
      <w:r w:rsidR="00433BF6" w:rsidRPr="00F92E56">
        <w:t>, based on a delay up to 120 day</w:t>
      </w:r>
      <w:r w:rsidR="00657035" w:rsidRPr="00F92E56">
        <w:t>s</w:t>
      </w:r>
      <w:r w:rsidR="00433BF6" w:rsidRPr="00F92E56">
        <w:t xml:space="preserve"> after surgery, may be reasonable.</w:t>
      </w:r>
    </w:p>
    <w:p w14:paraId="7D516454" w14:textId="1FDAFBC4" w:rsidR="00A50814" w:rsidRPr="00F92E56" w:rsidRDefault="001D66D4" w:rsidP="00236876">
      <w:pPr>
        <w:pStyle w:val="3-BodyText"/>
      </w:pPr>
      <w:r w:rsidRPr="00F92E56">
        <w:t xml:space="preserve">The resubmission increased the uptake of nivolumab from 57% in the previous submission to 90%. The sponsor justified the high uptake of nivolumab stating that </w:t>
      </w:r>
      <w:r w:rsidRPr="00F92E56">
        <w:lastRenderedPageBreak/>
        <w:t xml:space="preserve">patients are treated with neoadjuvant chemotherapy prior to surgery with the intent to progress to adjuvant nivolumab. The estimated uptake is highly uncertain. Given the increased uptake of NAC and that </w:t>
      </w:r>
      <w:r w:rsidR="00BA1C65" w:rsidRPr="00F92E56">
        <w:t xml:space="preserve">the </w:t>
      </w:r>
      <w:r w:rsidRPr="00F92E56">
        <w:t xml:space="preserve">resubmission </w:t>
      </w:r>
      <w:r w:rsidR="00BA1C65" w:rsidRPr="00F92E56">
        <w:t xml:space="preserve">claimed </w:t>
      </w:r>
      <w:r w:rsidRPr="00F92E56">
        <w:t xml:space="preserve">the intent of </w:t>
      </w:r>
      <w:r w:rsidR="00D835A7">
        <w:t xml:space="preserve">use </w:t>
      </w:r>
      <w:r w:rsidRPr="00F92E56">
        <w:t xml:space="preserve">NAC is </w:t>
      </w:r>
      <w:r w:rsidR="00D835A7">
        <w:t xml:space="preserve">with the </w:t>
      </w:r>
      <w:r w:rsidRPr="00F92E56">
        <w:t>intent to treat with adjuvant nivolumab, it is unclear whether patients expected to uptake nivolumab in practice would reflect those patients in the prior-NAC subgroup of CM274</w:t>
      </w:r>
      <w:r w:rsidR="008E6C86" w:rsidRPr="00F92E56">
        <w:t>, and such use may not be cost-effective</w:t>
      </w:r>
      <w:r w:rsidRPr="00F92E56">
        <w:t>. The proportion of patients in CM274 who used prior NAC was 44.2%.</w:t>
      </w:r>
      <w:r w:rsidR="00D1671E" w:rsidRPr="00F92E56">
        <w:t xml:space="preserve"> The ESC recalled it had previously considered a rate of uptake of 57% was likely to be underestimate, and considered that </w:t>
      </w:r>
      <w:r w:rsidR="00F65056" w:rsidRPr="00F92E56">
        <w:t>80</w:t>
      </w:r>
      <w:r w:rsidR="00D1671E" w:rsidRPr="00F92E56">
        <w:t>% may be a more reasonable estimate of uptake.</w:t>
      </w:r>
      <w:r w:rsidR="00A50814" w:rsidRPr="00F92E56">
        <w:t xml:space="preserve"> The pre-PBAC response</w:t>
      </w:r>
      <w:r w:rsidR="00785872" w:rsidRPr="00785872">
        <w:t xml:space="preserve"> </w:t>
      </w:r>
      <w:r w:rsidR="00A63912" w:rsidRPr="00F92E56">
        <w:t>stated</w:t>
      </w:r>
      <w:r w:rsidR="00A50814" w:rsidRPr="00F92E56">
        <w:t xml:space="preserve"> that </w:t>
      </w:r>
      <w:r w:rsidR="00A63912" w:rsidRPr="00F92E56">
        <w:t xml:space="preserve">an uptake of </w:t>
      </w:r>
      <w:r w:rsidR="00A50814" w:rsidRPr="00F92E56">
        <w:t xml:space="preserve">90% </w:t>
      </w:r>
      <w:r w:rsidR="00A63912" w:rsidRPr="00F92E56">
        <w:t>was</w:t>
      </w:r>
      <w:r w:rsidR="00A50814" w:rsidRPr="00F92E56">
        <w:t xml:space="preserve"> reasonable for patients who have received prior NAC</w:t>
      </w:r>
      <w:r w:rsidR="00A63912" w:rsidRPr="00F92E56">
        <w:t xml:space="preserve"> as adjuvant nivolumab is the only treatment referred to in the </w:t>
      </w:r>
      <w:r w:rsidR="00A50814" w:rsidRPr="00F92E56">
        <w:t xml:space="preserve">NCCN guidelines. As such, the pre-PBAC response considered it unlikely that </w:t>
      </w:r>
      <w:r w:rsidR="00D835A7">
        <w:t xml:space="preserve">in </w:t>
      </w:r>
      <w:r w:rsidR="00A50814" w:rsidRPr="00F92E56">
        <w:t>Australian clinical practice clinicians would withhold therapy for 1 in 5 patients.</w:t>
      </w:r>
    </w:p>
    <w:p w14:paraId="62CE2FF1" w14:textId="11789F77" w:rsidR="001D66D4" w:rsidRPr="00F92E56" w:rsidRDefault="001D66D4" w:rsidP="00236876">
      <w:pPr>
        <w:pStyle w:val="3-BodyText"/>
        <w:rPr>
          <w:color w:val="0066FF"/>
        </w:rPr>
      </w:pPr>
      <w:r w:rsidRPr="00F92E56">
        <w:t xml:space="preserve">The listing of adjuvant nivolumab was expected to impact the use and cost of </w:t>
      </w:r>
      <w:r w:rsidRPr="00F92E56">
        <w:rPr>
          <w:szCs w:val="22"/>
        </w:rPr>
        <w:t xml:space="preserve">avelumab therapy following recurrence and increase the cost of chemotherapy regimens due to the increased use of prior NAC. </w:t>
      </w:r>
      <w:r w:rsidRPr="00346867">
        <w:t xml:space="preserve">The resubmission did not consider that availability of nivolumab may also affect the use of medicines or monitoring requirements for AEs and the use of adjuvant therapy. </w:t>
      </w:r>
      <w:r w:rsidRPr="00F92E56">
        <w:rPr>
          <w:szCs w:val="22"/>
        </w:rPr>
        <w:t xml:space="preserve">Incidence of recurrence in the absence of nivolumab was derived from the placebo arm of the prior NAC subgroup of CM274 (where recurrences were observed over 5+ years). While this was reasonable, </w:t>
      </w:r>
      <w:r w:rsidR="006E6C83" w:rsidRPr="00F92E56">
        <w:rPr>
          <w:szCs w:val="22"/>
        </w:rPr>
        <w:t>these data have been incorrectly applied – for example, the number of patients treated in Year 2 was multiplied by the incidence of distant recurrence in the second year following surgery</w:t>
      </w:r>
      <w:r w:rsidRPr="00F92E56">
        <w:rPr>
          <w:szCs w:val="22"/>
        </w:rPr>
        <w:t>. Therefore, underestimating the impact on changes in use and cost of avelumab treatment</w:t>
      </w:r>
      <w:r w:rsidR="001C5C88" w:rsidRPr="00F92E56">
        <w:rPr>
          <w:szCs w:val="22"/>
        </w:rPr>
        <w:t xml:space="preserve"> from Year 2 onwards</w:t>
      </w:r>
      <w:r w:rsidRPr="00F92E56">
        <w:rPr>
          <w:szCs w:val="22"/>
        </w:rPr>
        <w:t>. Of distant recurrence cases, 80% were assumed to have received treatment with avelumab. This was higher than applied in the economic evaluation (4</w:t>
      </w:r>
      <w:r w:rsidR="00CE651F" w:rsidRPr="00F92E56">
        <w:rPr>
          <w:szCs w:val="22"/>
        </w:rPr>
        <w:t>3</w:t>
      </w:r>
      <w:r w:rsidRPr="00F92E56">
        <w:rPr>
          <w:szCs w:val="22"/>
        </w:rPr>
        <w:t>%) and is likely to be an overestimate.</w:t>
      </w:r>
      <w:r w:rsidR="006645B8" w:rsidRPr="00F92E56">
        <w:rPr>
          <w:szCs w:val="22"/>
        </w:rPr>
        <w:t xml:space="preserve"> </w:t>
      </w:r>
      <w:r w:rsidR="00CB3E47" w:rsidRPr="00F92E56">
        <w:rPr>
          <w:szCs w:val="22"/>
        </w:rPr>
        <w:t>As stated above, the</w:t>
      </w:r>
      <w:r w:rsidR="006645B8" w:rsidRPr="00F92E56">
        <w:rPr>
          <w:szCs w:val="22"/>
        </w:rPr>
        <w:t xml:space="preserve"> PSCR provided updated financial estimates with a percentage of patients with distant recurrence receiving avelumab consistent with the economic model (43%)</w:t>
      </w:r>
      <w:r w:rsidR="001F30BF" w:rsidRPr="00F92E56">
        <w:rPr>
          <w:szCs w:val="22"/>
        </w:rPr>
        <w:t xml:space="preserve">, however </w:t>
      </w:r>
      <w:r w:rsidR="003027C8" w:rsidRPr="00F92E56">
        <w:rPr>
          <w:szCs w:val="22"/>
        </w:rPr>
        <w:t>the errors identified in the commentary</w:t>
      </w:r>
      <w:r w:rsidR="00BB76E3" w:rsidRPr="00F92E56">
        <w:rPr>
          <w:szCs w:val="22"/>
        </w:rPr>
        <w:t xml:space="preserve"> were not addressed</w:t>
      </w:r>
      <w:r w:rsidR="001F30BF" w:rsidRPr="00F92E56">
        <w:rPr>
          <w:szCs w:val="22"/>
        </w:rPr>
        <w:t xml:space="preserve"> (</w:t>
      </w:r>
      <w:r w:rsidR="00BB76E3" w:rsidRPr="00F92E56">
        <w:rPr>
          <w:szCs w:val="22"/>
        </w:rPr>
        <w:t xml:space="preserve">see </w:t>
      </w:r>
      <w:r w:rsidR="001F30BF" w:rsidRPr="00F92E56">
        <w:rPr>
          <w:szCs w:val="22"/>
        </w:rPr>
        <w:t xml:space="preserve">paragraph </w:t>
      </w:r>
      <w:r w:rsidR="001F30BF" w:rsidRPr="00F92E56">
        <w:rPr>
          <w:szCs w:val="22"/>
        </w:rPr>
        <w:fldChar w:fldCharType="begin" w:fldLock="1"/>
      </w:r>
      <w:r w:rsidR="001F30BF" w:rsidRPr="00F92E56">
        <w:rPr>
          <w:szCs w:val="22"/>
        </w:rPr>
        <w:instrText xml:space="preserve"> REF _Ref147489147 \r \h </w:instrText>
      </w:r>
      <w:r w:rsidR="00214AA9" w:rsidRPr="00F92E56">
        <w:rPr>
          <w:szCs w:val="22"/>
        </w:rPr>
        <w:instrText xml:space="preserve"> \* MERGEFORMAT </w:instrText>
      </w:r>
      <w:r w:rsidR="001F30BF" w:rsidRPr="00F92E56">
        <w:rPr>
          <w:szCs w:val="22"/>
        </w:rPr>
      </w:r>
      <w:r w:rsidR="001F30BF" w:rsidRPr="00F92E56">
        <w:rPr>
          <w:szCs w:val="22"/>
        </w:rPr>
        <w:fldChar w:fldCharType="separate"/>
      </w:r>
      <w:r w:rsidR="00D612B3">
        <w:rPr>
          <w:szCs w:val="22"/>
        </w:rPr>
        <w:t>6.87</w:t>
      </w:r>
      <w:r w:rsidR="001F30BF" w:rsidRPr="00F92E56">
        <w:rPr>
          <w:szCs w:val="22"/>
        </w:rPr>
        <w:fldChar w:fldCharType="end"/>
      </w:r>
      <w:r w:rsidR="001F30BF" w:rsidRPr="00F92E56">
        <w:rPr>
          <w:szCs w:val="22"/>
        </w:rPr>
        <w:t>)</w:t>
      </w:r>
      <w:r w:rsidR="006645B8" w:rsidRPr="00F92E56">
        <w:rPr>
          <w:szCs w:val="22"/>
        </w:rPr>
        <w:t xml:space="preserve">. </w:t>
      </w:r>
    </w:p>
    <w:p w14:paraId="1B122A9D" w14:textId="72661753" w:rsidR="001D66D4" w:rsidRPr="00346867" w:rsidRDefault="001D66D4" w:rsidP="00236876">
      <w:pPr>
        <w:pStyle w:val="3-BodyText"/>
      </w:pPr>
      <w:bookmarkStart w:id="82" w:name="_Ref147407461"/>
      <w:r w:rsidRPr="00F92E56">
        <w:rPr>
          <w:szCs w:val="22"/>
        </w:rPr>
        <w:t xml:space="preserve">The increase in use of prior NAC </w:t>
      </w:r>
      <w:r w:rsidRPr="00F92E56">
        <w:t xml:space="preserve">was calculated based on the difference between use in the trial (44.2%), so reflecting the proportion that would have had prior NAC in the absence of a nivolumab listing, and expected use of NAC following nivolumab listing, from expert opinion. These figures range from 6.64% in </w:t>
      </w:r>
      <w:r w:rsidR="002F49F4" w:rsidRPr="00F92E56">
        <w:t xml:space="preserve">Year </w:t>
      </w:r>
      <w:r w:rsidRPr="00F92E56">
        <w:t xml:space="preserve">1 to 23.18% in </w:t>
      </w:r>
      <w:r w:rsidR="002F49F4" w:rsidRPr="00F92E56">
        <w:t xml:space="preserve">Year </w:t>
      </w:r>
      <w:r w:rsidRPr="00F92E56">
        <w:t>6 as the proportion is expected to increase over time. As the uptakes rates from expert clinicians are likely uncertain, so too is the rate of increase and the financial impact.</w:t>
      </w:r>
      <w:bookmarkEnd w:id="82"/>
      <w:r w:rsidRPr="00F92E56">
        <w:t xml:space="preserve"> </w:t>
      </w:r>
      <w:r w:rsidR="006A6334" w:rsidRPr="00F92E56">
        <w:t xml:space="preserve">The ESC noted the use of prior NAC was assumed to increase with the listing of nivolumab. The ESC considered the use of nivolumab would be less cost-effectiveness in a broader population of patients treated with NAC </w:t>
      </w:r>
      <w:r w:rsidR="00F64824" w:rsidRPr="00F92E56">
        <w:t>(</w:t>
      </w:r>
      <w:r w:rsidR="006A6334" w:rsidRPr="00F92E56">
        <w:t>i.e. those previously not treated with NAC but now treated in order to access nivolumab</w:t>
      </w:r>
      <w:r w:rsidR="00F64824" w:rsidRPr="00F92E56">
        <w:t>)</w:t>
      </w:r>
      <w:r w:rsidR="006A6334" w:rsidRPr="00F92E56">
        <w:t>.</w:t>
      </w:r>
    </w:p>
    <w:p w14:paraId="22F97864" w14:textId="0AF14E95" w:rsidR="001D66D4" w:rsidRPr="00F92E56" w:rsidRDefault="001D66D4" w:rsidP="00236876">
      <w:pPr>
        <w:pStyle w:val="3-BodyText"/>
      </w:pPr>
      <w:r w:rsidRPr="00F92E56">
        <w:t xml:space="preserve">The estimated use and financial implications of nivolumab treatment is presented in </w:t>
      </w:r>
      <w:r w:rsidR="00C7399A" w:rsidRPr="00F92E56">
        <w:fldChar w:fldCharType="begin" w:fldLock="1"/>
      </w:r>
      <w:r w:rsidR="00C7399A" w:rsidRPr="00F92E56">
        <w:instrText xml:space="preserve"> REF _Ref104805295 \h </w:instrText>
      </w:r>
      <w:r w:rsidR="005E043E" w:rsidRPr="00F92E56">
        <w:instrText xml:space="preserve"> \* MERGEFORMAT </w:instrText>
      </w:r>
      <w:r w:rsidR="00C7399A" w:rsidRPr="00F92E56">
        <w:fldChar w:fldCharType="separate"/>
      </w:r>
      <w:r w:rsidR="0096718A" w:rsidRPr="00F92E56">
        <w:t xml:space="preserve">Table </w:t>
      </w:r>
      <w:r w:rsidR="0096718A" w:rsidRPr="00346867">
        <w:t>19</w:t>
      </w:r>
      <w:r w:rsidR="00C7399A" w:rsidRPr="00F92E56">
        <w:fldChar w:fldCharType="end"/>
      </w:r>
      <w:r w:rsidRPr="00F92E56">
        <w:t>.</w:t>
      </w:r>
    </w:p>
    <w:p w14:paraId="578C6660" w14:textId="155D7751" w:rsidR="001D66D4" w:rsidRPr="00F92E56" w:rsidRDefault="001D66D4" w:rsidP="001D66D4">
      <w:pPr>
        <w:pStyle w:val="Caption"/>
      </w:pPr>
      <w:bookmarkStart w:id="83" w:name="_Ref104805295"/>
      <w:r w:rsidRPr="00F92E56">
        <w:lastRenderedPageBreak/>
        <w:t xml:space="preserve">Table </w:t>
      </w:r>
      <w:r w:rsidR="001D78FA">
        <w:fldChar w:fldCharType="begin" w:fldLock="1"/>
      </w:r>
      <w:r w:rsidR="001D78FA">
        <w:instrText xml:space="preserve"> SEQ Table \* ARABIC </w:instrText>
      </w:r>
      <w:r w:rsidR="001D78FA">
        <w:fldChar w:fldCharType="separate"/>
      </w:r>
      <w:r w:rsidR="0096718A" w:rsidRPr="00346867">
        <w:t>19</w:t>
      </w:r>
      <w:r w:rsidR="001D78FA">
        <w:fldChar w:fldCharType="end"/>
      </w:r>
      <w:bookmarkEnd w:id="83"/>
      <w:r w:rsidRPr="00F92E56">
        <w:t>:</w:t>
      </w:r>
      <w:r w:rsidRPr="00F92E56">
        <w:rPr>
          <w:rStyle w:val="CommentReference"/>
          <w:b/>
          <w:szCs w:val="24"/>
        </w:rPr>
        <w:t xml:space="preserve">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01"/>
        <w:gridCol w:w="1084"/>
        <w:gridCol w:w="1084"/>
        <w:gridCol w:w="1084"/>
        <w:gridCol w:w="1084"/>
        <w:gridCol w:w="1084"/>
        <w:gridCol w:w="1096"/>
      </w:tblGrid>
      <w:tr w:rsidR="001D66D4" w:rsidRPr="00F92E56" w14:paraId="1688DA5E" w14:textId="77777777" w:rsidTr="00CE651F">
        <w:trPr>
          <w:tblHeader/>
        </w:trPr>
        <w:tc>
          <w:tcPr>
            <w:tcW w:w="1387" w:type="pct"/>
            <w:shd w:val="clear" w:color="auto" w:fill="auto"/>
            <w:vAlign w:val="center"/>
          </w:tcPr>
          <w:p w14:paraId="404046BE" w14:textId="77777777" w:rsidR="001D66D4" w:rsidRPr="00346867" w:rsidRDefault="001D66D4" w:rsidP="00553EDF">
            <w:pPr>
              <w:pStyle w:val="In-tableHeading"/>
              <w:jc w:val="center"/>
              <w:rPr>
                <w:lang w:val="en-AU"/>
              </w:rPr>
            </w:pPr>
          </w:p>
        </w:tc>
        <w:tc>
          <w:tcPr>
            <w:tcW w:w="601" w:type="pct"/>
            <w:shd w:val="clear" w:color="auto" w:fill="auto"/>
            <w:vAlign w:val="center"/>
          </w:tcPr>
          <w:p w14:paraId="7CE6C701" w14:textId="77777777" w:rsidR="001D66D4" w:rsidRPr="00346867" w:rsidRDefault="001D66D4" w:rsidP="00553EDF">
            <w:pPr>
              <w:pStyle w:val="In-tableHeading"/>
              <w:jc w:val="center"/>
              <w:rPr>
                <w:lang w:val="en-AU"/>
              </w:rPr>
            </w:pPr>
            <w:r w:rsidRPr="00346867">
              <w:rPr>
                <w:lang w:val="en-AU"/>
              </w:rPr>
              <w:t>Year 1</w:t>
            </w:r>
          </w:p>
        </w:tc>
        <w:tc>
          <w:tcPr>
            <w:tcW w:w="601" w:type="pct"/>
            <w:shd w:val="clear" w:color="auto" w:fill="auto"/>
            <w:vAlign w:val="center"/>
          </w:tcPr>
          <w:p w14:paraId="3C6D655A" w14:textId="77777777" w:rsidR="001D66D4" w:rsidRPr="00346867" w:rsidRDefault="001D66D4" w:rsidP="00553EDF">
            <w:pPr>
              <w:pStyle w:val="In-tableHeading"/>
              <w:jc w:val="center"/>
              <w:rPr>
                <w:lang w:val="en-AU"/>
              </w:rPr>
            </w:pPr>
            <w:r w:rsidRPr="00346867">
              <w:rPr>
                <w:lang w:val="en-AU"/>
              </w:rPr>
              <w:t>Year 2</w:t>
            </w:r>
          </w:p>
        </w:tc>
        <w:tc>
          <w:tcPr>
            <w:tcW w:w="601" w:type="pct"/>
            <w:shd w:val="clear" w:color="auto" w:fill="auto"/>
            <w:vAlign w:val="center"/>
          </w:tcPr>
          <w:p w14:paraId="4BD60E6D" w14:textId="77777777" w:rsidR="001D66D4" w:rsidRPr="00346867" w:rsidRDefault="001D66D4" w:rsidP="00553EDF">
            <w:pPr>
              <w:pStyle w:val="In-tableHeading"/>
              <w:jc w:val="center"/>
              <w:rPr>
                <w:lang w:val="en-AU"/>
              </w:rPr>
            </w:pPr>
            <w:r w:rsidRPr="00346867">
              <w:rPr>
                <w:lang w:val="en-AU"/>
              </w:rPr>
              <w:t>Year 3</w:t>
            </w:r>
          </w:p>
        </w:tc>
        <w:tc>
          <w:tcPr>
            <w:tcW w:w="601" w:type="pct"/>
            <w:shd w:val="clear" w:color="auto" w:fill="auto"/>
            <w:vAlign w:val="center"/>
          </w:tcPr>
          <w:p w14:paraId="6DF4588A" w14:textId="77777777" w:rsidR="001D66D4" w:rsidRPr="00346867" w:rsidRDefault="001D66D4" w:rsidP="00553EDF">
            <w:pPr>
              <w:pStyle w:val="In-tableHeading"/>
              <w:jc w:val="center"/>
              <w:rPr>
                <w:lang w:val="en-AU"/>
              </w:rPr>
            </w:pPr>
            <w:r w:rsidRPr="00346867">
              <w:rPr>
                <w:lang w:val="en-AU"/>
              </w:rPr>
              <w:t>Year 4</w:t>
            </w:r>
          </w:p>
        </w:tc>
        <w:tc>
          <w:tcPr>
            <w:tcW w:w="601" w:type="pct"/>
            <w:shd w:val="clear" w:color="auto" w:fill="auto"/>
            <w:vAlign w:val="center"/>
          </w:tcPr>
          <w:p w14:paraId="51F5AA61" w14:textId="77777777" w:rsidR="001D66D4" w:rsidRPr="00346867" w:rsidRDefault="001D66D4" w:rsidP="00553EDF">
            <w:pPr>
              <w:pStyle w:val="In-tableHeading"/>
              <w:jc w:val="center"/>
              <w:rPr>
                <w:lang w:val="en-AU"/>
              </w:rPr>
            </w:pPr>
            <w:r w:rsidRPr="00346867">
              <w:rPr>
                <w:lang w:val="en-AU"/>
              </w:rPr>
              <w:t>Year 5</w:t>
            </w:r>
          </w:p>
        </w:tc>
        <w:tc>
          <w:tcPr>
            <w:tcW w:w="608" w:type="pct"/>
          </w:tcPr>
          <w:p w14:paraId="58963C01" w14:textId="77777777" w:rsidR="001D66D4" w:rsidRPr="00346867" w:rsidRDefault="001D66D4" w:rsidP="00553EDF">
            <w:pPr>
              <w:pStyle w:val="In-tableHeading"/>
              <w:jc w:val="center"/>
              <w:rPr>
                <w:lang w:val="en-AU"/>
              </w:rPr>
            </w:pPr>
            <w:r w:rsidRPr="00346867">
              <w:rPr>
                <w:lang w:val="en-AU"/>
              </w:rPr>
              <w:t>Year 6</w:t>
            </w:r>
          </w:p>
        </w:tc>
      </w:tr>
      <w:tr w:rsidR="001D66D4" w:rsidRPr="00F92E56" w14:paraId="4EC77309" w14:textId="77777777" w:rsidTr="00202CBA">
        <w:tc>
          <w:tcPr>
            <w:tcW w:w="5000" w:type="pct"/>
            <w:gridSpan w:val="7"/>
            <w:shd w:val="clear" w:color="auto" w:fill="auto"/>
            <w:vAlign w:val="center"/>
          </w:tcPr>
          <w:p w14:paraId="1B2E001F" w14:textId="77777777" w:rsidR="001D66D4" w:rsidRPr="00346867" w:rsidRDefault="001D66D4" w:rsidP="00553EDF">
            <w:pPr>
              <w:pStyle w:val="In-tableHeading"/>
              <w:rPr>
                <w:bCs/>
                <w:color w:val="000000"/>
                <w:lang w:val="en-AU"/>
              </w:rPr>
            </w:pPr>
            <w:r w:rsidRPr="00346867">
              <w:rPr>
                <w:bCs/>
                <w:color w:val="000000"/>
                <w:lang w:val="en-AU"/>
              </w:rPr>
              <w:t>Estimated extent of use</w:t>
            </w:r>
          </w:p>
        </w:tc>
      </w:tr>
      <w:tr w:rsidR="001D66D4" w:rsidRPr="00F92E56" w14:paraId="56FDF5B1" w14:textId="77777777" w:rsidTr="00CE651F">
        <w:tc>
          <w:tcPr>
            <w:tcW w:w="1387" w:type="pct"/>
            <w:shd w:val="clear" w:color="auto" w:fill="auto"/>
            <w:vAlign w:val="center"/>
          </w:tcPr>
          <w:p w14:paraId="54950EF0" w14:textId="77777777" w:rsidR="001D66D4" w:rsidRPr="00F92E56" w:rsidRDefault="001D66D4" w:rsidP="00553EDF">
            <w:pPr>
              <w:pStyle w:val="TableText0"/>
              <w:rPr>
                <w:rFonts w:ascii="Times" w:hAnsi="Times"/>
              </w:rPr>
            </w:pPr>
            <w:r w:rsidRPr="00F92E56">
              <w:t xml:space="preserve">Number of patients treated </w:t>
            </w:r>
            <w:r w:rsidRPr="00F92E56">
              <w:rPr>
                <w:vertAlign w:val="superscript"/>
              </w:rPr>
              <w:t>a</w:t>
            </w:r>
          </w:p>
        </w:tc>
        <w:tc>
          <w:tcPr>
            <w:tcW w:w="601" w:type="pct"/>
            <w:shd w:val="clear" w:color="auto" w:fill="auto"/>
            <w:vAlign w:val="center"/>
          </w:tcPr>
          <w:p w14:paraId="756AF1E3" w14:textId="7CB21769" w:rsidR="001D66D4" w:rsidRPr="00785872" w:rsidRDefault="00785872" w:rsidP="00553EDF">
            <w:pPr>
              <w:pStyle w:val="TableText0"/>
              <w:jc w:val="center"/>
              <w:rPr>
                <w:color w:val="000000"/>
                <w:highlight w:val="darkGray"/>
              </w:rPr>
            </w:pPr>
            <w:r w:rsidRPr="00785872">
              <w:rPr>
                <w:rFonts w:cs="Arial"/>
                <w:color w:val="000000"/>
                <w:szCs w:val="20"/>
                <w:lang w:eastAsia="zh-CN"/>
              </w:rPr>
              <w:t xml:space="preserve"> </w:t>
            </w:r>
            <w:r w:rsidRPr="00785872">
              <w:rPr>
                <w:rFonts w:cs="Arial" w:hint="eastAsia"/>
                <w:color w:val="000000"/>
                <w:w w:val="20"/>
                <w:szCs w:val="20"/>
                <w:shd w:val="solid" w:color="000000" w:fill="000000"/>
                <w:fitText w:val="90" w:id="-1032081396"/>
                <w:lang w:eastAsia="zh-CN"/>
                <w14:textFill>
                  <w14:solidFill>
                    <w14:srgbClr w14:val="000000">
                      <w14:alpha w14:val="100000"/>
                    </w14:srgbClr>
                  </w14:solidFill>
                </w14:textFill>
              </w:rPr>
              <w:t xml:space="preserve">　</w:t>
            </w:r>
            <w:r w:rsidRPr="00785872">
              <w:rPr>
                <w:rFonts w:cs="Arial"/>
                <w:color w:val="000000"/>
                <w:w w:val="20"/>
                <w:szCs w:val="20"/>
                <w:shd w:val="solid" w:color="000000" w:fill="000000"/>
                <w:fitText w:val="90" w:id="-1032081396"/>
                <w:lang w:eastAsia="zh-CN"/>
                <w14:textFill>
                  <w14:solidFill>
                    <w14:srgbClr w14:val="000000">
                      <w14:alpha w14:val="100000"/>
                    </w14:srgbClr>
                  </w14:solidFill>
                </w14:textFill>
              </w:rPr>
              <w:t>|</w:t>
            </w:r>
            <w:r w:rsidRPr="00785872">
              <w:rPr>
                <w:rFonts w:cs="Arial" w:hint="eastAsia"/>
                <w:color w:val="000000"/>
                <w:spacing w:val="3"/>
                <w:w w:val="20"/>
                <w:szCs w:val="20"/>
                <w:shd w:val="solid" w:color="000000" w:fill="000000"/>
                <w:fitText w:val="90" w:id="-1032081396"/>
                <w:lang w:eastAsia="zh-CN"/>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1</w:t>
            </w:r>
          </w:p>
        </w:tc>
        <w:tc>
          <w:tcPr>
            <w:tcW w:w="601" w:type="pct"/>
            <w:shd w:val="clear" w:color="auto" w:fill="auto"/>
            <w:vAlign w:val="center"/>
          </w:tcPr>
          <w:p w14:paraId="22CE9677" w14:textId="32826303" w:rsidR="001D66D4" w:rsidRPr="00785872" w:rsidRDefault="00785872" w:rsidP="00553EDF">
            <w:pPr>
              <w:pStyle w:val="TableText0"/>
              <w:jc w:val="center"/>
              <w:rPr>
                <w:color w:val="000000"/>
                <w:highlight w:val="darkGray"/>
              </w:rPr>
            </w:pPr>
            <w:r w:rsidRPr="00785872">
              <w:rPr>
                <w:rFonts w:cs="Arial"/>
                <w:color w:val="000000"/>
                <w:szCs w:val="20"/>
                <w:lang w:eastAsia="zh-CN"/>
              </w:rPr>
              <w:t xml:space="preserve"> </w:t>
            </w:r>
            <w:r w:rsidRPr="00785872">
              <w:rPr>
                <w:rFonts w:cs="Arial" w:hint="eastAsia"/>
                <w:color w:val="000000"/>
                <w:w w:val="20"/>
                <w:szCs w:val="20"/>
                <w:shd w:val="solid" w:color="000000" w:fill="000000"/>
                <w:fitText w:val="90" w:id="-1032081395"/>
                <w:lang w:eastAsia="zh-CN"/>
                <w14:textFill>
                  <w14:solidFill>
                    <w14:srgbClr w14:val="000000">
                      <w14:alpha w14:val="100000"/>
                    </w14:srgbClr>
                  </w14:solidFill>
                </w14:textFill>
              </w:rPr>
              <w:t xml:space="preserve">　</w:t>
            </w:r>
            <w:r w:rsidRPr="00785872">
              <w:rPr>
                <w:rFonts w:cs="Arial"/>
                <w:color w:val="000000"/>
                <w:w w:val="20"/>
                <w:szCs w:val="20"/>
                <w:shd w:val="solid" w:color="000000" w:fill="000000"/>
                <w:fitText w:val="90" w:id="-1032081395"/>
                <w:lang w:eastAsia="zh-CN"/>
                <w14:textFill>
                  <w14:solidFill>
                    <w14:srgbClr w14:val="000000">
                      <w14:alpha w14:val="100000"/>
                    </w14:srgbClr>
                  </w14:solidFill>
                </w14:textFill>
              </w:rPr>
              <w:t>|</w:t>
            </w:r>
            <w:r w:rsidRPr="00785872">
              <w:rPr>
                <w:rFonts w:cs="Arial" w:hint="eastAsia"/>
                <w:color w:val="000000"/>
                <w:spacing w:val="3"/>
                <w:w w:val="20"/>
                <w:szCs w:val="20"/>
                <w:shd w:val="solid" w:color="000000" w:fill="000000"/>
                <w:fitText w:val="90" w:id="-1032081395"/>
                <w:lang w:eastAsia="zh-CN"/>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3</w:t>
            </w:r>
          </w:p>
        </w:tc>
        <w:tc>
          <w:tcPr>
            <w:tcW w:w="601" w:type="pct"/>
            <w:shd w:val="clear" w:color="auto" w:fill="auto"/>
            <w:vAlign w:val="center"/>
          </w:tcPr>
          <w:p w14:paraId="6A6F1697" w14:textId="62E9F329" w:rsidR="001D66D4" w:rsidRPr="00785872" w:rsidRDefault="00785872" w:rsidP="00553EDF">
            <w:pPr>
              <w:pStyle w:val="TableText0"/>
              <w:jc w:val="center"/>
              <w:rPr>
                <w:color w:val="000000"/>
                <w:highlight w:val="darkGray"/>
              </w:rPr>
            </w:pPr>
            <w:r w:rsidRPr="00785872">
              <w:rPr>
                <w:rFonts w:cs="Arial"/>
                <w:color w:val="000000"/>
                <w:szCs w:val="20"/>
                <w:lang w:eastAsia="zh-CN"/>
              </w:rPr>
              <w:t xml:space="preserve"> </w:t>
            </w:r>
            <w:r w:rsidRPr="00785872">
              <w:rPr>
                <w:rFonts w:cs="Arial" w:hint="eastAsia"/>
                <w:color w:val="000000"/>
                <w:w w:val="20"/>
                <w:szCs w:val="20"/>
                <w:shd w:val="solid" w:color="000000" w:fill="000000"/>
                <w:fitText w:val="90" w:id="-1032081394"/>
                <w:lang w:eastAsia="zh-CN"/>
                <w14:textFill>
                  <w14:solidFill>
                    <w14:srgbClr w14:val="000000">
                      <w14:alpha w14:val="100000"/>
                    </w14:srgbClr>
                  </w14:solidFill>
                </w14:textFill>
              </w:rPr>
              <w:t xml:space="preserve">　</w:t>
            </w:r>
            <w:r w:rsidRPr="00785872">
              <w:rPr>
                <w:rFonts w:cs="Arial"/>
                <w:color w:val="000000"/>
                <w:w w:val="20"/>
                <w:szCs w:val="20"/>
                <w:shd w:val="solid" w:color="000000" w:fill="000000"/>
                <w:fitText w:val="90" w:id="-1032081394"/>
                <w:lang w:eastAsia="zh-CN"/>
                <w14:textFill>
                  <w14:solidFill>
                    <w14:srgbClr w14:val="000000">
                      <w14:alpha w14:val="100000"/>
                    </w14:srgbClr>
                  </w14:solidFill>
                </w14:textFill>
              </w:rPr>
              <w:t>|</w:t>
            </w:r>
            <w:r w:rsidRPr="00785872">
              <w:rPr>
                <w:rFonts w:cs="Arial" w:hint="eastAsia"/>
                <w:color w:val="000000"/>
                <w:spacing w:val="3"/>
                <w:w w:val="20"/>
                <w:szCs w:val="20"/>
                <w:shd w:val="solid" w:color="000000" w:fill="000000"/>
                <w:fitText w:val="90" w:id="-1032081394"/>
                <w:lang w:eastAsia="zh-CN"/>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3</w:t>
            </w:r>
          </w:p>
        </w:tc>
        <w:tc>
          <w:tcPr>
            <w:tcW w:w="601" w:type="pct"/>
            <w:shd w:val="clear" w:color="auto" w:fill="auto"/>
            <w:vAlign w:val="center"/>
          </w:tcPr>
          <w:p w14:paraId="42C28402" w14:textId="53B1FDC0" w:rsidR="001D66D4" w:rsidRPr="00785872" w:rsidRDefault="00785872" w:rsidP="00553EDF">
            <w:pPr>
              <w:pStyle w:val="TableText0"/>
              <w:jc w:val="center"/>
              <w:rPr>
                <w:color w:val="000000"/>
                <w:highlight w:val="darkGray"/>
              </w:rPr>
            </w:pPr>
            <w:r w:rsidRPr="00785872">
              <w:rPr>
                <w:rFonts w:cs="Arial"/>
                <w:color w:val="000000"/>
                <w:szCs w:val="20"/>
                <w:lang w:eastAsia="zh-CN"/>
              </w:rPr>
              <w:t xml:space="preserve"> </w:t>
            </w:r>
            <w:r w:rsidRPr="00785872">
              <w:rPr>
                <w:rFonts w:cs="Arial" w:hint="eastAsia"/>
                <w:color w:val="000000"/>
                <w:w w:val="20"/>
                <w:szCs w:val="20"/>
                <w:shd w:val="solid" w:color="000000" w:fill="000000"/>
                <w:fitText w:val="90" w:id="-1032081393"/>
                <w:lang w:eastAsia="zh-CN"/>
                <w14:textFill>
                  <w14:solidFill>
                    <w14:srgbClr w14:val="000000">
                      <w14:alpha w14:val="100000"/>
                    </w14:srgbClr>
                  </w14:solidFill>
                </w14:textFill>
              </w:rPr>
              <w:t xml:space="preserve">　</w:t>
            </w:r>
            <w:r w:rsidRPr="00785872">
              <w:rPr>
                <w:rFonts w:cs="Arial"/>
                <w:color w:val="000000"/>
                <w:w w:val="20"/>
                <w:szCs w:val="20"/>
                <w:shd w:val="solid" w:color="000000" w:fill="000000"/>
                <w:fitText w:val="90" w:id="-1032081393"/>
                <w:lang w:eastAsia="zh-CN"/>
                <w14:textFill>
                  <w14:solidFill>
                    <w14:srgbClr w14:val="000000">
                      <w14:alpha w14:val="100000"/>
                    </w14:srgbClr>
                  </w14:solidFill>
                </w14:textFill>
              </w:rPr>
              <w:t>|</w:t>
            </w:r>
            <w:r w:rsidRPr="00785872">
              <w:rPr>
                <w:rFonts w:cs="Arial" w:hint="eastAsia"/>
                <w:color w:val="000000"/>
                <w:spacing w:val="3"/>
                <w:w w:val="20"/>
                <w:szCs w:val="20"/>
                <w:shd w:val="solid" w:color="000000" w:fill="000000"/>
                <w:fitText w:val="90" w:id="-1032081393"/>
                <w:lang w:eastAsia="zh-CN"/>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3</w:t>
            </w:r>
          </w:p>
        </w:tc>
        <w:tc>
          <w:tcPr>
            <w:tcW w:w="601" w:type="pct"/>
            <w:shd w:val="clear" w:color="auto" w:fill="auto"/>
            <w:vAlign w:val="center"/>
          </w:tcPr>
          <w:p w14:paraId="3B4F22CF" w14:textId="1B80DA60" w:rsidR="001D66D4" w:rsidRPr="00785872" w:rsidRDefault="00785872" w:rsidP="00553EDF">
            <w:pPr>
              <w:pStyle w:val="TableText0"/>
              <w:jc w:val="center"/>
              <w:rPr>
                <w:color w:val="000000"/>
                <w:highlight w:val="darkGray"/>
              </w:rPr>
            </w:pPr>
            <w:r w:rsidRPr="00785872">
              <w:rPr>
                <w:rFonts w:cs="Arial"/>
                <w:color w:val="000000"/>
                <w:szCs w:val="20"/>
                <w:lang w:eastAsia="zh-CN"/>
              </w:rPr>
              <w:t xml:space="preserve"> </w:t>
            </w:r>
            <w:r w:rsidRPr="00785872">
              <w:rPr>
                <w:rFonts w:cs="Arial" w:hint="eastAsia"/>
                <w:color w:val="000000"/>
                <w:w w:val="20"/>
                <w:szCs w:val="20"/>
                <w:shd w:val="solid" w:color="000000" w:fill="000000"/>
                <w:fitText w:val="90" w:id="-1032081392"/>
                <w:lang w:eastAsia="zh-CN"/>
                <w14:textFill>
                  <w14:solidFill>
                    <w14:srgbClr w14:val="000000">
                      <w14:alpha w14:val="100000"/>
                    </w14:srgbClr>
                  </w14:solidFill>
                </w14:textFill>
              </w:rPr>
              <w:t xml:space="preserve">　</w:t>
            </w:r>
            <w:r w:rsidRPr="00785872">
              <w:rPr>
                <w:rFonts w:cs="Arial"/>
                <w:color w:val="000000"/>
                <w:w w:val="20"/>
                <w:szCs w:val="20"/>
                <w:shd w:val="solid" w:color="000000" w:fill="000000"/>
                <w:fitText w:val="90" w:id="-1032081392"/>
                <w:lang w:eastAsia="zh-CN"/>
                <w14:textFill>
                  <w14:solidFill>
                    <w14:srgbClr w14:val="000000">
                      <w14:alpha w14:val="100000"/>
                    </w14:srgbClr>
                  </w14:solidFill>
                </w14:textFill>
              </w:rPr>
              <w:t>|</w:t>
            </w:r>
            <w:r w:rsidRPr="00785872">
              <w:rPr>
                <w:rFonts w:cs="Arial" w:hint="eastAsia"/>
                <w:color w:val="000000"/>
                <w:spacing w:val="3"/>
                <w:w w:val="20"/>
                <w:szCs w:val="20"/>
                <w:shd w:val="solid" w:color="000000" w:fill="000000"/>
                <w:fitText w:val="90" w:id="-1032081392"/>
                <w:lang w:eastAsia="zh-CN"/>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3</w:t>
            </w:r>
          </w:p>
        </w:tc>
        <w:tc>
          <w:tcPr>
            <w:tcW w:w="608" w:type="pct"/>
            <w:vAlign w:val="center"/>
          </w:tcPr>
          <w:p w14:paraId="65F7301F" w14:textId="392C6DDE" w:rsidR="001D66D4" w:rsidRPr="00785872" w:rsidRDefault="00785872" w:rsidP="00553EDF">
            <w:pPr>
              <w:pStyle w:val="TableText0"/>
              <w:jc w:val="center"/>
              <w:rPr>
                <w:color w:val="000000"/>
                <w:highlight w:val="darkGray"/>
              </w:rPr>
            </w:pPr>
            <w:r w:rsidRPr="00785872">
              <w:rPr>
                <w:rFonts w:cs="Arial"/>
                <w:color w:val="000000"/>
                <w:szCs w:val="20"/>
                <w:lang w:eastAsia="zh-CN"/>
              </w:rPr>
              <w:t xml:space="preserve"> </w:t>
            </w:r>
            <w:r w:rsidRPr="00785872">
              <w:rPr>
                <w:rFonts w:cs="Arial" w:hint="eastAsia"/>
                <w:color w:val="000000"/>
                <w:w w:val="18"/>
                <w:szCs w:val="20"/>
                <w:shd w:val="solid" w:color="000000" w:fill="000000"/>
                <w:fitText w:val="80" w:id="-1032081408"/>
                <w:lang w:eastAsia="zh-CN"/>
                <w14:textFill>
                  <w14:solidFill>
                    <w14:srgbClr w14:val="000000">
                      <w14:alpha w14:val="100000"/>
                    </w14:srgbClr>
                  </w14:solidFill>
                </w14:textFill>
              </w:rPr>
              <w:t xml:space="preserve">　</w:t>
            </w:r>
            <w:r w:rsidRPr="00785872">
              <w:rPr>
                <w:rFonts w:cs="Arial"/>
                <w:color w:val="000000"/>
                <w:w w:val="18"/>
                <w:szCs w:val="20"/>
                <w:shd w:val="solid" w:color="000000" w:fill="000000"/>
                <w:fitText w:val="80" w:id="-1032081408"/>
                <w:lang w:eastAsia="zh-CN"/>
                <w14:textFill>
                  <w14:solidFill>
                    <w14:srgbClr w14:val="000000">
                      <w14:alpha w14:val="100000"/>
                    </w14:srgbClr>
                  </w14:solidFill>
                </w14:textFill>
              </w:rPr>
              <w:t>|</w:t>
            </w:r>
            <w:r w:rsidRPr="00785872">
              <w:rPr>
                <w:rFonts w:cs="Arial" w:hint="eastAsia"/>
                <w:color w:val="000000"/>
                <w:w w:val="18"/>
                <w:szCs w:val="20"/>
                <w:shd w:val="solid" w:color="000000" w:fill="000000"/>
                <w:fitText w:val="80" w:id="-1032081408"/>
                <w:lang w:eastAsia="zh-CN"/>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3</w:t>
            </w:r>
          </w:p>
        </w:tc>
      </w:tr>
      <w:tr w:rsidR="001D66D4" w:rsidRPr="00F92E56" w14:paraId="6801E5C4" w14:textId="77777777" w:rsidTr="00CE651F">
        <w:tc>
          <w:tcPr>
            <w:tcW w:w="1387" w:type="pct"/>
            <w:shd w:val="clear" w:color="auto" w:fill="auto"/>
            <w:vAlign w:val="center"/>
          </w:tcPr>
          <w:p w14:paraId="67C77EBC" w14:textId="77777777" w:rsidR="001D66D4" w:rsidRPr="00F92E56" w:rsidRDefault="001D66D4" w:rsidP="00553EDF">
            <w:pPr>
              <w:pStyle w:val="TableText0"/>
              <w:rPr>
                <w:rFonts w:ascii="Times" w:hAnsi="Times"/>
              </w:rPr>
            </w:pPr>
            <w:r w:rsidRPr="00F92E56">
              <w:t xml:space="preserve">Number of scripts dispensed </w:t>
            </w:r>
            <w:r w:rsidRPr="00F92E56">
              <w:rPr>
                <w:vertAlign w:val="superscript"/>
              </w:rPr>
              <w:t>a</w:t>
            </w:r>
          </w:p>
        </w:tc>
        <w:tc>
          <w:tcPr>
            <w:tcW w:w="601" w:type="pct"/>
            <w:shd w:val="clear" w:color="auto" w:fill="auto"/>
            <w:vAlign w:val="center"/>
          </w:tcPr>
          <w:p w14:paraId="6B55E0AA" w14:textId="3E6AB377" w:rsidR="001D66D4" w:rsidRPr="00785872" w:rsidRDefault="00785872" w:rsidP="00553EDF">
            <w:pPr>
              <w:pStyle w:val="TableText0"/>
              <w:jc w:val="center"/>
              <w:rPr>
                <w:color w:val="000000"/>
                <w:highlight w:val="darkGray"/>
              </w:rPr>
            </w:pPr>
            <w:r w:rsidRPr="00785872">
              <w:rPr>
                <w:color w:val="000000"/>
                <w:szCs w:val="20"/>
                <w:lang w:eastAsia="zh-CN"/>
              </w:rPr>
              <w:t xml:space="preserve"> </w:t>
            </w:r>
            <w:r w:rsidRPr="00785872">
              <w:rPr>
                <w:rFonts w:hint="eastAsia"/>
                <w:color w:val="000000"/>
                <w:w w:val="20"/>
                <w:szCs w:val="20"/>
                <w:shd w:val="solid" w:color="000000" w:fill="000000"/>
                <w:fitText w:val="90" w:id="-1032081407"/>
                <w:lang w:eastAsia="zh-CN"/>
                <w14:textFill>
                  <w14:solidFill>
                    <w14:srgbClr w14:val="000000">
                      <w14:alpha w14:val="100000"/>
                    </w14:srgbClr>
                  </w14:solidFill>
                </w14:textFill>
              </w:rPr>
              <w:t xml:space="preserve">　</w:t>
            </w:r>
            <w:r w:rsidRPr="00785872">
              <w:rPr>
                <w:color w:val="000000"/>
                <w:w w:val="20"/>
                <w:szCs w:val="20"/>
                <w:shd w:val="solid" w:color="000000" w:fill="000000"/>
                <w:fitText w:val="90" w:id="-1032081407"/>
                <w:lang w:eastAsia="zh-CN"/>
                <w14:textFill>
                  <w14:solidFill>
                    <w14:srgbClr w14:val="000000">
                      <w14:alpha w14:val="100000"/>
                    </w14:srgbClr>
                  </w14:solidFill>
                </w14:textFill>
              </w:rPr>
              <w:t>|</w:t>
            </w:r>
            <w:r w:rsidRPr="00785872">
              <w:rPr>
                <w:rFonts w:hint="eastAsia"/>
                <w:color w:val="000000"/>
                <w:spacing w:val="3"/>
                <w:w w:val="20"/>
                <w:szCs w:val="20"/>
                <w:shd w:val="solid" w:color="000000" w:fill="000000"/>
                <w:fitText w:val="90" w:id="-1032081407"/>
                <w:lang w:eastAsia="zh-CN"/>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2</w:t>
            </w:r>
          </w:p>
        </w:tc>
        <w:tc>
          <w:tcPr>
            <w:tcW w:w="601" w:type="pct"/>
            <w:shd w:val="clear" w:color="auto" w:fill="auto"/>
            <w:vAlign w:val="center"/>
          </w:tcPr>
          <w:p w14:paraId="5898C8F3" w14:textId="12D75FD0" w:rsidR="001D66D4" w:rsidRPr="00785872" w:rsidRDefault="00785872" w:rsidP="00553EDF">
            <w:pPr>
              <w:pStyle w:val="TableText0"/>
              <w:jc w:val="center"/>
              <w:rPr>
                <w:color w:val="000000"/>
                <w:highlight w:val="darkGray"/>
              </w:rPr>
            </w:pPr>
            <w:r w:rsidRPr="00785872">
              <w:rPr>
                <w:color w:val="000000"/>
                <w:szCs w:val="20"/>
                <w:lang w:eastAsia="zh-CN"/>
              </w:rPr>
              <w:t xml:space="preserve"> </w:t>
            </w:r>
            <w:r w:rsidRPr="00785872">
              <w:rPr>
                <w:rFonts w:hint="eastAsia"/>
                <w:color w:val="000000"/>
                <w:w w:val="20"/>
                <w:szCs w:val="20"/>
                <w:shd w:val="solid" w:color="000000" w:fill="000000"/>
                <w:fitText w:val="90" w:id="-1032081406"/>
                <w:lang w:eastAsia="zh-CN"/>
                <w14:textFill>
                  <w14:solidFill>
                    <w14:srgbClr w14:val="000000">
                      <w14:alpha w14:val="100000"/>
                    </w14:srgbClr>
                  </w14:solidFill>
                </w14:textFill>
              </w:rPr>
              <w:t xml:space="preserve">　</w:t>
            </w:r>
            <w:r w:rsidRPr="00785872">
              <w:rPr>
                <w:color w:val="000000"/>
                <w:w w:val="20"/>
                <w:szCs w:val="20"/>
                <w:shd w:val="solid" w:color="000000" w:fill="000000"/>
                <w:fitText w:val="90" w:id="-1032081406"/>
                <w:lang w:eastAsia="zh-CN"/>
                <w14:textFill>
                  <w14:solidFill>
                    <w14:srgbClr w14:val="000000">
                      <w14:alpha w14:val="100000"/>
                    </w14:srgbClr>
                  </w14:solidFill>
                </w14:textFill>
              </w:rPr>
              <w:t>|</w:t>
            </w:r>
            <w:r w:rsidRPr="00785872">
              <w:rPr>
                <w:rFonts w:hint="eastAsia"/>
                <w:color w:val="000000"/>
                <w:spacing w:val="3"/>
                <w:w w:val="20"/>
                <w:szCs w:val="20"/>
                <w:shd w:val="solid" w:color="000000" w:fill="000000"/>
                <w:fitText w:val="90" w:id="-1032081406"/>
                <w:lang w:eastAsia="zh-CN"/>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1</w:t>
            </w:r>
          </w:p>
        </w:tc>
        <w:tc>
          <w:tcPr>
            <w:tcW w:w="601" w:type="pct"/>
            <w:shd w:val="clear" w:color="auto" w:fill="auto"/>
            <w:vAlign w:val="center"/>
          </w:tcPr>
          <w:p w14:paraId="78620165" w14:textId="3FD8F475" w:rsidR="001D66D4" w:rsidRPr="00785872" w:rsidRDefault="00785872" w:rsidP="00553EDF">
            <w:pPr>
              <w:pStyle w:val="TableText0"/>
              <w:jc w:val="center"/>
              <w:rPr>
                <w:color w:val="000000"/>
                <w:highlight w:val="darkGray"/>
              </w:rPr>
            </w:pPr>
            <w:r w:rsidRPr="00785872">
              <w:rPr>
                <w:color w:val="000000"/>
                <w:szCs w:val="20"/>
                <w:lang w:eastAsia="zh-CN"/>
              </w:rPr>
              <w:t xml:space="preserve"> </w:t>
            </w:r>
            <w:r w:rsidRPr="00785872">
              <w:rPr>
                <w:rFonts w:hint="eastAsia"/>
                <w:color w:val="000000"/>
                <w:w w:val="20"/>
                <w:szCs w:val="20"/>
                <w:shd w:val="solid" w:color="000000" w:fill="000000"/>
                <w:fitText w:val="90" w:id="-1032081405"/>
                <w:lang w:eastAsia="zh-CN"/>
                <w14:textFill>
                  <w14:solidFill>
                    <w14:srgbClr w14:val="000000">
                      <w14:alpha w14:val="100000"/>
                    </w14:srgbClr>
                  </w14:solidFill>
                </w14:textFill>
              </w:rPr>
              <w:t xml:space="preserve">　</w:t>
            </w:r>
            <w:r w:rsidRPr="00785872">
              <w:rPr>
                <w:color w:val="000000"/>
                <w:w w:val="20"/>
                <w:szCs w:val="20"/>
                <w:shd w:val="solid" w:color="000000" w:fill="000000"/>
                <w:fitText w:val="90" w:id="-1032081405"/>
                <w:lang w:eastAsia="zh-CN"/>
                <w14:textFill>
                  <w14:solidFill>
                    <w14:srgbClr w14:val="000000">
                      <w14:alpha w14:val="100000"/>
                    </w14:srgbClr>
                  </w14:solidFill>
                </w14:textFill>
              </w:rPr>
              <w:t>|</w:t>
            </w:r>
            <w:r w:rsidRPr="00785872">
              <w:rPr>
                <w:rFonts w:hint="eastAsia"/>
                <w:color w:val="000000"/>
                <w:spacing w:val="3"/>
                <w:w w:val="20"/>
                <w:szCs w:val="20"/>
                <w:shd w:val="solid" w:color="000000" w:fill="000000"/>
                <w:fitText w:val="90" w:id="-1032081405"/>
                <w:lang w:eastAsia="zh-CN"/>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1</w:t>
            </w:r>
          </w:p>
        </w:tc>
        <w:tc>
          <w:tcPr>
            <w:tcW w:w="601" w:type="pct"/>
            <w:shd w:val="clear" w:color="auto" w:fill="auto"/>
            <w:vAlign w:val="center"/>
          </w:tcPr>
          <w:p w14:paraId="62DC67D7" w14:textId="26C60F00" w:rsidR="001D66D4" w:rsidRPr="00785872" w:rsidRDefault="00785872" w:rsidP="00553EDF">
            <w:pPr>
              <w:pStyle w:val="TableText0"/>
              <w:jc w:val="center"/>
              <w:rPr>
                <w:color w:val="000000"/>
                <w:highlight w:val="darkGray"/>
              </w:rPr>
            </w:pPr>
            <w:r w:rsidRPr="00785872">
              <w:rPr>
                <w:color w:val="000000"/>
                <w:szCs w:val="20"/>
                <w:lang w:eastAsia="zh-CN"/>
              </w:rPr>
              <w:t xml:space="preserve"> </w:t>
            </w:r>
            <w:r w:rsidRPr="00785872">
              <w:rPr>
                <w:rFonts w:hint="eastAsia"/>
                <w:color w:val="000000"/>
                <w:w w:val="20"/>
                <w:szCs w:val="20"/>
                <w:shd w:val="solid" w:color="000000" w:fill="000000"/>
                <w:fitText w:val="90" w:id="-1032081404"/>
                <w:lang w:eastAsia="zh-CN"/>
                <w14:textFill>
                  <w14:solidFill>
                    <w14:srgbClr w14:val="000000">
                      <w14:alpha w14:val="100000"/>
                    </w14:srgbClr>
                  </w14:solidFill>
                </w14:textFill>
              </w:rPr>
              <w:t xml:space="preserve">　</w:t>
            </w:r>
            <w:r w:rsidRPr="00785872">
              <w:rPr>
                <w:color w:val="000000"/>
                <w:w w:val="20"/>
                <w:szCs w:val="20"/>
                <w:shd w:val="solid" w:color="000000" w:fill="000000"/>
                <w:fitText w:val="90" w:id="-1032081404"/>
                <w:lang w:eastAsia="zh-CN"/>
                <w14:textFill>
                  <w14:solidFill>
                    <w14:srgbClr w14:val="000000">
                      <w14:alpha w14:val="100000"/>
                    </w14:srgbClr>
                  </w14:solidFill>
                </w14:textFill>
              </w:rPr>
              <w:t>|</w:t>
            </w:r>
            <w:r w:rsidRPr="00785872">
              <w:rPr>
                <w:rFonts w:hint="eastAsia"/>
                <w:color w:val="000000"/>
                <w:spacing w:val="3"/>
                <w:w w:val="20"/>
                <w:szCs w:val="20"/>
                <w:shd w:val="solid" w:color="000000" w:fill="000000"/>
                <w:fitText w:val="90" w:id="-1032081404"/>
                <w:lang w:eastAsia="zh-CN"/>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1</w:t>
            </w:r>
          </w:p>
        </w:tc>
        <w:tc>
          <w:tcPr>
            <w:tcW w:w="601" w:type="pct"/>
            <w:shd w:val="clear" w:color="auto" w:fill="auto"/>
            <w:vAlign w:val="center"/>
          </w:tcPr>
          <w:p w14:paraId="3C888F87" w14:textId="0D8567BA" w:rsidR="001D66D4" w:rsidRPr="00785872" w:rsidRDefault="00785872" w:rsidP="00553EDF">
            <w:pPr>
              <w:pStyle w:val="TableText0"/>
              <w:jc w:val="center"/>
              <w:rPr>
                <w:color w:val="000000"/>
                <w:highlight w:val="darkGray"/>
              </w:rPr>
            </w:pPr>
            <w:r w:rsidRPr="00785872">
              <w:rPr>
                <w:color w:val="000000"/>
                <w:szCs w:val="20"/>
                <w:lang w:eastAsia="zh-CN"/>
              </w:rPr>
              <w:t xml:space="preserve"> </w:t>
            </w:r>
            <w:r w:rsidRPr="00785872">
              <w:rPr>
                <w:rFonts w:hint="eastAsia"/>
                <w:color w:val="000000"/>
                <w:w w:val="20"/>
                <w:szCs w:val="20"/>
                <w:shd w:val="solid" w:color="000000" w:fill="000000"/>
                <w:fitText w:val="90" w:id="-1032081152"/>
                <w:lang w:eastAsia="zh-CN"/>
                <w14:textFill>
                  <w14:solidFill>
                    <w14:srgbClr w14:val="000000">
                      <w14:alpha w14:val="100000"/>
                    </w14:srgbClr>
                  </w14:solidFill>
                </w14:textFill>
              </w:rPr>
              <w:t xml:space="preserve">　</w:t>
            </w:r>
            <w:r w:rsidRPr="00785872">
              <w:rPr>
                <w:color w:val="000000"/>
                <w:w w:val="20"/>
                <w:szCs w:val="20"/>
                <w:shd w:val="solid" w:color="000000" w:fill="000000"/>
                <w:fitText w:val="90" w:id="-1032081152"/>
                <w:lang w:eastAsia="zh-CN"/>
                <w14:textFill>
                  <w14:solidFill>
                    <w14:srgbClr w14:val="000000">
                      <w14:alpha w14:val="100000"/>
                    </w14:srgbClr>
                  </w14:solidFill>
                </w14:textFill>
              </w:rPr>
              <w:t>|</w:t>
            </w:r>
            <w:r w:rsidRPr="00785872">
              <w:rPr>
                <w:rFonts w:hint="eastAsia"/>
                <w:color w:val="000000"/>
                <w:spacing w:val="3"/>
                <w:w w:val="20"/>
                <w:szCs w:val="20"/>
                <w:shd w:val="solid" w:color="000000" w:fill="000000"/>
                <w:fitText w:val="90" w:id="-1032081152"/>
                <w:lang w:eastAsia="zh-CN"/>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1</w:t>
            </w:r>
          </w:p>
        </w:tc>
        <w:tc>
          <w:tcPr>
            <w:tcW w:w="608" w:type="pct"/>
            <w:vAlign w:val="center"/>
          </w:tcPr>
          <w:p w14:paraId="5DF70183" w14:textId="1BE27894" w:rsidR="001D66D4" w:rsidRPr="00785872" w:rsidRDefault="00785872" w:rsidP="00553EDF">
            <w:pPr>
              <w:pStyle w:val="TableText0"/>
              <w:jc w:val="center"/>
              <w:rPr>
                <w:color w:val="000000"/>
                <w:highlight w:val="darkGray"/>
              </w:rPr>
            </w:pPr>
            <w:r w:rsidRPr="00785872">
              <w:rPr>
                <w:color w:val="000000"/>
                <w:szCs w:val="20"/>
                <w:lang w:eastAsia="zh-CN"/>
              </w:rPr>
              <w:t xml:space="preserve"> </w:t>
            </w:r>
            <w:r w:rsidRPr="00785872">
              <w:rPr>
                <w:rFonts w:hint="eastAsia"/>
                <w:color w:val="000000"/>
                <w:w w:val="18"/>
                <w:szCs w:val="20"/>
                <w:shd w:val="solid" w:color="000000" w:fill="000000"/>
                <w:fitText w:val="80" w:id="-1032081151"/>
                <w:lang w:eastAsia="zh-CN"/>
                <w14:textFill>
                  <w14:solidFill>
                    <w14:srgbClr w14:val="000000">
                      <w14:alpha w14:val="100000"/>
                    </w14:srgbClr>
                  </w14:solidFill>
                </w14:textFill>
              </w:rPr>
              <w:t xml:space="preserve">　</w:t>
            </w:r>
            <w:r w:rsidRPr="00785872">
              <w:rPr>
                <w:color w:val="000000"/>
                <w:w w:val="18"/>
                <w:szCs w:val="20"/>
                <w:shd w:val="solid" w:color="000000" w:fill="000000"/>
                <w:fitText w:val="80" w:id="-1032081151"/>
                <w:lang w:eastAsia="zh-CN"/>
                <w14:textFill>
                  <w14:solidFill>
                    <w14:srgbClr w14:val="000000">
                      <w14:alpha w14:val="100000"/>
                    </w14:srgbClr>
                  </w14:solidFill>
                </w14:textFill>
              </w:rPr>
              <w:t>|</w:t>
            </w:r>
            <w:r w:rsidRPr="00785872">
              <w:rPr>
                <w:rFonts w:hint="eastAsia"/>
                <w:color w:val="000000"/>
                <w:w w:val="18"/>
                <w:szCs w:val="20"/>
                <w:shd w:val="solid" w:color="000000" w:fill="000000"/>
                <w:fitText w:val="80" w:id="-1032081151"/>
                <w:lang w:eastAsia="zh-CN"/>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1</w:t>
            </w:r>
          </w:p>
        </w:tc>
      </w:tr>
      <w:tr w:rsidR="001D66D4" w:rsidRPr="00F92E56" w14:paraId="291851C8" w14:textId="77777777" w:rsidTr="00202CBA">
        <w:tc>
          <w:tcPr>
            <w:tcW w:w="5000" w:type="pct"/>
            <w:gridSpan w:val="7"/>
            <w:shd w:val="clear" w:color="auto" w:fill="auto"/>
            <w:vAlign w:val="center"/>
          </w:tcPr>
          <w:p w14:paraId="2BD86E9D" w14:textId="4B0DD3FE" w:rsidR="001D66D4" w:rsidRPr="00346867" w:rsidRDefault="001D66D4" w:rsidP="00553EDF">
            <w:pPr>
              <w:pStyle w:val="In-tableHeading"/>
              <w:rPr>
                <w:lang w:val="en-AU"/>
              </w:rPr>
            </w:pPr>
            <w:r w:rsidRPr="00346867">
              <w:rPr>
                <w:lang w:val="en-AU"/>
              </w:rPr>
              <w:t xml:space="preserve">Estimated financial implications of </w:t>
            </w:r>
            <w:r w:rsidR="00831C5A" w:rsidRPr="00346867">
              <w:rPr>
                <w:lang w:val="en-AU"/>
              </w:rPr>
              <w:t>nivolumab</w:t>
            </w:r>
          </w:p>
        </w:tc>
      </w:tr>
      <w:tr w:rsidR="00CE651F" w:rsidRPr="00F92E56" w14:paraId="2C96E901" w14:textId="77777777" w:rsidTr="00CE651F">
        <w:tc>
          <w:tcPr>
            <w:tcW w:w="1387" w:type="pct"/>
            <w:shd w:val="clear" w:color="auto" w:fill="auto"/>
            <w:vAlign w:val="center"/>
          </w:tcPr>
          <w:p w14:paraId="250629D8" w14:textId="0521C136" w:rsidR="00CE651F" w:rsidRPr="00F92E56" w:rsidRDefault="00CE651F" w:rsidP="00CE651F">
            <w:pPr>
              <w:pStyle w:val="TableText0"/>
              <w:rPr>
                <w:iCs/>
                <w:sz w:val="19"/>
                <w:szCs w:val="19"/>
              </w:rPr>
            </w:pPr>
            <w:r w:rsidRPr="00F92E56">
              <w:rPr>
                <w:iCs/>
                <w:sz w:val="19"/>
                <w:szCs w:val="19"/>
              </w:rPr>
              <w:t xml:space="preserve">Cost to PBS/RPBS less </w:t>
            </w:r>
            <w:r w:rsidR="009766C4" w:rsidRPr="00F92E56">
              <w:rPr>
                <w:iCs/>
                <w:sz w:val="19"/>
                <w:szCs w:val="19"/>
              </w:rPr>
              <w:t>co-payments</w:t>
            </w:r>
          </w:p>
        </w:tc>
        <w:tc>
          <w:tcPr>
            <w:tcW w:w="601" w:type="pct"/>
            <w:shd w:val="clear" w:color="auto" w:fill="auto"/>
            <w:vAlign w:val="center"/>
          </w:tcPr>
          <w:p w14:paraId="7880022E" w14:textId="17AF46C7" w:rsidR="00CE651F" w:rsidRPr="00785872" w:rsidRDefault="00785872" w:rsidP="001D78FA">
            <w:pPr>
              <w:pStyle w:val="TableText0"/>
              <w:jc w:val="center"/>
              <w:rPr>
                <w:iCs/>
                <w:highlight w:val="darkGray"/>
              </w:rPr>
            </w:pPr>
            <w:r w:rsidRPr="00785872">
              <w:rPr>
                <w:iCs/>
                <w:color w:val="000000"/>
                <w:shd w:val="solid" w:color="000000" w:fill="000000"/>
                <w14:textFill>
                  <w14:solidFill>
                    <w14:srgbClr w14:val="000000">
                      <w14:alpha w14:val="100000"/>
                    </w14:srgbClr>
                  </w14:solidFill>
                </w14:textFill>
              </w:rPr>
              <w:t>|</w:t>
            </w:r>
            <w:r w:rsidR="00BE598F">
              <w:rPr>
                <w:rFonts w:eastAsiaTheme="minorHAnsi"/>
                <w:bCs w:val="0"/>
                <w:color w:val="222222"/>
                <w:szCs w:val="18"/>
                <w:vertAlign w:val="superscript"/>
                <w:lang w:eastAsia="en-US"/>
              </w:rPr>
              <w:t>4</w:t>
            </w:r>
          </w:p>
        </w:tc>
        <w:tc>
          <w:tcPr>
            <w:tcW w:w="601" w:type="pct"/>
            <w:shd w:val="clear" w:color="auto" w:fill="auto"/>
            <w:vAlign w:val="center"/>
          </w:tcPr>
          <w:p w14:paraId="61E0A02F" w14:textId="3A3AEE4D" w:rsidR="00CE651F" w:rsidRPr="00785872" w:rsidRDefault="00785872" w:rsidP="001D78FA">
            <w:pPr>
              <w:pStyle w:val="TableText0"/>
              <w:jc w:val="center"/>
              <w:rPr>
                <w:iCs/>
                <w:highlight w:val="darkGray"/>
              </w:rPr>
            </w:pPr>
            <w:r w:rsidRPr="00785872">
              <w:rPr>
                <w:iCs/>
                <w:color w:val="000000"/>
                <w:shd w:val="solid" w:color="000000" w:fill="000000"/>
                <w14:textFill>
                  <w14:solidFill>
                    <w14:srgbClr w14:val="000000">
                      <w14:alpha w14:val="100000"/>
                    </w14:srgbClr>
                  </w14:solidFill>
                </w14:textFill>
              </w:rPr>
              <w:t>|</w:t>
            </w:r>
            <w:r w:rsidR="00BE598F">
              <w:rPr>
                <w:rFonts w:eastAsiaTheme="minorHAnsi"/>
                <w:bCs w:val="0"/>
                <w:color w:val="222222"/>
                <w:szCs w:val="18"/>
                <w:vertAlign w:val="superscript"/>
                <w:lang w:eastAsia="en-US"/>
              </w:rPr>
              <w:t>5</w:t>
            </w:r>
          </w:p>
        </w:tc>
        <w:tc>
          <w:tcPr>
            <w:tcW w:w="601" w:type="pct"/>
            <w:shd w:val="clear" w:color="auto" w:fill="auto"/>
            <w:vAlign w:val="center"/>
          </w:tcPr>
          <w:p w14:paraId="016E267C" w14:textId="01D4C7AF" w:rsidR="00CE651F" w:rsidRPr="00785872" w:rsidRDefault="00785872" w:rsidP="001D78FA">
            <w:pPr>
              <w:pStyle w:val="TableText0"/>
              <w:jc w:val="center"/>
              <w:rPr>
                <w:iCs/>
                <w:highlight w:val="darkGray"/>
              </w:rPr>
            </w:pPr>
            <w:r w:rsidRPr="00785872">
              <w:rPr>
                <w:iCs/>
                <w:color w:val="000000"/>
                <w:shd w:val="solid" w:color="000000" w:fill="000000"/>
                <w14:textFill>
                  <w14:solidFill>
                    <w14:srgbClr w14:val="000000">
                      <w14:alpha w14:val="100000"/>
                    </w14:srgbClr>
                  </w14:solidFill>
                </w14:textFill>
              </w:rPr>
              <w:t>|</w:t>
            </w:r>
            <w:r w:rsidR="00BE598F">
              <w:rPr>
                <w:rFonts w:eastAsiaTheme="minorHAnsi"/>
                <w:bCs w:val="0"/>
                <w:color w:val="222222"/>
                <w:szCs w:val="18"/>
                <w:vertAlign w:val="superscript"/>
                <w:lang w:eastAsia="en-US"/>
              </w:rPr>
              <w:t>5</w:t>
            </w:r>
          </w:p>
        </w:tc>
        <w:tc>
          <w:tcPr>
            <w:tcW w:w="601" w:type="pct"/>
            <w:shd w:val="clear" w:color="auto" w:fill="auto"/>
            <w:vAlign w:val="center"/>
          </w:tcPr>
          <w:p w14:paraId="79C71CBD" w14:textId="5AFD3188" w:rsidR="00CE651F" w:rsidRPr="00785872" w:rsidRDefault="00785872" w:rsidP="001D78FA">
            <w:pPr>
              <w:pStyle w:val="TableText0"/>
              <w:jc w:val="center"/>
              <w:rPr>
                <w:iCs/>
                <w:highlight w:val="darkGray"/>
              </w:rPr>
            </w:pPr>
            <w:r w:rsidRPr="00785872">
              <w:rPr>
                <w:iCs/>
                <w:color w:val="000000"/>
                <w:shd w:val="solid" w:color="000000" w:fill="000000"/>
                <w14:textFill>
                  <w14:solidFill>
                    <w14:srgbClr w14:val="000000">
                      <w14:alpha w14:val="100000"/>
                    </w14:srgbClr>
                  </w14:solidFill>
                </w14:textFill>
              </w:rPr>
              <w:t>|</w:t>
            </w:r>
            <w:r w:rsidR="00BE598F">
              <w:rPr>
                <w:rFonts w:eastAsiaTheme="minorHAnsi"/>
                <w:bCs w:val="0"/>
                <w:color w:val="222222"/>
                <w:szCs w:val="18"/>
                <w:vertAlign w:val="superscript"/>
                <w:lang w:eastAsia="en-US"/>
              </w:rPr>
              <w:t>5</w:t>
            </w:r>
          </w:p>
        </w:tc>
        <w:tc>
          <w:tcPr>
            <w:tcW w:w="601" w:type="pct"/>
            <w:shd w:val="clear" w:color="auto" w:fill="auto"/>
            <w:vAlign w:val="center"/>
          </w:tcPr>
          <w:p w14:paraId="66A6799E" w14:textId="3E6207A6" w:rsidR="00CE651F" w:rsidRPr="00785872" w:rsidRDefault="00785872" w:rsidP="001D78FA">
            <w:pPr>
              <w:pStyle w:val="TableText0"/>
              <w:jc w:val="center"/>
              <w:rPr>
                <w:iCs/>
                <w:highlight w:val="darkGray"/>
              </w:rPr>
            </w:pPr>
            <w:r w:rsidRPr="00785872">
              <w:rPr>
                <w:iCs/>
                <w:color w:val="000000"/>
                <w:shd w:val="solid" w:color="000000" w:fill="000000"/>
                <w14:textFill>
                  <w14:solidFill>
                    <w14:srgbClr w14:val="000000">
                      <w14:alpha w14:val="100000"/>
                    </w14:srgbClr>
                  </w14:solidFill>
                </w14:textFill>
              </w:rPr>
              <w:t>|</w:t>
            </w:r>
            <w:r w:rsidR="00BE598F">
              <w:rPr>
                <w:rFonts w:eastAsiaTheme="minorHAnsi"/>
                <w:bCs w:val="0"/>
                <w:color w:val="222222"/>
                <w:szCs w:val="18"/>
                <w:vertAlign w:val="superscript"/>
                <w:lang w:eastAsia="en-US"/>
              </w:rPr>
              <w:t>5</w:t>
            </w:r>
          </w:p>
        </w:tc>
        <w:tc>
          <w:tcPr>
            <w:tcW w:w="608" w:type="pct"/>
            <w:vAlign w:val="center"/>
          </w:tcPr>
          <w:p w14:paraId="1B948AA0" w14:textId="51CC4298" w:rsidR="00CE651F" w:rsidRPr="00785872" w:rsidRDefault="00785872" w:rsidP="001D78FA">
            <w:pPr>
              <w:pStyle w:val="TableText0"/>
              <w:jc w:val="center"/>
              <w:rPr>
                <w:iCs/>
                <w:highlight w:val="darkGray"/>
              </w:rPr>
            </w:pPr>
            <w:r w:rsidRPr="00785872">
              <w:rPr>
                <w:iCs/>
                <w:color w:val="000000"/>
                <w:shd w:val="solid" w:color="000000" w:fill="000000"/>
                <w14:textFill>
                  <w14:solidFill>
                    <w14:srgbClr w14:val="000000">
                      <w14:alpha w14:val="100000"/>
                    </w14:srgbClr>
                  </w14:solidFill>
                </w14:textFill>
              </w:rPr>
              <w:t>|</w:t>
            </w:r>
            <w:r w:rsidR="00BE598F">
              <w:rPr>
                <w:rFonts w:eastAsiaTheme="minorHAnsi"/>
                <w:bCs w:val="0"/>
                <w:color w:val="222222"/>
                <w:szCs w:val="18"/>
                <w:vertAlign w:val="superscript"/>
                <w:lang w:eastAsia="en-US"/>
              </w:rPr>
              <w:t>5</w:t>
            </w:r>
          </w:p>
        </w:tc>
      </w:tr>
      <w:tr w:rsidR="001D66D4" w:rsidRPr="00F92E56" w14:paraId="1CA677BA" w14:textId="77777777" w:rsidTr="00202CBA">
        <w:tc>
          <w:tcPr>
            <w:tcW w:w="5000" w:type="pct"/>
            <w:gridSpan w:val="7"/>
            <w:shd w:val="clear" w:color="auto" w:fill="auto"/>
            <w:vAlign w:val="center"/>
          </w:tcPr>
          <w:p w14:paraId="34758CC7" w14:textId="19E842FA" w:rsidR="001D66D4" w:rsidRPr="00F92E56" w:rsidRDefault="001D66D4" w:rsidP="00553EDF">
            <w:pPr>
              <w:pStyle w:val="TableText0"/>
              <w:rPr>
                <w:b/>
                <w:bCs w:val="0"/>
              </w:rPr>
            </w:pPr>
            <w:r w:rsidRPr="00F92E56">
              <w:rPr>
                <w:b/>
                <w:bCs w:val="0"/>
              </w:rPr>
              <w:t>Estimated financial implications for other medicines</w:t>
            </w:r>
          </w:p>
        </w:tc>
      </w:tr>
      <w:tr w:rsidR="006E6C83" w:rsidRPr="00F92E56" w14:paraId="0FFC7C16" w14:textId="77777777" w:rsidTr="00CE651F">
        <w:tc>
          <w:tcPr>
            <w:tcW w:w="1387" w:type="pct"/>
            <w:shd w:val="clear" w:color="auto" w:fill="auto"/>
            <w:vAlign w:val="center"/>
          </w:tcPr>
          <w:p w14:paraId="394BCE59" w14:textId="09D65D4C" w:rsidR="006E6C83" w:rsidRPr="00F92E56" w:rsidRDefault="006E6C83" w:rsidP="006E6C83">
            <w:pPr>
              <w:pStyle w:val="TableText0"/>
              <w:rPr>
                <w:sz w:val="19"/>
                <w:szCs w:val="19"/>
              </w:rPr>
            </w:pPr>
            <w:r w:rsidRPr="00F92E56">
              <w:rPr>
                <w:sz w:val="19"/>
                <w:szCs w:val="19"/>
              </w:rPr>
              <w:t xml:space="preserve">Cost to PBS/RPBS less </w:t>
            </w:r>
            <w:r w:rsidR="009766C4" w:rsidRPr="00F92E56">
              <w:rPr>
                <w:sz w:val="19"/>
                <w:szCs w:val="19"/>
              </w:rPr>
              <w:t>co-payments</w:t>
            </w:r>
          </w:p>
        </w:tc>
        <w:tc>
          <w:tcPr>
            <w:tcW w:w="601" w:type="pct"/>
            <w:shd w:val="clear" w:color="auto" w:fill="auto"/>
            <w:vAlign w:val="center"/>
          </w:tcPr>
          <w:p w14:paraId="2C37F384" w14:textId="63175D30" w:rsidR="006E6C83" w:rsidRPr="00785872" w:rsidRDefault="00785872" w:rsidP="00785872">
            <w:pPr>
              <w:pStyle w:val="TableText0"/>
              <w:jc w:val="center"/>
              <w:rPr>
                <w:highlight w:val="darkGray"/>
              </w:rPr>
            </w:pPr>
            <w:r w:rsidRPr="00785872">
              <w:t xml:space="preserve"> </w:t>
            </w:r>
            <w:r w:rsidRPr="00785872">
              <w:rPr>
                <w:rFonts w:hint="eastAsia"/>
                <w:color w:val="000000"/>
                <w:w w:val="20"/>
                <w:shd w:val="solid" w:color="000000" w:fill="000000"/>
                <w:fitText w:val="90" w:id="-1032081150"/>
                <w14:textFill>
                  <w14:solidFill>
                    <w14:srgbClr w14:val="000000">
                      <w14:alpha w14:val="100000"/>
                    </w14:srgbClr>
                  </w14:solidFill>
                </w14:textFill>
              </w:rPr>
              <w:t xml:space="preserve">　</w:t>
            </w:r>
            <w:r w:rsidRPr="00785872">
              <w:rPr>
                <w:color w:val="000000"/>
                <w:w w:val="20"/>
                <w:shd w:val="solid" w:color="000000" w:fill="000000"/>
                <w:fitText w:val="90" w:id="-1032081150"/>
                <w14:textFill>
                  <w14:solidFill>
                    <w14:srgbClr w14:val="000000">
                      <w14:alpha w14:val="100000"/>
                    </w14:srgbClr>
                  </w14:solidFill>
                </w14:textFill>
              </w:rPr>
              <w:t>|</w:t>
            </w:r>
            <w:r w:rsidRPr="00785872">
              <w:rPr>
                <w:rFonts w:hint="eastAsia"/>
                <w:color w:val="000000"/>
                <w:spacing w:val="3"/>
                <w:w w:val="20"/>
                <w:shd w:val="solid" w:color="000000" w:fill="000000"/>
                <w:fitText w:val="90" w:id="-1032081150"/>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7</w:t>
            </w:r>
          </w:p>
        </w:tc>
        <w:tc>
          <w:tcPr>
            <w:tcW w:w="601" w:type="pct"/>
            <w:shd w:val="clear" w:color="auto" w:fill="auto"/>
            <w:vAlign w:val="center"/>
          </w:tcPr>
          <w:p w14:paraId="7985D7DB" w14:textId="2FCA6C4A" w:rsidR="006E6C83" w:rsidRPr="00785872" w:rsidRDefault="00785872" w:rsidP="00785872">
            <w:pPr>
              <w:pStyle w:val="TableText0"/>
              <w:jc w:val="center"/>
              <w:rPr>
                <w:highlight w:val="darkGray"/>
              </w:rPr>
            </w:pPr>
            <w:r w:rsidRPr="00785872">
              <w:t xml:space="preserve"> </w:t>
            </w:r>
            <w:r w:rsidRPr="00785872">
              <w:rPr>
                <w:rFonts w:hint="eastAsia"/>
                <w:color w:val="000000"/>
                <w:w w:val="20"/>
                <w:shd w:val="solid" w:color="000000" w:fill="000000"/>
                <w:fitText w:val="90" w:id="-1032081149"/>
                <w14:textFill>
                  <w14:solidFill>
                    <w14:srgbClr w14:val="000000">
                      <w14:alpha w14:val="100000"/>
                    </w14:srgbClr>
                  </w14:solidFill>
                </w14:textFill>
              </w:rPr>
              <w:t xml:space="preserve">　</w:t>
            </w:r>
            <w:r w:rsidRPr="00785872">
              <w:rPr>
                <w:color w:val="000000"/>
                <w:w w:val="20"/>
                <w:shd w:val="solid" w:color="000000" w:fill="000000"/>
                <w:fitText w:val="90" w:id="-1032081149"/>
                <w14:textFill>
                  <w14:solidFill>
                    <w14:srgbClr w14:val="000000">
                      <w14:alpha w14:val="100000"/>
                    </w14:srgbClr>
                  </w14:solidFill>
                </w14:textFill>
              </w:rPr>
              <w:t>|</w:t>
            </w:r>
            <w:r w:rsidRPr="00785872">
              <w:rPr>
                <w:rFonts w:hint="eastAsia"/>
                <w:color w:val="000000"/>
                <w:spacing w:val="3"/>
                <w:w w:val="20"/>
                <w:shd w:val="solid" w:color="000000" w:fill="000000"/>
                <w:fitText w:val="90" w:id="-1032081149"/>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7</w:t>
            </w:r>
          </w:p>
        </w:tc>
        <w:tc>
          <w:tcPr>
            <w:tcW w:w="601" w:type="pct"/>
            <w:shd w:val="clear" w:color="auto" w:fill="auto"/>
            <w:vAlign w:val="center"/>
          </w:tcPr>
          <w:p w14:paraId="1EB6E2A6" w14:textId="417727F0" w:rsidR="006E6C83" w:rsidRPr="00785872" w:rsidRDefault="00785872" w:rsidP="00785872">
            <w:pPr>
              <w:pStyle w:val="TableText0"/>
              <w:jc w:val="center"/>
              <w:rPr>
                <w:highlight w:val="darkGray"/>
              </w:rPr>
            </w:pPr>
            <w:r w:rsidRPr="00785872">
              <w:t xml:space="preserve"> </w:t>
            </w:r>
            <w:r w:rsidRPr="00785872">
              <w:rPr>
                <w:rFonts w:hint="eastAsia"/>
                <w:color w:val="000000"/>
                <w:w w:val="20"/>
                <w:shd w:val="solid" w:color="000000" w:fill="000000"/>
                <w:fitText w:val="90" w:id="-1032081148"/>
                <w14:textFill>
                  <w14:solidFill>
                    <w14:srgbClr w14:val="000000">
                      <w14:alpha w14:val="100000"/>
                    </w14:srgbClr>
                  </w14:solidFill>
                </w14:textFill>
              </w:rPr>
              <w:t xml:space="preserve">　</w:t>
            </w:r>
            <w:r w:rsidRPr="00785872">
              <w:rPr>
                <w:color w:val="000000"/>
                <w:w w:val="20"/>
                <w:shd w:val="solid" w:color="000000" w:fill="000000"/>
                <w:fitText w:val="90" w:id="-1032081148"/>
                <w14:textFill>
                  <w14:solidFill>
                    <w14:srgbClr w14:val="000000">
                      <w14:alpha w14:val="100000"/>
                    </w14:srgbClr>
                  </w14:solidFill>
                </w14:textFill>
              </w:rPr>
              <w:t>|</w:t>
            </w:r>
            <w:r w:rsidRPr="00785872">
              <w:rPr>
                <w:rFonts w:hint="eastAsia"/>
                <w:color w:val="000000"/>
                <w:spacing w:val="3"/>
                <w:w w:val="20"/>
                <w:shd w:val="solid" w:color="000000" w:fill="000000"/>
                <w:fitText w:val="90" w:id="-1032081148"/>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7</w:t>
            </w:r>
          </w:p>
        </w:tc>
        <w:tc>
          <w:tcPr>
            <w:tcW w:w="601" w:type="pct"/>
            <w:shd w:val="clear" w:color="auto" w:fill="auto"/>
            <w:vAlign w:val="center"/>
          </w:tcPr>
          <w:p w14:paraId="6921B7F8" w14:textId="4FC9D097" w:rsidR="006E6C83" w:rsidRPr="00785872" w:rsidRDefault="00785872" w:rsidP="00785872">
            <w:pPr>
              <w:pStyle w:val="TableText0"/>
              <w:jc w:val="center"/>
              <w:rPr>
                <w:highlight w:val="darkGray"/>
              </w:rPr>
            </w:pPr>
            <w:r w:rsidRPr="00785872">
              <w:t xml:space="preserve"> </w:t>
            </w:r>
            <w:r w:rsidRPr="00785872">
              <w:rPr>
                <w:rFonts w:hint="eastAsia"/>
                <w:color w:val="000000"/>
                <w:w w:val="20"/>
                <w:shd w:val="solid" w:color="000000" w:fill="000000"/>
                <w:fitText w:val="90" w:id="-1032081147"/>
                <w14:textFill>
                  <w14:solidFill>
                    <w14:srgbClr w14:val="000000">
                      <w14:alpha w14:val="100000"/>
                    </w14:srgbClr>
                  </w14:solidFill>
                </w14:textFill>
              </w:rPr>
              <w:t xml:space="preserve">　</w:t>
            </w:r>
            <w:r w:rsidRPr="00785872">
              <w:rPr>
                <w:color w:val="000000"/>
                <w:w w:val="20"/>
                <w:shd w:val="solid" w:color="000000" w:fill="000000"/>
                <w:fitText w:val="90" w:id="-1032081147"/>
                <w14:textFill>
                  <w14:solidFill>
                    <w14:srgbClr w14:val="000000">
                      <w14:alpha w14:val="100000"/>
                    </w14:srgbClr>
                  </w14:solidFill>
                </w14:textFill>
              </w:rPr>
              <w:t>|</w:t>
            </w:r>
            <w:r w:rsidRPr="00785872">
              <w:rPr>
                <w:rFonts w:hint="eastAsia"/>
                <w:color w:val="000000"/>
                <w:spacing w:val="3"/>
                <w:w w:val="20"/>
                <w:shd w:val="solid" w:color="000000" w:fill="000000"/>
                <w:fitText w:val="90" w:id="-1032081147"/>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7</w:t>
            </w:r>
          </w:p>
        </w:tc>
        <w:tc>
          <w:tcPr>
            <w:tcW w:w="601" w:type="pct"/>
            <w:shd w:val="clear" w:color="auto" w:fill="auto"/>
            <w:vAlign w:val="center"/>
          </w:tcPr>
          <w:p w14:paraId="4D9B91BD" w14:textId="1373C924" w:rsidR="006E6C83" w:rsidRPr="00785872" w:rsidRDefault="00785872" w:rsidP="00785872">
            <w:pPr>
              <w:pStyle w:val="TableText0"/>
              <w:jc w:val="center"/>
              <w:rPr>
                <w:highlight w:val="darkGray"/>
              </w:rPr>
            </w:pPr>
            <w:r w:rsidRPr="00785872">
              <w:t xml:space="preserve"> </w:t>
            </w:r>
            <w:r w:rsidRPr="00785872">
              <w:rPr>
                <w:rFonts w:hint="eastAsia"/>
                <w:color w:val="000000"/>
                <w:w w:val="20"/>
                <w:shd w:val="solid" w:color="000000" w:fill="000000"/>
                <w:fitText w:val="90" w:id="-1032081146"/>
                <w14:textFill>
                  <w14:solidFill>
                    <w14:srgbClr w14:val="000000">
                      <w14:alpha w14:val="100000"/>
                    </w14:srgbClr>
                  </w14:solidFill>
                </w14:textFill>
              </w:rPr>
              <w:t xml:space="preserve">　</w:t>
            </w:r>
            <w:r w:rsidRPr="00785872">
              <w:rPr>
                <w:color w:val="000000"/>
                <w:w w:val="20"/>
                <w:shd w:val="solid" w:color="000000" w:fill="000000"/>
                <w:fitText w:val="90" w:id="-1032081146"/>
                <w14:textFill>
                  <w14:solidFill>
                    <w14:srgbClr w14:val="000000">
                      <w14:alpha w14:val="100000"/>
                    </w14:srgbClr>
                  </w14:solidFill>
                </w14:textFill>
              </w:rPr>
              <w:t>|</w:t>
            </w:r>
            <w:r w:rsidRPr="00785872">
              <w:rPr>
                <w:rFonts w:hint="eastAsia"/>
                <w:color w:val="000000"/>
                <w:spacing w:val="3"/>
                <w:w w:val="20"/>
                <w:shd w:val="solid" w:color="000000" w:fill="000000"/>
                <w:fitText w:val="90" w:id="-1032081146"/>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7</w:t>
            </w:r>
          </w:p>
        </w:tc>
        <w:tc>
          <w:tcPr>
            <w:tcW w:w="608" w:type="pct"/>
            <w:vAlign w:val="center"/>
          </w:tcPr>
          <w:p w14:paraId="6432E809" w14:textId="4EE94A73" w:rsidR="006E6C83" w:rsidRPr="00785872" w:rsidRDefault="00785872" w:rsidP="00785872">
            <w:pPr>
              <w:pStyle w:val="TableText0"/>
              <w:jc w:val="center"/>
              <w:rPr>
                <w:highlight w:val="darkGray"/>
              </w:rPr>
            </w:pPr>
            <w:r w:rsidRPr="00785872">
              <w:t xml:space="preserve"> </w:t>
            </w:r>
            <w:r w:rsidRPr="00785872">
              <w:rPr>
                <w:rFonts w:hint="eastAsia"/>
                <w:color w:val="000000"/>
                <w:w w:val="18"/>
                <w:shd w:val="solid" w:color="000000" w:fill="000000"/>
                <w:fitText w:val="80" w:id="-1032081145"/>
                <w14:textFill>
                  <w14:solidFill>
                    <w14:srgbClr w14:val="000000">
                      <w14:alpha w14:val="100000"/>
                    </w14:srgbClr>
                  </w14:solidFill>
                </w14:textFill>
              </w:rPr>
              <w:t xml:space="preserve">　</w:t>
            </w:r>
            <w:r w:rsidRPr="00785872">
              <w:rPr>
                <w:color w:val="000000"/>
                <w:w w:val="18"/>
                <w:shd w:val="solid" w:color="000000" w:fill="000000"/>
                <w:fitText w:val="80" w:id="-1032081145"/>
                <w14:textFill>
                  <w14:solidFill>
                    <w14:srgbClr w14:val="000000">
                      <w14:alpha w14:val="100000"/>
                    </w14:srgbClr>
                  </w14:solidFill>
                </w14:textFill>
              </w:rPr>
              <w:t>|</w:t>
            </w:r>
            <w:r w:rsidRPr="00785872">
              <w:rPr>
                <w:rFonts w:hint="eastAsia"/>
                <w:color w:val="000000"/>
                <w:w w:val="18"/>
                <w:shd w:val="solid" w:color="000000" w:fill="000000"/>
                <w:fitText w:val="80" w:id="-1032081145"/>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7</w:t>
            </w:r>
          </w:p>
        </w:tc>
      </w:tr>
      <w:tr w:rsidR="00C95525" w:rsidRPr="00F92E56" w14:paraId="614447D8" w14:textId="77777777" w:rsidTr="00C95525">
        <w:tc>
          <w:tcPr>
            <w:tcW w:w="1387" w:type="pct"/>
            <w:shd w:val="clear" w:color="auto" w:fill="auto"/>
            <w:vAlign w:val="center"/>
          </w:tcPr>
          <w:p w14:paraId="4FE36626" w14:textId="5025ABC1" w:rsidR="00C95525" w:rsidRPr="00F92E56" w:rsidRDefault="00C95525" w:rsidP="00C95525">
            <w:pPr>
              <w:pStyle w:val="TableText0"/>
              <w:rPr>
                <w:iCs/>
                <w:sz w:val="19"/>
                <w:szCs w:val="19"/>
              </w:rPr>
            </w:pPr>
            <w:r w:rsidRPr="00F92E56">
              <w:rPr>
                <w:iCs/>
                <w:sz w:val="19"/>
                <w:szCs w:val="19"/>
              </w:rPr>
              <w:t xml:space="preserve">Revised </w:t>
            </w:r>
            <w:r w:rsidRPr="00F92E56">
              <w:rPr>
                <w:iCs/>
                <w:sz w:val="19"/>
                <w:szCs w:val="19"/>
                <w:vertAlign w:val="superscript"/>
              </w:rPr>
              <w:t>b</w:t>
            </w:r>
          </w:p>
        </w:tc>
        <w:tc>
          <w:tcPr>
            <w:tcW w:w="601" w:type="pct"/>
            <w:shd w:val="clear" w:color="auto" w:fill="auto"/>
          </w:tcPr>
          <w:p w14:paraId="61D2B01F" w14:textId="2C033250" w:rsidR="00C95525" w:rsidRPr="00785872" w:rsidRDefault="00785872" w:rsidP="00785872">
            <w:pPr>
              <w:pStyle w:val="TableText0"/>
              <w:jc w:val="center"/>
              <w:rPr>
                <w:rFonts w:eastAsia="TimesNewRoman"/>
                <w:bCs w:val="0"/>
                <w:iCs/>
                <w:highlight w:val="darkGray"/>
              </w:rPr>
            </w:pPr>
            <w:r w:rsidRPr="00785872">
              <w:rPr>
                <w:iCs/>
              </w:rPr>
              <w:t xml:space="preserve"> </w:t>
            </w:r>
            <w:r w:rsidRPr="00785872">
              <w:rPr>
                <w:rFonts w:hint="eastAsia"/>
                <w:iCs/>
                <w:color w:val="000000"/>
                <w:w w:val="20"/>
                <w:shd w:val="solid" w:color="000000" w:fill="000000"/>
                <w:fitText w:val="90" w:id="-1032081144"/>
                <w14:textFill>
                  <w14:solidFill>
                    <w14:srgbClr w14:val="000000">
                      <w14:alpha w14:val="100000"/>
                    </w14:srgbClr>
                  </w14:solidFill>
                </w14:textFill>
              </w:rPr>
              <w:t xml:space="preserve">　</w:t>
            </w:r>
            <w:r w:rsidRPr="00785872">
              <w:rPr>
                <w:iCs/>
                <w:color w:val="000000"/>
                <w:w w:val="20"/>
                <w:shd w:val="solid" w:color="000000" w:fill="000000"/>
                <w:fitText w:val="90" w:id="-1032081144"/>
                <w14:textFill>
                  <w14:solidFill>
                    <w14:srgbClr w14:val="000000">
                      <w14:alpha w14:val="100000"/>
                    </w14:srgbClr>
                  </w14:solidFill>
                </w14:textFill>
              </w:rPr>
              <w:t>|</w:t>
            </w:r>
            <w:r w:rsidRPr="00785872">
              <w:rPr>
                <w:rFonts w:hint="eastAsia"/>
                <w:iCs/>
                <w:color w:val="000000"/>
                <w:spacing w:val="3"/>
                <w:w w:val="20"/>
                <w:shd w:val="solid" w:color="000000" w:fill="000000"/>
                <w:fitText w:val="90" w:id="-1032081144"/>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7</w:t>
            </w:r>
          </w:p>
        </w:tc>
        <w:tc>
          <w:tcPr>
            <w:tcW w:w="601" w:type="pct"/>
            <w:shd w:val="clear" w:color="auto" w:fill="auto"/>
          </w:tcPr>
          <w:p w14:paraId="6ABB79D0" w14:textId="72C42046" w:rsidR="00C95525" w:rsidRPr="00785872" w:rsidRDefault="00785872" w:rsidP="00785872">
            <w:pPr>
              <w:pStyle w:val="TableText0"/>
              <w:jc w:val="center"/>
              <w:rPr>
                <w:rFonts w:eastAsia="TimesNewRoman"/>
                <w:bCs w:val="0"/>
                <w:iCs/>
                <w:highlight w:val="darkGray"/>
              </w:rPr>
            </w:pPr>
            <w:r w:rsidRPr="00785872">
              <w:rPr>
                <w:iCs/>
              </w:rPr>
              <w:t xml:space="preserve"> </w:t>
            </w:r>
            <w:r w:rsidRPr="00785872">
              <w:rPr>
                <w:rFonts w:hint="eastAsia"/>
                <w:iCs/>
                <w:color w:val="000000"/>
                <w:w w:val="20"/>
                <w:shd w:val="solid" w:color="000000" w:fill="000000"/>
                <w:fitText w:val="90" w:id="-1032081143"/>
                <w14:textFill>
                  <w14:solidFill>
                    <w14:srgbClr w14:val="000000">
                      <w14:alpha w14:val="100000"/>
                    </w14:srgbClr>
                  </w14:solidFill>
                </w14:textFill>
              </w:rPr>
              <w:t xml:space="preserve">　</w:t>
            </w:r>
            <w:r w:rsidRPr="00785872">
              <w:rPr>
                <w:iCs/>
                <w:color w:val="000000"/>
                <w:w w:val="20"/>
                <w:shd w:val="solid" w:color="000000" w:fill="000000"/>
                <w:fitText w:val="90" w:id="-1032081143"/>
                <w14:textFill>
                  <w14:solidFill>
                    <w14:srgbClr w14:val="000000">
                      <w14:alpha w14:val="100000"/>
                    </w14:srgbClr>
                  </w14:solidFill>
                </w14:textFill>
              </w:rPr>
              <w:t>|</w:t>
            </w:r>
            <w:r w:rsidRPr="00785872">
              <w:rPr>
                <w:rFonts w:hint="eastAsia"/>
                <w:iCs/>
                <w:color w:val="000000"/>
                <w:spacing w:val="3"/>
                <w:w w:val="20"/>
                <w:shd w:val="solid" w:color="000000" w:fill="000000"/>
                <w:fitText w:val="90" w:id="-1032081143"/>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7</w:t>
            </w:r>
          </w:p>
        </w:tc>
        <w:tc>
          <w:tcPr>
            <w:tcW w:w="601" w:type="pct"/>
            <w:shd w:val="clear" w:color="auto" w:fill="auto"/>
          </w:tcPr>
          <w:p w14:paraId="353D17A0" w14:textId="357C45B0" w:rsidR="00C95525" w:rsidRPr="00785872" w:rsidRDefault="00785872" w:rsidP="00785872">
            <w:pPr>
              <w:pStyle w:val="TableText0"/>
              <w:jc w:val="center"/>
              <w:rPr>
                <w:rFonts w:eastAsia="TimesNewRoman"/>
                <w:bCs w:val="0"/>
                <w:iCs/>
                <w:highlight w:val="darkGray"/>
              </w:rPr>
            </w:pPr>
            <w:r w:rsidRPr="00785872">
              <w:rPr>
                <w:iCs/>
              </w:rPr>
              <w:t xml:space="preserve"> </w:t>
            </w:r>
            <w:r w:rsidRPr="00785872">
              <w:rPr>
                <w:rFonts w:hint="eastAsia"/>
                <w:iCs/>
                <w:color w:val="000000"/>
                <w:w w:val="20"/>
                <w:shd w:val="solid" w:color="000000" w:fill="000000"/>
                <w:fitText w:val="90" w:id="-1032081142"/>
                <w14:textFill>
                  <w14:solidFill>
                    <w14:srgbClr w14:val="000000">
                      <w14:alpha w14:val="100000"/>
                    </w14:srgbClr>
                  </w14:solidFill>
                </w14:textFill>
              </w:rPr>
              <w:t xml:space="preserve">　</w:t>
            </w:r>
            <w:r w:rsidRPr="00785872">
              <w:rPr>
                <w:iCs/>
                <w:color w:val="000000"/>
                <w:w w:val="20"/>
                <w:shd w:val="solid" w:color="000000" w:fill="000000"/>
                <w:fitText w:val="90" w:id="-1032081142"/>
                <w14:textFill>
                  <w14:solidFill>
                    <w14:srgbClr w14:val="000000">
                      <w14:alpha w14:val="100000"/>
                    </w14:srgbClr>
                  </w14:solidFill>
                </w14:textFill>
              </w:rPr>
              <w:t>|</w:t>
            </w:r>
            <w:r w:rsidRPr="00785872">
              <w:rPr>
                <w:rFonts w:hint="eastAsia"/>
                <w:iCs/>
                <w:color w:val="000000"/>
                <w:spacing w:val="3"/>
                <w:w w:val="20"/>
                <w:shd w:val="solid" w:color="000000" w:fill="000000"/>
                <w:fitText w:val="90" w:id="-1032081142"/>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7</w:t>
            </w:r>
          </w:p>
        </w:tc>
        <w:tc>
          <w:tcPr>
            <w:tcW w:w="601" w:type="pct"/>
            <w:shd w:val="clear" w:color="auto" w:fill="auto"/>
          </w:tcPr>
          <w:p w14:paraId="03C020A8" w14:textId="213F2B1C" w:rsidR="00C95525" w:rsidRPr="00785872" w:rsidRDefault="00785872" w:rsidP="00785872">
            <w:pPr>
              <w:pStyle w:val="TableText0"/>
              <w:jc w:val="center"/>
              <w:rPr>
                <w:rFonts w:eastAsia="TimesNewRoman"/>
                <w:bCs w:val="0"/>
                <w:iCs/>
                <w:highlight w:val="darkGray"/>
              </w:rPr>
            </w:pPr>
            <w:r w:rsidRPr="00785872">
              <w:rPr>
                <w:iCs/>
              </w:rPr>
              <w:t xml:space="preserve"> </w:t>
            </w:r>
            <w:r w:rsidRPr="00785872">
              <w:rPr>
                <w:rFonts w:hint="eastAsia"/>
                <w:iCs/>
                <w:color w:val="000000"/>
                <w:w w:val="20"/>
                <w:shd w:val="solid" w:color="000000" w:fill="000000"/>
                <w:fitText w:val="90" w:id="-1032081141"/>
                <w14:textFill>
                  <w14:solidFill>
                    <w14:srgbClr w14:val="000000">
                      <w14:alpha w14:val="100000"/>
                    </w14:srgbClr>
                  </w14:solidFill>
                </w14:textFill>
              </w:rPr>
              <w:t xml:space="preserve">　</w:t>
            </w:r>
            <w:r w:rsidRPr="00785872">
              <w:rPr>
                <w:iCs/>
                <w:color w:val="000000"/>
                <w:w w:val="20"/>
                <w:shd w:val="solid" w:color="000000" w:fill="000000"/>
                <w:fitText w:val="90" w:id="-1032081141"/>
                <w14:textFill>
                  <w14:solidFill>
                    <w14:srgbClr w14:val="000000">
                      <w14:alpha w14:val="100000"/>
                    </w14:srgbClr>
                  </w14:solidFill>
                </w14:textFill>
              </w:rPr>
              <w:t>|</w:t>
            </w:r>
            <w:r w:rsidRPr="00785872">
              <w:rPr>
                <w:rFonts w:hint="eastAsia"/>
                <w:iCs/>
                <w:color w:val="000000"/>
                <w:spacing w:val="3"/>
                <w:w w:val="20"/>
                <w:shd w:val="solid" w:color="000000" w:fill="000000"/>
                <w:fitText w:val="90" w:id="-1032081141"/>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7</w:t>
            </w:r>
          </w:p>
        </w:tc>
        <w:tc>
          <w:tcPr>
            <w:tcW w:w="601" w:type="pct"/>
            <w:shd w:val="clear" w:color="auto" w:fill="auto"/>
          </w:tcPr>
          <w:p w14:paraId="7CB1841A" w14:textId="6067FF2E" w:rsidR="00C95525" w:rsidRPr="00785872" w:rsidRDefault="00785872" w:rsidP="00785872">
            <w:pPr>
              <w:pStyle w:val="TableText0"/>
              <w:jc w:val="center"/>
              <w:rPr>
                <w:rFonts w:eastAsia="TimesNewRoman"/>
                <w:bCs w:val="0"/>
                <w:iCs/>
                <w:highlight w:val="darkGray"/>
              </w:rPr>
            </w:pPr>
            <w:r w:rsidRPr="00785872">
              <w:rPr>
                <w:iCs/>
              </w:rPr>
              <w:t xml:space="preserve"> </w:t>
            </w:r>
            <w:r w:rsidRPr="00785872">
              <w:rPr>
                <w:rFonts w:hint="eastAsia"/>
                <w:iCs/>
                <w:color w:val="000000"/>
                <w:w w:val="20"/>
                <w:shd w:val="solid" w:color="000000" w:fill="000000"/>
                <w:fitText w:val="90" w:id="-1032081140"/>
                <w14:textFill>
                  <w14:solidFill>
                    <w14:srgbClr w14:val="000000">
                      <w14:alpha w14:val="100000"/>
                    </w14:srgbClr>
                  </w14:solidFill>
                </w14:textFill>
              </w:rPr>
              <w:t xml:space="preserve">　</w:t>
            </w:r>
            <w:r w:rsidRPr="00785872">
              <w:rPr>
                <w:iCs/>
                <w:color w:val="000000"/>
                <w:w w:val="20"/>
                <w:shd w:val="solid" w:color="000000" w:fill="000000"/>
                <w:fitText w:val="90" w:id="-1032081140"/>
                <w14:textFill>
                  <w14:solidFill>
                    <w14:srgbClr w14:val="000000">
                      <w14:alpha w14:val="100000"/>
                    </w14:srgbClr>
                  </w14:solidFill>
                </w14:textFill>
              </w:rPr>
              <w:t>|</w:t>
            </w:r>
            <w:r w:rsidRPr="00785872">
              <w:rPr>
                <w:rFonts w:hint="eastAsia"/>
                <w:iCs/>
                <w:color w:val="000000"/>
                <w:spacing w:val="3"/>
                <w:w w:val="20"/>
                <w:shd w:val="solid" w:color="000000" w:fill="000000"/>
                <w:fitText w:val="90" w:id="-1032081140"/>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7</w:t>
            </w:r>
          </w:p>
        </w:tc>
        <w:tc>
          <w:tcPr>
            <w:tcW w:w="608" w:type="pct"/>
          </w:tcPr>
          <w:p w14:paraId="4125C6B1" w14:textId="2625E9A5" w:rsidR="00C95525" w:rsidRPr="00785872" w:rsidRDefault="00785872" w:rsidP="00785872">
            <w:pPr>
              <w:pStyle w:val="TableText0"/>
              <w:jc w:val="center"/>
              <w:rPr>
                <w:rFonts w:eastAsia="TimesNewRoman"/>
                <w:bCs w:val="0"/>
                <w:iCs/>
                <w:highlight w:val="darkGray"/>
              </w:rPr>
            </w:pPr>
            <w:r w:rsidRPr="00785872">
              <w:rPr>
                <w:iCs/>
              </w:rPr>
              <w:t xml:space="preserve"> </w:t>
            </w:r>
            <w:r w:rsidRPr="00785872">
              <w:rPr>
                <w:rFonts w:hint="eastAsia"/>
                <w:iCs/>
                <w:color w:val="000000"/>
                <w:w w:val="18"/>
                <w:shd w:val="solid" w:color="000000" w:fill="000000"/>
                <w:fitText w:val="80" w:id="-1032081139"/>
                <w14:textFill>
                  <w14:solidFill>
                    <w14:srgbClr w14:val="000000">
                      <w14:alpha w14:val="100000"/>
                    </w14:srgbClr>
                  </w14:solidFill>
                </w14:textFill>
              </w:rPr>
              <w:t xml:space="preserve">　</w:t>
            </w:r>
            <w:r w:rsidRPr="00785872">
              <w:rPr>
                <w:iCs/>
                <w:color w:val="000000"/>
                <w:w w:val="18"/>
                <w:shd w:val="solid" w:color="000000" w:fill="000000"/>
                <w:fitText w:val="80" w:id="-1032081139"/>
                <w14:textFill>
                  <w14:solidFill>
                    <w14:srgbClr w14:val="000000">
                      <w14:alpha w14:val="100000"/>
                    </w14:srgbClr>
                  </w14:solidFill>
                </w14:textFill>
              </w:rPr>
              <w:t>|</w:t>
            </w:r>
            <w:r w:rsidRPr="00785872">
              <w:rPr>
                <w:rFonts w:hint="eastAsia"/>
                <w:iCs/>
                <w:color w:val="000000"/>
                <w:w w:val="18"/>
                <w:shd w:val="solid" w:color="000000" w:fill="000000"/>
                <w:fitText w:val="80" w:id="-1032081139"/>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7</w:t>
            </w:r>
          </w:p>
        </w:tc>
      </w:tr>
      <w:tr w:rsidR="001D66D4" w:rsidRPr="00F92E56" w14:paraId="496C4270" w14:textId="77777777" w:rsidTr="00202CBA">
        <w:tc>
          <w:tcPr>
            <w:tcW w:w="5000" w:type="pct"/>
            <w:gridSpan w:val="7"/>
            <w:shd w:val="clear" w:color="auto" w:fill="auto"/>
            <w:vAlign w:val="center"/>
          </w:tcPr>
          <w:p w14:paraId="64311129" w14:textId="77777777" w:rsidR="001D66D4" w:rsidRPr="00346867" w:rsidRDefault="001D66D4" w:rsidP="00553EDF">
            <w:pPr>
              <w:pStyle w:val="In-tableHeading"/>
              <w:rPr>
                <w:lang w:val="en-AU"/>
              </w:rPr>
            </w:pPr>
            <w:r w:rsidRPr="00346867">
              <w:rPr>
                <w:lang w:val="en-AU"/>
              </w:rPr>
              <w:t>Net financial implications</w:t>
            </w:r>
          </w:p>
        </w:tc>
      </w:tr>
      <w:tr w:rsidR="001D66D4" w:rsidRPr="00F92E56" w14:paraId="2E48E27A" w14:textId="77777777" w:rsidTr="00CE651F">
        <w:tc>
          <w:tcPr>
            <w:tcW w:w="1387" w:type="pct"/>
            <w:shd w:val="clear" w:color="auto" w:fill="auto"/>
            <w:vAlign w:val="center"/>
          </w:tcPr>
          <w:p w14:paraId="593D95C8" w14:textId="77777777" w:rsidR="001D66D4" w:rsidRPr="00F92E56" w:rsidRDefault="001D66D4" w:rsidP="00553EDF">
            <w:pPr>
              <w:pStyle w:val="TableText0"/>
              <w:rPr>
                <w:b/>
                <w:bCs w:val="0"/>
                <w:sz w:val="19"/>
                <w:szCs w:val="19"/>
              </w:rPr>
            </w:pPr>
            <w:r w:rsidRPr="00F92E56">
              <w:rPr>
                <w:b/>
                <w:bCs w:val="0"/>
                <w:sz w:val="19"/>
                <w:szCs w:val="19"/>
              </w:rPr>
              <w:t>Net cost to PBS/RPBS</w:t>
            </w:r>
          </w:p>
        </w:tc>
        <w:tc>
          <w:tcPr>
            <w:tcW w:w="601" w:type="pct"/>
            <w:shd w:val="clear" w:color="auto" w:fill="auto"/>
            <w:vAlign w:val="center"/>
          </w:tcPr>
          <w:p w14:paraId="2AA8045B" w14:textId="2B0A10E3" w:rsidR="001D66D4" w:rsidRPr="00785872" w:rsidRDefault="00785872" w:rsidP="00785872">
            <w:pPr>
              <w:pStyle w:val="TableText0"/>
              <w:jc w:val="center"/>
              <w:rPr>
                <w:b/>
                <w:bCs w:val="0"/>
                <w:highlight w:val="darkGray"/>
              </w:rPr>
            </w:pPr>
            <w:r w:rsidRPr="00785872">
              <w:rPr>
                <w:b/>
                <w:bCs w:val="0"/>
              </w:rPr>
              <w:t xml:space="preserve"> </w:t>
            </w:r>
            <w:r w:rsidRPr="00785872">
              <w:rPr>
                <w:rFonts w:hint="eastAsia"/>
                <w:b/>
                <w:bCs w:val="0"/>
                <w:color w:val="000000"/>
                <w:w w:val="29"/>
                <w:shd w:val="solid" w:color="000000" w:fill="000000"/>
                <w:fitText w:val="130" w:id="-1032081138"/>
                <w14:textFill>
                  <w14:solidFill>
                    <w14:srgbClr w14:val="000000">
                      <w14:alpha w14:val="100000"/>
                    </w14:srgbClr>
                  </w14:solidFill>
                </w14:textFill>
              </w:rPr>
              <w:t xml:space="preserve">　</w:t>
            </w:r>
            <w:r w:rsidRPr="00785872">
              <w:rPr>
                <w:b/>
                <w:bCs w:val="0"/>
                <w:color w:val="000000"/>
                <w:w w:val="29"/>
                <w:shd w:val="solid" w:color="000000" w:fill="000000"/>
                <w:fitText w:val="130" w:id="-1032081138"/>
                <w14:textFill>
                  <w14:solidFill>
                    <w14:srgbClr w14:val="000000">
                      <w14:alpha w14:val="100000"/>
                    </w14:srgbClr>
                  </w14:solidFill>
                </w14:textFill>
              </w:rPr>
              <w:t>|</w:t>
            </w:r>
            <w:r w:rsidRPr="00785872">
              <w:rPr>
                <w:rFonts w:hint="eastAsia"/>
                <w:b/>
                <w:bCs w:val="0"/>
                <w:color w:val="000000"/>
                <w:spacing w:val="1"/>
                <w:w w:val="29"/>
                <w:shd w:val="solid" w:color="000000" w:fill="000000"/>
                <w:fitText w:val="130" w:id="-1032081138"/>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5</w:t>
            </w:r>
          </w:p>
        </w:tc>
        <w:tc>
          <w:tcPr>
            <w:tcW w:w="601" w:type="pct"/>
            <w:shd w:val="clear" w:color="auto" w:fill="auto"/>
            <w:vAlign w:val="center"/>
          </w:tcPr>
          <w:p w14:paraId="0ABBE3B7" w14:textId="5CB8D8B9" w:rsidR="001D66D4" w:rsidRPr="00785872" w:rsidRDefault="00785872" w:rsidP="00785872">
            <w:pPr>
              <w:pStyle w:val="TableText0"/>
              <w:jc w:val="center"/>
              <w:rPr>
                <w:b/>
                <w:bCs w:val="0"/>
                <w:highlight w:val="darkGray"/>
              </w:rPr>
            </w:pPr>
            <w:r w:rsidRPr="00785872">
              <w:rPr>
                <w:b/>
                <w:bCs w:val="0"/>
              </w:rPr>
              <w:t xml:space="preserve"> </w:t>
            </w:r>
            <w:r w:rsidRPr="00785872">
              <w:rPr>
                <w:rFonts w:hint="eastAsia"/>
                <w:b/>
                <w:bCs w:val="0"/>
                <w:color w:val="000000"/>
                <w:w w:val="29"/>
                <w:shd w:val="solid" w:color="000000" w:fill="000000"/>
                <w:fitText w:val="130" w:id="-1032081137"/>
                <w14:textFill>
                  <w14:solidFill>
                    <w14:srgbClr w14:val="000000">
                      <w14:alpha w14:val="100000"/>
                    </w14:srgbClr>
                  </w14:solidFill>
                </w14:textFill>
              </w:rPr>
              <w:t xml:space="preserve">　</w:t>
            </w:r>
            <w:r w:rsidRPr="00785872">
              <w:rPr>
                <w:b/>
                <w:bCs w:val="0"/>
                <w:color w:val="000000"/>
                <w:w w:val="29"/>
                <w:shd w:val="solid" w:color="000000" w:fill="000000"/>
                <w:fitText w:val="130" w:id="-1032081137"/>
                <w14:textFill>
                  <w14:solidFill>
                    <w14:srgbClr w14:val="000000">
                      <w14:alpha w14:val="100000"/>
                    </w14:srgbClr>
                  </w14:solidFill>
                </w14:textFill>
              </w:rPr>
              <w:t>|</w:t>
            </w:r>
            <w:r w:rsidRPr="00785872">
              <w:rPr>
                <w:rFonts w:hint="eastAsia"/>
                <w:b/>
                <w:bCs w:val="0"/>
                <w:color w:val="000000"/>
                <w:spacing w:val="1"/>
                <w:w w:val="29"/>
                <w:shd w:val="solid" w:color="000000" w:fill="000000"/>
                <w:fitText w:val="130" w:id="-1032081137"/>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5</w:t>
            </w:r>
          </w:p>
        </w:tc>
        <w:tc>
          <w:tcPr>
            <w:tcW w:w="601" w:type="pct"/>
            <w:shd w:val="clear" w:color="auto" w:fill="auto"/>
            <w:vAlign w:val="center"/>
          </w:tcPr>
          <w:p w14:paraId="651B8FFC" w14:textId="0E69CB6A" w:rsidR="001D66D4" w:rsidRPr="00785872" w:rsidRDefault="00785872" w:rsidP="00785872">
            <w:pPr>
              <w:pStyle w:val="TableText0"/>
              <w:jc w:val="center"/>
              <w:rPr>
                <w:b/>
                <w:bCs w:val="0"/>
                <w:highlight w:val="darkGray"/>
              </w:rPr>
            </w:pPr>
            <w:r w:rsidRPr="00785872">
              <w:rPr>
                <w:b/>
                <w:bCs w:val="0"/>
              </w:rPr>
              <w:t xml:space="preserve"> </w:t>
            </w:r>
            <w:r w:rsidRPr="00785872">
              <w:rPr>
                <w:rFonts w:hint="eastAsia"/>
                <w:b/>
                <w:bCs w:val="0"/>
                <w:color w:val="000000"/>
                <w:w w:val="29"/>
                <w:shd w:val="solid" w:color="000000" w:fill="000000"/>
                <w:fitText w:val="130" w:id="-1032081136"/>
                <w14:textFill>
                  <w14:solidFill>
                    <w14:srgbClr w14:val="000000">
                      <w14:alpha w14:val="100000"/>
                    </w14:srgbClr>
                  </w14:solidFill>
                </w14:textFill>
              </w:rPr>
              <w:t xml:space="preserve">　</w:t>
            </w:r>
            <w:r w:rsidRPr="00785872">
              <w:rPr>
                <w:b/>
                <w:bCs w:val="0"/>
                <w:color w:val="000000"/>
                <w:w w:val="29"/>
                <w:shd w:val="solid" w:color="000000" w:fill="000000"/>
                <w:fitText w:val="130" w:id="-1032081136"/>
                <w14:textFill>
                  <w14:solidFill>
                    <w14:srgbClr w14:val="000000">
                      <w14:alpha w14:val="100000"/>
                    </w14:srgbClr>
                  </w14:solidFill>
                </w14:textFill>
              </w:rPr>
              <w:t>|</w:t>
            </w:r>
            <w:r w:rsidRPr="00785872">
              <w:rPr>
                <w:rFonts w:hint="eastAsia"/>
                <w:b/>
                <w:bCs w:val="0"/>
                <w:color w:val="000000"/>
                <w:spacing w:val="1"/>
                <w:w w:val="29"/>
                <w:shd w:val="solid" w:color="000000" w:fill="000000"/>
                <w:fitText w:val="130" w:id="-1032081136"/>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5</w:t>
            </w:r>
          </w:p>
        </w:tc>
        <w:tc>
          <w:tcPr>
            <w:tcW w:w="601" w:type="pct"/>
            <w:shd w:val="clear" w:color="auto" w:fill="auto"/>
            <w:vAlign w:val="center"/>
          </w:tcPr>
          <w:p w14:paraId="6D6FB2B3" w14:textId="32B2B66E" w:rsidR="001D66D4" w:rsidRPr="00785872" w:rsidRDefault="00785872" w:rsidP="00785872">
            <w:pPr>
              <w:pStyle w:val="TableText0"/>
              <w:jc w:val="center"/>
              <w:rPr>
                <w:b/>
                <w:bCs w:val="0"/>
                <w:highlight w:val="darkGray"/>
              </w:rPr>
            </w:pPr>
            <w:r w:rsidRPr="00785872">
              <w:rPr>
                <w:b/>
                <w:bCs w:val="0"/>
              </w:rPr>
              <w:t xml:space="preserve"> </w:t>
            </w:r>
            <w:r w:rsidRPr="00785872">
              <w:rPr>
                <w:rFonts w:hint="eastAsia"/>
                <w:b/>
                <w:bCs w:val="0"/>
                <w:color w:val="000000"/>
                <w:w w:val="29"/>
                <w:shd w:val="solid" w:color="000000" w:fill="000000"/>
                <w:fitText w:val="130" w:id="-1032081152"/>
                <w14:textFill>
                  <w14:solidFill>
                    <w14:srgbClr w14:val="000000">
                      <w14:alpha w14:val="100000"/>
                    </w14:srgbClr>
                  </w14:solidFill>
                </w14:textFill>
              </w:rPr>
              <w:t xml:space="preserve">　</w:t>
            </w:r>
            <w:r w:rsidRPr="00785872">
              <w:rPr>
                <w:b/>
                <w:bCs w:val="0"/>
                <w:color w:val="000000"/>
                <w:w w:val="29"/>
                <w:shd w:val="solid" w:color="000000" w:fill="000000"/>
                <w:fitText w:val="130" w:id="-1032081152"/>
                <w14:textFill>
                  <w14:solidFill>
                    <w14:srgbClr w14:val="000000">
                      <w14:alpha w14:val="100000"/>
                    </w14:srgbClr>
                  </w14:solidFill>
                </w14:textFill>
              </w:rPr>
              <w:t>|</w:t>
            </w:r>
            <w:r w:rsidRPr="00785872">
              <w:rPr>
                <w:rFonts w:hint="eastAsia"/>
                <w:b/>
                <w:bCs w:val="0"/>
                <w:color w:val="000000"/>
                <w:spacing w:val="1"/>
                <w:w w:val="29"/>
                <w:shd w:val="solid" w:color="000000" w:fill="000000"/>
                <w:fitText w:val="130" w:id="-1032081152"/>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5</w:t>
            </w:r>
          </w:p>
        </w:tc>
        <w:tc>
          <w:tcPr>
            <w:tcW w:w="601" w:type="pct"/>
            <w:shd w:val="clear" w:color="auto" w:fill="auto"/>
            <w:vAlign w:val="center"/>
          </w:tcPr>
          <w:p w14:paraId="71277C67" w14:textId="7831DF9A" w:rsidR="001D66D4" w:rsidRPr="00785872" w:rsidRDefault="00785872" w:rsidP="00785872">
            <w:pPr>
              <w:pStyle w:val="TableText0"/>
              <w:jc w:val="center"/>
              <w:rPr>
                <w:b/>
                <w:bCs w:val="0"/>
                <w:highlight w:val="darkGray"/>
              </w:rPr>
            </w:pPr>
            <w:r w:rsidRPr="00785872">
              <w:rPr>
                <w:b/>
                <w:bCs w:val="0"/>
              </w:rPr>
              <w:t xml:space="preserve"> </w:t>
            </w:r>
            <w:r w:rsidRPr="00785872">
              <w:rPr>
                <w:rFonts w:hint="eastAsia"/>
                <w:b/>
                <w:bCs w:val="0"/>
                <w:color w:val="000000"/>
                <w:w w:val="29"/>
                <w:shd w:val="solid" w:color="000000" w:fill="000000"/>
                <w:fitText w:val="130" w:id="-1032081151"/>
                <w14:textFill>
                  <w14:solidFill>
                    <w14:srgbClr w14:val="000000">
                      <w14:alpha w14:val="100000"/>
                    </w14:srgbClr>
                  </w14:solidFill>
                </w14:textFill>
              </w:rPr>
              <w:t xml:space="preserve">　</w:t>
            </w:r>
            <w:r w:rsidRPr="00785872">
              <w:rPr>
                <w:b/>
                <w:bCs w:val="0"/>
                <w:color w:val="000000"/>
                <w:w w:val="29"/>
                <w:shd w:val="solid" w:color="000000" w:fill="000000"/>
                <w:fitText w:val="130" w:id="-1032081151"/>
                <w14:textFill>
                  <w14:solidFill>
                    <w14:srgbClr w14:val="000000">
                      <w14:alpha w14:val="100000"/>
                    </w14:srgbClr>
                  </w14:solidFill>
                </w14:textFill>
              </w:rPr>
              <w:t>|</w:t>
            </w:r>
            <w:r w:rsidRPr="00785872">
              <w:rPr>
                <w:rFonts w:hint="eastAsia"/>
                <w:b/>
                <w:bCs w:val="0"/>
                <w:color w:val="000000"/>
                <w:spacing w:val="1"/>
                <w:w w:val="29"/>
                <w:shd w:val="solid" w:color="000000" w:fill="000000"/>
                <w:fitText w:val="130" w:id="-1032081151"/>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5</w:t>
            </w:r>
          </w:p>
        </w:tc>
        <w:tc>
          <w:tcPr>
            <w:tcW w:w="608" w:type="pct"/>
            <w:vAlign w:val="center"/>
          </w:tcPr>
          <w:p w14:paraId="12DC7388" w14:textId="17727216" w:rsidR="001D66D4" w:rsidRPr="00785872" w:rsidRDefault="00785872" w:rsidP="00785872">
            <w:pPr>
              <w:pStyle w:val="TableText0"/>
              <w:jc w:val="center"/>
              <w:rPr>
                <w:b/>
                <w:bCs w:val="0"/>
                <w:highlight w:val="darkGray"/>
              </w:rPr>
            </w:pPr>
            <w:r w:rsidRPr="00785872">
              <w:rPr>
                <w:b/>
                <w:bCs w:val="0"/>
              </w:rPr>
              <w:t xml:space="preserve"> </w:t>
            </w:r>
            <w:r w:rsidRPr="00785872">
              <w:rPr>
                <w:rFonts w:hint="eastAsia"/>
                <w:b/>
                <w:bCs w:val="0"/>
                <w:color w:val="000000"/>
                <w:w w:val="29"/>
                <w:shd w:val="solid" w:color="000000" w:fill="000000"/>
                <w:fitText w:val="130" w:id="-1032081150"/>
                <w14:textFill>
                  <w14:solidFill>
                    <w14:srgbClr w14:val="000000">
                      <w14:alpha w14:val="100000"/>
                    </w14:srgbClr>
                  </w14:solidFill>
                </w14:textFill>
              </w:rPr>
              <w:t xml:space="preserve">　</w:t>
            </w:r>
            <w:r w:rsidRPr="00785872">
              <w:rPr>
                <w:b/>
                <w:bCs w:val="0"/>
                <w:color w:val="000000"/>
                <w:w w:val="29"/>
                <w:shd w:val="solid" w:color="000000" w:fill="000000"/>
                <w:fitText w:val="130" w:id="-1032081150"/>
                <w14:textFill>
                  <w14:solidFill>
                    <w14:srgbClr w14:val="000000">
                      <w14:alpha w14:val="100000"/>
                    </w14:srgbClr>
                  </w14:solidFill>
                </w14:textFill>
              </w:rPr>
              <w:t>|</w:t>
            </w:r>
            <w:r w:rsidRPr="00785872">
              <w:rPr>
                <w:rFonts w:hint="eastAsia"/>
                <w:b/>
                <w:bCs w:val="0"/>
                <w:color w:val="000000"/>
                <w:spacing w:val="1"/>
                <w:w w:val="29"/>
                <w:shd w:val="solid" w:color="000000" w:fill="000000"/>
                <w:fitText w:val="130" w:id="-1032081150"/>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5</w:t>
            </w:r>
          </w:p>
        </w:tc>
      </w:tr>
      <w:tr w:rsidR="00C95525" w:rsidRPr="00F92E56" w14:paraId="08AE6D8C" w14:textId="77777777" w:rsidTr="00CE651F">
        <w:tc>
          <w:tcPr>
            <w:tcW w:w="1387" w:type="pct"/>
            <w:shd w:val="clear" w:color="auto" w:fill="auto"/>
            <w:vAlign w:val="center"/>
          </w:tcPr>
          <w:p w14:paraId="62A57D66" w14:textId="2CBB11FA" w:rsidR="00C95525" w:rsidRPr="00F92E56" w:rsidRDefault="00C95525" w:rsidP="00C95525">
            <w:pPr>
              <w:pStyle w:val="TableText0"/>
              <w:rPr>
                <w:b/>
                <w:bCs w:val="0"/>
                <w:iCs/>
                <w:sz w:val="19"/>
                <w:szCs w:val="19"/>
              </w:rPr>
            </w:pPr>
            <w:r w:rsidRPr="00F92E56">
              <w:rPr>
                <w:b/>
                <w:bCs w:val="0"/>
                <w:iCs/>
                <w:sz w:val="19"/>
                <w:szCs w:val="19"/>
              </w:rPr>
              <w:t>Net cost to PBS/RPBS (revised)</w:t>
            </w:r>
            <w:r w:rsidR="00785872" w:rsidRPr="00785872">
              <w:rPr>
                <w:b/>
                <w:iCs/>
                <w:sz w:val="19"/>
                <w:szCs w:val="19"/>
              </w:rPr>
              <w:t xml:space="preserve"> </w:t>
            </w:r>
          </w:p>
        </w:tc>
        <w:tc>
          <w:tcPr>
            <w:tcW w:w="601" w:type="pct"/>
            <w:shd w:val="clear" w:color="auto" w:fill="auto"/>
          </w:tcPr>
          <w:p w14:paraId="01C8A2E7" w14:textId="23400ECA" w:rsidR="00C95525" w:rsidRPr="00785872" w:rsidRDefault="00785872" w:rsidP="00785872">
            <w:pPr>
              <w:pStyle w:val="TableText0"/>
              <w:jc w:val="center"/>
              <w:rPr>
                <w:b/>
                <w:bCs w:val="0"/>
                <w:iCs/>
                <w:highlight w:val="darkGray"/>
              </w:rPr>
            </w:pPr>
            <w:r w:rsidRPr="00785872">
              <w:rPr>
                <w:b/>
                <w:bCs w:val="0"/>
                <w:iCs/>
              </w:rPr>
              <w:t xml:space="preserve"> </w:t>
            </w:r>
            <w:r w:rsidRPr="00785872">
              <w:rPr>
                <w:rFonts w:hint="eastAsia"/>
                <w:b/>
                <w:bCs w:val="0"/>
                <w:iCs/>
                <w:color w:val="000000"/>
                <w:w w:val="29"/>
                <w:shd w:val="solid" w:color="000000" w:fill="000000"/>
                <w:fitText w:val="130" w:id="-1032081149"/>
                <w14:textFill>
                  <w14:solidFill>
                    <w14:srgbClr w14:val="000000">
                      <w14:alpha w14:val="100000"/>
                    </w14:srgbClr>
                  </w14:solidFill>
                </w14:textFill>
              </w:rPr>
              <w:t xml:space="preserve">　</w:t>
            </w:r>
            <w:r w:rsidRPr="00785872">
              <w:rPr>
                <w:b/>
                <w:bCs w:val="0"/>
                <w:iCs/>
                <w:color w:val="000000"/>
                <w:w w:val="29"/>
                <w:shd w:val="solid" w:color="000000" w:fill="000000"/>
                <w:fitText w:val="130" w:id="-1032081149"/>
                <w14:textFill>
                  <w14:solidFill>
                    <w14:srgbClr w14:val="000000">
                      <w14:alpha w14:val="100000"/>
                    </w14:srgbClr>
                  </w14:solidFill>
                </w14:textFill>
              </w:rPr>
              <w:t>|</w:t>
            </w:r>
            <w:r w:rsidRPr="00785872">
              <w:rPr>
                <w:rFonts w:hint="eastAsia"/>
                <w:b/>
                <w:bCs w:val="0"/>
                <w:iCs/>
                <w:color w:val="000000"/>
                <w:spacing w:val="1"/>
                <w:w w:val="29"/>
                <w:shd w:val="solid" w:color="000000" w:fill="000000"/>
                <w:fitText w:val="130" w:id="-1032081149"/>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5</w:t>
            </w:r>
          </w:p>
        </w:tc>
        <w:tc>
          <w:tcPr>
            <w:tcW w:w="601" w:type="pct"/>
            <w:shd w:val="clear" w:color="auto" w:fill="auto"/>
          </w:tcPr>
          <w:p w14:paraId="091E1A2A" w14:textId="479DE45F" w:rsidR="00C95525" w:rsidRPr="00785872" w:rsidRDefault="00785872" w:rsidP="00785872">
            <w:pPr>
              <w:pStyle w:val="TableText0"/>
              <w:jc w:val="center"/>
              <w:rPr>
                <w:b/>
                <w:bCs w:val="0"/>
                <w:iCs/>
                <w:highlight w:val="darkGray"/>
              </w:rPr>
            </w:pPr>
            <w:r w:rsidRPr="00785872">
              <w:rPr>
                <w:b/>
                <w:bCs w:val="0"/>
                <w:iCs/>
              </w:rPr>
              <w:t xml:space="preserve"> </w:t>
            </w:r>
            <w:r w:rsidRPr="00785872">
              <w:rPr>
                <w:rFonts w:hint="eastAsia"/>
                <w:b/>
                <w:bCs w:val="0"/>
                <w:iCs/>
                <w:color w:val="000000"/>
                <w:w w:val="29"/>
                <w:shd w:val="solid" w:color="000000" w:fill="000000"/>
                <w:fitText w:val="130" w:id="-1032081148"/>
                <w14:textFill>
                  <w14:solidFill>
                    <w14:srgbClr w14:val="000000">
                      <w14:alpha w14:val="100000"/>
                    </w14:srgbClr>
                  </w14:solidFill>
                </w14:textFill>
              </w:rPr>
              <w:t xml:space="preserve">　</w:t>
            </w:r>
            <w:r w:rsidRPr="00785872">
              <w:rPr>
                <w:b/>
                <w:bCs w:val="0"/>
                <w:iCs/>
                <w:color w:val="000000"/>
                <w:w w:val="29"/>
                <w:shd w:val="solid" w:color="000000" w:fill="000000"/>
                <w:fitText w:val="130" w:id="-1032081148"/>
                <w14:textFill>
                  <w14:solidFill>
                    <w14:srgbClr w14:val="000000">
                      <w14:alpha w14:val="100000"/>
                    </w14:srgbClr>
                  </w14:solidFill>
                </w14:textFill>
              </w:rPr>
              <w:t>|</w:t>
            </w:r>
            <w:r w:rsidRPr="00785872">
              <w:rPr>
                <w:rFonts w:hint="eastAsia"/>
                <w:b/>
                <w:bCs w:val="0"/>
                <w:iCs/>
                <w:color w:val="000000"/>
                <w:spacing w:val="1"/>
                <w:w w:val="29"/>
                <w:shd w:val="solid" w:color="000000" w:fill="000000"/>
                <w:fitText w:val="130" w:id="-1032081148"/>
                <w14:textFill>
                  <w14:solidFill>
                    <w14:srgbClr w14:val="000000">
                      <w14:alpha w14:val="100000"/>
                    </w14:srgbClr>
                  </w14:solidFill>
                </w14:textFill>
              </w:rPr>
              <w:t xml:space="preserve">　</w:t>
            </w:r>
            <w:r>
              <w:rPr>
                <w:rFonts w:eastAsiaTheme="minorHAnsi"/>
                <w:bCs w:val="0"/>
                <w:color w:val="222222"/>
                <w:szCs w:val="18"/>
                <w:vertAlign w:val="superscript"/>
                <w:lang w:eastAsia="en-US"/>
              </w:rPr>
              <w:t>6</w:t>
            </w:r>
          </w:p>
        </w:tc>
        <w:tc>
          <w:tcPr>
            <w:tcW w:w="601" w:type="pct"/>
            <w:shd w:val="clear" w:color="auto" w:fill="auto"/>
          </w:tcPr>
          <w:p w14:paraId="62DE711C" w14:textId="653E53EA" w:rsidR="00C95525" w:rsidRPr="00785872" w:rsidRDefault="00785872" w:rsidP="00785872">
            <w:pPr>
              <w:pStyle w:val="TableText0"/>
              <w:jc w:val="center"/>
              <w:rPr>
                <w:b/>
                <w:bCs w:val="0"/>
                <w:iCs/>
                <w:highlight w:val="darkGray"/>
              </w:rPr>
            </w:pPr>
            <w:r w:rsidRPr="00785872">
              <w:rPr>
                <w:b/>
                <w:bCs w:val="0"/>
                <w:iCs/>
              </w:rPr>
              <w:t xml:space="preserve"> </w:t>
            </w:r>
            <w:r w:rsidRPr="00785872">
              <w:rPr>
                <w:rFonts w:hint="eastAsia"/>
                <w:b/>
                <w:bCs w:val="0"/>
                <w:iCs/>
                <w:color w:val="000000"/>
                <w:w w:val="29"/>
                <w:shd w:val="solid" w:color="000000" w:fill="000000"/>
                <w:fitText w:val="130" w:id="-1032081147"/>
                <w14:textFill>
                  <w14:solidFill>
                    <w14:srgbClr w14:val="000000">
                      <w14:alpha w14:val="100000"/>
                    </w14:srgbClr>
                  </w14:solidFill>
                </w14:textFill>
              </w:rPr>
              <w:t xml:space="preserve">　</w:t>
            </w:r>
            <w:r w:rsidRPr="00785872">
              <w:rPr>
                <w:b/>
                <w:bCs w:val="0"/>
                <w:iCs/>
                <w:color w:val="000000"/>
                <w:w w:val="29"/>
                <w:shd w:val="solid" w:color="000000" w:fill="000000"/>
                <w:fitText w:val="130" w:id="-1032081147"/>
                <w14:textFill>
                  <w14:solidFill>
                    <w14:srgbClr w14:val="000000">
                      <w14:alpha w14:val="100000"/>
                    </w14:srgbClr>
                  </w14:solidFill>
                </w14:textFill>
              </w:rPr>
              <w:t>|</w:t>
            </w:r>
            <w:r w:rsidRPr="00785872">
              <w:rPr>
                <w:rFonts w:hint="eastAsia"/>
                <w:b/>
                <w:bCs w:val="0"/>
                <w:iCs/>
                <w:color w:val="000000"/>
                <w:spacing w:val="1"/>
                <w:w w:val="29"/>
                <w:shd w:val="solid" w:color="000000" w:fill="000000"/>
                <w:fitText w:val="130" w:id="-1032081147"/>
                <w14:textFill>
                  <w14:solidFill>
                    <w14:srgbClr w14:val="000000">
                      <w14:alpha w14:val="100000"/>
                    </w14:srgbClr>
                  </w14:solidFill>
                </w14:textFill>
              </w:rPr>
              <w:t xml:space="preserve">　</w:t>
            </w:r>
            <w:r>
              <w:rPr>
                <w:rFonts w:eastAsiaTheme="minorHAnsi"/>
                <w:bCs w:val="0"/>
                <w:color w:val="222222"/>
                <w:szCs w:val="18"/>
                <w:vertAlign w:val="superscript"/>
                <w:lang w:eastAsia="en-US"/>
              </w:rPr>
              <w:t>6</w:t>
            </w:r>
          </w:p>
        </w:tc>
        <w:tc>
          <w:tcPr>
            <w:tcW w:w="601" w:type="pct"/>
            <w:shd w:val="clear" w:color="auto" w:fill="auto"/>
          </w:tcPr>
          <w:p w14:paraId="0AA62452" w14:textId="6511CDAB" w:rsidR="00C95525" w:rsidRPr="00785872" w:rsidRDefault="00785872" w:rsidP="00785872">
            <w:pPr>
              <w:pStyle w:val="TableText0"/>
              <w:jc w:val="center"/>
              <w:rPr>
                <w:b/>
                <w:bCs w:val="0"/>
                <w:iCs/>
                <w:highlight w:val="darkGray"/>
              </w:rPr>
            </w:pPr>
            <w:r w:rsidRPr="00785872">
              <w:rPr>
                <w:b/>
                <w:bCs w:val="0"/>
                <w:iCs/>
              </w:rPr>
              <w:t xml:space="preserve"> </w:t>
            </w:r>
            <w:r w:rsidRPr="00785872">
              <w:rPr>
                <w:rFonts w:hint="eastAsia"/>
                <w:b/>
                <w:bCs w:val="0"/>
                <w:iCs/>
                <w:color w:val="000000"/>
                <w:w w:val="29"/>
                <w:shd w:val="solid" w:color="000000" w:fill="000000"/>
                <w:fitText w:val="130" w:id="-1032081146"/>
                <w14:textFill>
                  <w14:solidFill>
                    <w14:srgbClr w14:val="000000">
                      <w14:alpha w14:val="100000"/>
                    </w14:srgbClr>
                  </w14:solidFill>
                </w14:textFill>
              </w:rPr>
              <w:t xml:space="preserve">　</w:t>
            </w:r>
            <w:r w:rsidRPr="00785872">
              <w:rPr>
                <w:b/>
                <w:bCs w:val="0"/>
                <w:iCs/>
                <w:color w:val="000000"/>
                <w:w w:val="29"/>
                <w:shd w:val="solid" w:color="000000" w:fill="000000"/>
                <w:fitText w:val="130" w:id="-1032081146"/>
                <w14:textFill>
                  <w14:solidFill>
                    <w14:srgbClr w14:val="000000">
                      <w14:alpha w14:val="100000"/>
                    </w14:srgbClr>
                  </w14:solidFill>
                </w14:textFill>
              </w:rPr>
              <w:t>|</w:t>
            </w:r>
            <w:r w:rsidRPr="00785872">
              <w:rPr>
                <w:rFonts w:hint="eastAsia"/>
                <w:b/>
                <w:bCs w:val="0"/>
                <w:iCs/>
                <w:color w:val="000000"/>
                <w:spacing w:val="1"/>
                <w:w w:val="29"/>
                <w:shd w:val="solid" w:color="000000" w:fill="000000"/>
                <w:fitText w:val="130" w:id="-1032081146"/>
                <w14:textFill>
                  <w14:solidFill>
                    <w14:srgbClr w14:val="000000">
                      <w14:alpha w14:val="100000"/>
                    </w14:srgbClr>
                  </w14:solidFill>
                </w14:textFill>
              </w:rPr>
              <w:t xml:space="preserve">　</w:t>
            </w:r>
            <w:r>
              <w:rPr>
                <w:rFonts w:eastAsiaTheme="minorHAnsi"/>
                <w:bCs w:val="0"/>
                <w:color w:val="222222"/>
                <w:szCs w:val="18"/>
                <w:vertAlign w:val="superscript"/>
                <w:lang w:eastAsia="en-US"/>
              </w:rPr>
              <w:t>6</w:t>
            </w:r>
          </w:p>
        </w:tc>
        <w:tc>
          <w:tcPr>
            <w:tcW w:w="601" w:type="pct"/>
            <w:shd w:val="clear" w:color="auto" w:fill="auto"/>
          </w:tcPr>
          <w:p w14:paraId="22CC0A39" w14:textId="4155F5A4" w:rsidR="00C95525" w:rsidRPr="00785872" w:rsidRDefault="00785872" w:rsidP="00785872">
            <w:pPr>
              <w:pStyle w:val="TableText0"/>
              <w:jc w:val="center"/>
              <w:rPr>
                <w:b/>
                <w:bCs w:val="0"/>
                <w:iCs/>
                <w:highlight w:val="darkGray"/>
              </w:rPr>
            </w:pPr>
            <w:r w:rsidRPr="00785872">
              <w:rPr>
                <w:b/>
                <w:bCs w:val="0"/>
                <w:iCs/>
              </w:rPr>
              <w:t xml:space="preserve"> </w:t>
            </w:r>
            <w:r w:rsidRPr="00785872">
              <w:rPr>
                <w:rFonts w:hint="eastAsia"/>
                <w:b/>
                <w:bCs w:val="0"/>
                <w:iCs/>
                <w:color w:val="000000"/>
                <w:w w:val="29"/>
                <w:shd w:val="solid" w:color="000000" w:fill="000000"/>
                <w:fitText w:val="130" w:id="-1032081145"/>
                <w14:textFill>
                  <w14:solidFill>
                    <w14:srgbClr w14:val="000000">
                      <w14:alpha w14:val="100000"/>
                    </w14:srgbClr>
                  </w14:solidFill>
                </w14:textFill>
              </w:rPr>
              <w:t xml:space="preserve">　</w:t>
            </w:r>
            <w:r w:rsidRPr="00785872">
              <w:rPr>
                <w:b/>
                <w:bCs w:val="0"/>
                <w:iCs/>
                <w:color w:val="000000"/>
                <w:w w:val="29"/>
                <w:shd w:val="solid" w:color="000000" w:fill="000000"/>
                <w:fitText w:val="130" w:id="-1032081145"/>
                <w14:textFill>
                  <w14:solidFill>
                    <w14:srgbClr w14:val="000000">
                      <w14:alpha w14:val="100000"/>
                    </w14:srgbClr>
                  </w14:solidFill>
                </w14:textFill>
              </w:rPr>
              <w:t>|</w:t>
            </w:r>
            <w:r w:rsidRPr="00785872">
              <w:rPr>
                <w:rFonts w:hint="eastAsia"/>
                <w:b/>
                <w:bCs w:val="0"/>
                <w:iCs/>
                <w:color w:val="000000"/>
                <w:spacing w:val="1"/>
                <w:w w:val="29"/>
                <w:shd w:val="solid" w:color="000000" w:fill="000000"/>
                <w:fitText w:val="130" w:id="-1032081145"/>
                <w14:textFill>
                  <w14:solidFill>
                    <w14:srgbClr w14:val="000000">
                      <w14:alpha w14:val="100000"/>
                    </w14:srgbClr>
                  </w14:solidFill>
                </w14:textFill>
              </w:rPr>
              <w:t xml:space="preserve">　</w:t>
            </w:r>
            <w:r>
              <w:rPr>
                <w:rFonts w:eastAsiaTheme="minorHAnsi"/>
                <w:bCs w:val="0"/>
                <w:color w:val="222222"/>
                <w:szCs w:val="18"/>
                <w:vertAlign w:val="superscript"/>
                <w:lang w:eastAsia="en-US"/>
              </w:rPr>
              <w:t>6</w:t>
            </w:r>
          </w:p>
        </w:tc>
        <w:tc>
          <w:tcPr>
            <w:tcW w:w="608" w:type="pct"/>
          </w:tcPr>
          <w:p w14:paraId="08B0FB89" w14:textId="18A9B6B9" w:rsidR="00C95525" w:rsidRPr="00785872" w:rsidRDefault="00785872" w:rsidP="00785872">
            <w:pPr>
              <w:pStyle w:val="TableText0"/>
              <w:jc w:val="center"/>
              <w:rPr>
                <w:b/>
                <w:bCs w:val="0"/>
                <w:iCs/>
                <w:highlight w:val="darkGray"/>
              </w:rPr>
            </w:pPr>
            <w:r w:rsidRPr="00785872">
              <w:rPr>
                <w:b/>
                <w:bCs w:val="0"/>
                <w:iCs/>
              </w:rPr>
              <w:t xml:space="preserve"> </w:t>
            </w:r>
            <w:r w:rsidRPr="00785872">
              <w:rPr>
                <w:rFonts w:hint="eastAsia"/>
                <w:b/>
                <w:bCs w:val="0"/>
                <w:iCs/>
                <w:color w:val="000000"/>
                <w:w w:val="29"/>
                <w:shd w:val="solid" w:color="000000" w:fill="000000"/>
                <w:fitText w:val="130" w:id="-1032081144"/>
                <w14:textFill>
                  <w14:solidFill>
                    <w14:srgbClr w14:val="000000">
                      <w14:alpha w14:val="100000"/>
                    </w14:srgbClr>
                  </w14:solidFill>
                </w14:textFill>
              </w:rPr>
              <w:t xml:space="preserve">　</w:t>
            </w:r>
            <w:r w:rsidRPr="00785872">
              <w:rPr>
                <w:b/>
                <w:bCs w:val="0"/>
                <w:iCs/>
                <w:color w:val="000000"/>
                <w:w w:val="29"/>
                <w:shd w:val="solid" w:color="000000" w:fill="000000"/>
                <w:fitText w:val="130" w:id="-1032081144"/>
                <w14:textFill>
                  <w14:solidFill>
                    <w14:srgbClr w14:val="000000">
                      <w14:alpha w14:val="100000"/>
                    </w14:srgbClr>
                  </w14:solidFill>
                </w14:textFill>
              </w:rPr>
              <w:t>|</w:t>
            </w:r>
            <w:r w:rsidRPr="00785872">
              <w:rPr>
                <w:rFonts w:hint="eastAsia"/>
                <w:b/>
                <w:bCs w:val="0"/>
                <w:iCs/>
                <w:color w:val="000000"/>
                <w:spacing w:val="1"/>
                <w:w w:val="29"/>
                <w:shd w:val="solid" w:color="000000" w:fill="000000"/>
                <w:fitText w:val="130" w:id="-1032081144"/>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5</w:t>
            </w:r>
          </w:p>
        </w:tc>
      </w:tr>
      <w:tr w:rsidR="001D66D4" w:rsidRPr="00F92E56" w14:paraId="32E79BA3" w14:textId="77777777" w:rsidTr="00CE651F">
        <w:tc>
          <w:tcPr>
            <w:tcW w:w="1387" w:type="pct"/>
            <w:tcBorders>
              <w:bottom w:val="single" w:sz="4" w:space="0" w:color="auto"/>
            </w:tcBorders>
            <w:shd w:val="clear" w:color="auto" w:fill="auto"/>
            <w:vAlign w:val="center"/>
          </w:tcPr>
          <w:p w14:paraId="3D253365" w14:textId="77777777" w:rsidR="001D66D4" w:rsidRPr="00F92E56" w:rsidRDefault="001D66D4" w:rsidP="00553EDF">
            <w:pPr>
              <w:pStyle w:val="TableText0"/>
              <w:rPr>
                <w:rFonts w:ascii="Times" w:hAnsi="Times"/>
              </w:rPr>
            </w:pPr>
            <w:r w:rsidRPr="00F92E56">
              <w:rPr>
                <w:sz w:val="19"/>
                <w:szCs w:val="19"/>
              </w:rPr>
              <w:t>Net cost to MBS</w:t>
            </w:r>
          </w:p>
        </w:tc>
        <w:tc>
          <w:tcPr>
            <w:tcW w:w="601" w:type="pct"/>
            <w:tcBorders>
              <w:bottom w:val="single" w:sz="4" w:space="0" w:color="auto"/>
            </w:tcBorders>
            <w:shd w:val="clear" w:color="auto" w:fill="auto"/>
            <w:vAlign w:val="center"/>
          </w:tcPr>
          <w:p w14:paraId="573171B2" w14:textId="75A60938" w:rsidR="001D66D4" w:rsidRPr="00785872" w:rsidRDefault="00785872" w:rsidP="00785872">
            <w:pPr>
              <w:pStyle w:val="TableText0"/>
              <w:jc w:val="center"/>
              <w:rPr>
                <w:highlight w:val="darkGray"/>
              </w:rPr>
            </w:pPr>
            <w:r w:rsidRPr="00785872">
              <w:rPr>
                <w:bCs w:val="0"/>
              </w:rPr>
              <w:t xml:space="preserve"> </w:t>
            </w:r>
            <w:r w:rsidRPr="00785872">
              <w:rPr>
                <w:rFonts w:hint="eastAsia"/>
                <w:bCs w:val="0"/>
                <w:color w:val="000000"/>
                <w:w w:val="20"/>
                <w:shd w:val="solid" w:color="000000" w:fill="000000"/>
                <w:fitText w:val="90" w:id="-1032081143"/>
                <w14:textFill>
                  <w14:solidFill>
                    <w14:srgbClr w14:val="000000">
                      <w14:alpha w14:val="100000"/>
                    </w14:srgbClr>
                  </w14:solidFill>
                </w14:textFill>
              </w:rPr>
              <w:t xml:space="preserve">　</w:t>
            </w:r>
            <w:r w:rsidRPr="00785872">
              <w:rPr>
                <w:bCs w:val="0"/>
                <w:color w:val="000000"/>
                <w:w w:val="20"/>
                <w:shd w:val="solid" w:color="000000" w:fill="000000"/>
                <w:fitText w:val="90" w:id="-1032081143"/>
                <w14:textFill>
                  <w14:solidFill>
                    <w14:srgbClr w14:val="000000">
                      <w14:alpha w14:val="100000"/>
                    </w14:srgbClr>
                  </w14:solidFill>
                </w14:textFill>
              </w:rPr>
              <w:t>|</w:t>
            </w:r>
            <w:r w:rsidRPr="00785872">
              <w:rPr>
                <w:rFonts w:hint="eastAsia"/>
                <w:bCs w:val="0"/>
                <w:color w:val="000000"/>
                <w:spacing w:val="3"/>
                <w:w w:val="20"/>
                <w:shd w:val="solid" w:color="000000" w:fill="000000"/>
                <w:fitText w:val="90" w:id="-1032081143"/>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7</w:t>
            </w:r>
          </w:p>
        </w:tc>
        <w:tc>
          <w:tcPr>
            <w:tcW w:w="601" w:type="pct"/>
            <w:tcBorders>
              <w:bottom w:val="single" w:sz="4" w:space="0" w:color="auto"/>
            </w:tcBorders>
            <w:shd w:val="clear" w:color="auto" w:fill="auto"/>
            <w:vAlign w:val="center"/>
          </w:tcPr>
          <w:p w14:paraId="1EE3A8DC" w14:textId="0D21A02D" w:rsidR="001D66D4" w:rsidRPr="00785872" w:rsidRDefault="00785872" w:rsidP="00785872">
            <w:pPr>
              <w:pStyle w:val="TableText0"/>
              <w:jc w:val="center"/>
              <w:rPr>
                <w:highlight w:val="darkGray"/>
              </w:rPr>
            </w:pPr>
            <w:r w:rsidRPr="00785872">
              <w:rPr>
                <w:bCs w:val="0"/>
              </w:rPr>
              <w:t xml:space="preserve"> </w:t>
            </w:r>
            <w:r w:rsidRPr="00785872">
              <w:rPr>
                <w:rFonts w:hint="eastAsia"/>
                <w:bCs w:val="0"/>
                <w:color w:val="000000"/>
                <w:w w:val="20"/>
                <w:shd w:val="solid" w:color="000000" w:fill="000000"/>
                <w:fitText w:val="90" w:id="-1032081142"/>
                <w14:textFill>
                  <w14:solidFill>
                    <w14:srgbClr w14:val="000000">
                      <w14:alpha w14:val="100000"/>
                    </w14:srgbClr>
                  </w14:solidFill>
                </w14:textFill>
              </w:rPr>
              <w:t xml:space="preserve">　</w:t>
            </w:r>
            <w:r w:rsidRPr="00785872">
              <w:rPr>
                <w:bCs w:val="0"/>
                <w:color w:val="000000"/>
                <w:w w:val="20"/>
                <w:shd w:val="solid" w:color="000000" w:fill="000000"/>
                <w:fitText w:val="90" w:id="-1032081142"/>
                <w14:textFill>
                  <w14:solidFill>
                    <w14:srgbClr w14:val="000000">
                      <w14:alpha w14:val="100000"/>
                    </w14:srgbClr>
                  </w14:solidFill>
                </w14:textFill>
              </w:rPr>
              <w:t>|</w:t>
            </w:r>
            <w:r w:rsidRPr="00785872">
              <w:rPr>
                <w:rFonts w:hint="eastAsia"/>
                <w:bCs w:val="0"/>
                <w:color w:val="000000"/>
                <w:spacing w:val="3"/>
                <w:w w:val="20"/>
                <w:shd w:val="solid" w:color="000000" w:fill="000000"/>
                <w:fitText w:val="90" w:id="-1032081142"/>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7</w:t>
            </w:r>
          </w:p>
        </w:tc>
        <w:tc>
          <w:tcPr>
            <w:tcW w:w="601" w:type="pct"/>
            <w:tcBorders>
              <w:bottom w:val="single" w:sz="4" w:space="0" w:color="auto"/>
            </w:tcBorders>
            <w:shd w:val="clear" w:color="auto" w:fill="auto"/>
            <w:vAlign w:val="center"/>
          </w:tcPr>
          <w:p w14:paraId="1ED1C8AE" w14:textId="4570B712" w:rsidR="001D66D4" w:rsidRPr="00785872" w:rsidRDefault="00785872" w:rsidP="00785872">
            <w:pPr>
              <w:pStyle w:val="TableText0"/>
              <w:jc w:val="center"/>
              <w:rPr>
                <w:highlight w:val="darkGray"/>
              </w:rPr>
            </w:pPr>
            <w:r w:rsidRPr="00785872">
              <w:rPr>
                <w:bCs w:val="0"/>
              </w:rPr>
              <w:t xml:space="preserve"> </w:t>
            </w:r>
            <w:r w:rsidRPr="00785872">
              <w:rPr>
                <w:rFonts w:hint="eastAsia"/>
                <w:bCs w:val="0"/>
                <w:color w:val="000000"/>
                <w:w w:val="20"/>
                <w:shd w:val="solid" w:color="000000" w:fill="000000"/>
                <w:fitText w:val="90" w:id="-1032081141"/>
                <w14:textFill>
                  <w14:solidFill>
                    <w14:srgbClr w14:val="000000">
                      <w14:alpha w14:val="100000"/>
                    </w14:srgbClr>
                  </w14:solidFill>
                </w14:textFill>
              </w:rPr>
              <w:t xml:space="preserve">　</w:t>
            </w:r>
            <w:r w:rsidRPr="00785872">
              <w:rPr>
                <w:bCs w:val="0"/>
                <w:color w:val="000000"/>
                <w:w w:val="20"/>
                <w:shd w:val="solid" w:color="000000" w:fill="000000"/>
                <w:fitText w:val="90" w:id="-1032081141"/>
                <w14:textFill>
                  <w14:solidFill>
                    <w14:srgbClr w14:val="000000">
                      <w14:alpha w14:val="100000"/>
                    </w14:srgbClr>
                  </w14:solidFill>
                </w14:textFill>
              </w:rPr>
              <w:t>|</w:t>
            </w:r>
            <w:r w:rsidRPr="00785872">
              <w:rPr>
                <w:rFonts w:hint="eastAsia"/>
                <w:bCs w:val="0"/>
                <w:color w:val="000000"/>
                <w:spacing w:val="3"/>
                <w:w w:val="20"/>
                <w:shd w:val="solid" w:color="000000" w:fill="000000"/>
                <w:fitText w:val="90" w:id="-1032081141"/>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7</w:t>
            </w:r>
          </w:p>
        </w:tc>
        <w:tc>
          <w:tcPr>
            <w:tcW w:w="601" w:type="pct"/>
            <w:tcBorders>
              <w:bottom w:val="single" w:sz="4" w:space="0" w:color="auto"/>
            </w:tcBorders>
            <w:shd w:val="clear" w:color="auto" w:fill="auto"/>
            <w:vAlign w:val="center"/>
          </w:tcPr>
          <w:p w14:paraId="710C7CFF" w14:textId="0346A8A5" w:rsidR="001D66D4" w:rsidRPr="00785872" w:rsidRDefault="00785872" w:rsidP="00785872">
            <w:pPr>
              <w:pStyle w:val="TableText0"/>
              <w:jc w:val="center"/>
              <w:rPr>
                <w:highlight w:val="darkGray"/>
              </w:rPr>
            </w:pPr>
            <w:r w:rsidRPr="00785872">
              <w:rPr>
                <w:bCs w:val="0"/>
              </w:rPr>
              <w:t xml:space="preserve"> </w:t>
            </w:r>
            <w:r w:rsidRPr="00785872">
              <w:rPr>
                <w:rFonts w:hint="eastAsia"/>
                <w:bCs w:val="0"/>
                <w:color w:val="000000"/>
                <w:w w:val="20"/>
                <w:shd w:val="solid" w:color="000000" w:fill="000000"/>
                <w:fitText w:val="90" w:id="-1032081140"/>
                <w14:textFill>
                  <w14:solidFill>
                    <w14:srgbClr w14:val="000000">
                      <w14:alpha w14:val="100000"/>
                    </w14:srgbClr>
                  </w14:solidFill>
                </w14:textFill>
              </w:rPr>
              <w:t xml:space="preserve">　</w:t>
            </w:r>
            <w:r w:rsidRPr="00785872">
              <w:rPr>
                <w:bCs w:val="0"/>
                <w:color w:val="000000"/>
                <w:w w:val="20"/>
                <w:shd w:val="solid" w:color="000000" w:fill="000000"/>
                <w:fitText w:val="90" w:id="-1032081140"/>
                <w14:textFill>
                  <w14:solidFill>
                    <w14:srgbClr w14:val="000000">
                      <w14:alpha w14:val="100000"/>
                    </w14:srgbClr>
                  </w14:solidFill>
                </w14:textFill>
              </w:rPr>
              <w:t>|</w:t>
            </w:r>
            <w:r w:rsidRPr="00785872">
              <w:rPr>
                <w:rFonts w:hint="eastAsia"/>
                <w:bCs w:val="0"/>
                <w:color w:val="000000"/>
                <w:spacing w:val="3"/>
                <w:w w:val="20"/>
                <w:shd w:val="solid" w:color="000000" w:fill="000000"/>
                <w:fitText w:val="90" w:id="-1032081140"/>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8</w:t>
            </w:r>
          </w:p>
        </w:tc>
        <w:tc>
          <w:tcPr>
            <w:tcW w:w="601" w:type="pct"/>
            <w:tcBorders>
              <w:bottom w:val="single" w:sz="4" w:space="0" w:color="auto"/>
            </w:tcBorders>
            <w:shd w:val="clear" w:color="auto" w:fill="auto"/>
            <w:vAlign w:val="center"/>
          </w:tcPr>
          <w:p w14:paraId="07242EE9" w14:textId="632A0302" w:rsidR="001D66D4" w:rsidRPr="00785872" w:rsidRDefault="00785872" w:rsidP="00785872">
            <w:pPr>
              <w:pStyle w:val="TableText0"/>
              <w:jc w:val="center"/>
              <w:rPr>
                <w:highlight w:val="darkGray"/>
              </w:rPr>
            </w:pPr>
            <w:r w:rsidRPr="00785872">
              <w:rPr>
                <w:bCs w:val="0"/>
              </w:rPr>
              <w:t xml:space="preserve"> </w:t>
            </w:r>
            <w:r w:rsidRPr="00785872">
              <w:rPr>
                <w:rFonts w:hint="eastAsia"/>
                <w:bCs w:val="0"/>
                <w:color w:val="000000"/>
                <w:w w:val="20"/>
                <w:shd w:val="solid" w:color="000000" w:fill="000000"/>
                <w:fitText w:val="90" w:id="-1032081139"/>
                <w14:textFill>
                  <w14:solidFill>
                    <w14:srgbClr w14:val="000000">
                      <w14:alpha w14:val="100000"/>
                    </w14:srgbClr>
                  </w14:solidFill>
                </w14:textFill>
              </w:rPr>
              <w:t xml:space="preserve">　</w:t>
            </w:r>
            <w:r w:rsidRPr="00785872">
              <w:rPr>
                <w:bCs w:val="0"/>
                <w:color w:val="000000"/>
                <w:w w:val="20"/>
                <w:shd w:val="solid" w:color="000000" w:fill="000000"/>
                <w:fitText w:val="90" w:id="-1032081139"/>
                <w14:textFill>
                  <w14:solidFill>
                    <w14:srgbClr w14:val="000000">
                      <w14:alpha w14:val="100000"/>
                    </w14:srgbClr>
                  </w14:solidFill>
                </w14:textFill>
              </w:rPr>
              <w:t>|</w:t>
            </w:r>
            <w:r w:rsidRPr="00785872">
              <w:rPr>
                <w:rFonts w:hint="eastAsia"/>
                <w:bCs w:val="0"/>
                <w:color w:val="000000"/>
                <w:spacing w:val="3"/>
                <w:w w:val="20"/>
                <w:shd w:val="solid" w:color="000000" w:fill="000000"/>
                <w:fitText w:val="90" w:id="-1032081139"/>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7</w:t>
            </w:r>
          </w:p>
        </w:tc>
        <w:tc>
          <w:tcPr>
            <w:tcW w:w="608" w:type="pct"/>
            <w:tcBorders>
              <w:bottom w:val="single" w:sz="4" w:space="0" w:color="auto"/>
            </w:tcBorders>
            <w:vAlign w:val="center"/>
          </w:tcPr>
          <w:p w14:paraId="12286642" w14:textId="19613911" w:rsidR="001D66D4" w:rsidRPr="00785872" w:rsidRDefault="00785872" w:rsidP="00785872">
            <w:pPr>
              <w:pStyle w:val="TableText0"/>
              <w:jc w:val="center"/>
              <w:rPr>
                <w:highlight w:val="darkGray"/>
              </w:rPr>
            </w:pPr>
            <w:r w:rsidRPr="00785872">
              <w:rPr>
                <w:bCs w:val="0"/>
              </w:rPr>
              <w:t xml:space="preserve"> </w:t>
            </w:r>
            <w:r w:rsidRPr="00785872">
              <w:rPr>
                <w:rFonts w:hint="eastAsia"/>
                <w:bCs w:val="0"/>
                <w:color w:val="000000"/>
                <w:w w:val="18"/>
                <w:shd w:val="solid" w:color="000000" w:fill="000000"/>
                <w:fitText w:val="80" w:id="-1032081138"/>
                <w14:textFill>
                  <w14:solidFill>
                    <w14:srgbClr w14:val="000000">
                      <w14:alpha w14:val="100000"/>
                    </w14:srgbClr>
                  </w14:solidFill>
                </w14:textFill>
              </w:rPr>
              <w:t xml:space="preserve">　</w:t>
            </w:r>
            <w:r w:rsidRPr="00785872">
              <w:rPr>
                <w:bCs w:val="0"/>
                <w:color w:val="000000"/>
                <w:w w:val="18"/>
                <w:shd w:val="solid" w:color="000000" w:fill="000000"/>
                <w:fitText w:val="80" w:id="-1032081138"/>
                <w14:textFill>
                  <w14:solidFill>
                    <w14:srgbClr w14:val="000000">
                      <w14:alpha w14:val="100000"/>
                    </w14:srgbClr>
                  </w14:solidFill>
                </w14:textFill>
              </w:rPr>
              <w:t>|</w:t>
            </w:r>
            <w:r w:rsidRPr="00785872">
              <w:rPr>
                <w:rFonts w:hint="eastAsia"/>
                <w:bCs w:val="0"/>
                <w:color w:val="000000"/>
                <w:w w:val="18"/>
                <w:shd w:val="solid" w:color="000000" w:fill="000000"/>
                <w:fitText w:val="80" w:id="-1032081138"/>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8</w:t>
            </w:r>
          </w:p>
        </w:tc>
      </w:tr>
      <w:tr w:rsidR="001D66D4" w:rsidRPr="00F92E56" w14:paraId="16834115" w14:textId="77777777" w:rsidTr="00CE651F">
        <w:tc>
          <w:tcPr>
            <w:tcW w:w="1387" w:type="pct"/>
            <w:tcBorders>
              <w:bottom w:val="nil"/>
            </w:tcBorders>
            <w:shd w:val="clear" w:color="auto" w:fill="auto"/>
            <w:vAlign w:val="center"/>
          </w:tcPr>
          <w:p w14:paraId="7A4A95C0" w14:textId="77777777" w:rsidR="001D66D4" w:rsidRPr="00F92E56" w:rsidRDefault="001D66D4" w:rsidP="00553EDF">
            <w:pPr>
              <w:pStyle w:val="TableText0"/>
              <w:rPr>
                <w:sz w:val="19"/>
                <w:szCs w:val="19"/>
              </w:rPr>
            </w:pPr>
            <w:r w:rsidRPr="00F92E56">
              <w:rPr>
                <w:sz w:val="19"/>
                <w:szCs w:val="19"/>
              </w:rPr>
              <w:t>Net cost to Government</w:t>
            </w:r>
          </w:p>
        </w:tc>
        <w:tc>
          <w:tcPr>
            <w:tcW w:w="601" w:type="pct"/>
            <w:tcBorders>
              <w:bottom w:val="nil"/>
            </w:tcBorders>
            <w:shd w:val="clear" w:color="auto" w:fill="auto"/>
            <w:vAlign w:val="center"/>
          </w:tcPr>
          <w:p w14:paraId="1A5FE947" w14:textId="1F336955" w:rsidR="001D66D4" w:rsidRPr="00785872" w:rsidRDefault="00785872" w:rsidP="00785872">
            <w:pPr>
              <w:pStyle w:val="TableText0"/>
              <w:jc w:val="center"/>
              <w:rPr>
                <w:highlight w:val="darkGray"/>
              </w:rPr>
            </w:pPr>
            <w:r w:rsidRPr="00785872">
              <w:rPr>
                <w:bCs w:val="0"/>
              </w:rPr>
              <w:t xml:space="preserve"> </w:t>
            </w:r>
            <w:r w:rsidRPr="00785872">
              <w:rPr>
                <w:rFonts w:hint="eastAsia"/>
                <w:bCs w:val="0"/>
                <w:color w:val="000000"/>
                <w:w w:val="20"/>
                <w:shd w:val="solid" w:color="000000" w:fill="000000"/>
                <w:fitText w:val="90" w:id="-1032081137"/>
                <w14:textFill>
                  <w14:solidFill>
                    <w14:srgbClr w14:val="000000">
                      <w14:alpha w14:val="100000"/>
                    </w14:srgbClr>
                  </w14:solidFill>
                </w14:textFill>
              </w:rPr>
              <w:t xml:space="preserve">　</w:t>
            </w:r>
            <w:r w:rsidRPr="00785872">
              <w:rPr>
                <w:bCs w:val="0"/>
                <w:color w:val="000000"/>
                <w:w w:val="20"/>
                <w:shd w:val="solid" w:color="000000" w:fill="000000"/>
                <w:fitText w:val="90" w:id="-1032081137"/>
                <w14:textFill>
                  <w14:solidFill>
                    <w14:srgbClr w14:val="000000">
                      <w14:alpha w14:val="100000"/>
                    </w14:srgbClr>
                  </w14:solidFill>
                </w14:textFill>
              </w:rPr>
              <w:t>|</w:t>
            </w:r>
            <w:r w:rsidRPr="00785872">
              <w:rPr>
                <w:rFonts w:hint="eastAsia"/>
                <w:bCs w:val="0"/>
                <w:color w:val="000000"/>
                <w:spacing w:val="3"/>
                <w:w w:val="20"/>
                <w:shd w:val="solid" w:color="000000" w:fill="000000"/>
                <w:fitText w:val="90" w:id="-1032081137"/>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5</w:t>
            </w:r>
          </w:p>
        </w:tc>
        <w:tc>
          <w:tcPr>
            <w:tcW w:w="601" w:type="pct"/>
            <w:tcBorders>
              <w:bottom w:val="nil"/>
            </w:tcBorders>
            <w:shd w:val="clear" w:color="auto" w:fill="auto"/>
            <w:vAlign w:val="center"/>
          </w:tcPr>
          <w:p w14:paraId="6C850C73" w14:textId="208B835E" w:rsidR="001D66D4" w:rsidRPr="00785872" w:rsidRDefault="00785872" w:rsidP="00785872">
            <w:pPr>
              <w:pStyle w:val="TableText0"/>
              <w:jc w:val="center"/>
              <w:rPr>
                <w:highlight w:val="darkGray"/>
              </w:rPr>
            </w:pPr>
            <w:r w:rsidRPr="00785872">
              <w:rPr>
                <w:bCs w:val="0"/>
              </w:rPr>
              <w:t xml:space="preserve"> </w:t>
            </w:r>
            <w:r w:rsidRPr="00785872">
              <w:rPr>
                <w:rFonts w:hint="eastAsia"/>
                <w:bCs w:val="0"/>
                <w:color w:val="000000"/>
                <w:w w:val="20"/>
                <w:shd w:val="solid" w:color="000000" w:fill="000000"/>
                <w:fitText w:val="90" w:id="-1032081136"/>
                <w14:textFill>
                  <w14:solidFill>
                    <w14:srgbClr w14:val="000000">
                      <w14:alpha w14:val="100000"/>
                    </w14:srgbClr>
                  </w14:solidFill>
                </w14:textFill>
              </w:rPr>
              <w:t xml:space="preserve">　</w:t>
            </w:r>
            <w:r w:rsidRPr="00785872">
              <w:rPr>
                <w:bCs w:val="0"/>
                <w:color w:val="000000"/>
                <w:w w:val="20"/>
                <w:shd w:val="solid" w:color="000000" w:fill="000000"/>
                <w:fitText w:val="90" w:id="-1032081136"/>
                <w14:textFill>
                  <w14:solidFill>
                    <w14:srgbClr w14:val="000000">
                      <w14:alpha w14:val="100000"/>
                    </w14:srgbClr>
                  </w14:solidFill>
                </w14:textFill>
              </w:rPr>
              <w:t>|</w:t>
            </w:r>
            <w:r w:rsidRPr="00785872">
              <w:rPr>
                <w:rFonts w:hint="eastAsia"/>
                <w:bCs w:val="0"/>
                <w:color w:val="000000"/>
                <w:spacing w:val="3"/>
                <w:w w:val="20"/>
                <w:shd w:val="solid" w:color="000000" w:fill="000000"/>
                <w:fitText w:val="90" w:id="-1032081136"/>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5</w:t>
            </w:r>
          </w:p>
        </w:tc>
        <w:tc>
          <w:tcPr>
            <w:tcW w:w="601" w:type="pct"/>
            <w:tcBorders>
              <w:bottom w:val="nil"/>
            </w:tcBorders>
            <w:shd w:val="clear" w:color="auto" w:fill="auto"/>
            <w:vAlign w:val="center"/>
          </w:tcPr>
          <w:p w14:paraId="473B98CE" w14:textId="49333E3B" w:rsidR="001D66D4" w:rsidRPr="00785872" w:rsidRDefault="00785872" w:rsidP="00785872">
            <w:pPr>
              <w:pStyle w:val="TableText0"/>
              <w:jc w:val="center"/>
              <w:rPr>
                <w:highlight w:val="darkGray"/>
              </w:rPr>
            </w:pPr>
            <w:r w:rsidRPr="00785872">
              <w:rPr>
                <w:bCs w:val="0"/>
              </w:rPr>
              <w:t xml:space="preserve"> </w:t>
            </w:r>
            <w:r w:rsidRPr="00785872">
              <w:rPr>
                <w:rFonts w:hint="eastAsia"/>
                <w:bCs w:val="0"/>
                <w:color w:val="000000"/>
                <w:w w:val="20"/>
                <w:shd w:val="solid" w:color="000000" w:fill="000000"/>
                <w:fitText w:val="90" w:id="-1032081152"/>
                <w14:textFill>
                  <w14:solidFill>
                    <w14:srgbClr w14:val="000000">
                      <w14:alpha w14:val="100000"/>
                    </w14:srgbClr>
                  </w14:solidFill>
                </w14:textFill>
              </w:rPr>
              <w:t xml:space="preserve">　</w:t>
            </w:r>
            <w:r w:rsidRPr="00785872">
              <w:rPr>
                <w:bCs w:val="0"/>
                <w:color w:val="000000"/>
                <w:w w:val="20"/>
                <w:shd w:val="solid" w:color="000000" w:fill="000000"/>
                <w:fitText w:val="90" w:id="-1032081152"/>
                <w14:textFill>
                  <w14:solidFill>
                    <w14:srgbClr w14:val="000000">
                      <w14:alpha w14:val="100000"/>
                    </w14:srgbClr>
                  </w14:solidFill>
                </w14:textFill>
              </w:rPr>
              <w:t>|</w:t>
            </w:r>
            <w:r w:rsidRPr="00785872">
              <w:rPr>
                <w:rFonts w:hint="eastAsia"/>
                <w:bCs w:val="0"/>
                <w:color w:val="000000"/>
                <w:spacing w:val="3"/>
                <w:w w:val="20"/>
                <w:shd w:val="solid" w:color="000000" w:fill="000000"/>
                <w:fitText w:val="90" w:id="-1032081152"/>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5</w:t>
            </w:r>
          </w:p>
        </w:tc>
        <w:tc>
          <w:tcPr>
            <w:tcW w:w="601" w:type="pct"/>
            <w:tcBorders>
              <w:bottom w:val="nil"/>
            </w:tcBorders>
            <w:shd w:val="clear" w:color="auto" w:fill="auto"/>
            <w:vAlign w:val="center"/>
          </w:tcPr>
          <w:p w14:paraId="5461E895" w14:textId="10A2729C" w:rsidR="001D66D4" w:rsidRPr="00785872" w:rsidRDefault="00785872" w:rsidP="00785872">
            <w:pPr>
              <w:pStyle w:val="TableText0"/>
              <w:jc w:val="center"/>
              <w:rPr>
                <w:highlight w:val="darkGray"/>
              </w:rPr>
            </w:pPr>
            <w:r w:rsidRPr="00785872">
              <w:rPr>
                <w:bCs w:val="0"/>
              </w:rPr>
              <w:t xml:space="preserve"> </w:t>
            </w:r>
            <w:r w:rsidRPr="00785872">
              <w:rPr>
                <w:rFonts w:hint="eastAsia"/>
                <w:bCs w:val="0"/>
                <w:color w:val="000000"/>
                <w:w w:val="20"/>
                <w:shd w:val="solid" w:color="000000" w:fill="000000"/>
                <w:fitText w:val="90" w:id="-1032081151"/>
                <w14:textFill>
                  <w14:solidFill>
                    <w14:srgbClr w14:val="000000">
                      <w14:alpha w14:val="100000"/>
                    </w14:srgbClr>
                  </w14:solidFill>
                </w14:textFill>
              </w:rPr>
              <w:t xml:space="preserve">　</w:t>
            </w:r>
            <w:r w:rsidRPr="00785872">
              <w:rPr>
                <w:bCs w:val="0"/>
                <w:color w:val="000000"/>
                <w:w w:val="20"/>
                <w:shd w:val="solid" w:color="000000" w:fill="000000"/>
                <w:fitText w:val="90" w:id="-1032081151"/>
                <w14:textFill>
                  <w14:solidFill>
                    <w14:srgbClr w14:val="000000">
                      <w14:alpha w14:val="100000"/>
                    </w14:srgbClr>
                  </w14:solidFill>
                </w14:textFill>
              </w:rPr>
              <w:t>|</w:t>
            </w:r>
            <w:r w:rsidRPr="00785872">
              <w:rPr>
                <w:rFonts w:hint="eastAsia"/>
                <w:bCs w:val="0"/>
                <w:color w:val="000000"/>
                <w:spacing w:val="3"/>
                <w:w w:val="20"/>
                <w:shd w:val="solid" w:color="000000" w:fill="000000"/>
                <w:fitText w:val="90" w:id="-1032081151"/>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5</w:t>
            </w:r>
          </w:p>
        </w:tc>
        <w:tc>
          <w:tcPr>
            <w:tcW w:w="601" w:type="pct"/>
            <w:tcBorders>
              <w:bottom w:val="nil"/>
            </w:tcBorders>
            <w:shd w:val="clear" w:color="auto" w:fill="auto"/>
            <w:vAlign w:val="center"/>
          </w:tcPr>
          <w:p w14:paraId="4B247C7D" w14:textId="39A8E57E" w:rsidR="001D66D4" w:rsidRPr="00785872" w:rsidRDefault="00785872" w:rsidP="00785872">
            <w:pPr>
              <w:pStyle w:val="TableText0"/>
              <w:jc w:val="center"/>
              <w:rPr>
                <w:highlight w:val="darkGray"/>
              </w:rPr>
            </w:pPr>
            <w:r w:rsidRPr="00785872">
              <w:rPr>
                <w:bCs w:val="0"/>
              </w:rPr>
              <w:t xml:space="preserve"> </w:t>
            </w:r>
            <w:r w:rsidRPr="00785872">
              <w:rPr>
                <w:rFonts w:hint="eastAsia"/>
                <w:bCs w:val="0"/>
                <w:color w:val="000000"/>
                <w:w w:val="20"/>
                <w:shd w:val="solid" w:color="000000" w:fill="000000"/>
                <w:fitText w:val="90" w:id="-1032081150"/>
                <w14:textFill>
                  <w14:solidFill>
                    <w14:srgbClr w14:val="000000">
                      <w14:alpha w14:val="100000"/>
                    </w14:srgbClr>
                  </w14:solidFill>
                </w14:textFill>
              </w:rPr>
              <w:t xml:space="preserve">　</w:t>
            </w:r>
            <w:r w:rsidRPr="00785872">
              <w:rPr>
                <w:bCs w:val="0"/>
                <w:color w:val="000000"/>
                <w:w w:val="20"/>
                <w:shd w:val="solid" w:color="000000" w:fill="000000"/>
                <w:fitText w:val="90" w:id="-1032081150"/>
                <w14:textFill>
                  <w14:solidFill>
                    <w14:srgbClr w14:val="000000">
                      <w14:alpha w14:val="100000"/>
                    </w14:srgbClr>
                  </w14:solidFill>
                </w14:textFill>
              </w:rPr>
              <w:t>|</w:t>
            </w:r>
            <w:r w:rsidRPr="00785872">
              <w:rPr>
                <w:rFonts w:hint="eastAsia"/>
                <w:bCs w:val="0"/>
                <w:color w:val="000000"/>
                <w:spacing w:val="3"/>
                <w:w w:val="20"/>
                <w:shd w:val="solid" w:color="000000" w:fill="000000"/>
                <w:fitText w:val="90" w:id="-1032081150"/>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5</w:t>
            </w:r>
          </w:p>
        </w:tc>
        <w:tc>
          <w:tcPr>
            <w:tcW w:w="608" w:type="pct"/>
            <w:tcBorders>
              <w:bottom w:val="nil"/>
            </w:tcBorders>
            <w:vAlign w:val="center"/>
          </w:tcPr>
          <w:p w14:paraId="51C89183" w14:textId="6CFA53CD" w:rsidR="001D66D4" w:rsidRPr="00785872" w:rsidRDefault="00785872" w:rsidP="00785872">
            <w:pPr>
              <w:pStyle w:val="TableText0"/>
              <w:jc w:val="center"/>
              <w:rPr>
                <w:highlight w:val="darkGray"/>
              </w:rPr>
            </w:pPr>
            <w:r w:rsidRPr="00785872">
              <w:rPr>
                <w:bCs w:val="0"/>
              </w:rPr>
              <w:t xml:space="preserve"> </w:t>
            </w:r>
            <w:r w:rsidRPr="00785872">
              <w:rPr>
                <w:rFonts w:hint="eastAsia"/>
                <w:bCs w:val="0"/>
                <w:color w:val="000000"/>
                <w:w w:val="18"/>
                <w:shd w:val="solid" w:color="000000" w:fill="000000"/>
                <w:fitText w:val="80" w:id="-1032081149"/>
                <w14:textFill>
                  <w14:solidFill>
                    <w14:srgbClr w14:val="000000">
                      <w14:alpha w14:val="100000"/>
                    </w14:srgbClr>
                  </w14:solidFill>
                </w14:textFill>
              </w:rPr>
              <w:t xml:space="preserve">　</w:t>
            </w:r>
            <w:r w:rsidRPr="00785872">
              <w:rPr>
                <w:bCs w:val="0"/>
                <w:color w:val="000000"/>
                <w:w w:val="18"/>
                <w:shd w:val="solid" w:color="000000" w:fill="000000"/>
                <w:fitText w:val="80" w:id="-1032081149"/>
                <w14:textFill>
                  <w14:solidFill>
                    <w14:srgbClr w14:val="000000">
                      <w14:alpha w14:val="100000"/>
                    </w14:srgbClr>
                  </w14:solidFill>
                </w14:textFill>
              </w:rPr>
              <w:t>|</w:t>
            </w:r>
            <w:r w:rsidRPr="00785872">
              <w:rPr>
                <w:rFonts w:hint="eastAsia"/>
                <w:bCs w:val="0"/>
                <w:color w:val="000000"/>
                <w:w w:val="18"/>
                <w:shd w:val="solid" w:color="000000" w:fill="000000"/>
                <w:fitText w:val="80" w:id="-1032081149"/>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5</w:t>
            </w:r>
          </w:p>
        </w:tc>
      </w:tr>
      <w:tr w:rsidR="00C95525" w:rsidRPr="00F92E56" w14:paraId="14BA9DCE" w14:textId="77777777" w:rsidTr="00CE651F">
        <w:tc>
          <w:tcPr>
            <w:tcW w:w="1387" w:type="pct"/>
            <w:tcBorders>
              <w:top w:val="nil"/>
            </w:tcBorders>
            <w:shd w:val="clear" w:color="auto" w:fill="auto"/>
            <w:vAlign w:val="center"/>
          </w:tcPr>
          <w:p w14:paraId="666C5B35" w14:textId="70E6AFDB" w:rsidR="00C95525" w:rsidRPr="00F92E56" w:rsidRDefault="00C95525" w:rsidP="00C95525">
            <w:pPr>
              <w:pStyle w:val="TableText0"/>
              <w:rPr>
                <w:iCs/>
                <w:sz w:val="19"/>
                <w:szCs w:val="19"/>
              </w:rPr>
            </w:pPr>
            <w:r w:rsidRPr="00F92E56">
              <w:rPr>
                <w:iCs/>
                <w:sz w:val="19"/>
                <w:szCs w:val="19"/>
              </w:rPr>
              <w:t>Revised</w:t>
            </w:r>
            <w:r w:rsidRPr="00F92E56">
              <w:rPr>
                <w:iCs/>
                <w:sz w:val="19"/>
                <w:szCs w:val="19"/>
                <w:vertAlign w:val="superscript"/>
              </w:rPr>
              <w:t xml:space="preserve"> </w:t>
            </w:r>
          </w:p>
        </w:tc>
        <w:tc>
          <w:tcPr>
            <w:tcW w:w="601" w:type="pct"/>
            <w:tcBorders>
              <w:top w:val="nil"/>
            </w:tcBorders>
            <w:shd w:val="clear" w:color="auto" w:fill="auto"/>
          </w:tcPr>
          <w:p w14:paraId="65F3FD9B" w14:textId="49169199" w:rsidR="00C95525" w:rsidRPr="00785872" w:rsidRDefault="00785872" w:rsidP="00785872">
            <w:pPr>
              <w:pStyle w:val="TableText0"/>
              <w:jc w:val="center"/>
              <w:rPr>
                <w:bCs w:val="0"/>
                <w:iCs/>
                <w:highlight w:val="darkGray"/>
              </w:rPr>
            </w:pPr>
            <w:r w:rsidRPr="00785872">
              <w:rPr>
                <w:iCs/>
              </w:rPr>
              <w:t xml:space="preserve"> </w:t>
            </w:r>
            <w:r w:rsidRPr="00785872">
              <w:rPr>
                <w:rFonts w:hint="eastAsia"/>
                <w:iCs/>
                <w:color w:val="000000"/>
                <w:w w:val="20"/>
                <w:shd w:val="solid" w:color="000000" w:fill="000000"/>
                <w:fitText w:val="90" w:id="-1032081148"/>
                <w14:textFill>
                  <w14:solidFill>
                    <w14:srgbClr w14:val="000000">
                      <w14:alpha w14:val="100000"/>
                    </w14:srgbClr>
                  </w14:solidFill>
                </w14:textFill>
              </w:rPr>
              <w:t xml:space="preserve">　</w:t>
            </w:r>
            <w:r w:rsidRPr="00785872">
              <w:rPr>
                <w:iCs/>
                <w:color w:val="000000"/>
                <w:w w:val="20"/>
                <w:shd w:val="solid" w:color="000000" w:fill="000000"/>
                <w:fitText w:val="90" w:id="-1032081148"/>
                <w14:textFill>
                  <w14:solidFill>
                    <w14:srgbClr w14:val="000000">
                      <w14:alpha w14:val="100000"/>
                    </w14:srgbClr>
                  </w14:solidFill>
                </w14:textFill>
              </w:rPr>
              <w:t>|</w:t>
            </w:r>
            <w:r w:rsidRPr="00785872">
              <w:rPr>
                <w:rFonts w:hint="eastAsia"/>
                <w:iCs/>
                <w:color w:val="000000"/>
                <w:spacing w:val="3"/>
                <w:w w:val="20"/>
                <w:shd w:val="solid" w:color="000000" w:fill="000000"/>
                <w:fitText w:val="90" w:id="-1032081148"/>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5</w:t>
            </w:r>
          </w:p>
        </w:tc>
        <w:tc>
          <w:tcPr>
            <w:tcW w:w="601" w:type="pct"/>
            <w:tcBorders>
              <w:top w:val="nil"/>
            </w:tcBorders>
            <w:shd w:val="clear" w:color="auto" w:fill="auto"/>
          </w:tcPr>
          <w:p w14:paraId="5C551F17" w14:textId="03C4279B" w:rsidR="00C95525" w:rsidRPr="00785872" w:rsidRDefault="00785872" w:rsidP="00785872">
            <w:pPr>
              <w:pStyle w:val="TableText0"/>
              <w:jc w:val="center"/>
              <w:rPr>
                <w:bCs w:val="0"/>
                <w:iCs/>
                <w:highlight w:val="darkGray"/>
              </w:rPr>
            </w:pPr>
            <w:r w:rsidRPr="00785872">
              <w:rPr>
                <w:iCs/>
              </w:rPr>
              <w:t xml:space="preserve"> </w:t>
            </w:r>
            <w:r w:rsidRPr="00785872">
              <w:rPr>
                <w:rFonts w:hint="eastAsia"/>
                <w:iCs/>
                <w:color w:val="000000"/>
                <w:w w:val="20"/>
                <w:shd w:val="solid" w:color="000000" w:fill="000000"/>
                <w:fitText w:val="90" w:id="-1032081147"/>
                <w14:textFill>
                  <w14:solidFill>
                    <w14:srgbClr w14:val="000000">
                      <w14:alpha w14:val="100000"/>
                    </w14:srgbClr>
                  </w14:solidFill>
                </w14:textFill>
              </w:rPr>
              <w:t xml:space="preserve">　</w:t>
            </w:r>
            <w:r w:rsidRPr="00785872">
              <w:rPr>
                <w:iCs/>
                <w:color w:val="000000"/>
                <w:w w:val="20"/>
                <w:shd w:val="solid" w:color="000000" w:fill="000000"/>
                <w:fitText w:val="90" w:id="-1032081147"/>
                <w14:textFill>
                  <w14:solidFill>
                    <w14:srgbClr w14:val="000000">
                      <w14:alpha w14:val="100000"/>
                    </w14:srgbClr>
                  </w14:solidFill>
                </w14:textFill>
              </w:rPr>
              <w:t>|</w:t>
            </w:r>
            <w:r w:rsidRPr="00785872">
              <w:rPr>
                <w:rFonts w:hint="eastAsia"/>
                <w:iCs/>
                <w:color w:val="000000"/>
                <w:spacing w:val="3"/>
                <w:w w:val="20"/>
                <w:shd w:val="solid" w:color="000000" w:fill="000000"/>
                <w:fitText w:val="90" w:id="-1032081147"/>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6</w:t>
            </w:r>
          </w:p>
        </w:tc>
        <w:tc>
          <w:tcPr>
            <w:tcW w:w="601" w:type="pct"/>
            <w:tcBorders>
              <w:top w:val="nil"/>
            </w:tcBorders>
            <w:shd w:val="clear" w:color="auto" w:fill="auto"/>
          </w:tcPr>
          <w:p w14:paraId="489691E4" w14:textId="4995B622" w:rsidR="00C95525" w:rsidRPr="00785872" w:rsidRDefault="00785872" w:rsidP="00785872">
            <w:pPr>
              <w:pStyle w:val="TableText0"/>
              <w:jc w:val="center"/>
              <w:rPr>
                <w:bCs w:val="0"/>
                <w:iCs/>
                <w:highlight w:val="darkGray"/>
              </w:rPr>
            </w:pPr>
            <w:r w:rsidRPr="00785872">
              <w:rPr>
                <w:iCs/>
              </w:rPr>
              <w:t xml:space="preserve"> </w:t>
            </w:r>
            <w:r w:rsidRPr="00785872">
              <w:rPr>
                <w:rFonts w:hint="eastAsia"/>
                <w:iCs/>
                <w:color w:val="000000"/>
                <w:w w:val="20"/>
                <w:shd w:val="solid" w:color="000000" w:fill="000000"/>
                <w:fitText w:val="90" w:id="-1032081146"/>
                <w14:textFill>
                  <w14:solidFill>
                    <w14:srgbClr w14:val="000000">
                      <w14:alpha w14:val="100000"/>
                    </w14:srgbClr>
                  </w14:solidFill>
                </w14:textFill>
              </w:rPr>
              <w:t xml:space="preserve">　</w:t>
            </w:r>
            <w:r w:rsidRPr="00785872">
              <w:rPr>
                <w:iCs/>
                <w:color w:val="000000"/>
                <w:w w:val="20"/>
                <w:shd w:val="solid" w:color="000000" w:fill="000000"/>
                <w:fitText w:val="90" w:id="-1032081146"/>
                <w14:textFill>
                  <w14:solidFill>
                    <w14:srgbClr w14:val="000000">
                      <w14:alpha w14:val="100000"/>
                    </w14:srgbClr>
                  </w14:solidFill>
                </w14:textFill>
              </w:rPr>
              <w:t>|</w:t>
            </w:r>
            <w:r w:rsidRPr="00785872">
              <w:rPr>
                <w:rFonts w:hint="eastAsia"/>
                <w:iCs/>
                <w:color w:val="000000"/>
                <w:spacing w:val="3"/>
                <w:w w:val="20"/>
                <w:shd w:val="solid" w:color="000000" w:fill="000000"/>
                <w:fitText w:val="90" w:id="-1032081146"/>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6</w:t>
            </w:r>
          </w:p>
        </w:tc>
        <w:tc>
          <w:tcPr>
            <w:tcW w:w="601" w:type="pct"/>
            <w:tcBorders>
              <w:top w:val="nil"/>
            </w:tcBorders>
            <w:shd w:val="clear" w:color="auto" w:fill="auto"/>
          </w:tcPr>
          <w:p w14:paraId="5367BE2E" w14:textId="62E56A45" w:rsidR="00C95525" w:rsidRPr="00785872" w:rsidRDefault="00785872" w:rsidP="00785872">
            <w:pPr>
              <w:pStyle w:val="TableText0"/>
              <w:jc w:val="center"/>
              <w:rPr>
                <w:bCs w:val="0"/>
                <w:iCs/>
                <w:highlight w:val="darkGray"/>
              </w:rPr>
            </w:pPr>
            <w:r w:rsidRPr="00785872">
              <w:rPr>
                <w:iCs/>
              </w:rPr>
              <w:t xml:space="preserve"> </w:t>
            </w:r>
            <w:r w:rsidRPr="00785872">
              <w:rPr>
                <w:rFonts w:hint="eastAsia"/>
                <w:iCs/>
                <w:color w:val="000000"/>
                <w:w w:val="20"/>
                <w:shd w:val="solid" w:color="000000" w:fill="000000"/>
                <w:fitText w:val="90" w:id="-1032081145"/>
                <w14:textFill>
                  <w14:solidFill>
                    <w14:srgbClr w14:val="000000">
                      <w14:alpha w14:val="100000"/>
                    </w14:srgbClr>
                  </w14:solidFill>
                </w14:textFill>
              </w:rPr>
              <w:t xml:space="preserve">　</w:t>
            </w:r>
            <w:r w:rsidRPr="00785872">
              <w:rPr>
                <w:iCs/>
                <w:color w:val="000000"/>
                <w:w w:val="20"/>
                <w:shd w:val="solid" w:color="000000" w:fill="000000"/>
                <w:fitText w:val="90" w:id="-1032081145"/>
                <w14:textFill>
                  <w14:solidFill>
                    <w14:srgbClr w14:val="000000">
                      <w14:alpha w14:val="100000"/>
                    </w14:srgbClr>
                  </w14:solidFill>
                </w14:textFill>
              </w:rPr>
              <w:t>|</w:t>
            </w:r>
            <w:r w:rsidRPr="00785872">
              <w:rPr>
                <w:rFonts w:hint="eastAsia"/>
                <w:iCs/>
                <w:color w:val="000000"/>
                <w:spacing w:val="3"/>
                <w:w w:val="20"/>
                <w:shd w:val="solid" w:color="000000" w:fill="000000"/>
                <w:fitText w:val="90" w:id="-1032081145"/>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6</w:t>
            </w:r>
          </w:p>
        </w:tc>
        <w:tc>
          <w:tcPr>
            <w:tcW w:w="601" w:type="pct"/>
            <w:tcBorders>
              <w:top w:val="nil"/>
            </w:tcBorders>
            <w:shd w:val="clear" w:color="auto" w:fill="auto"/>
          </w:tcPr>
          <w:p w14:paraId="4DF7C932" w14:textId="00D2A0FA" w:rsidR="00C95525" w:rsidRPr="00785872" w:rsidRDefault="00785872" w:rsidP="00785872">
            <w:pPr>
              <w:pStyle w:val="TableText0"/>
              <w:jc w:val="center"/>
              <w:rPr>
                <w:bCs w:val="0"/>
                <w:iCs/>
                <w:highlight w:val="darkGray"/>
              </w:rPr>
            </w:pPr>
            <w:r w:rsidRPr="00785872">
              <w:rPr>
                <w:iCs/>
              </w:rPr>
              <w:t xml:space="preserve"> </w:t>
            </w:r>
            <w:r w:rsidRPr="00785872">
              <w:rPr>
                <w:rFonts w:hint="eastAsia"/>
                <w:iCs/>
                <w:color w:val="000000"/>
                <w:w w:val="20"/>
                <w:shd w:val="solid" w:color="000000" w:fill="000000"/>
                <w:fitText w:val="90" w:id="-1032081144"/>
                <w14:textFill>
                  <w14:solidFill>
                    <w14:srgbClr w14:val="000000">
                      <w14:alpha w14:val="100000"/>
                    </w14:srgbClr>
                  </w14:solidFill>
                </w14:textFill>
              </w:rPr>
              <w:t xml:space="preserve">　</w:t>
            </w:r>
            <w:r w:rsidRPr="00785872">
              <w:rPr>
                <w:iCs/>
                <w:color w:val="000000"/>
                <w:w w:val="20"/>
                <w:shd w:val="solid" w:color="000000" w:fill="000000"/>
                <w:fitText w:val="90" w:id="-1032081144"/>
                <w14:textFill>
                  <w14:solidFill>
                    <w14:srgbClr w14:val="000000">
                      <w14:alpha w14:val="100000"/>
                    </w14:srgbClr>
                  </w14:solidFill>
                </w14:textFill>
              </w:rPr>
              <w:t>|</w:t>
            </w:r>
            <w:r w:rsidRPr="00785872">
              <w:rPr>
                <w:rFonts w:hint="eastAsia"/>
                <w:iCs/>
                <w:color w:val="000000"/>
                <w:spacing w:val="3"/>
                <w:w w:val="20"/>
                <w:shd w:val="solid" w:color="000000" w:fill="000000"/>
                <w:fitText w:val="90" w:id="-1032081144"/>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6</w:t>
            </w:r>
          </w:p>
        </w:tc>
        <w:tc>
          <w:tcPr>
            <w:tcW w:w="608" w:type="pct"/>
            <w:tcBorders>
              <w:top w:val="nil"/>
            </w:tcBorders>
          </w:tcPr>
          <w:p w14:paraId="35EE5EE1" w14:textId="7CC7C130" w:rsidR="00C95525" w:rsidRPr="00785872" w:rsidRDefault="00785872" w:rsidP="00785872">
            <w:pPr>
              <w:pStyle w:val="TableText0"/>
              <w:jc w:val="center"/>
              <w:rPr>
                <w:bCs w:val="0"/>
                <w:iCs/>
                <w:highlight w:val="darkGray"/>
              </w:rPr>
            </w:pPr>
            <w:r w:rsidRPr="00785872">
              <w:rPr>
                <w:iCs/>
              </w:rPr>
              <w:t xml:space="preserve"> </w:t>
            </w:r>
            <w:r w:rsidRPr="00785872">
              <w:rPr>
                <w:rFonts w:hint="eastAsia"/>
                <w:iCs/>
                <w:color w:val="000000"/>
                <w:w w:val="18"/>
                <w:shd w:val="solid" w:color="000000" w:fill="000000"/>
                <w:fitText w:val="80" w:id="-1032081143"/>
                <w14:textFill>
                  <w14:solidFill>
                    <w14:srgbClr w14:val="000000">
                      <w14:alpha w14:val="100000"/>
                    </w14:srgbClr>
                  </w14:solidFill>
                </w14:textFill>
              </w:rPr>
              <w:t xml:space="preserve">　</w:t>
            </w:r>
            <w:r w:rsidRPr="00785872">
              <w:rPr>
                <w:iCs/>
                <w:color w:val="000000"/>
                <w:w w:val="18"/>
                <w:shd w:val="solid" w:color="000000" w:fill="000000"/>
                <w:fitText w:val="80" w:id="-1032081143"/>
                <w14:textFill>
                  <w14:solidFill>
                    <w14:srgbClr w14:val="000000">
                      <w14:alpha w14:val="100000"/>
                    </w14:srgbClr>
                  </w14:solidFill>
                </w14:textFill>
              </w:rPr>
              <w:t>|</w:t>
            </w:r>
            <w:r w:rsidRPr="00785872">
              <w:rPr>
                <w:rFonts w:hint="eastAsia"/>
                <w:iCs/>
                <w:color w:val="000000"/>
                <w:w w:val="18"/>
                <w:shd w:val="solid" w:color="000000" w:fill="000000"/>
                <w:fitText w:val="80" w:id="-1032081143"/>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5</w:t>
            </w:r>
          </w:p>
        </w:tc>
      </w:tr>
      <w:tr w:rsidR="001D66D4" w:rsidRPr="00F92E56" w14:paraId="60389744" w14:textId="77777777" w:rsidTr="00202CBA">
        <w:tc>
          <w:tcPr>
            <w:tcW w:w="5000" w:type="pct"/>
            <w:gridSpan w:val="7"/>
            <w:shd w:val="clear" w:color="auto" w:fill="B8CCE4" w:themeFill="accent1" w:themeFillTint="66"/>
            <w:vAlign w:val="center"/>
          </w:tcPr>
          <w:p w14:paraId="44648B16" w14:textId="77777777" w:rsidR="001D66D4" w:rsidRPr="00346867" w:rsidRDefault="001D66D4" w:rsidP="00553EDF">
            <w:pPr>
              <w:pStyle w:val="In-tableHeading"/>
              <w:rPr>
                <w:lang w:val="en-AU"/>
              </w:rPr>
            </w:pPr>
            <w:r w:rsidRPr="00346867">
              <w:rPr>
                <w:lang w:val="en-AU"/>
              </w:rPr>
              <w:t>Previous submission (July 2022)</w:t>
            </w:r>
          </w:p>
        </w:tc>
      </w:tr>
      <w:tr w:rsidR="001D66D4" w:rsidRPr="00F92E56" w14:paraId="22BB0D33" w14:textId="77777777" w:rsidTr="00CE651F">
        <w:tc>
          <w:tcPr>
            <w:tcW w:w="1387" w:type="pct"/>
            <w:shd w:val="clear" w:color="auto" w:fill="B8CCE4" w:themeFill="accent1" w:themeFillTint="66"/>
          </w:tcPr>
          <w:p w14:paraId="76100875" w14:textId="77777777" w:rsidR="001D66D4" w:rsidRPr="00F92E56" w:rsidRDefault="001D66D4" w:rsidP="00553EDF">
            <w:pPr>
              <w:pStyle w:val="TableText0"/>
              <w:rPr>
                <w:b/>
                <w:bCs w:val="0"/>
                <w:sz w:val="19"/>
                <w:szCs w:val="19"/>
              </w:rPr>
            </w:pPr>
            <w:r w:rsidRPr="00F92E56">
              <w:t>Number of patients treated</w:t>
            </w:r>
          </w:p>
        </w:tc>
        <w:tc>
          <w:tcPr>
            <w:tcW w:w="601" w:type="pct"/>
            <w:shd w:val="clear" w:color="auto" w:fill="B8CCE4" w:themeFill="accent1" w:themeFillTint="66"/>
          </w:tcPr>
          <w:p w14:paraId="60215AE7" w14:textId="7AE9CF78" w:rsidR="001D66D4" w:rsidRPr="00785872" w:rsidRDefault="00785872" w:rsidP="00553EDF">
            <w:pPr>
              <w:pStyle w:val="TableText0"/>
              <w:jc w:val="center"/>
              <w:rPr>
                <w:b/>
                <w:bCs w:val="0"/>
                <w:highlight w:val="darkGray"/>
              </w:rPr>
            </w:pPr>
            <w:r w:rsidRPr="00785872">
              <w:t xml:space="preserve"> </w:t>
            </w:r>
            <w:r w:rsidRPr="00785872">
              <w:rPr>
                <w:rFonts w:hint="eastAsia"/>
                <w:color w:val="000000"/>
                <w:w w:val="20"/>
                <w:shd w:val="solid" w:color="000000" w:fill="000000"/>
                <w:fitText w:val="90" w:id="-1032081142"/>
                <w14:textFill>
                  <w14:solidFill>
                    <w14:srgbClr w14:val="000000">
                      <w14:alpha w14:val="100000"/>
                    </w14:srgbClr>
                  </w14:solidFill>
                </w14:textFill>
              </w:rPr>
              <w:t xml:space="preserve">　</w:t>
            </w:r>
            <w:r w:rsidRPr="00785872">
              <w:rPr>
                <w:color w:val="000000"/>
                <w:w w:val="20"/>
                <w:shd w:val="solid" w:color="000000" w:fill="000000"/>
                <w:fitText w:val="90" w:id="-1032081142"/>
                <w14:textFill>
                  <w14:solidFill>
                    <w14:srgbClr w14:val="000000">
                      <w14:alpha w14:val="100000"/>
                    </w14:srgbClr>
                  </w14:solidFill>
                </w14:textFill>
              </w:rPr>
              <w:t>|</w:t>
            </w:r>
            <w:r w:rsidRPr="00785872">
              <w:rPr>
                <w:rFonts w:hint="eastAsia"/>
                <w:color w:val="000000"/>
                <w:spacing w:val="3"/>
                <w:w w:val="20"/>
                <w:shd w:val="solid" w:color="000000" w:fill="000000"/>
                <w:fitText w:val="90" w:id="-1032081142"/>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3</w:t>
            </w:r>
          </w:p>
        </w:tc>
        <w:tc>
          <w:tcPr>
            <w:tcW w:w="601" w:type="pct"/>
            <w:shd w:val="clear" w:color="auto" w:fill="B8CCE4" w:themeFill="accent1" w:themeFillTint="66"/>
          </w:tcPr>
          <w:p w14:paraId="7AA9270E" w14:textId="557C8783" w:rsidR="001D66D4" w:rsidRPr="00785872" w:rsidRDefault="00785872" w:rsidP="00553EDF">
            <w:pPr>
              <w:pStyle w:val="TableText0"/>
              <w:jc w:val="center"/>
              <w:rPr>
                <w:b/>
                <w:bCs w:val="0"/>
                <w:highlight w:val="darkGray"/>
              </w:rPr>
            </w:pPr>
            <w:r w:rsidRPr="00785872">
              <w:t xml:space="preserve"> </w:t>
            </w:r>
            <w:r w:rsidRPr="00785872">
              <w:rPr>
                <w:rFonts w:hint="eastAsia"/>
                <w:color w:val="000000"/>
                <w:w w:val="20"/>
                <w:shd w:val="solid" w:color="000000" w:fill="000000"/>
                <w:fitText w:val="90" w:id="-1032081141"/>
                <w14:textFill>
                  <w14:solidFill>
                    <w14:srgbClr w14:val="000000">
                      <w14:alpha w14:val="100000"/>
                    </w14:srgbClr>
                  </w14:solidFill>
                </w14:textFill>
              </w:rPr>
              <w:t xml:space="preserve">　</w:t>
            </w:r>
            <w:r w:rsidRPr="00785872">
              <w:rPr>
                <w:color w:val="000000"/>
                <w:w w:val="20"/>
                <w:shd w:val="solid" w:color="000000" w:fill="000000"/>
                <w:fitText w:val="90" w:id="-1032081141"/>
                <w14:textFill>
                  <w14:solidFill>
                    <w14:srgbClr w14:val="000000">
                      <w14:alpha w14:val="100000"/>
                    </w14:srgbClr>
                  </w14:solidFill>
                </w14:textFill>
              </w:rPr>
              <w:t>|</w:t>
            </w:r>
            <w:r w:rsidRPr="00785872">
              <w:rPr>
                <w:rFonts w:hint="eastAsia"/>
                <w:color w:val="000000"/>
                <w:spacing w:val="3"/>
                <w:w w:val="20"/>
                <w:shd w:val="solid" w:color="000000" w:fill="000000"/>
                <w:fitText w:val="90" w:id="-1032081141"/>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3</w:t>
            </w:r>
          </w:p>
        </w:tc>
        <w:tc>
          <w:tcPr>
            <w:tcW w:w="601" w:type="pct"/>
            <w:shd w:val="clear" w:color="auto" w:fill="B8CCE4" w:themeFill="accent1" w:themeFillTint="66"/>
          </w:tcPr>
          <w:p w14:paraId="464C4DCE" w14:textId="36048183" w:rsidR="001D66D4" w:rsidRPr="00785872" w:rsidRDefault="00785872" w:rsidP="00553EDF">
            <w:pPr>
              <w:pStyle w:val="TableText0"/>
              <w:jc w:val="center"/>
              <w:rPr>
                <w:b/>
                <w:bCs w:val="0"/>
                <w:highlight w:val="darkGray"/>
              </w:rPr>
            </w:pPr>
            <w:r w:rsidRPr="00785872">
              <w:t xml:space="preserve"> </w:t>
            </w:r>
            <w:r w:rsidRPr="00785872">
              <w:rPr>
                <w:rFonts w:hint="eastAsia"/>
                <w:color w:val="000000"/>
                <w:w w:val="20"/>
                <w:shd w:val="solid" w:color="000000" w:fill="000000"/>
                <w:fitText w:val="90" w:id="-1032081140"/>
                <w14:textFill>
                  <w14:solidFill>
                    <w14:srgbClr w14:val="000000">
                      <w14:alpha w14:val="100000"/>
                    </w14:srgbClr>
                  </w14:solidFill>
                </w14:textFill>
              </w:rPr>
              <w:t xml:space="preserve">　</w:t>
            </w:r>
            <w:r w:rsidRPr="00785872">
              <w:rPr>
                <w:color w:val="000000"/>
                <w:w w:val="20"/>
                <w:shd w:val="solid" w:color="000000" w:fill="000000"/>
                <w:fitText w:val="90" w:id="-1032081140"/>
                <w14:textFill>
                  <w14:solidFill>
                    <w14:srgbClr w14:val="000000">
                      <w14:alpha w14:val="100000"/>
                    </w14:srgbClr>
                  </w14:solidFill>
                </w14:textFill>
              </w:rPr>
              <w:t>|</w:t>
            </w:r>
            <w:r w:rsidRPr="00785872">
              <w:rPr>
                <w:rFonts w:hint="eastAsia"/>
                <w:color w:val="000000"/>
                <w:spacing w:val="3"/>
                <w:w w:val="20"/>
                <w:shd w:val="solid" w:color="000000" w:fill="000000"/>
                <w:fitText w:val="90" w:id="-1032081140"/>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3</w:t>
            </w:r>
          </w:p>
        </w:tc>
        <w:tc>
          <w:tcPr>
            <w:tcW w:w="601" w:type="pct"/>
            <w:shd w:val="clear" w:color="auto" w:fill="B8CCE4" w:themeFill="accent1" w:themeFillTint="66"/>
          </w:tcPr>
          <w:p w14:paraId="7851AC47" w14:textId="7BCDEF62" w:rsidR="001D66D4" w:rsidRPr="00785872" w:rsidRDefault="00785872" w:rsidP="00553EDF">
            <w:pPr>
              <w:pStyle w:val="TableText0"/>
              <w:jc w:val="center"/>
              <w:rPr>
                <w:b/>
                <w:bCs w:val="0"/>
                <w:highlight w:val="darkGray"/>
              </w:rPr>
            </w:pPr>
            <w:r w:rsidRPr="00785872">
              <w:t xml:space="preserve"> </w:t>
            </w:r>
            <w:r w:rsidRPr="00785872">
              <w:rPr>
                <w:rFonts w:hint="eastAsia"/>
                <w:color w:val="000000"/>
                <w:w w:val="20"/>
                <w:shd w:val="solid" w:color="000000" w:fill="000000"/>
                <w:fitText w:val="90" w:id="-1032081139"/>
                <w14:textFill>
                  <w14:solidFill>
                    <w14:srgbClr w14:val="000000">
                      <w14:alpha w14:val="100000"/>
                    </w14:srgbClr>
                  </w14:solidFill>
                </w14:textFill>
              </w:rPr>
              <w:t xml:space="preserve">　</w:t>
            </w:r>
            <w:r w:rsidRPr="00785872">
              <w:rPr>
                <w:color w:val="000000"/>
                <w:w w:val="20"/>
                <w:shd w:val="solid" w:color="000000" w:fill="000000"/>
                <w:fitText w:val="90" w:id="-1032081139"/>
                <w14:textFill>
                  <w14:solidFill>
                    <w14:srgbClr w14:val="000000">
                      <w14:alpha w14:val="100000"/>
                    </w14:srgbClr>
                  </w14:solidFill>
                </w14:textFill>
              </w:rPr>
              <w:t>|</w:t>
            </w:r>
            <w:r w:rsidRPr="00785872">
              <w:rPr>
                <w:rFonts w:hint="eastAsia"/>
                <w:color w:val="000000"/>
                <w:spacing w:val="3"/>
                <w:w w:val="20"/>
                <w:shd w:val="solid" w:color="000000" w:fill="000000"/>
                <w:fitText w:val="90" w:id="-1032081139"/>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3</w:t>
            </w:r>
          </w:p>
        </w:tc>
        <w:tc>
          <w:tcPr>
            <w:tcW w:w="601" w:type="pct"/>
            <w:shd w:val="clear" w:color="auto" w:fill="B8CCE4" w:themeFill="accent1" w:themeFillTint="66"/>
          </w:tcPr>
          <w:p w14:paraId="704B14D4" w14:textId="3FAE2A31" w:rsidR="001D66D4" w:rsidRPr="00785872" w:rsidRDefault="00785872" w:rsidP="00553EDF">
            <w:pPr>
              <w:pStyle w:val="TableText0"/>
              <w:jc w:val="center"/>
              <w:rPr>
                <w:b/>
                <w:bCs w:val="0"/>
                <w:highlight w:val="darkGray"/>
              </w:rPr>
            </w:pPr>
            <w:r w:rsidRPr="00785872">
              <w:t xml:space="preserve"> </w:t>
            </w:r>
            <w:r w:rsidRPr="00785872">
              <w:rPr>
                <w:rFonts w:hint="eastAsia"/>
                <w:color w:val="000000"/>
                <w:w w:val="20"/>
                <w:shd w:val="solid" w:color="000000" w:fill="000000"/>
                <w:fitText w:val="90" w:id="-1032081138"/>
                <w14:textFill>
                  <w14:solidFill>
                    <w14:srgbClr w14:val="000000">
                      <w14:alpha w14:val="100000"/>
                    </w14:srgbClr>
                  </w14:solidFill>
                </w14:textFill>
              </w:rPr>
              <w:t xml:space="preserve">　</w:t>
            </w:r>
            <w:r w:rsidRPr="00785872">
              <w:rPr>
                <w:color w:val="000000"/>
                <w:w w:val="20"/>
                <w:shd w:val="solid" w:color="000000" w:fill="000000"/>
                <w:fitText w:val="90" w:id="-1032081138"/>
                <w14:textFill>
                  <w14:solidFill>
                    <w14:srgbClr w14:val="000000">
                      <w14:alpha w14:val="100000"/>
                    </w14:srgbClr>
                  </w14:solidFill>
                </w14:textFill>
              </w:rPr>
              <w:t>|</w:t>
            </w:r>
            <w:r w:rsidRPr="00785872">
              <w:rPr>
                <w:rFonts w:hint="eastAsia"/>
                <w:color w:val="000000"/>
                <w:spacing w:val="3"/>
                <w:w w:val="20"/>
                <w:shd w:val="solid" w:color="000000" w:fill="000000"/>
                <w:fitText w:val="90" w:id="-1032081138"/>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3</w:t>
            </w:r>
          </w:p>
        </w:tc>
        <w:tc>
          <w:tcPr>
            <w:tcW w:w="608" w:type="pct"/>
            <w:shd w:val="clear" w:color="auto" w:fill="B8CCE4" w:themeFill="accent1" w:themeFillTint="66"/>
          </w:tcPr>
          <w:p w14:paraId="0B6AFEBB" w14:textId="66212C03" w:rsidR="001D66D4" w:rsidRPr="00785872" w:rsidRDefault="00785872" w:rsidP="00553EDF">
            <w:pPr>
              <w:pStyle w:val="TableText0"/>
              <w:jc w:val="center"/>
              <w:rPr>
                <w:b/>
                <w:bCs w:val="0"/>
                <w:highlight w:val="darkGray"/>
              </w:rPr>
            </w:pPr>
            <w:r w:rsidRPr="00785872">
              <w:t xml:space="preserve"> </w:t>
            </w:r>
            <w:r w:rsidRPr="00785872">
              <w:rPr>
                <w:rFonts w:hint="eastAsia"/>
                <w:color w:val="000000"/>
                <w:w w:val="18"/>
                <w:shd w:val="solid" w:color="000000" w:fill="000000"/>
                <w:fitText w:val="80" w:id="-1032081137"/>
                <w14:textFill>
                  <w14:solidFill>
                    <w14:srgbClr w14:val="000000">
                      <w14:alpha w14:val="100000"/>
                    </w14:srgbClr>
                  </w14:solidFill>
                </w14:textFill>
              </w:rPr>
              <w:t xml:space="preserve">　</w:t>
            </w:r>
            <w:r w:rsidRPr="00785872">
              <w:rPr>
                <w:color w:val="000000"/>
                <w:w w:val="18"/>
                <w:shd w:val="solid" w:color="000000" w:fill="000000"/>
                <w:fitText w:val="80" w:id="-1032081137"/>
                <w14:textFill>
                  <w14:solidFill>
                    <w14:srgbClr w14:val="000000">
                      <w14:alpha w14:val="100000"/>
                    </w14:srgbClr>
                  </w14:solidFill>
                </w14:textFill>
              </w:rPr>
              <w:t>|</w:t>
            </w:r>
            <w:r w:rsidRPr="00785872">
              <w:rPr>
                <w:rFonts w:hint="eastAsia"/>
                <w:color w:val="000000"/>
                <w:w w:val="18"/>
                <w:shd w:val="solid" w:color="000000" w:fill="000000"/>
                <w:fitText w:val="80" w:id="-1032081137"/>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3</w:t>
            </w:r>
          </w:p>
        </w:tc>
      </w:tr>
      <w:tr w:rsidR="001D66D4" w:rsidRPr="00F92E56" w14:paraId="4918D50F" w14:textId="77777777" w:rsidTr="00CE651F">
        <w:tc>
          <w:tcPr>
            <w:tcW w:w="1387" w:type="pct"/>
            <w:shd w:val="clear" w:color="auto" w:fill="B8CCE4" w:themeFill="accent1" w:themeFillTint="66"/>
          </w:tcPr>
          <w:p w14:paraId="7CF61904" w14:textId="092BBC7A" w:rsidR="001D66D4" w:rsidRPr="00F92E56" w:rsidRDefault="001D66D4" w:rsidP="00553EDF">
            <w:pPr>
              <w:pStyle w:val="TableText0"/>
            </w:pPr>
            <w:r w:rsidRPr="00F92E56">
              <w:t>Number of scripts dispensed</w:t>
            </w:r>
          </w:p>
        </w:tc>
        <w:tc>
          <w:tcPr>
            <w:tcW w:w="601" w:type="pct"/>
            <w:shd w:val="clear" w:color="auto" w:fill="B8CCE4" w:themeFill="accent1" w:themeFillTint="66"/>
          </w:tcPr>
          <w:p w14:paraId="082AB733" w14:textId="24A22250" w:rsidR="001D66D4" w:rsidRPr="00785872" w:rsidRDefault="00785872" w:rsidP="00553EDF">
            <w:pPr>
              <w:pStyle w:val="TableText0"/>
              <w:jc w:val="center"/>
              <w:rPr>
                <w:highlight w:val="darkGray"/>
              </w:rPr>
            </w:pPr>
            <w:r w:rsidRPr="00785872">
              <w:t xml:space="preserve"> </w:t>
            </w:r>
            <w:r w:rsidRPr="00785872">
              <w:rPr>
                <w:rFonts w:hint="eastAsia"/>
                <w:color w:val="000000"/>
                <w:w w:val="20"/>
                <w:shd w:val="solid" w:color="000000" w:fill="000000"/>
                <w:fitText w:val="90" w:id="-1032081136"/>
                <w14:textFill>
                  <w14:solidFill>
                    <w14:srgbClr w14:val="000000">
                      <w14:alpha w14:val="100000"/>
                    </w14:srgbClr>
                  </w14:solidFill>
                </w14:textFill>
              </w:rPr>
              <w:t xml:space="preserve">　</w:t>
            </w:r>
            <w:r w:rsidRPr="00785872">
              <w:rPr>
                <w:color w:val="000000"/>
                <w:w w:val="20"/>
                <w:shd w:val="solid" w:color="000000" w:fill="000000"/>
                <w:fitText w:val="90" w:id="-1032081136"/>
                <w14:textFill>
                  <w14:solidFill>
                    <w14:srgbClr w14:val="000000">
                      <w14:alpha w14:val="100000"/>
                    </w14:srgbClr>
                  </w14:solidFill>
                </w14:textFill>
              </w:rPr>
              <w:t>|</w:t>
            </w:r>
            <w:r w:rsidRPr="00785872">
              <w:rPr>
                <w:rFonts w:hint="eastAsia"/>
                <w:color w:val="000000"/>
                <w:spacing w:val="3"/>
                <w:w w:val="20"/>
                <w:shd w:val="solid" w:color="000000" w:fill="000000"/>
                <w:fitText w:val="90" w:id="-1032081136"/>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1</w:t>
            </w:r>
          </w:p>
        </w:tc>
        <w:tc>
          <w:tcPr>
            <w:tcW w:w="601" w:type="pct"/>
            <w:shd w:val="clear" w:color="auto" w:fill="B8CCE4" w:themeFill="accent1" w:themeFillTint="66"/>
          </w:tcPr>
          <w:p w14:paraId="69C2E608" w14:textId="1EDC86DB" w:rsidR="001D66D4" w:rsidRPr="00785872" w:rsidRDefault="00785872" w:rsidP="00553EDF">
            <w:pPr>
              <w:pStyle w:val="TableText0"/>
              <w:jc w:val="center"/>
              <w:rPr>
                <w:highlight w:val="darkGray"/>
              </w:rPr>
            </w:pPr>
            <w:r w:rsidRPr="00785872">
              <w:t xml:space="preserve"> </w:t>
            </w:r>
            <w:r w:rsidRPr="00785872">
              <w:rPr>
                <w:rFonts w:hint="eastAsia"/>
                <w:color w:val="000000"/>
                <w:w w:val="20"/>
                <w:shd w:val="solid" w:color="000000" w:fill="000000"/>
                <w:fitText w:val="90" w:id="-1032081152"/>
                <w14:textFill>
                  <w14:solidFill>
                    <w14:srgbClr w14:val="000000">
                      <w14:alpha w14:val="100000"/>
                    </w14:srgbClr>
                  </w14:solidFill>
                </w14:textFill>
              </w:rPr>
              <w:t xml:space="preserve">　</w:t>
            </w:r>
            <w:r w:rsidRPr="00785872">
              <w:rPr>
                <w:color w:val="000000"/>
                <w:w w:val="20"/>
                <w:shd w:val="solid" w:color="000000" w:fill="000000"/>
                <w:fitText w:val="90" w:id="-1032081152"/>
                <w14:textFill>
                  <w14:solidFill>
                    <w14:srgbClr w14:val="000000">
                      <w14:alpha w14:val="100000"/>
                    </w14:srgbClr>
                  </w14:solidFill>
                </w14:textFill>
              </w:rPr>
              <w:t>|</w:t>
            </w:r>
            <w:r w:rsidRPr="00785872">
              <w:rPr>
                <w:rFonts w:hint="eastAsia"/>
                <w:color w:val="000000"/>
                <w:spacing w:val="3"/>
                <w:w w:val="20"/>
                <w:shd w:val="solid" w:color="000000" w:fill="000000"/>
                <w:fitText w:val="90" w:id="-1032081152"/>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1</w:t>
            </w:r>
            <w:r w:rsidRPr="00785872">
              <w:t xml:space="preserve"> </w:t>
            </w:r>
          </w:p>
        </w:tc>
        <w:tc>
          <w:tcPr>
            <w:tcW w:w="601" w:type="pct"/>
            <w:shd w:val="clear" w:color="auto" w:fill="B8CCE4" w:themeFill="accent1" w:themeFillTint="66"/>
          </w:tcPr>
          <w:p w14:paraId="74FFBE2F" w14:textId="2EBA537B" w:rsidR="001D66D4" w:rsidRPr="00785872" w:rsidRDefault="00785872" w:rsidP="00553EDF">
            <w:pPr>
              <w:pStyle w:val="TableText0"/>
              <w:jc w:val="center"/>
              <w:rPr>
                <w:highlight w:val="darkGray"/>
              </w:rPr>
            </w:pPr>
            <w:r w:rsidRPr="00785872">
              <w:t xml:space="preserve"> </w:t>
            </w:r>
            <w:r w:rsidRPr="00785872">
              <w:rPr>
                <w:rFonts w:hint="eastAsia"/>
                <w:color w:val="000000"/>
                <w:w w:val="20"/>
                <w:shd w:val="solid" w:color="000000" w:fill="000000"/>
                <w:fitText w:val="90" w:id="-1032081151"/>
                <w14:textFill>
                  <w14:solidFill>
                    <w14:srgbClr w14:val="000000">
                      <w14:alpha w14:val="100000"/>
                    </w14:srgbClr>
                  </w14:solidFill>
                </w14:textFill>
              </w:rPr>
              <w:t xml:space="preserve">　</w:t>
            </w:r>
            <w:r w:rsidRPr="00785872">
              <w:rPr>
                <w:color w:val="000000"/>
                <w:w w:val="20"/>
                <w:shd w:val="solid" w:color="000000" w:fill="000000"/>
                <w:fitText w:val="90" w:id="-1032081151"/>
                <w14:textFill>
                  <w14:solidFill>
                    <w14:srgbClr w14:val="000000">
                      <w14:alpha w14:val="100000"/>
                    </w14:srgbClr>
                  </w14:solidFill>
                </w14:textFill>
              </w:rPr>
              <w:t>|</w:t>
            </w:r>
            <w:r w:rsidRPr="00785872">
              <w:rPr>
                <w:rFonts w:hint="eastAsia"/>
                <w:color w:val="000000"/>
                <w:spacing w:val="3"/>
                <w:w w:val="20"/>
                <w:shd w:val="solid" w:color="000000" w:fill="000000"/>
                <w:fitText w:val="90" w:id="-1032081151"/>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1</w:t>
            </w:r>
            <w:r w:rsidRPr="00785872">
              <w:t xml:space="preserve"> </w:t>
            </w:r>
          </w:p>
        </w:tc>
        <w:tc>
          <w:tcPr>
            <w:tcW w:w="601" w:type="pct"/>
            <w:shd w:val="clear" w:color="auto" w:fill="B8CCE4" w:themeFill="accent1" w:themeFillTint="66"/>
          </w:tcPr>
          <w:p w14:paraId="123005E4" w14:textId="0E7202B9" w:rsidR="001D66D4" w:rsidRPr="00785872" w:rsidRDefault="00785872" w:rsidP="00553EDF">
            <w:pPr>
              <w:pStyle w:val="TableText0"/>
              <w:jc w:val="center"/>
              <w:rPr>
                <w:highlight w:val="darkGray"/>
              </w:rPr>
            </w:pPr>
            <w:r w:rsidRPr="00785872">
              <w:t xml:space="preserve"> </w:t>
            </w:r>
            <w:r w:rsidRPr="00785872">
              <w:rPr>
                <w:rFonts w:hint="eastAsia"/>
                <w:color w:val="000000"/>
                <w:w w:val="20"/>
                <w:shd w:val="solid" w:color="000000" w:fill="000000"/>
                <w:fitText w:val="90" w:id="-1032081150"/>
                <w14:textFill>
                  <w14:solidFill>
                    <w14:srgbClr w14:val="000000">
                      <w14:alpha w14:val="100000"/>
                    </w14:srgbClr>
                  </w14:solidFill>
                </w14:textFill>
              </w:rPr>
              <w:t xml:space="preserve">　</w:t>
            </w:r>
            <w:r w:rsidRPr="00785872">
              <w:rPr>
                <w:color w:val="000000"/>
                <w:w w:val="20"/>
                <w:shd w:val="solid" w:color="000000" w:fill="000000"/>
                <w:fitText w:val="90" w:id="-1032081150"/>
                <w14:textFill>
                  <w14:solidFill>
                    <w14:srgbClr w14:val="000000">
                      <w14:alpha w14:val="100000"/>
                    </w14:srgbClr>
                  </w14:solidFill>
                </w14:textFill>
              </w:rPr>
              <w:t>|</w:t>
            </w:r>
            <w:r w:rsidRPr="00785872">
              <w:rPr>
                <w:rFonts w:hint="eastAsia"/>
                <w:color w:val="000000"/>
                <w:spacing w:val="3"/>
                <w:w w:val="20"/>
                <w:shd w:val="solid" w:color="000000" w:fill="000000"/>
                <w:fitText w:val="90" w:id="-1032081150"/>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1</w:t>
            </w:r>
          </w:p>
        </w:tc>
        <w:tc>
          <w:tcPr>
            <w:tcW w:w="601" w:type="pct"/>
            <w:shd w:val="clear" w:color="auto" w:fill="B8CCE4" w:themeFill="accent1" w:themeFillTint="66"/>
          </w:tcPr>
          <w:p w14:paraId="575EB632" w14:textId="2AC02E91" w:rsidR="001D66D4" w:rsidRPr="00785872" w:rsidRDefault="00785872" w:rsidP="00553EDF">
            <w:pPr>
              <w:pStyle w:val="TableText0"/>
              <w:jc w:val="center"/>
              <w:rPr>
                <w:highlight w:val="darkGray"/>
              </w:rPr>
            </w:pPr>
            <w:r w:rsidRPr="00785872">
              <w:t xml:space="preserve"> </w:t>
            </w:r>
            <w:r w:rsidRPr="00785872">
              <w:rPr>
                <w:rFonts w:hint="eastAsia"/>
                <w:color w:val="000000"/>
                <w:w w:val="20"/>
                <w:shd w:val="solid" w:color="000000" w:fill="000000"/>
                <w:fitText w:val="90" w:id="-1032081149"/>
                <w14:textFill>
                  <w14:solidFill>
                    <w14:srgbClr w14:val="000000">
                      <w14:alpha w14:val="100000"/>
                    </w14:srgbClr>
                  </w14:solidFill>
                </w14:textFill>
              </w:rPr>
              <w:t xml:space="preserve">　</w:t>
            </w:r>
            <w:r w:rsidRPr="00785872">
              <w:rPr>
                <w:color w:val="000000"/>
                <w:w w:val="20"/>
                <w:shd w:val="solid" w:color="000000" w:fill="000000"/>
                <w:fitText w:val="90" w:id="-1032081149"/>
                <w14:textFill>
                  <w14:solidFill>
                    <w14:srgbClr w14:val="000000">
                      <w14:alpha w14:val="100000"/>
                    </w14:srgbClr>
                  </w14:solidFill>
                </w14:textFill>
              </w:rPr>
              <w:t>|</w:t>
            </w:r>
            <w:r w:rsidRPr="00785872">
              <w:rPr>
                <w:rFonts w:hint="eastAsia"/>
                <w:color w:val="000000"/>
                <w:spacing w:val="3"/>
                <w:w w:val="20"/>
                <w:shd w:val="solid" w:color="000000" w:fill="000000"/>
                <w:fitText w:val="90" w:id="-1032081149"/>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1</w:t>
            </w:r>
            <w:r w:rsidRPr="00785872">
              <w:t xml:space="preserve"> </w:t>
            </w:r>
          </w:p>
        </w:tc>
        <w:tc>
          <w:tcPr>
            <w:tcW w:w="608" w:type="pct"/>
            <w:shd w:val="clear" w:color="auto" w:fill="B8CCE4" w:themeFill="accent1" w:themeFillTint="66"/>
          </w:tcPr>
          <w:p w14:paraId="6780891C" w14:textId="23CFD015" w:rsidR="001D66D4" w:rsidRPr="00785872" w:rsidRDefault="00785872" w:rsidP="00553EDF">
            <w:pPr>
              <w:pStyle w:val="TableText0"/>
              <w:jc w:val="center"/>
              <w:rPr>
                <w:highlight w:val="darkGray"/>
              </w:rPr>
            </w:pPr>
            <w:r w:rsidRPr="00785872">
              <w:t xml:space="preserve"> </w:t>
            </w:r>
            <w:r w:rsidRPr="00785872">
              <w:rPr>
                <w:rFonts w:hint="eastAsia"/>
                <w:color w:val="000000"/>
                <w:w w:val="18"/>
                <w:shd w:val="solid" w:color="000000" w:fill="000000"/>
                <w:fitText w:val="80" w:id="-1032081148"/>
                <w14:textFill>
                  <w14:solidFill>
                    <w14:srgbClr w14:val="000000">
                      <w14:alpha w14:val="100000"/>
                    </w14:srgbClr>
                  </w14:solidFill>
                </w14:textFill>
              </w:rPr>
              <w:t xml:space="preserve">　</w:t>
            </w:r>
            <w:r w:rsidRPr="00785872">
              <w:rPr>
                <w:color w:val="000000"/>
                <w:w w:val="18"/>
                <w:shd w:val="solid" w:color="000000" w:fill="000000"/>
                <w:fitText w:val="80" w:id="-1032081148"/>
                <w14:textFill>
                  <w14:solidFill>
                    <w14:srgbClr w14:val="000000">
                      <w14:alpha w14:val="100000"/>
                    </w14:srgbClr>
                  </w14:solidFill>
                </w14:textFill>
              </w:rPr>
              <w:t>|</w:t>
            </w:r>
            <w:r w:rsidRPr="00785872">
              <w:rPr>
                <w:rFonts w:hint="eastAsia"/>
                <w:color w:val="000000"/>
                <w:w w:val="18"/>
                <w:shd w:val="solid" w:color="000000" w:fill="000000"/>
                <w:fitText w:val="80" w:id="-1032081148"/>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1</w:t>
            </w:r>
            <w:r w:rsidRPr="00785872">
              <w:t xml:space="preserve"> </w:t>
            </w:r>
          </w:p>
        </w:tc>
      </w:tr>
      <w:tr w:rsidR="001D66D4" w:rsidRPr="00F92E56" w14:paraId="01A43866" w14:textId="77777777" w:rsidTr="00CE651F">
        <w:tc>
          <w:tcPr>
            <w:tcW w:w="1387" w:type="pct"/>
            <w:shd w:val="clear" w:color="auto" w:fill="B8CCE4" w:themeFill="accent1" w:themeFillTint="66"/>
            <w:vAlign w:val="center"/>
          </w:tcPr>
          <w:p w14:paraId="58B26AC7" w14:textId="77777777" w:rsidR="001D66D4" w:rsidRPr="00F92E56" w:rsidRDefault="001D66D4" w:rsidP="00553EDF">
            <w:pPr>
              <w:pStyle w:val="TableText0"/>
              <w:rPr>
                <w:b/>
                <w:bCs w:val="0"/>
                <w:sz w:val="19"/>
                <w:szCs w:val="19"/>
              </w:rPr>
            </w:pPr>
            <w:r w:rsidRPr="00F92E56">
              <w:rPr>
                <w:b/>
                <w:bCs w:val="0"/>
                <w:sz w:val="19"/>
                <w:szCs w:val="19"/>
              </w:rPr>
              <w:t>Net cost to PBS/RPBS</w:t>
            </w:r>
          </w:p>
        </w:tc>
        <w:tc>
          <w:tcPr>
            <w:tcW w:w="601" w:type="pct"/>
            <w:shd w:val="clear" w:color="auto" w:fill="B8CCE4" w:themeFill="accent1" w:themeFillTint="66"/>
          </w:tcPr>
          <w:p w14:paraId="4FB73553" w14:textId="2F8189E7" w:rsidR="001D66D4" w:rsidRPr="00785872" w:rsidRDefault="00785872" w:rsidP="00553EDF">
            <w:pPr>
              <w:pStyle w:val="TableText0"/>
              <w:jc w:val="center"/>
              <w:rPr>
                <w:b/>
                <w:bCs w:val="0"/>
                <w:highlight w:val="darkGray"/>
              </w:rPr>
            </w:pPr>
            <w:r w:rsidRPr="00785872">
              <w:rPr>
                <w:b/>
                <w:bCs w:val="0"/>
              </w:rPr>
              <w:t xml:space="preserve"> </w:t>
            </w:r>
            <w:r w:rsidRPr="00785872">
              <w:rPr>
                <w:rFonts w:hint="eastAsia"/>
                <w:b/>
                <w:bCs w:val="0"/>
                <w:color w:val="000000"/>
                <w:w w:val="29"/>
                <w:shd w:val="solid" w:color="000000" w:fill="000000"/>
                <w:fitText w:val="130" w:id="-1032081147"/>
                <w14:textFill>
                  <w14:solidFill>
                    <w14:srgbClr w14:val="000000">
                      <w14:alpha w14:val="100000"/>
                    </w14:srgbClr>
                  </w14:solidFill>
                </w14:textFill>
              </w:rPr>
              <w:t xml:space="preserve">　</w:t>
            </w:r>
            <w:r w:rsidRPr="00785872">
              <w:rPr>
                <w:b/>
                <w:bCs w:val="0"/>
                <w:color w:val="000000"/>
                <w:w w:val="29"/>
                <w:shd w:val="solid" w:color="000000" w:fill="000000"/>
                <w:fitText w:val="130" w:id="-1032081147"/>
                <w14:textFill>
                  <w14:solidFill>
                    <w14:srgbClr w14:val="000000">
                      <w14:alpha w14:val="100000"/>
                    </w14:srgbClr>
                  </w14:solidFill>
                </w14:textFill>
              </w:rPr>
              <w:t>|</w:t>
            </w:r>
            <w:r w:rsidRPr="00785872">
              <w:rPr>
                <w:rFonts w:hint="eastAsia"/>
                <w:b/>
                <w:bCs w:val="0"/>
                <w:color w:val="000000"/>
                <w:spacing w:val="1"/>
                <w:w w:val="29"/>
                <w:shd w:val="solid" w:color="000000" w:fill="000000"/>
                <w:fitText w:val="130" w:id="-1032081147"/>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6</w:t>
            </w:r>
          </w:p>
        </w:tc>
        <w:tc>
          <w:tcPr>
            <w:tcW w:w="601" w:type="pct"/>
            <w:shd w:val="clear" w:color="auto" w:fill="B8CCE4" w:themeFill="accent1" w:themeFillTint="66"/>
          </w:tcPr>
          <w:p w14:paraId="4285939C" w14:textId="33E8039F" w:rsidR="001D66D4" w:rsidRPr="00785872" w:rsidRDefault="00785872" w:rsidP="00553EDF">
            <w:pPr>
              <w:pStyle w:val="TableText0"/>
              <w:jc w:val="center"/>
              <w:rPr>
                <w:b/>
                <w:bCs w:val="0"/>
                <w:highlight w:val="darkGray"/>
              </w:rPr>
            </w:pPr>
            <w:r w:rsidRPr="00785872">
              <w:rPr>
                <w:b/>
                <w:bCs w:val="0"/>
              </w:rPr>
              <w:t xml:space="preserve"> </w:t>
            </w:r>
            <w:r w:rsidRPr="00785872">
              <w:rPr>
                <w:rFonts w:hint="eastAsia"/>
                <w:b/>
                <w:bCs w:val="0"/>
                <w:color w:val="000000"/>
                <w:w w:val="29"/>
                <w:shd w:val="solid" w:color="000000" w:fill="000000"/>
                <w:fitText w:val="130" w:id="-1032081146"/>
                <w14:textFill>
                  <w14:solidFill>
                    <w14:srgbClr w14:val="000000">
                      <w14:alpha w14:val="100000"/>
                    </w14:srgbClr>
                  </w14:solidFill>
                </w14:textFill>
              </w:rPr>
              <w:t xml:space="preserve">　</w:t>
            </w:r>
            <w:r w:rsidRPr="00785872">
              <w:rPr>
                <w:b/>
                <w:bCs w:val="0"/>
                <w:color w:val="000000"/>
                <w:w w:val="29"/>
                <w:shd w:val="solid" w:color="000000" w:fill="000000"/>
                <w:fitText w:val="130" w:id="-1032081146"/>
                <w14:textFill>
                  <w14:solidFill>
                    <w14:srgbClr w14:val="000000">
                      <w14:alpha w14:val="100000"/>
                    </w14:srgbClr>
                  </w14:solidFill>
                </w14:textFill>
              </w:rPr>
              <w:t>|</w:t>
            </w:r>
            <w:r w:rsidRPr="00785872">
              <w:rPr>
                <w:rFonts w:hint="eastAsia"/>
                <w:b/>
                <w:bCs w:val="0"/>
                <w:color w:val="000000"/>
                <w:spacing w:val="1"/>
                <w:w w:val="29"/>
                <w:shd w:val="solid" w:color="000000" w:fill="000000"/>
                <w:fitText w:val="130" w:id="-1032081146"/>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6</w:t>
            </w:r>
          </w:p>
        </w:tc>
        <w:tc>
          <w:tcPr>
            <w:tcW w:w="601" w:type="pct"/>
            <w:shd w:val="clear" w:color="auto" w:fill="B8CCE4" w:themeFill="accent1" w:themeFillTint="66"/>
          </w:tcPr>
          <w:p w14:paraId="197C9513" w14:textId="608337B8" w:rsidR="001D66D4" w:rsidRPr="00785872" w:rsidRDefault="00785872" w:rsidP="00553EDF">
            <w:pPr>
              <w:pStyle w:val="TableText0"/>
              <w:jc w:val="center"/>
              <w:rPr>
                <w:b/>
                <w:bCs w:val="0"/>
                <w:highlight w:val="darkGray"/>
              </w:rPr>
            </w:pPr>
            <w:r w:rsidRPr="00785872">
              <w:rPr>
                <w:b/>
                <w:bCs w:val="0"/>
              </w:rPr>
              <w:t xml:space="preserve"> </w:t>
            </w:r>
            <w:r w:rsidRPr="00785872">
              <w:rPr>
                <w:rFonts w:hint="eastAsia"/>
                <w:b/>
                <w:bCs w:val="0"/>
                <w:color w:val="000000"/>
                <w:w w:val="29"/>
                <w:shd w:val="solid" w:color="000000" w:fill="000000"/>
                <w:fitText w:val="130" w:id="-1032081145"/>
                <w14:textFill>
                  <w14:solidFill>
                    <w14:srgbClr w14:val="000000">
                      <w14:alpha w14:val="100000"/>
                    </w14:srgbClr>
                  </w14:solidFill>
                </w14:textFill>
              </w:rPr>
              <w:t xml:space="preserve">　</w:t>
            </w:r>
            <w:r w:rsidRPr="00785872">
              <w:rPr>
                <w:b/>
                <w:bCs w:val="0"/>
                <w:color w:val="000000"/>
                <w:w w:val="29"/>
                <w:shd w:val="solid" w:color="000000" w:fill="000000"/>
                <w:fitText w:val="130" w:id="-1032081145"/>
                <w14:textFill>
                  <w14:solidFill>
                    <w14:srgbClr w14:val="000000">
                      <w14:alpha w14:val="100000"/>
                    </w14:srgbClr>
                  </w14:solidFill>
                </w14:textFill>
              </w:rPr>
              <w:t>|</w:t>
            </w:r>
            <w:r w:rsidRPr="00785872">
              <w:rPr>
                <w:rFonts w:hint="eastAsia"/>
                <w:b/>
                <w:bCs w:val="0"/>
                <w:color w:val="000000"/>
                <w:spacing w:val="1"/>
                <w:w w:val="29"/>
                <w:shd w:val="solid" w:color="000000" w:fill="000000"/>
                <w:fitText w:val="130" w:id="-1032081145"/>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6</w:t>
            </w:r>
          </w:p>
        </w:tc>
        <w:tc>
          <w:tcPr>
            <w:tcW w:w="601" w:type="pct"/>
            <w:shd w:val="clear" w:color="auto" w:fill="B8CCE4" w:themeFill="accent1" w:themeFillTint="66"/>
          </w:tcPr>
          <w:p w14:paraId="5B6FC5BA" w14:textId="0D493FC7" w:rsidR="001D66D4" w:rsidRPr="00785872" w:rsidRDefault="00785872" w:rsidP="00553EDF">
            <w:pPr>
              <w:pStyle w:val="TableText0"/>
              <w:jc w:val="center"/>
              <w:rPr>
                <w:b/>
                <w:bCs w:val="0"/>
                <w:highlight w:val="darkGray"/>
              </w:rPr>
            </w:pPr>
            <w:r w:rsidRPr="00785872">
              <w:rPr>
                <w:b/>
                <w:bCs w:val="0"/>
              </w:rPr>
              <w:t xml:space="preserve"> </w:t>
            </w:r>
            <w:r w:rsidRPr="00785872">
              <w:rPr>
                <w:rFonts w:hint="eastAsia"/>
                <w:b/>
                <w:bCs w:val="0"/>
                <w:color w:val="000000"/>
                <w:w w:val="29"/>
                <w:shd w:val="solid" w:color="000000" w:fill="000000"/>
                <w:fitText w:val="130" w:id="-1032081144"/>
                <w14:textFill>
                  <w14:solidFill>
                    <w14:srgbClr w14:val="000000">
                      <w14:alpha w14:val="100000"/>
                    </w14:srgbClr>
                  </w14:solidFill>
                </w14:textFill>
              </w:rPr>
              <w:t xml:space="preserve">　</w:t>
            </w:r>
            <w:r w:rsidRPr="00785872">
              <w:rPr>
                <w:b/>
                <w:bCs w:val="0"/>
                <w:color w:val="000000"/>
                <w:w w:val="29"/>
                <w:shd w:val="solid" w:color="000000" w:fill="000000"/>
                <w:fitText w:val="130" w:id="-1032081144"/>
                <w14:textFill>
                  <w14:solidFill>
                    <w14:srgbClr w14:val="000000">
                      <w14:alpha w14:val="100000"/>
                    </w14:srgbClr>
                  </w14:solidFill>
                </w14:textFill>
              </w:rPr>
              <w:t>|</w:t>
            </w:r>
            <w:r w:rsidRPr="00785872">
              <w:rPr>
                <w:rFonts w:hint="eastAsia"/>
                <w:b/>
                <w:bCs w:val="0"/>
                <w:color w:val="000000"/>
                <w:spacing w:val="1"/>
                <w:w w:val="29"/>
                <w:shd w:val="solid" w:color="000000" w:fill="000000"/>
                <w:fitText w:val="130" w:id="-1032081144"/>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6</w:t>
            </w:r>
          </w:p>
        </w:tc>
        <w:tc>
          <w:tcPr>
            <w:tcW w:w="601" w:type="pct"/>
            <w:shd w:val="clear" w:color="auto" w:fill="B8CCE4" w:themeFill="accent1" w:themeFillTint="66"/>
          </w:tcPr>
          <w:p w14:paraId="6A0169E1" w14:textId="30AC15CB" w:rsidR="001D66D4" w:rsidRPr="00785872" w:rsidRDefault="00785872" w:rsidP="00553EDF">
            <w:pPr>
              <w:pStyle w:val="TableText0"/>
              <w:jc w:val="center"/>
              <w:rPr>
                <w:b/>
                <w:bCs w:val="0"/>
                <w:highlight w:val="darkGray"/>
              </w:rPr>
            </w:pPr>
            <w:r w:rsidRPr="00785872">
              <w:rPr>
                <w:b/>
                <w:bCs w:val="0"/>
              </w:rPr>
              <w:t xml:space="preserve"> </w:t>
            </w:r>
            <w:r w:rsidRPr="00785872">
              <w:rPr>
                <w:rFonts w:hint="eastAsia"/>
                <w:b/>
                <w:bCs w:val="0"/>
                <w:color w:val="000000"/>
                <w:w w:val="29"/>
                <w:shd w:val="solid" w:color="000000" w:fill="000000"/>
                <w:fitText w:val="130" w:id="-1032081143"/>
                <w14:textFill>
                  <w14:solidFill>
                    <w14:srgbClr w14:val="000000">
                      <w14:alpha w14:val="100000"/>
                    </w14:srgbClr>
                  </w14:solidFill>
                </w14:textFill>
              </w:rPr>
              <w:t xml:space="preserve">　</w:t>
            </w:r>
            <w:r w:rsidRPr="00785872">
              <w:rPr>
                <w:b/>
                <w:bCs w:val="0"/>
                <w:color w:val="000000"/>
                <w:w w:val="29"/>
                <w:shd w:val="solid" w:color="000000" w:fill="000000"/>
                <w:fitText w:val="130" w:id="-1032081143"/>
                <w14:textFill>
                  <w14:solidFill>
                    <w14:srgbClr w14:val="000000">
                      <w14:alpha w14:val="100000"/>
                    </w14:srgbClr>
                  </w14:solidFill>
                </w14:textFill>
              </w:rPr>
              <w:t>|</w:t>
            </w:r>
            <w:r w:rsidRPr="00785872">
              <w:rPr>
                <w:rFonts w:hint="eastAsia"/>
                <w:b/>
                <w:bCs w:val="0"/>
                <w:color w:val="000000"/>
                <w:spacing w:val="1"/>
                <w:w w:val="29"/>
                <w:shd w:val="solid" w:color="000000" w:fill="000000"/>
                <w:fitText w:val="130" w:id="-1032081143"/>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6</w:t>
            </w:r>
          </w:p>
        </w:tc>
        <w:tc>
          <w:tcPr>
            <w:tcW w:w="608" w:type="pct"/>
            <w:shd w:val="clear" w:color="auto" w:fill="B8CCE4" w:themeFill="accent1" w:themeFillTint="66"/>
          </w:tcPr>
          <w:p w14:paraId="5347B980" w14:textId="65AB0085" w:rsidR="001D66D4" w:rsidRPr="00785872" w:rsidRDefault="00785872" w:rsidP="00553EDF">
            <w:pPr>
              <w:pStyle w:val="TableText0"/>
              <w:jc w:val="center"/>
              <w:rPr>
                <w:b/>
                <w:bCs w:val="0"/>
                <w:highlight w:val="darkGray"/>
              </w:rPr>
            </w:pPr>
            <w:r w:rsidRPr="00785872">
              <w:rPr>
                <w:b/>
                <w:bCs w:val="0"/>
              </w:rPr>
              <w:t xml:space="preserve"> </w:t>
            </w:r>
            <w:r w:rsidRPr="00785872">
              <w:rPr>
                <w:rFonts w:hint="eastAsia"/>
                <w:b/>
                <w:bCs w:val="0"/>
                <w:color w:val="000000"/>
                <w:w w:val="29"/>
                <w:shd w:val="solid" w:color="000000" w:fill="000000"/>
                <w:fitText w:val="130" w:id="-1032081142"/>
                <w14:textFill>
                  <w14:solidFill>
                    <w14:srgbClr w14:val="000000">
                      <w14:alpha w14:val="100000"/>
                    </w14:srgbClr>
                  </w14:solidFill>
                </w14:textFill>
              </w:rPr>
              <w:t xml:space="preserve">　</w:t>
            </w:r>
            <w:r w:rsidRPr="00785872">
              <w:rPr>
                <w:b/>
                <w:bCs w:val="0"/>
                <w:color w:val="000000"/>
                <w:w w:val="29"/>
                <w:shd w:val="solid" w:color="000000" w:fill="000000"/>
                <w:fitText w:val="130" w:id="-1032081142"/>
                <w14:textFill>
                  <w14:solidFill>
                    <w14:srgbClr w14:val="000000">
                      <w14:alpha w14:val="100000"/>
                    </w14:srgbClr>
                  </w14:solidFill>
                </w14:textFill>
              </w:rPr>
              <w:t>|</w:t>
            </w:r>
            <w:r w:rsidRPr="00785872">
              <w:rPr>
                <w:rFonts w:hint="eastAsia"/>
                <w:b/>
                <w:bCs w:val="0"/>
                <w:color w:val="000000"/>
                <w:spacing w:val="1"/>
                <w:w w:val="29"/>
                <w:shd w:val="solid" w:color="000000" w:fill="000000"/>
                <w:fitText w:val="130" w:id="-1032081142"/>
                <w14:textFill>
                  <w14:solidFill>
                    <w14:srgbClr w14:val="000000">
                      <w14:alpha w14:val="100000"/>
                    </w14:srgbClr>
                  </w14:solidFill>
                </w14:textFill>
              </w:rPr>
              <w:t xml:space="preserve">　</w:t>
            </w:r>
            <w:r w:rsidR="00BE598F">
              <w:rPr>
                <w:rFonts w:eastAsiaTheme="minorHAnsi"/>
                <w:bCs w:val="0"/>
                <w:color w:val="222222"/>
                <w:szCs w:val="18"/>
                <w:vertAlign w:val="superscript"/>
                <w:lang w:eastAsia="en-US"/>
              </w:rPr>
              <w:t>6</w:t>
            </w:r>
          </w:p>
        </w:tc>
      </w:tr>
    </w:tbl>
    <w:p w14:paraId="099A66F7" w14:textId="0708992F" w:rsidR="00D96114" w:rsidRPr="00F92E56" w:rsidRDefault="007F3BA4" w:rsidP="00D96114">
      <w:pPr>
        <w:pStyle w:val="TableFigureFooter"/>
        <w:rPr>
          <w:rFonts w:eastAsiaTheme="minorHAnsi"/>
          <w:lang w:eastAsia="en-US"/>
        </w:rPr>
      </w:pPr>
      <w:r w:rsidRPr="00F92E56">
        <w:rPr>
          <w:rFonts w:eastAsiaTheme="minorHAnsi"/>
          <w:lang w:eastAsia="en-US"/>
        </w:rPr>
        <w:t xml:space="preserve">Note: Estimates were revised </w:t>
      </w:r>
      <w:r w:rsidR="00AF634A" w:rsidRPr="00F92E56">
        <w:rPr>
          <w:rFonts w:eastAsiaTheme="minorHAnsi"/>
          <w:iCs/>
          <w:lang w:eastAsia="en-US"/>
        </w:rPr>
        <w:t xml:space="preserve">during the </w:t>
      </w:r>
      <w:r w:rsidR="00BB76E3" w:rsidRPr="00F92E56">
        <w:rPr>
          <w:rFonts w:eastAsiaTheme="minorHAnsi"/>
          <w:iCs/>
          <w:lang w:eastAsia="en-US"/>
        </w:rPr>
        <w:t>preparation of the ESC advice</w:t>
      </w:r>
      <w:r w:rsidR="00AF634A" w:rsidRPr="00F92E56">
        <w:rPr>
          <w:rFonts w:eastAsiaTheme="minorHAnsi"/>
          <w:lang w:eastAsia="en-US"/>
        </w:rPr>
        <w:t xml:space="preserve"> </w:t>
      </w:r>
      <w:r w:rsidRPr="00F92E56">
        <w:rPr>
          <w:rFonts w:eastAsiaTheme="minorHAnsi"/>
          <w:lang w:eastAsia="en-US"/>
        </w:rPr>
        <w:t>to correct the approach used to estimate incident distant recurrence patients and to assume 4</w:t>
      </w:r>
      <w:r w:rsidR="00CE651F" w:rsidRPr="00F92E56">
        <w:rPr>
          <w:rFonts w:eastAsiaTheme="minorHAnsi"/>
          <w:lang w:eastAsia="en-US"/>
        </w:rPr>
        <w:t>3</w:t>
      </w:r>
      <w:r w:rsidRPr="00F92E56">
        <w:rPr>
          <w:rFonts w:eastAsiaTheme="minorHAnsi"/>
          <w:lang w:eastAsia="en-US"/>
        </w:rPr>
        <w:t>% uptake of avelumab maintenance (as used in the economic evaluation).</w:t>
      </w:r>
    </w:p>
    <w:p w14:paraId="1EC5AE5E" w14:textId="77777777" w:rsidR="00D96114" w:rsidRPr="00F92E56" w:rsidRDefault="001D66D4" w:rsidP="00D96114">
      <w:pPr>
        <w:pStyle w:val="TableFigureFooter"/>
        <w:rPr>
          <w:rFonts w:eastAsiaTheme="minorHAnsi"/>
          <w:bCs/>
          <w:color w:val="222222"/>
          <w:szCs w:val="18"/>
          <w:lang w:eastAsia="en-US"/>
        </w:rPr>
      </w:pPr>
      <w:r w:rsidRPr="00F92E56">
        <w:t xml:space="preserve">Source: </w:t>
      </w:r>
      <w:r w:rsidRPr="00F92E56">
        <w:rPr>
          <w:rFonts w:eastAsiaTheme="minorHAnsi"/>
          <w:bCs/>
          <w:color w:val="222222"/>
          <w:szCs w:val="18"/>
          <w:lang w:eastAsia="en-US"/>
        </w:rPr>
        <w:t>Compiled during the evaluation, based on financial workbook provided with the submission.</w:t>
      </w:r>
    </w:p>
    <w:p w14:paraId="69D3A466" w14:textId="1F86283C" w:rsidR="001D66D4" w:rsidRPr="00785872" w:rsidRDefault="001D66D4" w:rsidP="00D96114">
      <w:pPr>
        <w:pStyle w:val="TableFigureFooter"/>
        <w:rPr>
          <w:rFonts w:eastAsiaTheme="minorHAnsi"/>
          <w:bCs/>
          <w:szCs w:val="18"/>
          <w:lang w:eastAsia="en-US"/>
        </w:rPr>
      </w:pPr>
      <w:r w:rsidRPr="00785872">
        <w:rPr>
          <w:vertAlign w:val="superscript"/>
        </w:rPr>
        <w:t>a</w:t>
      </w:r>
      <w:r w:rsidRPr="00785872">
        <w:t xml:space="preserve"> </w:t>
      </w:r>
      <w:r w:rsidRPr="00785872">
        <w:rPr>
          <w:rFonts w:eastAsiaTheme="minorHAnsi"/>
          <w:bCs/>
          <w:szCs w:val="18"/>
          <w:lang w:eastAsia="en-US"/>
        </w:rPr>
        <w:t>The numbers were corrected during the evaluation as</w:t>
      </w:r>
      <w:r w:rsidR="00C17D2D" w:rsidRPr="00785872">
        <w:rPr>
          <w:rFonts w:eastAsiaTheme="minorHAnsi"/>
          <w:bCs/>
          <w:szCs w:val="18"/>
          <w:lang w:eastAsia="en-US"/>
        </w:rPr>
        <w:t xml:space="preserve"> Table 85, p166 of</w:t>
      </w:r>
      <w:r w:rsidRPr="00785872">
        <w:rPr>
          <w:rFonts w:eastAsiaTheme="minorHAnsi"/>
          <w:bCs/>
          <w:szCs w:val="18"/>
          <w:lang w:eastAsia="en-US"/>
        </w:rPr>
        <w:t xml:space="preserve"> the resubmission made typographic errors.</w:t>
      </w:r>
    </w:p>
    <w:p w14:paraId="78C247E1" w14:textId="43A9977C" w:rsidR="00BE598F" w:rsidRPr="00785872" w:rsidRDefault="00BE598F" w:rsidP="00D96114">
      <w:pPr>
        <w:pStyle w:val="TableFigureFooter"/>
        <w:rPr>
          <w:rFonts w:eastAsiaTheme="minorHAnsi"/>
          <w:bCs/>
          <w:i/>
          <w:iCs/>
          <w:szCs w:val="18"/>
          <w:lang w:eastAsia="en-US"/>
        </w:rPr>
      </w:pPr>
      <w:r w:rsidRPr="00785872">
        <w:rPr>
          <w:rFonts w:eastAsiaTheme="minorHAnsi"/>
          <w:bCs/>
          <w:i/>
          <w:iCs/>
          <w:szCs w:val="18"/>
          <w:lang w:eastAsia="en-US"/>
        </w:rPr>
        <w:t>The redacted values correspond to the following ranges:</w:t>
      </w:r>
    </w:p>
    <w:p w14:paraId="5C2551E7" w14:textId="0F54EE1E" w:rsidR="00BE598F" w:rsidRPr="00785872" w:rsidRDefault="00BE598F" w:rsidP="00D96114">
      <w:pPr>
        <w:pStyle w:val="TableFigureFooter"/>
        <w:rPr>
          <w:rFonts w:eastAsiaTheme="minorHAnsi"/>
          <w:bCs/>
          <w:i/>
          <w:iCs/>
          <w:szCs w:val="18"/>
          <w:lang w:eastAsia="en-US"/>
        </w:rPr>
      </w:pPr>
      <w:r w:rsidRPr="00785872">
        <w:rPr>
          <w:rFonts w:eastAsiaTheme="minorHAnsi"/>
          <w:bCs/>
          <w:i/>
          <w:iCs/>
          <w:szCs w:val="18"/>
          <w:vertAlign w:val="superscript"/>
          <w:lang w:eastAsia="en-US"/>
        </w:rPr>
        <w:t>1</w:t>
      </w:r>
      <w:r w:rsidRPr="00785872">
        <w:rPr>
          <w:rFonts w:eastAsiaTheme="minorHAnsi"/>
          <w:bCs/>
          <w:i/>
          <w:iCs/>
          <w:szCs w:val="18"/>
          <w:lang w:eastAsia="en-US"/>
        </w:rPr>
        <w:t xml:space="preserve"> 500 to &lt; 5,000</w:t>
      </w:r>
    </w:p>
    <w:p w14:paraId="483FAAB2" w14:textId="4443862E" w:rsidR="00BE598F" w:rsidRPr="00785872" w:rsidRDefault="00BE598F" w:rsidP="00D96114">
      <w:pPr>
        <w:pStyle w:val="TableFigureFooter"/>
        <w:rPr>
          <w:rFonts w:eastAsiaTheme="minorHAnsi"/>
          <w:bCs/>
          <w:i/>
          <w:iCs/>
          <w:szCs w:val="18"/>
          <w:lang w:eastAsia="en-US"/>
        </w:rPr>
      </w:pPr>
      <w:r w:rsidRPr="00785872">
        <w:rPr>
          <w:rFonts w:eastAsiaTheme="minorHAnsi"/>
          <w:bCs/>
          <w:i/>
          <w:iCs/>
          <w:szCs w:val="18"/>
          <w:vertAlign w:val="superscript"/>
          <w:lang w:eastAsia="en-US"/>
        </w:rPr>
        <w:t>2</w:t>
      </w:r>
      <w:r w:rsidRPr="00785872">
        <w:rPr>
          <w:rFonts w:eastAsiaTheme="minorHAnsi"/>
          <w:bCs/>
          <w:i/>
          <w:iCs/>
          <w:szCs w:val="18"/>
          <w:lang w:eastAsia="en-US"/>
        </w:rPr>
        <w:t xml:space="preserve"> 5,000 to &lt; 10,000</w:t>
      </w:r>
    </w:p>
    <w:p w14:paraId="6D7F7085" w14:textId="48BF3348" w:rsidR="00BE598F" w:rsidRPr="00785872" w:rsidRDefault="00BE598F" w:rsidP="00D96114">
      <w:pPr>
        <w:pStyle w:val="TableFigureFooter"/>
        <w:rPr>
          <w:rFonts w:eastAsiaTheme="minorHAnsi"/>
          <w:bCs/>
          <w:i/>
          <w:iCs/>
          <w:szCs w:val="18"/>
          <w:lang w:eastAsia="en-US"/>
        </w:rPr>
      </w:pPr>
      <w:r w:rsidRPr="00785872">
        <w:rPr>
          <w:rFonts w:eastAsiaTheme="minorHAnsi"/>
          <w:bCs/>
          <w:i/>
          <w:iCs/>
          <w:szCs w:val="18"/>
          <w:vertAlign w:val="superscript"/>
          <w:lang w:eastAsia="en-US"/>
        </w:rPr>
        <w:t>3</w:t>
      </w:r>
      <w:r w:rsidRPr="00785872">
        <w:rPr>
          <w:rFonts w:eastAsiaTheme="minorHAnsi"/>
          <w:bCs/>
          <w:i/>
          <w:iCs/>
          <w:szCs w:val="18"/>
          <w:lang w:eastAsia="en-US"/>
        </w:rPr>
        <w:t xml:space="preserve"> &lt; 500</w:t>
      </w:r>
    </w:p>
    <w:p w14:paraId="6A1F1C62" w14:textId="7FBD79ED" w:rsidR="00BE598F" w:rsidRPr="00785872" w:rsidRDefault="00BE598F" w:rsidP="00D96114">
      <w:pPr>
        <w:pStyle w:val="TableFigureFooter"/>
        <w:rPr>
          <w:rFonts w:eastAsiaTheme="minorHAnsi"/>
          <w:bCs/>
          <w:i/>
          <w:iCs/>
          <w:szCs w:val="18"/>
          <w:lang w:eastAsia="en-US"/>
        </w:rPr>
      </w:pPr>
      <w:r w:rsidRPr="00785872">
        <w:rPr>
          <w:rFonts w:eastAsiaTheme="minorHAnsi"/>
          <w:bCs/>
          <w:i/>
          <w:iCs/>
          <w:szCs w:val="18"/>
          <w:vertAlign w:val="superscript"/>
          <w:lang w:eastAsia="en-US"/>
        </w:rPr>
        <w:t>4</w:t>
      </w:r>
      <w:r w:rsidRPr="00785872">
        <w:rPr>
          <w:rFonts w:eastAsiaTheme="minorHAnsi"/>
          <w:bCs/>
          <w:i/>
          <w:iCs/>
          <w:szCs w:val="18"/>
          <w:lang w:eastAsia="en-US"/>
        </w:rPr>
        <w:t xml:space="preserve"> $30 million to &lt; $40 million</w:t>
      </w:r>
    </w:p>
    <w:p w14:paraId="22FB83CB" w14:textId="152474EA" w:rsidR="00BE598F" w:rsidRPr="00785872" w:rsidRDefault="00BE598F" w:rsidP="00D96114">
      <w:pPr>
        <w:pStyle w:val="TableFigureFooter"/>
        <w:rPr>
          <w:rFonts w:eastAsiaTheme="minorHAnsi"/>
          <w:bCs/>
          <w:i/>
          <w:iCs/>
          <w:szCs w:val="18"/>
          <w:lang w:eastAsia="en-US"/>
        </w:rPr>
      </w:pPr>
      <w:r w:rsidRPr="00785872">
        <w:rPr>
          <w:rFonts w:eastAsiaTheme="minorHAnsi"/>
          <w:bCs/>
          <w:i/>
          <w:iCs/>
          <w:szCs w:val="18"/>
          <w:vertAlign w:val="superscript"/>
          <w:lang w:eastAsia="en-US"/>
        </w:rPr>
        <w:t>5</w:t>
      </w:r>
      <w:r w:rsidRPr="00785872">
        <w:rPr>
          <w:rFonts w:eastAsiaTheme="minorHAnsi"/>
          <w:bCs/>
          <w:i/>
          <w:iCs/>
          <w:szCs w:val="18"/>
          <w:lang w:eastAsia="en-US"/>
        </w:rPr>
        <w:t xml:space="preserve"> $20 million to &lt; $30 million</w:t>
      </w:r>
    </w:p>
    <w:p w14:paraId="32A5FFDD" w14:textId="1B234742" w:rsidR="00BE598F" w:rsidRPr="00785872" w:rsidRDefault="00BE598F" w:rsidP="00D96114">
      <w:pPr>
        <w:pStyle w:val="TableFigureFooter"/>
        <w:rPr>
          <w:rFonts w:eastAsiaTheme="minorHAnsi"/>
          <w:bCs/>
          <w:i/>
          <w:iCs/>
          <w:szCs w:val="18"/>
          <w:lang w:eastAsia="en-US"/>
        </w:rPr>
      </w:pPr>
      <w:r w:rsidRPr="00785872">
        <w:rPr>
          <w:rFonts w:eastAsiaTheme="minorHAnsi"/>
          <w:bCs/>
          <w:i/>
          <w:iCs/>
          <w:szCs w:val="18"/>
          <w:vertAlign w:val="superscript"/>
          <w:lang w:eastAsia="en-US"/>
        </w:rPr>
        <w:t>6</w:t>
      </w:r>
      <w:r w:rsidRPr="00785872">
        <w:rPr>
          <w:rFonts w:eastAsiaTheme="minorHAnsi"/>
          <w:bCs/>
          <w:i/>
          <w:iCs/>
          <w:szCs w:val="18"/>
          <w:lang w:eastAsia="en-US"/>
        </w:rPr>
        <w:t xml:space="preserve"> $10 million to &lt; $20 million</w:t>
      </w:r>
    </w:p>
    <w:p w14:paraId="337178DB" w14:textId="26DB92A1" w:rsidR="00BE598F" w:rsidRPr="00785872" w:rsidRDefault="00BE598F" w:rsidP="00D96114">
      <w:pPr>
        <w:pStyle w:val="TableFigureFooter"/>
        <w:rPr>
          <w:rFonts w:eastAsiaTheme="minorHAnsi"/>
          <w:bCs/>
          <w:i/>
          <w:iCs/>
          <w:szCs w:val="18"/>
          <w:lang w:eastAsia="en-US"/>
        </w:rPr>
      </w:pPr>
      <w:r w:rsidRPr="00785872">
        <w:rPr>
          <w:rFonts w:eastAsiaTheme="minorHAnsi"/>
          <w:bCs/>
          <w:i/>
          <w:iCs/>
          <w:szCs w:val="18"/>
          <w:vertAlign w:val="superscript"/>
          <w:lang w:eastAsia="en-US"/>
        </w:rPr>
        <w:t>7</w:t>
      </w:r>
      <w:r w:rsidRPr="00785872">
        <w:rPr>
          <w:rFonts w:eastAsiaTheme="minorHAnsi"/>
          <w:bCs/>
          <w:i/>
          <w:iCs/>
          <w:szCs w:val="18"/>
          <w:lang w:eastAsia="en-US"/>
        </w:rPr>
        <w:t xml:space="preserve"> net cost saving</w:t>
      </w:r>
    </w:p>
    <w:p w14:paraId="5094DFE9" w14:textId="461B7D88" w:rsidR="00BE598F" w:rsidRPr="00785872" w:rsidRDefault="00BE598F" w:rsidP="00D96114">
      <w:pPr>
        <w:pStyle w:val="TableFigureFooter"/>
        <w:rPr>
          <w:rFonts w:eastAsiaTheme="minorHAnsi"/>
          <w:bCs/>
          <w:i/>
          <w:iCs/>
          <w:szCs w:val="18"/>
          <w:lang w:eastAsia="en-US"/>
        </w:rPr>
      </w:pPr>
      <w:r w:rsidRPr="00785872">
        <w:rPr>
          <w:rFonts w:eastAsiaTheme="minorHAnsi"/>
          <w:bCs/>
          <w:i/>
          <w:iCs/>
          <w:szCs w:val="18"/>
          <w:vertAlign w:val="superscript"/>
          <w:lang w:eastAsia="en-US"/>
        </w:rPr>
        <w:t>8</w:t>
      </w:r>
      <w:r w:rsidRPr="00785872">
        <w:rPr>
          <w:rFonts w:eastAsiaTheme="minorHAnsi"/>
          <w:bCs/>
          <w:i/>
          <w:iCs/>
          <w:szCs w:val="18"/>
          <w:lang w:eastAsia="en-US"/>
        </w:rPr>
        <w:t xml:space="preserve"> $0 to &lt; $10 million</w:t>
      </w:r>
    </w:p>
    <w:p w14:paraId="56BA197B" w14:textId="29144B9F" w:rsidR="001D66D4" w:rsidRPr="00F92E56" w:rsidRDefault="001D66D4" w:rsidP="00236876">
      <w:pPr>
        <w:pStyle w:val="3-BodyText"/>
      </w:pPr>
      <w:r w:rsidRPr="00F92E56">
        <w:t>The</w:t>
      </w:r>
      <w:r w:rsidR="00A173BD" w:rsidRPr="00F92E56">
        <w:t xml:space="preserve"> </w:t>
      </w:r>
      <w:r w:rsidRPr="00F92E56">
        <w:t>total cost to the PBS/RPBS of listing nivolumab was estimated in the resubmission to be $</w:t>
      </w:r>
      <w:r w:rsidR="00BE598F">
        <w:t>20 million to &lt; $30</w:t>
      </w:r>
      <w:r w:rsidRPr="00F92E56">
        <w:t xml:space="preserve"> million</w:t>
      </w:r>
      <w:r w:rsidR="00773DFF" w:rsidRPr="00F92E56">
        <w:t xml:space="preserve"> (revised: $</w:t>
      </w:r>
      <w:r w:rsidR="00BE598F">
        <w:t>10 million to &lt; $20</w:t>
      </w:r>
      <w:r w:rsidR="00773DFF" w:rsidRPr="00F92E56">
        <w:t xml:space="preserve"> million)</w:t>
      </w:r>
      <w:r w:rsidRPr="00F92E56">
        <w:t xml:space="preserve"> in Year 6, and a total of $</w:t>
      </w:r>
      <w:r w:rsidR="00BE598F">
        <w:t>100 million to &lt; $200</w:t>
      </w:r>
      <w:r w:rsidRPr="00F92E56">
        <w:t xml:space="preserve"> million</w:t>
      </w:r>
      <w:r w:rsidR="00773DFF" w:rsidRPr="00F92E56">
        <w:t xml:space="preserve"> (</w:t>
      </w:r>
      <w:r w:rsidR="00D12950" w:rsidRPr="00F92E56">
        <w:t xml:space="preserve">revised: </w:t>
      </w:r>
      <w:r w:rsidR="00773DFF" w:rsidRPr="00F92E56">
        <w:t>$</w:t>
      </w:r>
      <w:r w:rsidR="00BE598F">
        <w:t>100 million to &lt;</w:t>
      </w:r>
      <w:r w:rsidR="00E72F11">
        <w:t> </w:t>
      </w:r>
      <w:r w:rsidR="00BE598F">
        <w:t>$200</w:t>
      </w:r>
      <w:r w:rsidR="00E72F11">
        <w:t> </w:t>
      </w:r>
      <w:r w:rsidR="00773DFF" w:rsidRPr="00F92E56">
        <w:t>million)</w:t>
      </w:r>
      <w:r w:rsidRPr="00F92E56">
        <w:t xml:space="preserve"> in the first 6 years of listing.</w:t>
      </w:r>
      <w:r w:rsidRPr="00F92E56">
        <w:rPr>
          <w:color w:val="3366FF"/>
        </w:rPr>
        <w:t xml:space="preserve"> </w:t>
      </w:r>
      <w:r w:rsidRPr="00F92E56">
        <w:t xml:space="preserve">These were based on an assumed effective price for avelumab. </w:t>
      </w:r>
    </w:p>
    <w:p w14:paraId="6C440B2F" w14:textId="7CFAF67D" w:rsidR="00D97A48" w:rsidRPr="00F92E56" w:rsidRDefault="00734F18" w:rsidP="00236876">
      <w:pPr>
        <w:pStyle w:val="3-BodyText"/>
      </w:pPr>
      <w:r w:rsidRPr="00F92E56">
        <w:t>The</w:t>
      </w:r>
      <w:r w:rsidR="00D97A48" w:rsidRPr="00F92E56">
        <w:t xml:space="preserve"> ESC noted that the</w:t>
      </w:r>
      <w:r w:rsidRPr="00F92E56">
        <w:t xml:space="preserve"> net financial impact to the PBS/RPBS has increased relative to the previous submission, despite narrowing of the patient population eligible for treatment and including cost-offsets of avelumab maintenance use. </w:t>
      </w:r>
    </w:p>
    <w:p w14:paraId="07F2E17B" w14:textId="56A80D9C" w:rsidR="00734F18" w:rsidRPr="00F92E56" w:rsidRDefault="00734F18" w:rsidP="00236876">
      <w:pPr>
        <w:pStyle w:val="3-BodyText"/>
      </w:pPr>
      <w:r w:rsidRPr="00F92E56">
        <w:t xml:space="preserve">It </w:t>
      </w:r>
      <w:r w:rsidR="00D97A48" w:rsidRPr="00F92E56">
        <w:t xml:space="preserve">was noted during the evaluation </w:t>
      </w:r>
      <w:r w:rsidRPr="00F92E56">
        <w:t xml:space="preserve">that by Year 6, the estimated number of patients expected to uptake treatment with nivolumab was higher than Year 6 estimates previously. This </w:t>
      </w:r>
      <w:r w:rsidR="00F64824" w:rsidRPr="00F92E56">
        <w:t>is</w:t>
      </w:r>
      <w:r w:rsidRPr="00F92E56">
        <w:t xml:space="preserve"> due to the increase in the proportion of patients who uptake NAC due to the listing of nivolumab and the higher rate of uptake assumed.</w:t>
      </w:r>
    </w:p>
    <w:p w14:paraId="76E66FB5" w14:textId="4E68827D" w:rsidR="002F49F4" w:rsidRPr="00F92E56" w:rsidRDefault="002F49F4" w:rsidP="00236876">
      <w:pPr>
        <w:pStyle w:val="3-BodyText"/>
      </w:pPr>
      <w:r w:rsidRPr="00F92E56">
        <w:rPr>
          <w:rFonts w:eastAsiaTheme="minorHAnsi"/>
        </w:rPr>
        <w:t xml:space="preserve">The base case variables and parameters changed in the sensitivity analyses are presented in </w:t>
      </w:r>
      <w:r w:rsidRPr="00F92E56">
        <w:rPr>
          <w:rFonts w:eastAsiaTheme="minorHAnsi"/>
        </w:rPr>
        <w:fldChar w:fldCharType="begin" w:fldLock="1"/>
      </w:r>
      <w:r w:rsidRPr="00F92E56">
        <w:rPr>
          <w:rFonts w:eastAsiaTheme="minorHAnsi"/>
        </w:rPr>
        <w:instrText xml:space="preserve"> REF _Ref144984333 \h  \* MERGEFORMAT </w:instrText>
      </w:r>
      <w:r w:rsidRPr="00F92E56">
        <w:rPr>
          <w:rFonts w:eastAsiaTheme="minorHAnsi"/>
        </w:rPr>
      </w:r>
      <w:r w:rsidRPr="00F92E56">
        <w:rPr>
          <w:rFonts w:eastAsiaTheme="minorHAnsi"/>
        </w:rPr>
        <w:fldChar w:fldCharType="separate"/>
      </w:r>
      <w:r w:rsidR="0096718A" w:rsidRPr="00F92E56">
        <w:rPr>
          <w:rFonts w:eastAsiaTheme="minorHAnsi"/>
        </w:rPr>
        <w:t>Table 20</w:t>
      </w:r>
      <w:r w:rsidRPr="00F92E56">
        <w:rPr>
          <w:rFonts w:eastAsiaTheme="minorHAnsi"/>
        </w:rPr>
        <w:fldChar w:fldCharType="end"/>
      </w:r>
      <w:r w:rsidRPr="00F92E56">
        <w:rPr>
          <w:rFonts w:eastAsiaTheme="minorHAnsi"/>
        </w:rPr>
        <w:t xml:space="preserve"> around the revised impact to the PBS/RPBS. </w:t>
      </w:r>
      <w:r w:rsidRPr="00F92E56">
        <w:t xml:space="preserve">Results showed that the net PBS/RPBS implications were sensitive to the change in the proportion of </w:t>
      </w:r>
      <w:r w:rsidRPr="00F92E56">
        <w:lastRenderedPageBreak/>
        <w:t>patients at high risk of recurrence after radical resection, uptake rate of nivolumab and proportion of prior NAC usage.</w:t>
      </w:r>
    </w:p>
    <w:p w14:paraId="43E6622E" w14:textId="2521D245" w:rsidR="002F49F4" w:rsidRPr="00F92E56" w:rsidRDefault="002F49F4" w:rsidP="005364D7">
      <w:pPr>
        <w:keepNext/>
        <w:keepLines/>
        <w:rPr>
          <w:rFonts w:ascii="Arial Narrow" w:eastAsiaTheme="minorHAnsi" w:hAnsi="Arial Narrow"/>
          <w:b/>
          <w:sz w:val="20"/>
          <w:szCs w:val="20"/>
        </w:rPr>
      </w:pPr>
      <w:bookmarkStart w:id="84" w:name="_Ref144984333"/>
      <w:r w:rsidRPr="00F92E56">
        <w:rPr>
          <w:rFonts w:ascii="Arial Narrow" w:eastAsiaTheme="minorHAnsi" w:hAnsi="Arial Narrow"/>
          <w:b/>
          <w:sz w:val="20"/>
          <w:szCs w:val="20"/>
        </w:rPr>
        <w:t xml:space="preserve">Table </w:t>
      </w:r>
      <w:r w:rsidRPr="00F92E56">
        <w:rPr>
          <w:rFonts w:ascii="Arial Narrow" w:eastAsiaTheme="minorHAnsi" w:hAnsi="Arial Narrow"/>
          <w:b/>
          <w:sz w:val="20"/>
          <w:szCs w:val="20"/>
        </w:rPr>
        <w:fldChar w:fldCharType="begin" w:fldLock="1"/>
      </w:r>
      <w:r w:rsidRPr="00F92E56">
        <w:rPr>
          <w:rFonts w:ascii="Arial Narrow" w:eastAsiaTheme="minorHAnsi" w:hAnsi="Arial Narrow"/>
          <w:b/>
          <w:sz w:val="20"/>
          <w:szCs w:val="20"/>
        </w:rPr>
        <w:instrText xml:space="preserve"> SEQ Table \* ARABIC </w:instrText>
      </w:r>
      <w:r w:rsidRPr="00F92E56">
        <w:rPr>
          <w:rFonts w:ascii="Arial Narrow" w:eastAsiaTheme="minorHAnsi" w:hAnsi="Arial Narrow"/>
          <w:b/>
          <w:sz w:val="20"/>
          <w:szCs w:val="20"/>
        </w:rPr>
        <w:fldChar w:fldCharType="separate"/>
      </w:r>
      <w:r w:rsidR="0096718A" w:rsidRPr="00346867">
        <w:rPr>
          <w:rFonts w:ascii="Arial Narrow" w:eastAsiaTheme="minorHAnsi" w:hAnsi="Arial Narrow"/>
          <w:b/>
          <w:sz w:val="20"/>
          <w:szCs w:val="20"/>
        </w:rPr>
        <w:t>20</w:t>
      </w:r>
      <w:r w:rsidRPr="00F92E56">
        <w:rPr>
          <w:rFonts w:ascii="Arial Narrow" w:eastAsiaTheme="minorHAnsi" w:hAnsi="Arial Narrow"/>
          <w:b/>
          <w:sz w:val="20"/>
          <w:szCs w:val="20"/>
        </w:rPr>
        <w:fldChar w:fldCharType="end"/>
      </w:r>
      <w:bookmarkEnd w:id="84"/>
      <w:r w:rsidRPr="00F92E56">
        <w:rPr>
          <w:rFonts w:ascii="Arial Narrow" w:eastAsiaTheme="minorHAnsi" w:hAnsi="Arial Narrow"/>
          <w:b/>
          <w:sz w:val="20"/>
          <w:szCs w:val="20"/>
        </w:rPr>
        <w:t>:</w:t>
      </w:r>
      <w:r w:rsidRPr="00F92E56">
        <w:rPr>
          <w:rFonts w:eastAsiaTheme="minorHAnsi"/>
          <w:szCs w:val="20"/>
        </w:rPr>
        <w:t xml:space="preserve"> </w:t>
      </w:r>
      <w:r w:rsidRPr="00F92E56">
        <w:rPr>
          <w:rFonts w:ascii="Arial Narrow" w:eastAsiaTheme="minorHAnsi" w:hAnsi="Arial Narrow"/>
          <w:b/>
          <w:sz w:val="20"/>
          <w:szCs w:val="20"/>
        </w:rPr>
        <w:t>Key sensitivity analyses around the financial impact of listing nivolumab</w:t>
      </w:r>
    </w:p>
    <w:tbl>
      <w:tblPr>
        <w:tblStyle w:val="TableGrid2"/>
        <w:tblW w:w="5000" w:type="pct"/>
        <w:tblLayout w:type="fixed"/>
        <w:tblLook w:val="04A0" w:firstRow="1" w:lastRow="0" w:firstColumn="1" w:lastColumn="0" w:noHBand="0" w:noVBand="1"/>
      </w:tblPr>
      <w:tblGrid>
        <w:gridCol w:w="2547"/>
        <w:gridCol w:w="992"/>
        <w:gridCol w:w="992"/>
        <w:gridCol w:w="1134"/>
        <w:gridCol w:w="1134"/>
        <w:gridCol w:w="1134"/>
        <w:gridCol w:w="1084"/>
      </w:tblGrid>
      <w:tr w:rsidR="002F49F4" w:rsidRPr="00F92E56" w14:paraId="431CBA00" w14:textId="77777777" w:rsidTr="001D78FA">
        <w:trPr>
          <w:trHeight w:val="300"/>
        </w:trPr>
        <w:tc>
          <w:tcPr>
            <w:tcW w:w="1412" w:type="pct"/>
            <w:noWrap/>
          </w:tcPr>
          <w:p w14:paraId="78515C38" w14:textId="77777777" w:rsidR="002F49F4" w:rsidRPr="00F92E56" w:rsidRDefault="002F49F4" w:rsidP="001D78FA">
            <w:pPr>
              <w:keepNext/>
              <w:keepLines/>
              <w:jc w:val="left"/>
              <w:rPr>
                <w:rFonts w:ascii="Arial Narrow" w:hAnsi="Arial Narrow"/>
                <w:sz w:val="20"/>
                <w:szCs w:val="20"/>
              </w:rPr>
            </w:pPr>
          </w:p>
        </w:tc>
        <w:tc>
          <w:tcPr>
            <w:tcW w:w="550" w:type="pct"/>
            <w:noWrap/>
            <w:vAlign w:val="center"/>
          </w:tcPr>
          <w:p w14:paraId="644BC48E" w14:textId="77777777" w:rsidR="002F49F4" w:rsidRPr="00F92E56" w:rsidRDefault="002F49F4" w:rsidP="001D78FA">
            <w:pPr>
              <w:keepNext/>
              <w:keepLines/>
              <w:jc w:val="center"/>
              <w:rPr>
                <w:rFonts w:ascii="Arial Narrow" w:hAnsi="Arial Narrow"/>
                <w:sz w:val="20"/>
                <w:szCs w:val="20"/>
              </w:rPr>
            </w:pPr>
            <w:r w:rsidRPr="00F92E56">
              <w:rPr>
                <w:rFonts w:ascii="Arial Narrow" w:hAnsi="Arial Narrow"/>
                <w:b/>
                <w:bCs/>
                <w:color w:val="222222"/>
                <w:sz w:val="20"/>
              </w:rPr>
              <w:t>2024</w:t>
            </w:r>
          </w:p>
        </w:tc>
        <w:tc>
          <w:tcPr>
            <w:tcW w:w="550" w:type="pct"/>
            <w:noWrap/>
            <w:vAlign w:val="center"/>
          </w:tcPr>
          <w:p w14:paraId="49C0714C" w14:textId="77777777" w:rsidR="002F49F4" w:rsidRPr="00F92E56" w:rsidRDefault="002F49F4" w:rsidP="001D78FA">
            <w:pPr>
              <w:keepNext/>
              <w:keepLines/>
              <w:jc w:val="center"/>
              <w:rPr>
                <w:rFonts w:ascii="Arial Narrow" w:hAnsi="Arial Narrow"/>
                <w:sz w:val="20"/>
                <w:szCs w:val="20"/>
              </w:rPr>
            </w:pPr>
            <w:r w:rsidRPr="00F92E56">
              <w:rPr>
                <w:rFonts w:ascii="Arial Narrow" w:hAnsi="Arial Narrow"/>
                <w:b/>
                <w:bCs/>
                <w:color w:val="222222"/>
                <w:sz w:val="20"/>
              </w:rPr>
              <w:t>2025</w:t>
            </w:r>
          </w:p>
        </w:tc>
        <w:tc>
          <w:tcPr>
            <w:tcW w:w="629" w:type="pct"/>
            <w:noWrap/>
            <w:vAlign w:val="center"/>
          </w:tcPr>
          <w:p w14:paraId="76C75828" w14:textId="77777777" w:rsidR="002F49F4" w:rsidRPr="00F92E56" w:rsidRDefault="002F49F4" w:rsidP="001D78FA">
            <w:pPr>
              <w:keepNext/>
              <w:keepLines/>
              <w:jc w:val="center"/>
              <w:rPr>
                <w:rFonts w:ascii="Arial Narrow" w:hAnsi="Arial Narrow"/>
                <w:sz w:val="20"/>
                <w:szCs w:val="20"/>
              </w:rPr>
            </w:pPr>
            <w:r w:rsidRPr="00F92E56">
              <w:rPr>
                <w:rFonts w:ascii="Arial Narrow" w:hAnsi="Arial Narrow"/>
                <w:b/>
                <w:bCs/>
                <w:color w:val="222222"/>
                <w:sz w:val="20"/>
              </w:rPr>
              <w:t>2026</w:t>
            </w:r>
          </w:p>
        </w:tc>
        <w:tc>
          <w:tcPr>
            <w:tcW w:w="629" w:type="pct"/>
            <w:noWrap/>
            <w:vAlign w:val="center"/>
          </w:tcPr>
          <w:p w14:paraId="588DF7C8" w14:textId="77777777" w:rsidR="002F49F4" w:rsidRPr="00F92E56" w:rsidRDefault="002F49F4" w:rsidP="001D78FA">
            <w:pPr>
              <w:keepNext/>
              <w:keepLines/>
              <w:jc w:val="center"/>
              <w:rPr>
                <w:rFonts w:ascii="Arial Narrow" w:hAnsi="Arial Narrow"/>
                <w:sz w:val="20"/>
                <w:szCs w:val="20"/>
              </w:rPr>
            </w:pPr>
            <w:r w:rsidRPr="00F92E56">
              <w:rPr>
                <w:rFonts w:ascii="Arial Narrow" w:hAnsi="Arial Narrow"/>
                <w:b/>
                <w:bCs/>
                <w:color w:val="222222"/>
                <w:sz w:val="20"/>
              </w:rPr>
              <w:t>2027</w:t>
            </w:r>
          </w:p>
        </w:tc>
        <w:tc>
          <w:tcPr>
            <w:tcW w:w="629" w:type="pct"/>
            <w:noWrap/>
            <w:vAlign w:val="center"/>
          </w:tcPr>
          <w:p w14:paraId="59679A3B" w14:textId="77777777" w:rsidR="002F49F4" w:rsidRPr="00F92E56" w:rsidRDefault="002F49F4" w:rsidP="001D78FA">
            <w:pPr>
              <w:keepNext/>
              <w:keepLines/>
              <w:jc w:val="center"/>
              <w:rPr>
                <w:rFonts w:ascii="Arial Narrow" w:hAnsi="Arial Narrow"/>
                <w:sz w:val="20"/>
                <w:szCs w:val="20"/>
              </w:rPr>
            </w:pPr>
            <w:r w:rsidRPr="00F92E56">
              <w:rPr>
                <w:rFonts w:ascii="Arial Narrow" w:hAnsi="Arial Narrow"/>
                <w:b/>
                <w:bCs/>
                <w:color w:val="222222"/>
                <w:sz w:val="20"/>
              </w:rPr>
              <w:t>2028</w:t>
            </w:r>
          </w:p>
        </w:tc>
        <w:tc>
          <w:tcPr>
            <w:tcW w:w="601" w:type="pct"/>
            <w:noWrap/>
            <w:vAlign w:val="center"/>
          </w:tcPr>
          <w:p w14:paraId="7694BCD2" w14:textId="77777777" w:rsidR="002F49F4" w:rsidRPr="00F92E56" w:rsidRDefault="002F49F4" w:rsidP="001D78FA">
            <w:pPr>
              <w:keepNext/>
              <w:keepLines/>
              <w:jc w:val="center"/>
              <w:rPr>
                <w:rFonts w:ascii="Arial Narrow" w:hAnsi="Arial Narrow"/>
                <w:sz w:val="20"/>
                <w:szCs w:val="20"/>
              </w:rPr>
            </w:pPr>
            <w:r w:rsidRPr="00F92E56">
              <w:rPr>
                <w:rFonts w:ascii="Arial Narrow" w:hAnsi="Arial Narrow"/>
                <w:b/>
                <w:bCs/>
                <w:color w:val="222222"/>
                <w:sz w:val="20"/>
              </w:rPr>
              <w:t>2029</w:t>
            </w:r>
          </w:p>
        </w:tc>
      </w:tr>
      <w:tr w:rsidR="00467D3E" w:rsidRPr="00F92E56" w14:paraId="614312C8" w14:textId="77777777" w:rsidTr="001D78FA">
        <w:trPr>
          <w:trHeight w:val="300"/>
        </w:trPr>
        <w:tc>
          <w:tcPr>
            <w:tcW w:w="1412" w:type="pct"/>
            <w:noWrap/>
            <w:vAlign w:val="center"/>
            <w:hideMark/>
          </w:tcPr>
          <w:p w14:paraId="401879A0" w14:textId="77777777" w:rsidR="00467D3E" w:rsidRPr="00F92E56" w:rsidRDefault="00467D3E" w:rsidP="001D78FA">
            <w:pPr>
              <w:keepNext/>
              <w:keepLines/>
              <w:jc w:val="left"/>
              <w:rPr>
                <w:rFonts w:ascii="Arial Narrow" w:hAnsi="Arial Narrow"/>
                <w:b/>
                <w:bCs/>
                <w:sz w:val="20"/>
                <w:szCs w:val="20"/>
              </w:rPr>
            </w:pPr>
            <w:r w:rsidRPr="00F92E56">
              <w:rPr>
                <w:rFonts w:ascii="Arial Narrow" w:hAnsi="Arial Narrow"/>
                <w:b/>
                <w:bCs/>
                <w:sz w:val="20"/>
                <w:szCs w:val="20"/>
              </w:rPr>
              <w:t>Net cost to the PBS/RPBS (revised)</w:t>
            </w:r>
          </w:p>
        </w:tc>
        <w:tc>
          <w:tcPr>
            <w:tcW w:w="550" w:type="pct"/>
            <w:noWrap/>
            <w:vAlign w:val="center"/>
          </w:tcPr>
          <w:p w14:paraId="05FED0FC" w14:textId="1BE51670" w:rsidR="00467D3E" w:rsidRPr="00785872" w:rsidRDefault="00785872" w:rsidP="001D78FA">
            <w:pPr>
              <w:keepNext/>
              <w:keepLines/>
              <w:jc w:val="center"/>
              <w:rPr>
                <w:rFonts w:ascii="Arial Narrow" w:hAnsi="Arial Narrow"/>
                <w:b/>
                <w:bCs/>
                <w:iCs/>
                <w:sz w:val="20"/>
                <w:szCs w:val="20"/>
                <w:highlight w:val="darkGray"/>
              </w:rPr>
            </w:pPr>
            <w:r w:rsidRPr="00785872">
              <w:rPr>
                <w:rFonts w:ascii="Arial Narrow" w:hAnsi="Arial Narrow"/>
                <w:b/>
                <w:bCs/>
                <w:iCs/>
                <w:color w:val="000000"/>
                <w:sz w:val="20"/>
                <w:szCs w:val="20"/>
                <w:shd w:val="solid" w:color="000000" w:fill="000000"/>
                <w14:textFill>
                  <w14:solidFill>
                    <w14:srgbClr w14:val="000000">
                      <w14:alpha w14:val="100000"/>
                    </w14:srgbClr>
                  </w14:solidFill>
                </w14:textFill>
              </w:rPr>
              <w:t>|</w:t>
            </w:r>
            <w:r w:rsidR="00BE598F" w:rsidRPr="00785872">
              <w:rPr>
                <w:rFonts w:ascii="Arial Narrow" w:eastAsiaTheme="minorHAnsi" w:hAnsi="Arial Narrow"/>
                <w:sz w:val="20"/>
                <w:szCs w:val="20"/>
                <w:vertAlign w:val="superscript"/>
              </w:rPr>
              <w:t>1</w:t>
            </w:r>
          </w:p>
        </w:tc>
        <w:tc>
          <w:tcPr>
            <w:tcW w:w="550" w:type="pct"/>
            <w:noWrap/>
            <w:vAlign w:val="center"/>
          </w:tcPr>
          <w:p w14:paraId="1BA40F91" w14:textId="3E9A91B1" w:rsidR="00467D3E" w:rsidRPr="00785872" w:rsidRDefault="00785872" w:rsidP="001D78FA">
            <w:pPr>
              <w:keepNext/>
              <w:keepLines/>
              <w:jc w:val="center"/>
              <w:rPr>
                <w:rFonts w:ascii="Arial Narrow" w:hAnsi="Arial Narrow"/>
                <w:b/>
                <w:bCs/>
                <w:iCs/>
                <w:sz w:val="20"/>
                <w:szCs w:val="20"/>
                <w:highlight w:val="darkGray"/>
              </w:rPr>
            </w:pPr>
            <w:r w:rsidRPr="00785872">
              <w:rPr>
                <w:rFonts w:ascii="Arial Narrow" w:hAnsi="Arial Narrow"/>
                <w:b/>
                <w:bCs/>
                <w:iCs/>
                <w:color w:val="000000"/>
                <w:sz w:val="20"/>
                <w:szCs w:val="20"/>
                <w:shd w:val="solid" w:color="000000" w:fill="000000"/>
                <w14:textFill>
                  <w14:solidFill>
                    <w14:srgbClr w14:val="000000">
                      <w14:alpha w14:val="100000"/>
                    </w14:srgbClr>
                  </w14:solidFill>
                </w14:textFill>
              </w:rPr>
              <w:t>|</w:t>
            </w:r>
            <w:r w:rsidR="00BE598F" w:rsidRPr="00785872">
              <w:rPr>
                <w:rFonts w:ascii="Arial Narrow" w:eastAsiaTheme="minorHAnsi" w:hAnsi="Arial Narrow"/>
                <w:sz w:val="20"/>
                <w:szCs w:val="20"/>
                <w:vertAlign w:val="superscript"/>
              </w:rPr>
              <w:t>2</w:t>
            </w:r>
          </w:p>
        </w:tc>
        <w:tc>
          <w:tcPr>
            <w:tcW w:w="629" w:type="pct"/>
            <w:noWrap/>
            <w:vAlign w:val="center"/>
          </w:tcPr>
          <w:p w14:paraId="7FF5F41B" w14:textId="4AD40652" w:rsidR="00467D3E" w:rsidRPr="00785872" w:rsidRDefault="00785872" w:rsidP="001D78FA">
            <w:pPr>
              <w:keepNext/>
              <w:keepLines/>
              <w:jc w:val="center"/>
              <w:rPr>
                <w:rFonts w:ascii="Arial Narrow" w:hAnsi="Arial Narrow"/>
                <w:b/>
                <w:bCs/>
                <w:iCs/>
                <w:sz w:val="20"/>
                <w:szCs w:val="20"/>
                <w:highlight w:val="darkGray"/>
              </w:rPr>
            </w:pPr>
            <w:r w:rsidRPr="00785872">
              <w:rPr>
                <w:rFonts w:ascii="Arial Narrow" w:hAnsi="Arial Narrow"/>
                <w:b/>
                <w:bCs/>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19A2A61F" w14:textId="43035B85" w:rsidR="00467D3E" w:rsidRPr="00785872" w:rsidRDefault="00785872" w:rsidP="001D78FA">
            <w:pPr>
              <w:keepNext/>
              <w:keepLines/>
              <w:jc w:val="center"/>
              <w:rPr>
                <w:rFonts w:ascii="Arial Narrow" w:hAnsi="Arial Narrow"/>
                <w:b/>
                <w:bCs/>
                <w:iCs/>
                <w:sz w:val="20"/>
                <w:szCs w:val="20"/>
                <w:highlight w:val="darkGray"/>
              </w:rPr>
            </w:pPr>
            <w:r w:rsidRPr="00785872">
              <w:rPr>
                <w:rFonts w:ascii="Arial Narrow" w:hAnsi="Arial Narrow"/>
                <w:b/>
                <w:bCs/>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0FCBC5E9" w14:textId="72DACE16" w:rsidR="00467D3E" w:rsidRPr="00785872" w:rsidRDefault="00785872" w:rsidP="001D78FA">
            <w:pPr>
              <w:keepNext/>
              <w:keepLines/>
              <w:jc w:val="center"/>
              <w:rPr>
                <w:rFonts w:ascii="Arial Narrow" w:hAnsi="Arial Narrow"/>
                <w:b/>
                <w:bCs/>
                <w:iCs/>
                <w:sz w:val="20"/>
                <w:szCs w:val="20"/>
                <w:highlight w:val="darkGray"/>
              </w:rPr>
            </w:pPr>
            <w:r w:rsidRPr="00785872">
              <w:rPr>
                <w:rFonts w:ascii="Arial Narrow" w:hAnsi="Arial Narrow"/>
                <w:b/>
                <w:bCs/>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01" w:type="pct"/>
            <w:noWrap/>
            <w:vAlign w:val="center"/>
          </w:tcPr>
          <w:p w14:paraId="17743C89" w14:textId="4F211ADA" w:rsidR="00467D3E" w:rsidRPr="00785872" w:rsidRDefault="00785872" w:rsidP="001D78FA">
            <w:pPr>
              <w:keepNext/>
              <w:keepLines/>
              <w:jc w:val="center"/>
              <w:rPr>
                <w:rFonts w:ascii="Arial Narrow" w:hAnsi="Arial Narrow"/>
                <w:b/>
                <w:bCs/>
                <w:iCs/>
                <w:sz w:val="20"/>
                <w:szCs w:val="20"/>
                <w:highlight w:val="darkGray"/>
              </w:rPr>
            </w:pPr>
            <w:r w:rsidRPr="00785872">
              <w:rPr>
                <w:rFonts w:ascii="Arial Narrow" w:hAnsi="Arial Narrow"/>
                <w:b/>
                <w:bCs/>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r>
      <w:tr w:rsidR="00467D3E" w:rsidRPr="00F92E56" w14:paraId="21D01E3D" w14:textId="77777777" w:rsidTr="001D78FA">
        <w:trPr>
          <w:trHeight w:val="300"/>
        </w:trPr>
        <w:tc>
          <w:tcPr>
            <w:tcW w:w="1412" w:type="pct"/>
            <w:noWrap/>
            <w:vAlign w:val="center"/>
            <w:hideMark/>
          </w:tcPr>
          <w:p w14:paraId="653479A4" w14:textId="77777777" w:rsidR="00467D3E" w:rsidRPr="00F92E56" w:rsidRDefault="00467D3E" w:rsidP="001D78FA">
            <w:pPr>
              <w:keepNext/>
              <w:keepLines/>
              <w:jc w:val="left"/>
              <w:rPr>
                <w:rFonts w:ascii="Arial Narrow" w:hAnsi="Arial Narrow"/>
                <w:sz w:val="20"/>
                <w:szCs w:val="20"/>
              </w:rPr>
            </w:pPr>
            <w:r w:rsidRPr="00F92E56">
              <w:rPr>
                <w:rFonts w:ascii="Arial Narrow" w:hAnsi="Arial Narrow"/>
                <w:sz w:val="20"/>
                <w:szCs w:val="20"/>
              </w:rPr>
              <w:t>Incidence based on AIHW projections</w:t>
            </w:r>
          </w:p>
        </w:tc>
        <w:tc>
          <w:tcPr>
            <w:tcW w:w="550" w:type="pct"/>
            <w:noWrap/>
            <w:vAlign w:val="center"/>
          </w:tcPr>
          <w:p w14:paraId="292B7381" w14:textId="440FF696"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785872">
              <w:rPr>
                <w:rFonts w:ascii="Arial Narrow" w:eastAsiaTheme="minorHAnsi" w:hAnsi="Arial Narrow"/>
                <w:sz w:val="20"/>
                <w:szCs w:val="20"/>
                <w:vertAlign w:val="superscript"/>
              </w:rPr>
              <w:t>1</w:t>
            </w:r>
          </w:p>
        </w:tc>
        <w:tc>
          <w:tcPr>
            <w:tcW w:w="550" w:type="pct"/>
            <w:noWrap/>
            <w:vAlign w:val="center"/>
          </w:tcPr>
          <w:p w14:paraId="02FAD710" w14:textId="3373A6B8"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6C1920F4" w14:textId="76CFAC98"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1B122DED" w14:textId="181D3590"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c>
          <w:tcPr>
            <w:tcW w:w="629" w:type="pct"/>
            <w:noWrap/>
            <w:vAlign w:val="center"/>
          </w:tcPr>
          <w:p w14:paraId="23789C44" w14:textId="339C8FFC"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c>
          <w:tcPr>
            <w:tcW w:w="601" w:type="pct"/>
            <w:noWrap/>
            <w:vAlign w:val="center"/>
          </w:tcPr>
          <w:p w14:paraId="650F94E6" w14:textId="184C72A4"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r>
      <w:tr w:rsidR="00467D3E" w:rsidRPr="00F92E56" w14:paraId="45D0B946" w14:textId="77777777" w:rsidTr="001D78FA">
        <w:trPr>
          <w:trHeight w:val="300"/>
        </w:trPr>
        <w:tc>
          <w:tcPr>
            <w:tcW w:w="5000" w:type="pct"/>
            <w:gridSpan w:val="7"/>
            <w:noWrap/>
            <w:vAlign w:val="center"/>
          </w:tcPr>
          <w:p w14:paraId="4824C61A" w14:textId="77777777" w:rsidR="00467D3E" w:rsidRPr="00F92E56" w:rsidRDefault="00467D3E" w:rsidP="001D78FA">
            <w:pPr>
              <w:keepNext/>
              <w:keepLines/>
              <w:jc w:val="left"/>
              <w:rPr>
                <w:rFonts w:ascii="Arial Narrow" w:hAnsi="Arial Narrow"/>
                <w:sz w:val="20"/>
                <w:szCs w:val="20"/>
              </w:rPr>
            </w:pPr>
            <w:r w:rsidRPr="00F92E56">
              <w:rPr>
                <w:rFonts w:ascii="Arial Narrow" w:hAnsi="Arial Narrow"/>
                <w:sz w:val="20"/>
                <w:szCs w:val="20"/>
              </w:rPr>
              <w:t>Risk of recurrence, base case: 50%</w:t>
            </w:r>
          </w:p>
        </w:tc>
      </w:tr>
      <w:tr w:rsidR="00467D3E" w:rsidRPr="00F92E56" w14:paraId="005439E6" w14:textId="77777777" w:rsidTr="001D78FA">
        <w:trPr>
          <w:trHeight w:val="300"/>
        </w:trPr>
        <w:tc>
          <w:tcPr>
            <w:tcW w:w="1412" w:type="pct"/>
            <w:noWrap/>
            <w:vAlign w:val="center"/>
            <w:hideMark/>
          </w:tcPr>
          <w:p w14:paraId="7360867F" w14:textId="77777777" w:rsidR="00467D3E" w:rsidRPr="00F92E56" w:rsidRDefault="00467D3E" w:rsidP="001D78FA">
            <w:pPr>
              <w:keepNext/>
              <w:keepLines/>
              <w:jc w:val="left"/>
              <w:rPr>
                <w:rFonts w:ascii="Arial Narrow" w:hAnsi="Arial Narrow"/>
                <w:sz w:val="20"/>
                <w:szCs w:val="20"/>
              </w:rPr>
            </w:pPr>
            <w:r w:rsidRPr="00F92E56">
              <w:rPr>
                <w:rFonts w:ascii="Arial Narrow" w:hAnsi="Arial Narrow"/>
                <w:sz w:val="20"/>
                <w:szCs w:val="20"/>
              </w:rPr>
              <w:t>40%</w:t>
            </w:r>
          </w:p>
        </w:tc>
        <w:tc>
          <w:tcPr>
            <w:tcW w:w="550" w:type="pct"/>
            <w:noWrap/>
            <w:vAlign w:val="center"/>
          </w:tcPr>
          <w:p w14:paraId="5914AEB2" w14:textId="3CAA02D5"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c>
          <w:tcPr>
            <w:tcW w:w="550" w:type="pct"/>
            <w:noWrap/>
            <w:vAlign w:val="center"/>
          </w:tcPr>
          <w:p w14:paraId="097EC68C" w14:textId="613B8B6E"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5F93A134" w14:textId="4460E3EF"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3D9C3882" w14:textId="54153405"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2D30AD4B" w14:textId="4C7988BF"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01" w:type="pct"/>
            <w:noWrap/>
            <w:vAlign w:val="center"/>
          </w:tcPr>
          <w:p w14:paraId="3F74D676" w14:textId="6D7FD48F"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r>
      <w:tr w:rsidR="00467D3E" w:rsidRPr="00F92E56" w14:paraId="4BE95A1A" w14:textId="77777777" w:rsidTr="001D78FA">
        <w:trPr>
          <w:trHeight w:val="300"/>
        </w:trPr>
        <w:tc>
          <w:tcPr>
            <w:tcW w:w="1412" w:type="pct"/>
            <w:noWrap/>
            <w:vAlign w:val="center"/>
            <w:hideMark/>
          </w:tcPr>
          <w:p w14:paraId="3A3DD58B" w14:textId="77777777" w:rsidR="00467D3E" w:rsidRPr="00F92E56" w:rsidRDefault="00467D3E" w:rsidP="001D78FA">
            <w:pPr>
              <w:keepNext/>
              <w:keepLines/>
              <w:jc w:val="left"/>
              <w:rPr>
                <w:rFonts w:ascii="Arial Narrow" w:hAnsi="Arial Narrow"/>
                <w:sz w:val="20"/>
                <w:szCs w:val="20"/>
              </w:rPr>
            </w:pPr>
            <w:r w:rsidRPr="00F92E56">
              <w:rPr>
                <w:rFonts w:ascii="Arial Narrow" w:hAnsi="Arial Narrow"/>
                <w:sz w:val="20"/>
                <w:szCs w:val="20"/>
              </w:rPr>
              <w:t>60%</w:t>
            </w:r>
          </w:p>
        </w:tc>
        <w:tc>
          <w:tcPr>
            <w:tcW w:w="550" w:type="pct"/>
            <w:noWrap/>
            <w:vAlign w:val="center"/>
          </w:tcPr>
          <w:p w14:paraId="7135F6AF" w14:textId="5C0A7599"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p>
        </w:tc>
        <w:tc>
          <w:tcPr>
            <w:tcW w:w="550" w:type="pct"/>
            <w:noWrap/>
            <w:vAlign w:val="center"/>
          </w:tcPr>
          <w:p w14:paraId="3E4580D9" w14:textId="184E4DF8"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c>
          <w:tcPr>
            <w:tcW w:w="629" w:type="pct"/>
            <w:noWrap/>
            <w:vAlign w:val="center"/>
          </w:tcPr>
          <w:p w14:paraId="0B6CE69E" w14:textId="0F11DF57"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c>
          <w:tcPr>
            <w:tcW w:w="629" w:type="pct"/>
            <w:noWrap/>
            <w:vAlign w:val="center"/>
          </w:tcPr>
          <w:p w14:paraId="6BD7F072" w14:textId="3BB1C195"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c>
          <w:tcPr>
            <w:tcW w:w="629" w:type="pct"/>
            <w:noWrap/>
            <w:vAlign w:val="center"/>
          </w:tcPr>
          <w:p w14:paraId="56303654" w14:textId="2D5C34B7"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c>
          <w:tcPr>
            <w:tcW w:w="601" w:type="pct"/>
            <w:noWrap/>
            <w:vAlign w:val="center"/>
          </w:tcPr>
          <w:p w14:paraId="12A12A88" w14:textId="455F242D"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r>
      <w:tr w:rsidR="00467D3E" w:rsidRPr="00F92E56" w14:paraId="35279F40" w14:textId="77777777" w:rsidTr="001D78FA">
        <w:trPr>
          <w:trHeight w:val="300"/>
        </w:trPr>
        <w:tc>
          <w:tcPr>
            <w:tcW w:w="5000" w:type="pct"/>
            <w:gridSpan w:val="7"/>
            <w:noWrap/>
            <w:vAlign w:val="center"/>
          </w:tcPr>
          <w:p w14:paraId="502BA361" w14:textId="77777777" w:rsidR="00467D3E" w:rsidRPr="00F92E56" w:rsidRDefault="00467D3E" w:rsidP="001D78FA">
            <w:pPr>
              <w:keepNext/>
              <w:keepLines/>
              <w:jc w:val="left"/>
              <w:rPr>
                <w:rFonts w:ascii="Arial Narrow" w:hAnsi="Arial Narrow"/>
                <w:sz w:val="20"/>
                <w:szCs w:val="20"/>
              </w:rPr>
            </w:pPr>
            <w:r w:rsidRPr="00F92E56">
              <w:rPr>
                <w:rFonts w:ascii="Arial Narrow" w:hAnsi="Arial Narrow"/>
                <w:sz w:val="20"/>
                <w:szCs w:val="20"/>
              </w:rPr>
              <w:t>Uptake of nivolumab, base case: 90%</w:t>
            </w:r>
          </w:p>
        </w:tc>
      </w:tr>
      <w:tr w:rsidR="00467D3E" w:rsidRPr="00F92E56" w14:paraId="53F73ACB" w14:textId="77777777" w:rsidTr="001D78FA">
        <w:trPr>
          <w:trHeight w:val="300"/>
        </w:trPr>
        <w:tc>
          <w:tcPr>
            <w:tcW w:w="1412" w:type="pct"/>
            <w:noWrap/>
            <w:vAlign w:val="center"/>
            <w:hideMark/>
          </w:tcPr>
          <w:p w14:paraId="4C151A03" w14:textId="77777777" w:rsidR="00467D3E" w:rsidRPr="00F92E56" w:rsidRDefault="00467D3E" w:rsidP="001D78FA">
            <w:pPr>
              <w:keepNext/>
              <w:keepLines/>
              <w:jc w:val="left"/>
              <w:rPr>
                <w:rFonts w:ascii="Arial Narrow" w:hAnsi="Arial Narrow"/>
                <w:sz w:val="20"/>
                <w:szCs w:val="20"/>
              </w:rPr>
            </w:pPr>
            <w:r w:rsidRPr="00F92E56">
              <w:rPr>
                <w:rFonts w:ascii="Arial Narrow" w:hAnsi="Arial Narrow"/>
                <w:sz w:val="20"/>
                <w:szCs w:val="20"/>
              </w:rPr>
              <w:t>57%</w:t>
            </w:r>
          </w:p>
        </w:tc>
        <w:tc>
          <w:tcPr>
            <w:tcW w:w="550" w:type="pct"/>
            <w:noWrap/>
            <w:vAlign w:val="center"/>
          </w:tcPr>
          <w:p w14:paraId="6093D508" w14:textId="0F27F386"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550" w:type="pct"/>
            <w:noWrap/>
            <w:vAlign w:val="center"/>
          </w:tcPr>
          <w:p w14:paraId="22607BFC" w14:textId="0AB61EAB"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6A81317C" w14:textId="07C34870"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79545210" w14:textId="69BE9AA5"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32DD1EDB" w14:textId="503FA15A"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01" w:type="pct"/>
            <w:noWrap/>
            <w:vAlign w:val="center"/>
          </w:tcPr>
          <w:p w14:paraId="67F598E3" w14:textId="341DEBBD"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r>
      <w:tr w:rsidR="00467D3E" w:rsidRPr="00F92E56" w14:paraId="1F14D46F" w14:textId="77777777" w:rsidTr="001D78FA">
        <w:trPr>
          <w:trHeight w:val="300"/>
        </w:trPr>
        <w:tc>
          <w:tcPr>
            <w:tcW w:w="1412" w:type="pct"/>
            <w:noWrap/>
            <w:vAlign w:val="center"/>
            <w:hideMark/>
          </w:tcPr>
          <w:p w14:paraId="2B4AD491" w14:textId="77777777" w:rsidR="00467D3E" w:rsidRPr="00F92E56" w:rsidRDefault="00467D3E" w:rsidP="001D78FA">
            <w:pPr>
              <w:keepNext/>
              <w:keepLines/>
              <w:jc w:val="left"/>
              <w:rPr>
                <w:rFonts w:ascii="Arial Narrow" w:hAnsi="Arial Narrow"/>
                <w:sz w:val="20"/>
                <w:szCs w:val="20"/>
              </w:rPr>
            </w:pPr>
            <w:r w:rsidRPr="00F92E56">
              <w:rPr>
                <w:rFonts w:ascii="Arial Narrow" w:hAnsi="Arial Narrow"/>
                <w:sz w:val="20"/>
                <w:szCs w:val="20"/>
              </w:rPr>
              <w:t>80%</w:t>
            </w:r>
          </w:p>
        </w:tc>
        <w:tc>
          <w:tcPr>
            <w:tcW w:w="550" w:type="pct"/>
            <w:noWrap/>
            <w:vAlign w:val="center"/>
          </w:tcPr>
          <w:p w14:paraId="70C9840F" w14:textId="7AE976AA"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c>
          <w:tcPr>
            <w:tcW w:w="550" w:type="pct"/>
            <w:noWrap/>
            <w:vAlign w:val="center"/>
          </w:tcPr>
          <w:p w14:paraId="7DDC14ED" w14:textId="697A631F"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7F1BD46F" w14:textId="173996C6"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69B1AEC4" w14:textId="1759DCBC"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608A8C90" w14:textId="6D75D19D"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01" w:type="pct"/>
            <w:noWrap/>
            <w:vAlign w:val="center"/>
          </w:tcPr>
          <w:p w14:paraId="3E3F57B7" w14:textId="5BF77283"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r>
      <w:tr w:rsidR="00467D3E" w:rsidRPr="00F92E56" w14:paraId="4FF542B4" w14:textId="77777777" w:rsidTr="001D78FA">
        <w:trPr>
          <w:trHeight w:val="300"/>
        </w:trPr>
        <w:tc>
          <w:tcPr>
            <w:tcW w:w="5000" w:type="pct"/>
            <w:gridSpan w:val="7"/>
            <w:noWrap/>
            <w:vAlign w:val="center"/>
          </w:tcPr>
          <w:p w14:paraId="15D2B84E" w14:textId="77777777" w:rsidR="00467D3E" w:rsidRPr="00F92E56" w:rsidRDefault="00467D3E" w:rsidP="001D78FA">
            <w:pPr>
              <w:keepNext/>
              <w:keepLines/>
              <w:jc w:val="left"/>
              <w:rPr>
                <w:rFonts w:ascii="Arial Narrow" w:hAnsi="Arial Narrow"/>
                <w:sz w:val="20"/>
                <w:szCs w:val="20"/>
              </w:rPr>
            </w:pPr>
            <w:r w:rsidRPr="00F92E56">
              <w:rPr>
                <w:rFonts w:ascii="Arial Narrow" w:hAnsi="Arial Narrow"/>
                <w:sz w:val="20"/>
                <w:szCs w:val="20"/>
              </w:rPr>
              <w:t xml:space="preserve">Prior NAC use, base case: </w:t>
            </w:r>
            <w:bookmarkStart w:id="85" w:name="_Hlk148098611"/>
            <w:r w:rsidRPr="00F92E56">
              <w:rPr>
                <w:rFonts w:ascii="Arial Narrow" w:hAnsi="Arial Narrow"/>
                <w:sz w:val="20"/>
                <w:szCs w:val="20"/>
              </w:rPr>
              <w:t>50.8% in Year 1, increasing to 67.4% in Year 6</w:t>
            </w:r>
            <w:bookmarkEnd w:id="85"/>
          </w:p>
        </w:tc>
      </w:tr>
      <w:tr w:rsidR="00DC2AAA" w:rsidRPr="00F92E56" w14:paraId="5E725782" w14:textId="77777777" w:rsidTr="001D78FA">
        <w:trPr>
          <w:trHeight w:val="300"/>
        </w:trPr>
        <w:tc>
          <w:tcPr>
            <w:tcW w:w="1412" w:type="pct"/>
            <w:noWrap/>
            <w:vAlign w:val="center"/>
            <w:hideMark/>
          </w:tcPr>
          <w:p w14:paraId="0F0CE057" w14:textId="77777777" w:rsidR="00DC2AAA" w:rsidRPr="00F92E56" w:rsidRDefault="00DC2AAA" w:rsidP="001D78FA">
            <w:pPr>
              <w:keepNext/>
              <w:keepLines/>
              <w:jc w:val="left"/>
              <w:rPr>
                <w:rFonts w:ascii="Arial Narrow" w:hAnsi="Arial Narrow"/>
                <w:sz w:val="20"/>
                <w:szCs w:val="20"/>
              </w:rPr>
            </w:pPr>
            <w:bookmarkStart w:id="86" w:name="_Hlk148098514"/>
            <w:r w:rsidRPr="00F92E56">
              <w:rPr>
                <w:rFonts w:ascii="Arial Narrow" w:hAnsi="Arial Narrow"/>
                <w:sz w:val="20"/>
                <w:szCs w:val="20"/>
              </w:rPr>
              <w:t>44.2% (i.e. no increase in NAC use with nivolumab listing)</w:t>
            </w:r>
            <w:bookmarkEnd w:id="86"/>
          </w:p>
        </w:tc>
        <w:tc>
          <w:tcPr>
            <w:tcW w:w="550" w:type="pct"/>
            <w:noWrap/>
            <w:vAlign w:val="center"/>
          </w:tcPr>
          <w:p w14:paraId="7C072120" w14:textId="0CFDE44A" w:rsidR="00DC2AAA"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c>
          <w:tcPr>
            <w:tcW w:w="550" w:type="pct"/>
            <w:noWrap/>
            <w:vAlign w:val="center"/>
          </w:tcPr>
          <w:p w14:paraId="388EB951" w14:textId="032BAD20" w:rsidR="00DC2AAA"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56683975" w14:textId="3D9D479E" w:rsidR="00DC2AAA"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77711FF5" w14:textId="55D14B92" w:rsidR="00DC2AAA"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49E3EDC5" w14:textId="594D0258" w:rsidR="00DC2AAA"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01" w:type="pct"/>
            <w:noWrap/>
            <w:vAlign w:val="center"/>
          </w:tcPr>
          <w:p w14:paraId="48256A78" w14:textId="7A5FCFCB" w:rsidR="00DC2AAA"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r>
      <w:tr w:rsidR="00467D3E" w:rsidRPr="00F92E56" w14:paraId="1541DAB6" w14:textId="77777777" w:rsidTr="001D78FA">
        <w:trPr>
          <w:trHeight w:val="300"/>
        </w:trPr>
        <w:tc>
          <w:tcPr>
            <w:tcW w:w="5000" w:type="pct"/>
            <w:gridSpan w:val="7"/>
            <w:noWrap/>
            <w:vAlign w:val="center"/>
          </w:tcPr>
          <w:p w14:paraId="2E6FE21A" w14:textId="77777777" w:rsidR="00467D3E" w:rsidRPr="00F92E56" w:rsidRDefault="00467D3E" w:rsidP="001D78FA">
            <w:pPr>
              <w:keepNext/>
              <w:keepLines/>
              <w:jc w:val="left"/>
              <w:rPr>
                <w:rFonts w:ascii="Arial Narrow" w:hAnsi="Arial Narrow"/>
                <w:sz w:val="20"/>
                <w:szCs w:val="20"/>
              </w:rPr>
            </w:pPr>
            <w:r w:rsidRPr="00F92E56">
              <w:rPr>
                <w:rFonts w:ascii="Arial Narrow" w:hAnsi="Arial Narrow"/>
                <w:sz w:val="20"/>
                <w:szCs w:val="20"/>
              </w:rPr>
              <w:t>Months of avelumab treatment, base case: 12.64 months</w:t>
            </w:r>
          </w:p>
        </w:tc>
      </w:tr>
      <w:tr w:rsidR="00467D3E" w:rsidRPr="00F92E56" w14:paraId="12AE71B8" w14:textId="77777777" w:rsidTr="001D78FA">
        <w:trPr>
          <w:trHeight w:val="300"/>
        </w:trPr>
        <w:tc>
          <w:tcPr>
            <w:tcW w:w="1412" w:type="pct"/>
            <w:noWrap/>
            <w:vAlign w:val="center"/>
            <w:hideMark/>
          </w:tcPr>
          <w:p w14:paraId="1A7034BD" w14:textId="77777777" w:rsidR="00467D3E" w:rsidRPr="00F92E56" w:rsidRDefault="00467D3E" w:rsidP="001D78FA">
            <w:pPr>
              <w:keepNext/>
              <w:keepLines/>
              <w:jc w:val="left"/>
              <w:rPr>
                <w:rFonts w:ascii="Arial Narrow" w:hAnsi="Arial Narrow"/>
                <w:sz w:val="20"/>
                <w:szCs w:val="20"/>
              </w:rPr>
            </w:pPr>
            <w:r w:rsidRPr="00F92E56">
              <w:rPr>
                <w:rFonts w:ascii="Arial Narrow" w:hAnsi="Arial Narrow"/>
                <w:sz w:val="20"/>
                <w:szCs w:val="20"/>
              </w:rPr>
              <w:t>8 months</w:t>
            </w:r>
          </w:p>
        </w:tc>
        <w:tc>
          <w:tcPr>
            <w:tcW w:w="550" w:type="pct"/>
            <w:noWrap/>
            <w:vAlign w:val="center"/>
          </w:tcPr>
          <w:p w14:paraId="5DA3E81D" w14:textId="2B06B3A4"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c>
          <w:tcPr>
            <w:tcW w:w="550" w:type="pct"/>
            <w:noWrap/>
            <w:vAlign w:val="center"/>
          </w:tcPr>
          <w:p w14:paraId="740C75E0" w14:textId="3B265DCA"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1D130E4F" w14:textId="49E8E599"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c>
          <w:tcPr>
            <w:tcW w:w="629" w:type="pct"/>
            <w:noWrap/>
            <w:vAlign w:val="center"/>
          </w:tcPr>
          <w:p w14:paraId="7F18B0F5" w14:textId="06BD08E9"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c>
          <w:tcPr>
            <w:tcW w:w="629" w:type="pct"/>
            <w:noWrap/>
            <w:vAlign w:val="center"/>
          </w:tcPr>
          <w:p w14:paraId="7149930C" w14:textId="1D0B7C75"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c>
          <w:tcPr>
            <w:tcW w:w="601" w:type="pct"/>
            <w:noWrap/>
            <w:vAlign w:val="center"/>
          </w:tcPr>
          <w:p w14:paraId="2E9B30DE" w14:textId="5CB2559D"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r>
      <w:tr w:rsidR="00467D3E" w:rsidRPr="00F92E56" w14:paraId="08BAE0C5" w14:textId="77777777" w:rsidTr="001D78FA">
        <w:trPr>
          <w:trHeight w:val="300"/>
        </w:trPr>
        <w:tc>
          <w:tcPr>
            <w:tcW w:w="1412" w:type="pct"/>
            <w:noWrap/>
            <w:vAlign w:val="center"/>
            <w:hideMark/>
          </w:tcPr>
          <w:p w14:paraId="494D54BE" w14:textId="77777777" w:rsidR="00467D3E" w:rsidRPr="00F92E56" w:rsidRDefault="00467D3E" w:rsidP="001D78FA">
            <w:pPr>
              <w:keepNext/>
              <w:keepLines/>
              <w:jc w:val="left"/>
              <w:rPr>
                <w:rFonts w:ascii="Arial Narrow" w:hAnsi="Arial Narrow"/>
                <w:sz w:val="20"/>
                <w:szCs w:val="20"/>
              </w:rPr>
            </w:pPr>
            <w:r w:rsidRPr="00F92E56">
              <w:rPr>
                <w:rFonts w:ascii="Arial Narrow" w:hAnsi="Arial Narrow"/>
                <w:sz w:val="20"/>
                <w:szCs w:val="20"/>
              </w:rPr>
              <w:t>10 months</w:t>
            </w:r>
          </w:p>
        </w:tc>
        <w:tc>
          <w:tcPr>
            <w:tcW w:w="550" w:type="pct"/>
            <w:noWrap/>
            <w:vAlign w:val="center"/>
          </w:tcPr>
          <w:p w14:paraId="36B8E001" w14:textId="408B6252"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c>
          <w:tcPr>
            <w:tcW w:w="550" w:type="pct"/>
            <w:noWrap/>
            <w:vAlign w:val="center"/>
          </w:tcPr>
          <w:p w14:paraId="6D765E2D" w14:textId="3E47A80D"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7107E00D" w14:textId="5E06C068"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2</w:t>
            </w:r>
          </w:p>
        </w:tc>
        <w:tc>
          <w:tcPr>
            <w:tcW w:w="629" w:type="pct"/>
            <w:noWrap/>
            <w:vAlign w:val="center"/>
          </w:tcPr>
          <w:p w14:paraId="562B4EBA" w14:textId="44102CC6"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c>
          <w:tcPr>
            <w:tcW w:w="629" w:type="pct"/>
            <w:noWrap/>
            <w:vAlign w:val="center"/>
          </w:tcPr>
          <w:p w14:paraId="56782716" w14:textId="3B927D59"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c>
          <w:tcPr>
            <w:tcW w:w="601" w:type="pct"/>
            <w:noWrap/>
            <w:vAlign w:val="center"/>
          </w:tcPr>
          <w:p w14:paraId="5A8057F3" w14:textId="7DDF9BDD" w:rsidR="00467D3E" w:rsidRPr="00785872" w:rsidRDefault="00785872" w:rsidP="001D78FA">
            <w:pPr>
              <w:keepNext/>
              <w:keepLines/>
              <w:jc w:val="center"/>
              <w:rPr>
                <w:rFonts w:ascii="Arial Narrow" w:hAnsi="Arial Narrow"/>
                <w:iCs/>
                <w:sz w:val="20"/>
                <w:szCs w:val="20"/>
                <w:highlight w:val="darkGray"/>
              </w:rPr>
            </w:pPr>
            <w:r w:rsidRPr="00785872">
              <w:rPr>
                <w:rFonts w:ascii="Arial Narrow" w:hAnsi="Arial Narrow"/>
                <w:iCs/>
                <w:color w:val="000000"/>
                <w:sz w:val="20"/>
                <w:szCs w:val="20"/>
                <w:shd w:val="solid" w:color="000000" w:fill="000000"/>
                <w14:textFill>
                  <w14:solidFill>
                    <w14:srgbClr w14:val="000000">
                      <w14:alpha w14:val="100000"/>
                    </w14:srgbClr>
                  </w14:solidFill>
                </w14:textFill>
              </w:rPr>
              <w:t>|</w:t>
            </w:r>
            <w:r w:rsidR="00BE598F" w:rsidRPr="00D8224E">
              <w:rPr>
                <w:rFonts w:ascii="Arial Narrow" w:eastAsiaTheme="minorHAnsi" w:hAnsi="Arial Narrow"/>
                <w:sz w:val="20"/>
                <w:szCs w:val="20"/>
                <w:vertAlign w:val="superscript"/>
              </w:rPr>
              <w:t>1</w:t>
            </w:r>
          </w:p>
        </w:tc>
      </w:tr>
    </w:tbl>
    <w:p w14:paraId="1584A8C9" w14:textId="77777777" w:rsidR="002F49F4" w:rsidRPr="00F92E56" w:rsidRDefault="002F49F4" w:rsidP="002F49F4">
      <w:pPr>
        <w:pStyle w:val="TableFigureFooter"/>
        <w:rPr>
          <w:rFonts w:eastAsiaTheme="minorHAnsi"/>
          <w:lang w:eastAsia="en-US"/>
        </w:rPr>
      </w:pPr>
      <w:r w:rsidRPr="00F92E56">
        <w:rPr>
          <w:rFonts w:eastAsiaTheme="minorHAnsi"/>
          <w:lang w:eastAsia="en-US"/>
        </w:rPr>
        <w:t>Source: Compiled during the evaluation</w:t>
      </w:r>
    </w:p>
    <w:p w14:paraId="5332EBDD" w14:textId="4666BFCA" w:rsidR="002F49F4" w:rsidRDefault="00E470B2" w:rsidP="002F49F4">
      <w:pPr>
        <w:pStyle w:val="TableFigureFooter"/>
        <w:rPr>
          <w:rFonts w:eastAsiaTheme="minorHAnsi"/>
          <w:lang w:eastAsia="en-US"/>
        </w:rPr>
      </w:pPr>
      <w:r w:rsidRPr="00F92E56">
        <w:rPr>
          <w:rFonts w:eastAsiaTheme="minorHAnsi"/>
          <w:lang w:eastAsia="en-US"/>
        </w:rPr>
        <w:t>NAC = neoadjuvant platinum-based chemotherapy.</w:t>
      </w:r>
    </w:p>
    <w:p w14:paraId="6ED87389" w14:textId="0BFAF18B" w:rsidR="00BE598F" w:rsidRPr="00785872" w:rsidRDefault="00BE598F" w:rsidP="002F49F4">
      <w:pPr>
        <w:pStyle w:val="TableFigureFooter"/>
        <w:rPr>
          <w:rFonts w:eastAsiaTheme="minorHAnsi"/>
          <w:i/>
          <w:iCs/>
          <w:lang w:eastAsia="en-US"/>
        </w:rPr>
      </w:pPr>
      <w:r w:rsidRPr="00785872">
        <w:rPr>
          <w:rFonts w:eastAsiaTheme="minorHAnsi"/>
          <w:i/>
          <w:iCs/>
          <w:lang w:eastAsia="en-US"/>
        </w:rPr>
        <w:t>The redacted values correspond to the following ranges:</w:t>
      </w:r>
    </w:p>
    <w:p w14:paraId="35111486" w14:textId="1638AE25" w:rsidR="00BE598F" w:rsidRPr="00785872" w:rsidRDefault="00BE598F" w:rsidP="002F49F4">
      <w:pPr>
        <w:pStyle w:val="TableFigureFooter"/>
        <w:rPr>
          <w:rFonts w:eastAsiaTheme="minorHAnsi"/>
          <w:i/>
          <w:iCs/>
          <w:lang w:eastAsia="en-US"/>
        </w:rPr>
      </w:pPr>
      <w:r w:rsidRPr="00785872">
        <w:rPr>
          <w:rFonts w:eastAsiaTheme="minorHAnsi"/>
          <w:i/>
          <w:iCs/>
          <w:vertAlign w:val="superscript"/>
          <w:lang w:eastAsia="en-US"/>
        </w:rPr>
        <w:t>1</w:t>
      </w:r>
      <w:r w:rsidRPr="00785872">
        <w:rPr>
          <w:rFonts w:eastAsiaTheme="minorHAnsi"/>
          <w:i/>
          <w:iCs/>
          <w:lang w:eastAsia="en-US"/>
        </w:rPr>
        <w:t xml:space="preserve"> $20 million to &lt; $30 million</w:t>
      </w:r>
    </w:p>
    <w:p w14:paraId="177D7E49" w14:textId="54ADD709" w:rsidR="00BE598F" w:rsidRPr="00785872" w:rsidRDefault="00BE598F" w:rsidP="002F49F4">
      <w:pPr>
        <w:pStyle w:val="TableFigureFooter"/>
        <w:rPr>
          <w:i/>
          <w:iCs/>
        </w:rPr>
      </w:pPr>
      <w:r w:rsidRPr="00785872">
        <w:rPr>
          <w:rFonts w:eastAsiaTheme="minorHAnsi"/>
          <w:i/>
          <w:iCs/>
          <w:vertAlign w:val="superscript"/>
          <w:lang w:eastAsia="en-US"/>
        </w:rPr>
        <w:t>2</w:t>
      </w:r>
      <w:r w:rsidRPr="00785872">
        <w:rPr>
          <w:rFonts w:eastAsiaTheme="minorHAnsi"/>
          <w:i/>
          <w:iCs/>
          <w:lang w:eastAsia="en-US"/>
        </w:rPr>
        <w:t xml:space="preserve"> $10 million to &lt; $20 million</w:t>
      </w:r>
    </w:p>
    <w:p w14:paraId="00267E8B" w14:textId="77777777" w:rsidR="00576972" w:rsidRPr="00F92E56" w:rsidRDefault="00576972" w:rsidP="00606FBA">
      <w:pPr>
        <w:pStyle w:val="4-SubsectionHeading"/>
      </w:pPr>
      <w:bookmarkStart w:id="87" w:name="_Toc145496541"/>
      <w:r w:rsidRPr="00F92E56">
        <w:t>Quality Use of Medicines</w:t>
      </w:r>
      <w:bookmarkEnd w:id="46"/>
      <w:bookmarkEnd w:id="87"/>
    </w:p>
    <w:p w14:paraId="5FD15277" w14:textId="76A3B784" w:rsidR="00576972" w:rsidRPr="00F92E56" w:rsidRDefault="00FD0969" w:rsidP="00236876">
      <w:pPr>
        <w:pStyle w:val="3-BodyText"/>
      </w:pPr>
      <w:r w:rsidRPr="00F92E56">
        <w:t>No changes have been made from the previous submission. The sponsor is committed to supporting the safe and effective use of nivolumab in Australia. Given the adverse effect profile of immune-oncology agents, the sponsor has established an extensive quality use of medicines (QUM) approach to optimise the potential benefits of treatment with nivolumab, while minimising the potential risks of this medicine for Australian patients. The submission’s QUM activities include, amongst others, physician education, a risk management plan, educational materials, and guidance on monitoring and treating immune related adverse reactions.</w:t>
      </w:r>
    </w:p>
    <w:p w14:paraId="7C55935E" w14:textId="77777777" w:rsidR="00576972" w:rsidRPr="00F92E56" w:rsidRDefault="00576972" w:rsidP="00606FBA">
      <w:pPr>
        <w:pStyle w:val="4-SubsectionHeading"/>
      </w:pPr>
      <w:bookmarkStart w:id="88" w:name="_Toc22897649"/>
      <w:bookmarkStart w:id="89" w:name="_Toc145496542"/>
      <w:r w:rsidRPr="00F92E56">
        <w:t>Financial Management – Risk Sharing Arrangements</w:t>
      </w:r>
      <w:bookmarkEnd w:id="88"/>
      <w:bookmarkEnd w:id="89"/>
    </w:p>
    <w:p w14:paraId="07CF6952" w14:textId="05AE3A69" w:rsidR="00B42BB3" w:rsidRPr="00F92E56" w:rsidRDefault="00940077" w:rsidP="00236876">
      <w:pPr>
        <w:pStyle w:val="3-BodyText"/>
      </w:pPr>
      <w:r w:rsidRPr="00F92E56">
        <w:t>In its July 2022 meeting, the PBAC considered the financial estimates presented in the submission were high and potentially underestimated</w:t>
      </w:r>
      <w:r w:rsidR="00D12950" w:rsidRPr="00F92E56">
        <w:t>.</w:t>
      </w:r>
      <w:r w:rsidRPr="00F92E56">
        <w:t xml:space="preserve"> </w:t>
      </w:r>
      <w:r w:rsidR="00D12950" w:rsidRPr="00F92E56">
        <w:t>At that time t</w:t>
      </w:r>
      <w:r w:rsidRPr="00F92E56">
        <w:t>he PBAC suggested a RSA would likely be required with the recommendation to limit treatment to patients who had received prior neoadjuvant chemotherapy to manage the risk of use outside this population (</w:t>
      </w:r>
      <w:r w:rsidR="00724199">
        <w:t>paragraph</w:t>
      </w:r>
      <w:r w:rsidRPr="00F92E56">
        <w:t xml:space="preserve"> 7.10, </w:t>
      </w:r>
      <w:r w:rsidR="00D12950" w:rsidRPr="00F92E56">
        <w:t>n</w:t>
      </w:r>
      <w:r w:rsidRPr="00F92E56">
        <w:t xml:space="preserve">ivolumab PSD, July 2022). The sponsor did not propose </w:t>
      </w:r>
      <w:r w:rsidR="00B42BB3" w:rsidRPr="00F92E56">
        <w:t xml:space="preserve">a </w:t>
      </w:r>
      <w:r w:rsidRPr="00F92E56">
        <w:t xml:space="preserve">RSA but noted they are willing to enter </w:t>
      </w:r>
      <w:r w:rsidR="00346867">
        <w:t xml:space="preserve">a </w:t>
      </w:r>
      <w:r w:rsidRPr="00F92E56">
        <w:t xml:space="preserve">RSA. </w:t>
      </w:r>
    </w:p>
    <w:p w14:paraId="5FDBE4C7" w14:textId="30A57BDD" w:rsidR="00B42BB3" w:rsidRPr="00F92E56" w:rsidRDefault="0026209C" w:rsidP="00236876">
      <w:pPr>
        <w:pStyle w:val="3-BodyText"/>
      </w:pPr>
      <w:r w:rsidRPr="00F92E56">
        <w:t xml:space="preserve">The ESC considered that even with the amendments suggested by the Committee to the proposed restriction (see paragraph </w:t>
      </w:r>
      <w:r w:rsidRPr="00F92E56">
        <w:fldChar w:fldCharType="begin" w:fldLock="1"/>
      </w:r>
      <w:r w:rsidRPr="00F92E56">
        <w:instrText xml:space="preserve"> REF _Ref148103722 \r \h </w:instrText>
      </w:r>
      <w:r w:rsidR="00646061" w:rsidRPr="00F92E56">
        <w:instrText xml:space="preserve"> \* MERGEFORMAT </w:instrText>
      </w:r>
      <w:r w:rsidRPr="00F92E56">
        <w:fldChar w:fldCharType="separate"/>
      </w:r>
      <w:r w:rsidR="00D612B3">
        <w:t>3.3</w:t>
      </w:r>
      <w:r w:rsidRPr="00F92E56">
        <w:fldChar w:fldCharType="end"/>
      </w:r>
      <w:r w:rsidRPr="00F92E56">
        <w:t xml:space="preserve">) the use of prior NAC would likely increase </w:t>
      </w:r>
      <w:r w:rsidRPr="00F92E56">
        <w:lastRenderedPageBreak/>
        <w:t>with the listing of nivolumab. The ESC considered the use of nivolumab would be less cost-effectiveness in a broader population of patients treated with NAC (i.e. those previously not treated with NAC but now treated in order to access nivolumab). The ESC considered a RSA would likely be required to mitigate the uncertainty associated with use in a broader population of patients treated with NAC.</w:t>
      </w:r>
    </w:p>
    <w:p w14:paraId="4B664E64" w14:textId="77777777" w:rsidR="008636EF" w:rsidRPr="00F92E56" w:rsidRDefault="008636EF" w:rsidP="008636EF">
      <w:pPr>
        <w:ind w:firstLine="709"/>
        <w:rPr>
          <w:rFonts w:asciiTheme="minorHAnsi" w:hAnsiTheme="minorHAnsi"/>
          <w:i/>
        </w:rPr>
      </w:pPr>
      <w:r w:rsidRPr="00F92E56">
        <w:rPr>
          <w:rFonts w:asciiTheme="minorHAnsi" w:hAnsiTheme="minorHAnsi"/>
          <w:i/>
        </w:rPr>
        <w:t>For more detail on PBAC’s view, see section 7 PBAC outcome.</w:t>
      </w:r>
    </w:p>
    <w:p w14:paraId="516A8BEE" w14:textId="77777777" w:rsidR="00961EC0" w:rsidRPr="00F92E56" w:rsidRDefault="00961EC0" w:rsidP="002E18A6">
      <w:pPr>
        <w:pStyle w:val="2-SectionHeading"/>
      </w:pPr>
      <w:bookmarkStart w:id="90" w:name="_Hlk76381249"/>
      <w:bookmarkStart w:id="91" w:name="_Hlk76377955"/>
      <w:r w:rsidRPr="00F92E56">
        <w:t>PBAC Outcome</w:t>
      </w:r>
    </w:p>
    <w:p w14:paraId="3452B2E2" w14:textId="068BED62" w:rsidR="002E18A6" w:rsidRPr="00F92E56" w:rsidRDefault="00FD34D2" w:rsidP="00236876">
      <w:pPr>
        <w:pStyle w:val="3-BodyText"/>
      </w:pPr>
      <w:bookmarkStart w:id="92" w:name="_Hlk111543188"/>
      <w:r w:rsidRPr="00F92E56">
        <w:t xml:space="preserve">The PBAC deferred making a recommendation </w:t>
      </w:r>
      <w:r w:rsidR="00666B46" w:rsidRPr="00F92E56">
        <w:t>for</w:t>
      </w:r>
      <w:r w:rsidRPr="00F92E56">
        <w:t xml:space="preserve"> nivolumab for the adjuvant treatment of high-risk muscle invasive urothelial carcinoma </w:t>
      </w:r>
      <w:r w:rsidR="002E18A6" w:rsidRPr="00F92E56">
        <w:t xml:space="preserve">(MIUC) </w:t>
      </w:r>
      <w:r w:rsidRPr="00F92E56">
        <w:t xml:space="preserve">to allow for further consultation with the sponsor regarding a cost-effective price for nivolumab. The PBAC agreed with the ESC that despite the use of more reasonable inputs the incremental cost-effectiveness ratio (ICER) from the multivariate analysis remained uncertain. The PBAC considered a </w:t>
      </w:r>
      <w:r w:rsidR="0008710D" w:rsidRPr="00F92E56">
        <w:t xml:space="preserve">substantial </w:t>
      </w:r>
      <w:r w:rsidRPr="00F92E56">
        <w:t xml:space="preserve">price reduction would be required to achieve cost-effectiveness. </w:t>
      </w:r>
    </w:p>
    <w:p w14:paraId="5A5B72F7" w14:textId="2A2E3097" w:rsidR="002E18A6" w:rsidRPr="00F92E56" w:rsidRDefault="00E438F2" w:rsidP="00236876">
      <w:pPr>
        <w:pStyle w:val="3-BodyText"/>
      </w:pPr>
      <w:r w:rsidRPr="00F92E56">
        <w:t>The PBAC noted the input from health care professionals and organisations received for this resubmission and for</w:t>
      </w:r>
      <w:r w:rsidR="0050057C" w:rsidRPr="00F92E56">
        <w:t xml:space="preserve"> the</w:t>
      </w:r>
      <w:r w:rsidRPr="00F92E56">
        <w:t xml:space="preserve"> July 2022 meeting. The input </w:t>
      </w:r>
      <w:r w:rsidR="00EF339A" w:rsidRPr="00F92E56">
        <w:t xml:space="preserve">across both submissions </w:t>
      </w:r>
      <w:r w:rsidRPr="00F92E56">
        <w:t xml:space="preserve">highlighted the impact of MIUC on health-related quality of life (HRQoL) </w:t>
      </w:r>
      <w:r w:rsidR="00EF339A" w:rsidRPr="00F92E56">
        <w:t xml:space="preserve">and the potential benefit of nivolumab in reducing the risk of recurrence. The PBAC also noted the support for nivolumab for this indication from the Medical Oncology Group of Australia (MOGA). </w:t>
      </w:r>
    </w:p>
    <w:p w14:paraId="2CD2E4A0" w14:textId="54F58D97" w:rsidR="00896C08" w:rsidRPr="00F92E56" w:rsidRDefault="0092238A" w:rsidP="00236876">
      <w:pPr>
        <w:pStyle w:val="3-BodyText"/>
      </w:pPr>
      <w:bookmarkStart w:id="93" w:name="_Ref151995971"/>
      <w:r w:rsidRPr="00F92E56">
        <w:t>With regard to the requested restriction, the</w:t>
      </w:r>
      <w:r w:rsidR="00BD6227" w:rsidRPr="00F92E56">
        <w:t xml:space="preserve"> PBAC </w:t>
      </w:r>
      <w:r w:rsidR="00742772" w:rsidRPr="00F92E56">
        <w:t xml:space="preserve">noted the pre-PBAC response argument </w:t>
      </w:r>
      <w:r w:rsidR="00BD6227" w:rsidRPr="00F92E56">
        <w:t>that</w:t>
      </w:r>
      <w:r w:rsidR="00742772" w:rsidRPr="00F92E56">
        <w:t xml:space="preserve"> restricting access to the prior NAC treated population</w:t>
      </w:r>
      <w:r w:rsidR="00BD6227" w:rsidRPr="00F92E56">
        <w:t xml:space="preserve"> </w:t>
      </w:r>
      <w:r w:rsidR="00A90EB6" w:rsidRPr="00F92E56">
        <w:t>c</w:t>
      </w:r>
      <w:r w:rsidR="00BD6227" w:rsidRPr="00F92E56">
        <w:t>ould create potential inequities in access for those who were unable to receive such prior treatment due to a contraindication</w:t>
      </w:r>
      <w:r w:rsidR="00742772" w:rsidRPr="00F92E56">
        <w:t xml:space="preserve">. However, the PBAC </w:t>
      </w:r>
      <w:r w:rsidR="000F262F" w:rsidRPr="00F92E56">
        <w:t>considered</w:t>
      </w:r>
      <w:r w:rsidR="00742772" w:rsidRPr="00F92E56">
        <w:t xml:space="preserve"> that subgroup analysis from the CM274 trial indicated there was no clear disease free survival (DFS) benefit for patients with no prior use of NAC (September 2022 cut-off: Prior NAC use: HR = 0.54 [95% CI: 0.41, 0.72]; No prior NAC use: HR = 0.88 [95% CI: 0.68, 1.14]). </w:t>
      </w:r>
      <w:r w:rsidR="00DF2D4F" w:rsidRPr="00F92E56">
        <w:t>The PBAC also considered that patients where NAC is contraindicated are typically unfit in other ways and hence would be least likely to benefit from nivolumab.</w:t>
      </w:r>
      <w:r w:rsidR="00896C08" w:rsidRPr="00F92E56">
        <w:t xml:space="preserve"> In addition, the Committee considered the term ‘contraindication’ can often be interpreted very broadly.</w:t>
      </w:r>
      <w:r w:rsidR="00DF2D4F" w:rsidRPr="00F92E56">
        <w:t xml:space="preserve"> </w:t>
      </w:r>
      <w:r w:rsidR="00BD6227" w:rsidRPr="00F92E56">
        <w:t xml:space="preserve">Overall, the PBAC considered there are significant cost and quality use of medicine issues arising from use in a patient population with no proven treatment benefit and advised the clinical criterion allowing use in patients who have a contraindication or intolerance to NAC be removed. </w:t>
      </w:r>
      <w:r w:rsidR="00896C08" w:rsidRPr="00F92E56">
        <w:t>The PBAC als</w:t>
      </w:r>
      <w:r w:rsidR="00EB7EC7" w:rsidRPr="00F92E56">
        <w:t>o reaffirmed its July</w:t>
      </w:r>
      <w:r w:rsidR="00C76B7E">
        <w:t> </w:t>
      </w:r>
      <w:r w:rsidR="00EB7EC7" w:rsidRPr="00F92E56">
        <w:t>2022 advice that immunotherapy should be restricted to one course of treatment per lifetime given the paucity of clinical and economic evidence to support retreatment (</w:t>
      </w:r>
      <w:r w:rsidR="00724199">
        <w:t>paragraph</w:t>
      </w:r>
      <w:r w:rsidR="00EB7EC7" w:rsidRPr="00F92E56">
        <w:t xml:space="preserve"> 3.10, nivolumab, PSD, July </w:t>
      </w:r>
      <w:r w:rsidR="000666C5" w:rsidRPr="00F92E56">
        <w:t xml:space="preserve">2022 PBAC meeting). </w:t>
      </w:r>
      <w:bookmarkEnd w:id="93"/>
    </w:p>
    <w:p w14:paraId="34D14453" w14:textId="39397A10" w:rsidR="00C14A33" w:rsidRPr="00F92E56" w:rsidRDefault="00BB2815" w:rsidP="00236876">
      <w:pPr>
        <w:pStyle w:val="3-BodyText"/>
      </w:pPr>
      <w:r w:rsidRPr="00F92E56">
        <w:t xml:space="preserve">The PBAC considered the comparator of watchful waiting was appropriate. </w:t>
      </w:r>
    </w:p>
    <w:p w14:paraId="1F07D5C2" w14:textId="5A7D3D98" w:rsidR="009D60C4" w:rsidRPr="00F92E56" w:rsidRDefault="00050CF6" w:rsidP="00236876">
      <w:pPr>
        <w:pStyle w:val="3-BodyText"/>
      </w:pPr>
      <w:bookmarkStart w:id="94" w:name="_Ref152073764"/>
      <w:r w:rsidRPr="00F92E56">
        <w:t xml:space="preserve">The primary clinical evidence supporting the clinical claim remained the CM274 trial comparing adjuvant nivolumab with placebo in subjects with high risk invasive </w:t>
      </w:r>
      <w:r w:rsidRPr="00F92E56">
        <w:lastRenderedPageBreak/>
        <w:t xml:space="preserve">urothelial carcinoma. </w:t>
      </w:r>
      <w:r w:rsidR="006639D2" w:rsidRPr="00F92E56">
        <w:t xml:space="preserve">Consistent with the PBAC’s July 2022 advice the resubmission presented outcomes for the prior NAC subgroup (N = 314) of the CM274 trial and its complement. The PBAC </w:t>
      </w:r>
      <w:r w:rsidR="004900D7" w:rsidRPr="00F92E56">
        <w:t>considered</w:t>
      </w:r>
      <w:r w:rsidR="006639D2" w:rsidRPr="00F92E56">
        <w:t xml:space="preserve"> </w:t>
      </w:r>
      <w:r w:rsidR="00474ECD" w:rsidRPr="00F92E56">
        <w:t xml:space="preserve">the updated DFS data provided in the resubmission (September 2022 data cutoff) </w:t>
      </w:r>
      <w:r w:rsidR="006639D2" w:rsidRPr="00F92E56">
        <w:t xml:space="preserve">reaffirmed the Committee’s previous advice that no clear DFS benefit was observed with nivolumab over placebo in </w:t>
      </w:r>
      <w:r w:rsidR="004900D7" w:rsidRPr="00F92E56">
        <w:t xml:space="preserve">patients who had not received prior NAC (see paragraph </w:t>
      </w:r>
      <w:r w:rsidR="004900D7" w:rsidRPr="00F92E56">
        <w:fldChar w:fldCharType="begin" w:fldLock="1"/>
      </w:r>
      <w:r w:rsidR="004900D7" w:rsidRPr="00F92E56">
        <w:instrText xml:space="preserve"> REF _Ref151995971 \r \h </w:instrText>
      </w:r>
      <w:r w:rsidR="004900D7" w:rsidRPr="00F92E56">
        <w:fldChar w:fldCharType="separate"/>
      </w:r>
      <w:r w:rsidR="00D612B3">
        <w:t>7.3</w:t>
      </w:r>
      <w:r w:rsidR="004900D7" w:rsidRPr="00F92E56">
        <w:fldChar w:fldCharType="end"/>
      </w:r>
      <w:r w:rsidR="004900D7" w:rsidRPr="00F92E56">
        <w:t>)</w:t>
      </w:r>
      <w:r w:rsidR="00F92E56">
        <w:t xml:space="preserve">. </w:t>
      </w:r>
      <w:r w:rsidR="00BB2815" w:rsidRPr="00F92E56">
        <w:t xml:space="preserve">The </w:t>
      </w:r>
      <w:r w:rsidR="004900D7" w:rsidRPr="00F92E56">
        <w:t xml:space="preserve">PBAC noted the </w:t>
      </w:r>
      <w:r w:rsidR="00BB2815" w:rsidRPr="00F92E56">
        <w:t>resubmission did not provide updated overall survival (OS) data for the September 2022 data cutoff (</w:t>
      </w:r>
      <w:bookmarkStart w:id="95" w:name="_Hlk140586140"/>
      <w:r w:rsidR="00BB2815" w:rsidRPr="00F92E56">
        <w:t>median duration of follow-up 36.1 months</w:t>
      </w:r>
      <w:bookmarkEnd w:id="95"/>
      <w:r w:rsidR="00BB2815" w:rsidRPr="00F92E56">
        <w:t xml:space="preserve">) </w:t>
      </w:r>
      <w:r w:rsidR="00ED01A1" w:rsidRPr="00F92E56">
        <w:t>stating</w:t>
      </w:r>
      <w:r w:rsidR="00BB2815" w:rsidRPr="00F92E56">
        <w:t xml:space="preserve"> that the data remain immature.</w:t>
      </w:r>
      <w:r w:rsidR="00ED01A1" w:rsidRPr="00F92E56">
        <w:t xml:space="preserve"> </w:t>
      </w:r>
      <w:r w:rsidR="000B5B17" w:rsidRPr="00F92E56">
        <w:t xml:space="preserve">The PBAC reiterated its July 2022 advice that longer-term OS data are required to determine whether the observed improvement in DFS translates into a clinically meaningful OS benefit (see paragraph </w:t>
      </w:r>
      <w:r w:rsidR="000B5B17" w:rsidRPr="00F92E56">
        <w:fldChar w:fldCharType="begin" w:fldLock="1"/>
      </w:r>
      <w:r w:rsidR="000B5B17" w:rsidRPr="00F92E56">
        <w:instrText xml:space="preserve"> REF _Ref152057397 \r \h </w:instrText>
      </w:r>
      <w:r w:rsidR="000B5B17" w:rsidRPr="00F92E56">
        <w:fldChar w:fldCharType="separate"/>
      </w:r>
      <w:r w:rsidR="00D612B3">
        <w:t>6.21</w:t>
      </w:r>
      <w:r w:rsidR="000B5B17" w:rsidRPr="00F92E56">
        <w:fldChar w:fldCharType="end"/>
      </w:r>
      <w:r w:rsidR="000B5B17" w:rsidRPr="00F92E56">
        <w:t xml:space="preserve">). </w:t>
      </w:r>
      <w:r w:rsidR="009D60C4" w:rsidRPr="00F92E56">
        <w:t>Overall, the PBAC considered the resubmission</w:t>
      </w:r>
      <w:r w:rsidR="00FA4FC5">
        <w:t>’</w:t>
      </w:r>
      <w:r w:rsidR="009D60C4" w:rsidRPr="00F92E56">
        <w:t xml:space="preserve">s claim that </w:t>
      </w:r>
      <w:r w:rsidR="009D60C4" w:rsidRPr="00F92E56">
        <w:rPr>
          <w:rFonts w:eastAsia="Calibri"/>
        </w:rPr>
        <w:t>adjuvant treatment with nivolumab in patients who have received prior NAC is superior in terms of effectiveness compared to placebo (as a proxy for watchful waiting) was reasonable for DFS.</w:t>
      </w:r>
      <w:bookmarkEnd w:id="94"/>
    </w:p>
    <w:p w14:paraId="01884F2C" w14:textId="6F5B5A74" w:rsidR="009D60C4" w:rsidRPr="00F92E56" w:rsidRDefault="009D60C4" w:rsidP="00236876">
      <w:pPr>
        <w:pStyle w:val="3-BodyText"/>
      </w:pPr>
      <w:r w:rsidRPr="00F92E56">
        <w:t>The PBAC reaffirmed its July 2022 advice that the claim of inferior comparative safety was reasonable</w:t>
      </w:r>
      <w:r w:rsidR="00F50562" w:rsidRPr="00F92E56">
        <w:t xml:space="preserve"> (</w:t>
      </w:r>
      <w:r w:rsidR="00724199">
        <w:t>paragraph</w:t>
      </w:r>
      <w:r w:rsidR="00F50562" w:rsidRPr="00F92E56">
        <w:t xml:space="preserve"> 7.7, nivolumab, PSD, July 2022 PBAC meeting)</w:t>
      </w:r>
      <w:r w:rsidRPr="00F92E56">
        <w:t>.</w:t>
      </w:r>
    </w:p>
    <w:p w14:paraId="1B34C5FB" w14:textId="38A48B43" w:rsidR="000532C1" w:rsidRPr="00F92E56" w:rsidRDefault="00C2220A" w:rsidP="00236876">
      <w:pPr>
        <w:pStyle w:val="3-BodyText"/>
      </w:pPr>
      <w:bookmarkStart w:id="96" w:name="_Ref152083922"/>
      <w:r w:rsidRPr="00F92E56">
        <w:t xml:space="preserve">The PBAC noted the economic model presented in the resubmission included two main changes: (i) restricting the population only to those who had prior NAC; and (ii) the inclusion of costs and outcomes of avelumab maintenance treatment in the metastatic setting in the comparator arm of the model. These changes led to a substantial reduction in the ICER relative to that presented in the previous submission. The </w:t>
      </w:r>
      <w:r w:rsidR="000532C1" w:rsidRPr="00F92E56">
        <w:t>PBAC noted that the effective price for nivolumab was</w:t>
      </w:r>
      <w:r w:rsidR="002D629A" w:rsidRPr="00F92E56">
        <w:t xml:space="preserve"> </w:t>
      </w:r>
      <w:r w:rsidR="000532C1" w:rsidRPr="00F92E56">
        <w:t xml:space="preserve">maximised to the greatest extent </w:t>
      </w:r>
      <w:r w:rsidRPr="00F92E56">
        <w:t>(more than double that proposed in July 2022)</w:t>
      </w:r>
      <w:r w:rsidR="000532C1" w:rsidRPr="00F92E56">
        <w:t xml:space="preserve"> w</w:t>
      </w:r>
      <w:r w:rsidR="00B61689" w:rsidRPr="00F92E56">
        <w:t>hile</w:t>
      </w:r>
      <w:r w:rsidR="000532C1" w:rsidRPr="00F92E56">
        <w:t xml:space="preserve"> maintaining an ICER </w:t>
      </w:r>
      <w:r w:rsidRPr="00F92E56">
        <w:t xml:space="preserve">below </w:t>
      </w:r>
      <w:r w:rsidR="001912CB" w:rsidRPr="00F92E56">
        <w:t>$</w:t>
      </w:r>
      <w:r w:rsidR="001912CB">
        <w:t>25,000 to &lt; $35,000</w:t>
      </w:r>
      <w:r w:rsidR="001D78FA">
        <w:t xml:space="preserve"> </w:t>
      </w:r>
      <w:r w:rsidR="00DA3312" w:rsidRPr="00F92E56">
        <w:t xml:space="preserve">per </w:t>
      </w:r>
      <w:r w:rsidRPr="00F92E56">
        <w:t xml:space="preserve">QALY gained. </w:t>
      </w:r>
      <w:r w:rsidR="00DD5002" w:rsidRPr="00F92E56">
        <w:t>T</w:t>
      </w:r>
      <w:r w:rsidR="009B2078" w:rsidRPr="00F92E56">
        <w:t xml:space="preserve">he PBAC </w:t>
      </w:r>
      <w:r w:rsidR="002D629A" w:rsidRPr="00F92E56">
        <w:t xml:space="preserve">agreed with the ESC that the resubmission base case was underestimated primarily due to concerns regarding the: time horizon; DFS extrapolation function applied; truncation time point for watchful waiting DFS; duration of increased mortality risk; and avelumab treatment duration (see paragraphs </w:t>
      </w:r>
      <w:r w:rsidR="002D629A" w:rsidRPr="00F92E56">
        <w:fldChar w:fldCharType="begin" w:fldLock="1"/>
      </w:r>
      <w:r w:rsidR="002D629A" w:rsidRPr="00F92E56">
        <w:instrText xml:space="preserve"> REF _Ref147406553 \r \h  \* MERGEFORMAT </w:instrText>
      </w:r>
      <w:r w:rsidR="002D629A" w:rsidRPr="00F92E56">
        <w:fldChar w:fldCharType="separate"/>
      </w:r>
      <w:r w:rsidR="002D629A" w:rsidRPr="00F92E56">
        <w:t>6.57</w:t>
      </w:r>
      <w:r w:rsidR="002D629A" w:rsidRPr="00F92E56">
        <w:fldChar w:fldCharType="end"/>
      </w:r>
      <w:r w:rsidR="002D629A" w:rsidRPr="00F92E56">
        <w:t xml:space="preserve"> and </w:t>
      </w:r>
      <w:r w:rsidR="002D629A" w:rsidRPr="00F92E56">
        <w:fldChar w:fldCharType="begin" w:fldLock="1"/>
      </w:r>
      <w:r w:rsidR="002D629A" w:rsidRPr="00F92E56">
        <w:instrText xml:space="preserve"> REF _Ref147920690 \r \h  \* MERGEFORMAT </w:instrText>
      </w:r>
      <w:r w:rsidR="002D629A" w:rsidRPr="00F92E56">
        <w:fldChar w:fldCharType="separate"/>
      </w:r>
      <w:r w:rsidR="002D629A" w:rsidRPr="00F92E56">
        <w:t>6.63</w:t>
      </w:r>
      <w:r w:rsidR="002D629A" w:rsidRPr="00F92E56">
        <w:fldChar w:fldCharType="end"/>
      </w:r>
      <w:r w:rsidR="002D629A" w:rsidRPr="00F92E56">
        <w:t>). The PBAC noted th</w:t>
      </w:r>
      <w:r w:rsidR="00946AEA" w:rsidRPr="00F92E56">
        <w:t>e ICER increased from $</w:t>
      </w:r>
      <w:r w:rsidR="00BE598F">
        <w:t>25,000 to &lt;</w:t>
      </w:r>
      <w:r w:rsidR="00F148CA">
        <w:t> </w:t>
      </w:r>
      <w:r w:rsidR="00BE598F">
        <w:t>$35,000</w:t>
      </w:r>
      <w:r w:rsidR="00946AEA" w:rsidRPr="00F92E56">
        <w:t xml:space="preserve"> per QALY gained to $</w:t>
      </w:r>
      <w:r w:rsidR="00BE598F">
        <w:t>45,000 to &lt; $55,000</w:t>
      </w:r>
      <w:r w:rsidR="00946AEA" w:rsidRPr="00F92E56">
        <w:t xml:space="preserve"> per QALY gained when more reasonable inputs for these parameters were utilised in a multivariate analysis. Despite the use of more reasonable inputs, the PBAC considered the ICER from the multivariate analysis remained uncertain </w:t>
      </w:r>
      <w:r w:rsidR="00470003" w:rsidRPr="00F92E56">
        <w:t xml:space="preserve">(see paragraph </w:t>
      </w:r>
      <w:r w:rsidR="00470003" w:rsidRPr="00F92E56">
        <w:fldChar w:fldCharType="begin" w:fldLock="1"/>
      </w:r>
      <w:r w:rsidR="00470003" w:rsidRPr="00F92E56">
        <w:instrText xml:space="preserve"> REF _Ref152069988 \r \h </w:instrText>
      </w:r>
      <w:r w:rsidR="00470003" w:rsidRPr="00F92E56">
        <w:fldChar w:fldCharType="separate"/>
      </w:r>
      <w:r w:rsidR="00D612B3">
        <w:t>6.78</w:t>
      </w:r>
      <w:r w:rsidR="00470003" w:rsidRPr="00F92E56">
        <w:fldChar w:fldCharType="end"/>
      </w:r>
      <w:r w:rsidR="00470003" w:rsidRPr="00F92E56">
        <w:t xml:space="preserve">). </w:t>
      </w:r>
      <w:r w:rsidR="00537A44" w:rsidRPr="00F92E56">
        <w:t xml:space="preserve">The PBAC also noted that in the absence of OS data from CM274, survival after distant recurrence was modelled based on external studies, with the resulting incremental benefit of avelumab highly uncertain (see paragraph </w:t>
      </w:r>
      <w:r w:rsidR="00537A44" w:rsidRPr="00F92E56">
        <w:fldChar w:fldCharType="begin" w:fldLock="1"/>
      </w:r>
      <w:r w:rsidR="00537A44" w:rsidRPr="00F92E56">
        <w:instrText xml:space="preserve"> REF _Ref152074540 \r \h </w:instrText>
      </w:r>
      <w:r w:rsidR="00537A44" w:rsidRPr="00F92E56">
        <w:fldChar w:fldCharType="separate"/>
      </w:r>
      <w:r w:rsidR="00D612B3">
        <w:t>6.60</w:t>
      </w:r>
      <w:r w:rsidR="00537A44" w:rsidRPr="00F92E56">
        <w:fldChar w:fldCharType="end"/>
      </w:r>
      <w:r w:rsidR="00537A44" w:rsidRPr="00F92E56">
        <w:t xml:space="preserve">). </w:t>
      </w:r>
      <w:bookmarkEnd w:id="96"/>
      <w:r w:rsidR="00801EC9" w:rsidRPr="00F92E56">
        <w:t xml:space="preserve">The PBAC noted with the price proposed for nivolumab in the July 2022 submission (AEMP of </w:t>
      </w:r>
      <w:r w:rsidR="00785872" w:rsidRPr="00785872">
        <w:t>$</w:t>
      </w:r>
      <w:r w:rsidR="00785872" w:rsidRPr="001D78FA">
        <w:rPr>
          <w:color w:val="000000"/>
          <w:w w:val="15"/>
          <w:shd w:val="solid" w:color="000000" w:fill="000000"/>
          <w:fitText w:val="-20" w:id="-1032081141"/>
          <w14:textFill>
            <w14:solidFill>
              <w14:srgbClr w14:val="000000">
                <w14:alpha w14:val="100000"/>
              </w14:srgbClr>
            </w14:solidFill>
          </w14:textFill>
        </w:rPr>
        <w:t xml:space="preserve">| </w:t>
      </w:r>
      <w:r w:rsidR="00785872" w:rsidRPr="001D78FA">
        <w:rPr>
          <w:color w:val="000000"/>
          <w:spacing w:val="-61"/>
          <w:w w:val="15"/>
          <w:shd w:val="solid" w:color="000000" w:fill="000000"/>
          <w:fitText w:val="-20" w:id="-1032081141"/>
          <w14:textFill>
            <w14:solidFill>
              <w14:srgbClr w14:val="000000">
                <w14:alpha w14:val="100000"/>
              </w14:srgbClr>
            </w14:solidFill>
          </w14:textFill>
        </w:rPr>
        <w:t>|</w:t>
      </w:r>
      <w:r w:rsidR="00801EC9" w:rsidRPr="00F92E56">
        <w:t xml:space="preserve"> per 100 mg vial) the ICER for the multivariate analysis decreased to $</w:t>
      </w:r>
      <w:r w:rsidR="00BE598F">
        <w:t>5,000 to &lt; $15,000</w:t>
      </w:r>
      <w:r w:rsidR="00801EC9" w:rsidRPr="00F92E56">
        <w:t xml:space="preserve"> per QALY. The PBAC also noted the ICER using the effective price of avelumab and considered nivolumab would be cost-effective at the price proposed in the July 2022 submission.</w:t>
      </w:r>
    </w:p>
    <w:p w14:paraId="0E82EB29" w14:textId="402A41F2" w:rsidR="00FD34D2" w:rsidRPr="00346867" w:rsidRDefault="00BC5E10" w:rsidP="00236876">
      <w:pPr>
        <w:pStyle w:val="3-BodyText"/>
        <w:rPr>
          <w:lang w:eastAsia="en-US"/>
        </w:rPr>
      </w:pPr>
      <w:r w:rsidRPr="00F92E56">
        <w:t>The PBAC noted the net financial impact to the PBS/RPBS increased relative to the July</w:t>
      </w:r>
      <w:r w:rsidR="00C76B7E">
        <w:t> </w:t>
      </w:r>
      <w:r w:rsidRPr="00F92E56">
        <w:t xml:space="preserve">2022 submission, despite narrowing of the patient population eligible for treatment and including cost-offsets of avelumab maintenance use. This was due to </w:t>
      </w:r>
      <w:r w:rsidRPr="00F92E56">
        <w:lastRenderedPageBreak/>
        <w:t>an increase in the proportion of patients who uptake NAC due to the listing of nivolumab (from 44.2% in the absence of nivolumab listing to 67.4% by Year 6)</w:t>
      </w:r>
      <w:r w:rsidR="00DD5002" w:rsidRPr="00F92E56">
        <w:t xml:space="preserve">, </w:t>
      </w:r>
      <w:r w:rsidRPr="00F92E56">
        <w:t>the high rate of uptake o</w:t>
      </w:r>
      <w:r w:rsidR="00CD7640" w:rsidRPr="00F92E56">
        <w:t>f</w:t>
      </w:r>
      <w:r w:rsidRPr="00F92E56">
        <w:t xml:space="preserve"> nivolumab assumed (90%)</w:t>
      </w:r>
      <w:r w:rsidR="00DD5002" w:rsidRPr="00F92E56">
        <w:t xml:space="preserve"> and a higher nivolumab price</w:t>
      </w:r>
      <w:r w:rsidRPr="00F92E56">
        <w:t xml:space="preserve">. </w:t>
      </w:r>
      <w:r w:rsidR="00CD7640" w:rsidRPr="00F92E56">
        <w:t xml:space="preserve">The PBAC acknowledged the assumptions around the proportion of patients who uptake NAC due to the listing of nivolumab were uncertain but considered them likely reasonable. The PBAC also considered that an uptake rate of 90% was </w:t>
      </w:r>
      <w:r w:rsidR="009C5ED6" w:rsidRPr="00F92E56">
        <w:t>appropriate</w:t>
      </w:r>
      <w:r w:rsidR="00CD7640" w:rsidRPr="00F92E56">
        <w:t xml:space="preserve"> </w:t>
      </w:r>
      <w:r w:rsidR="0020088D" w:rsidRPr="00F92E56">
        <w:t>now that the proposed PBS population was restricted to patients</w:t>
      </w:r>
      <w:r w:rsidR="00CD7640" w:rsidRPr="00F92E56">
        <w:t xml:space="preserve"> who had received prior NAC. </w:t>
      </w:r>
      <w:r w:rsidR="00592369" w:rsidRPr="00F92E56">
        <w:t xml:space="preserve">The PBAC noted the Pre-Sub-Committee Response (PSCR) provided </w:t>
      </w:r>
      <w:r w:rsidR="003D2E22" w:rsidRPr="00F92E56">
        <w:t>revised</w:t>
      </w:r>
      <w:r w:rsidR="00592369" w:rsidRPr="00F92E56">
        <w:t xml:space="preserve"> financial</w:t>
      </w:r>
      <w:r w:rsidR="00782E3F" w:rsidRPr="00F92E56">
        <w:t xml:space="preserve"> estimates</w:t>
      </w:r>
      <w:r w:rsidR="00592369" w:rsidRPr="00F92E56">
        <w:t xml:space="preserve"> </w:t>
      </w:r>
      <w:r w:rsidR="00782E3F" w:rsidRPr="00F92E56">
        <w:t xml:space="preserve">based </w:t>
      </w:r>
      <w:r w:rsidR="007304C0" w:rsidRPr="00F92E56">
        <w:t>o</w:t>
      </w:r>
      <w:r w:rsidR="00782E3F" w:rsidRPr="00F92E56">
        <w:t>n AIHW incidence projections for bladder cancer, a 10</w:t>
      </w:r>
      <w:r w:rsidR="00C76B7E">
        <w:t> </w:t>
      </w:r>
      <w:r w:rsidR="00782E3F" w:rsidRPr="00F92E56">
        <w:t>month stopping rule for avelumab and</w:t>
      </w:r>
      <w:r w:rsidR="001624C0" w:rsidRPr="00F92E56">
        <w:t xml:space="preserve"> an assumption that, in the absence of nivolumab, </w:t>
      </w:r>
      <w:r w:rsidR="005A5948" w:rsidRPr="00F92E56">
        <w:t>43% of patients would otherwise have developed a distant recurrence and used avelumab</w:t>
      </w:r>
      <w:r w:rsidR="00782E3F" w:rsidRPr="00F92E56">
        <w:t xml:space="preserve">. However, the PSCR financial estimates did not include AIHW estimates for other urinary organs or address the error identified by the evaluation regarding how distant recurrences have been estimated in Years 2 onwards (see paragraph </w:t>
      </w:r>
      <w:r w:rsidR="00782E3F" w:rsidRPr="00F92E56">
        <w:fldChar w:fldCharType="begin" w:fldLock="1"/>
      </w:r>
      <w:r w:rsidR="00782E3F" w:rsidRPr="00F92E56">
        <w:instrText xml:space="preserve"> REF _Ref147489147 \r \h </w:instrText>
      </w:r>
      <w:r w:rsidR="00782E3F" w:rsidRPr="00F92E56">
        <w:fldChar w:fldCharType="separate"/>
      </w:r>
      <w:r w:rsidR="00D612B3">
        <w:t>6.87</w:t>
      </w:r>
      <w:r w:rsidR="00782E3F" w:rsidRPr="00F92E56">
        <w:fldChar w:fldCharType="end"/>
      </w:r>
      <w:r w:rsidR="00782E3F" w:rsidRPr="00F92E56">
        <w:t xml:space="preserve">). </w:t>
      </w:r>
      <w:bookmarkEnd w:id="92"/>
      <w:r w:rsidR="00782E3F" w:rsidRPr="00F92E56">
        <w:t xml:space="preserve">The PBAC considered these omissions </w:t>
      </w:r>
      <w:r w:rsidR="003D2E22" w:rsidRPr="00F92E56">
        <w:t xml:space="preserve">from the PSCR financial estimates </w:t>
      </w:r>
      <w:r w:rsidR="00782E3F" w:rsidRPr="00F92E56">
        <w:t xml:space="preserve">should be corrected </w:t>
      </w:r>
      <w:r w:rsidR="003D2E22" w:rsidRPr="00F92E56">
        <w:t xml:space="preserve">with revised estimates also updated with the results of the pricing negotiations outlined in paragraph </w:t>
      </w:r>
      <w:r w:rsidR="003D2E22" w:rsidRPr="00F92E56">
        <w:fldChar w:fldCharType="begin" w:fldLock="1"/>
      </w:r>
      <w:r w:rsidR="003D2E22" w:rsidRPr="00F92E56">
        <w:instrText xml:space="preserve"> REF _Ref152083922 \r \h </w:instrText>
      </w:r>
      <w:r w:rsidR="003D2E22" w:rsidRPr="00F92E56">
        <w:fldChar w:fldCharType="separate"/>
      </w:r>
      <w:r w:rsidR="00D612B3">
        <w:t>7.7</w:t>
      </w:r>
      <w:r w:rsidR="003D2E22" w:rsidRPr="00F92E56">
        <w:fldChar w:fldCharType="end"/>
      </w:r>
      <w:r w:rsidR="00F92E56">
        <w:t xml:space="preserve">. </w:t>
      </w:r>
    </w:p>
    <w:p w14:paraId="13FC1F23" w14:textId="4B2815AB" w:rsidR="00F50562" w:rsidRPr="00346867" w:rsidRDefault="007304C0" w:rsidP="00236876">
      <w:pPr>
        <w:pStyle w:val="3-BodyText"/>
        <w:rPr>
          <w:lang w:eastAsia="en-US"/>
        </w:rPr>
      </w:pPr>
      <w:r w:rsidRPr="00F92E56">
        <w:t xml:space="preserve">The PBAC considered that a Risk Sharing Arrangement would be required to manage the uncertainty associated with the proportion of patients who uptake NAC due to the listing of nivolumab and to </w:t>
      </w:r>
      <w:r w:rsidR="00A90EB6" w:rsidRPr="00F92E56">
        <w:t xml:space="preserve">manage the risk of use outside of the proposed PBS population. </w:t>
      </w:r>
    </w:p>
    <w:p w14:paraId="62DC4053" w14:textId="7DF0A523" w:rsidR="00961EC0" w:rsidRPr="00346867" w:rsidRDefault="00961EC0" w:rsidP="00961EC0">
      <w:pPr>
        <w:spacing w:before="240"/>
        <w:rPr>
          <w:rFonts w:asciiTheme="minorHAnsi" w:hAnsiTheme="minorHAnsi"/>
          <w:b/>
          <w:bCs/>
          <w:snapToGrid w:val="0"/>
          <w:lang w:eastAsia="en-US"/>
        </w:rPr>
      </w:pPr>
      <w:r w:rsidRPr="00346867">
        <w:rPr>
          <w:rFonts w:asciiTheme="minorHAnsi" w:hAnsiTheme="minorHAnsi"/>
          <w:b/>
          <w:bCs/>
          <w:snapToGrid w:val="0"/>
          <w:lang w:eastAsia="en-US"/>
        </w:rPr>
        <w:t>Outcome:</w:t>
      </w:r>
    </w:p>
    <w:p w14:paraId="2A350329" w14:textId="6A1C6E69" w:rsidR="00451D6F" w:rsidRDefault="00961EC0" w:rsidP="00B807D2">
      <w:pPr>
        <w:spacing w:after="120"/>
        <w:rPr>
          <w:rFonts w:asciiTheme="minorHAnsi" w:hAnsiTheme="minorHAnsi"/>
          <w:bCs/>
          <w:snapToGrid w:val="0"/>
          <w:lang w:eastAsia="en-US"/>
        </w:rPr>
      </w:pPr>
      <w:r w:rsidRPr="00346867">
        <w:rPr>
          <w:rFonts w:asciiTheme="minorHAnsi" w:hAnsiTheme="minorHAnsi"/>
          <w:bCs/>
          <w:snapToGrid w:val="0"/>
          <w:lang w:eastAsia="en-US"/>
        </w:rPr>
        <w:t>Deferred</w:t>
      </w:r>
    </w:p>
    <w:p w14:paraId="386CCC4A" w14:textId="332360E2" w:rsidR="00451D6F" w:rsidRPr="00451D6F" w:rsidRDefault="00451D6F" w:rsidP="00451D6F">
      <w:pPr>
        <w:pStyle w:val="2-SectionHeading"/>
      </w:pPr>
      <w:r w:rsidRPr="00C07617">
        <w:t>Context for Decision</w:t>
      </w:r>
    </w:p>
    <w:p w14:paraId="40E5FF63" w14:textId="77777777" w:rsidR="00451D6F" w:rsidRPr="00311EEF" w:rsidRDefault="00451D6F" w:rsidP="00451D6F">
      <w:pPr>
        <w:spacing w:after="120"/>
        <w:ind w:left="720"/>
        <w:rPr>
          <w:rFonts w:asciiTheme="minorHAnsi" w:hAnsiTheme="minorHAnsi"/>
          <w:bCs/>
          <w:lang w:val="en-GB"/>
        </w:rPr>
      </w:pPr>
      <w:r w:rsidRPr="00311EEF">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2833DE6" w14:textId="5DEF3424" w:rsidR="00451D6F" w:rsidRPr="00311EEF" w:rsidRDefault="00451D6F" w:rsidP="00451D6F">
      <w:pPr>
        <w:pStyle w:val="2-SectionHeading"/>
      </w:pPr>
      <w:r w:rsidRPr="00311EEF">
        <w:t>Sponsor’s Comment</w:t>
      </w:r>
    </w:p>
    <w:p w14:paraId="3FAAE5C8" w14:textId="7392261D" w:rsidR="00451D6F" w:rsidRPr="00346867" w:rsidRDefault="00AD32B1" w:rsidP="00785872">
      <w:pPr>
        <w:spacing w:after="120"/>
        <w:ind w:left="720"/>
        <w:rPr>
          <w:rFonts w:asciiTheme="minorHAnsi" w:hAnsiTheme="minorHAnsi"/>
          <w:bCs/>
          <w:snapToGrid w:val="0"/>
          <w:lang w:eastAsia="en-US"/>
        </w:rPr>
      </w:pPr>
      <w:r w:rsidRPr="00785872">
        <w:rPr>
          <w:rFonts w:asciiTheme="minorHAnsi" w:hAnsiTheme="minorHAnsi"/>
          <w:bCs/>
          <w:lang w:val="en-GB"/>
        </w:rPr>
        <w:t xml:space="preserve">Bristol-Myers Squibb Australia looks forward to continuing to work with the PBAC and the Department of Health and Aged Care to provide timely access to nivolumab for the adjuvant treatment of high-risk muscle invasive urothelial carcinoma. </w:t>
      </w:r>
      <w:bookmarkEnd w:id="90"/>
      <w:bookmarkEnd w:id="91"/>
    </w:p>
    <w:sectPr w:rsidR="00451D6F" w:rsidRPr="00346867" w:rsidSect="005E043E">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B3C6" w14:textId="77777777" w:rsidR="008275C6" w:rsidRDefault="008275C6" w:rsidP="00124A51">
      <w:r>
        <w:separator/>
      </w:r>
    </w:p>
    <w:p w14:paraId="5DAB8739" w14:textId="77777777" w:rsidR="008275C6" w:rsidRDefault="008275C6"/>
  </w:endnote>
  <w:endnote w:type="continuationSeparator" w:id="0">
    <w:p w14:paraId="0813E8A5" w14:textId="77777777" w:rsidR="008275C6" w:rsidRDefault="008275C6" w:rsidP="00124A51">
      <w:r>
        <w:continuationSeparator/>
      </w:r>
    </w:p>
    <w:p w14:paraId="7ED0B471" w14:textId="77777777" w:rsidR="008275C6" w:rsidRDefault="008275C6"/>
  </w:endnote>
  <w:endnote w:type="continuationNotice" w:id="1">
    <w:p w14:paraId="55E49C61" w14:textId="77777777" w:rsidR="008275C6" w:rsidRDefault="00827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9070000" w:usb2="00000010" w:usb3="00000000" w:csb0="000A0000"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799F" w14:textId="77777777" w:rsidR="00785872" w:rsidRDefault="00785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3688" w14:textId="77777777" w:rsidR="00575AA1" w:rsidRDefault="00575AA1" w:rsidP="00753B29">
    <w:pPr>
      <w:pStyle w:val="Footer"/>
      <w:jc w:val="center"/>
    </w:pPr>
  </w:p>
  <w:bookmarkStart w:id="98" w:name="_Hlk76375156"/>
  <w:p w14:paraId="4DADD105" w14:textId="5D77383A" w:rsidR="008636EF" w:rsidRPr="00F90A91" w:rsidRDefault="008636EF" w:rsidP="008636EF">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9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211C" w14:textId="77777777" w:rsidR="00785872" w:rsidRDefault="00785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ACAC" w14:textId="77777777" w:rsidR="008275C6" w:rsidRDefault="008275C6" w:rsidP="00124A51">
      <w:r>
        <w:separator/>
      </w:r>
    </w:p>
  </w:footnote>
  <w:footnote w:type="continuationSeparator" w:id="0">
    <w:p w14:paraId="20F9C1EE" w14:textId="77777777" w:rsidR="008275C6" w:rsidRDefault="008275C6" w:rsidP="00124A51">
      <w:r>
        <w:continuationSeparator/>
      </w:r>
    </w:p>
    <w:p w14:paraId="289193BD" w14:textId="77777777" w:rsidR="008275C6" w:rsidRDefault="008275C6"/>
  </w:footnote>
  <w:footnote w:type="continuationNotice" w:id="1">
    <w:p w14:paraId="15EC2D20" w14:textId="77777777" w:rsidR="008275C6" w:rsidRDefault="008275C6"/>
  </w:footnote>
  <w:footnote w:id="2">
    <w:p w14:paraId="75E38CAC" w14:textId="77777777" w:rsidR="009E7DC3" w:rsidRDefault="009E7DC3" w:rsidP="009E7DC3">
      <w:pPr>
        <w:pStyle w:val="FootnoteText"/>
      </w:pPr>
      <w:r>
        <w:rPr>
          <w:rStyle w:val="FootnoteReference"/>
        </w:rPr>
        <w:footnoteRef/>
      </w:r>
      <w:r>
        <w:t xml:space="preserve"> </w:t>
      </w:r>
      <w:r w:rsidRPr="00F70817">
        <w:t>AusPAR - OPDIVO - Nivolumab - Bristol-Myers Squibb Australia Pty Ltd - PM-2021-02518-1-4 Final 6 June 2023</w:t>
      </w:r>
    </w:p>
  </w:footnote>
  <w:footnote w:id="3">
    <w:p w14:paraId="35989BDF" w14:textId="77777777" w:rsidR="009E7DC3" w:rsidRDefault="009E7DC3" w:rsidP="009E7DC3">
      <w:pPr>
        <w:pStyle w:val="FootnoteText"/>
      </w:pPr>
      <w:r>
        <w:rPr>
          <w:rStyle w:val="FootnoteReference"/>
        </w:rPr>
        <w:footnoteRef/>
      </w:r>
      <w:r>
        <w:t xml:space="preserve"> </w:t>
      </w:r>
      <w:r w:rsidRPr="00645C07">
        <w:t>In urothelial carcinoma, the following coding is used to describe regional lymph node involvement: N+ denotes node positivity. NX: The regional lymph nodes cannot be evaluated. N0: The cancer has not spread to the regional lymph nodes. N1: The cancer has spread to 1 regional lymph node in the pelvis. N2: The cancer has spread to 2 or more regional lymph nodes in the pelvis. N3: The cancer has spread to the common iliac lymph nodes, which are located behind the major arteries in the pelvis, above the bladder</w:t>
      </w:r>
      <w:r>
        <w:t>.</w:t>
      </w:r>
    </w:p>
  </w:footnote>
  <w:footnote w:id="4">
    <w:p w14:paraId="3AA07761" w14:textId="77777777" w:rsidR="009E7DC3" w:rsidRPr="00645C07" w:rsidRDefault="009E7DC3" w:rsidP="009E7DC3">
      <w:pPr>
        <w:pStyle w:val="FootnoteText"/>
      </w:pPr>
      <w:r>
        <w:rPr>
          <w:rStyle w:val="FootnoteReference"/>
        </w:rPr>
        <w:footnoteRef/>
      </w:r>
      <w:r>
        <w:t xml:space="preserve"> </w:t>
      </w:r>
      <w:r w:rsidRPr="00645C07">
        <w:t xml:space="preserve">ypT2 denotes preoperative radiotherapy or chemotherapy (y) in a primary (p) tumour of T2 stage (or primary tumour invading muscularis propria). </w:t>
      </w:r>
    </w:p>
    <w:p w14:paraId="39109503" w14:textId="77777777" w:rsidR="009E7DC3" w:rsidRPr="00645C07" w:rsidRDefault="009E7DC3" w:rsidP="009E7DC3">
      <w:pPr>
        <w:pStyle w:val="FootnoteText"/>
      </w:pPr>
      <w:r w:rsidRPr="00645C07">
        <w:t xml:space="preserve">ypT3 denotes preoperative radiotherapy or chemotherapy (y) in a primary (p) tumour of T3 stage (or primary tumour invading perivesical tissue). </w:t>
      </w:r>
    </w:p>
    <w:p w14:paraId="4C316696" w14:textId="77777777" w:rsidR="009E7DC3" w:rsidRPr="00645C07" w:rsidRDefault="009E7DC3" w:rsidP="009E7DC3">
      <w:pPr>
        <w:pStyle w:val="FootnoteText"/>
      </w:pPr>
      <w:r w:rsidRPr="00645C07">
        <w:t xml:space="preserve">ypT4 denotes preoperative radiotherapy or chemotherapy (y) in a primary (p) tumour of T4 stage (or primary tumour invading prostratic stroma, seminal vesicles, uterus or vagina (T4a) or directly invading pelvic wall or abdominal wall (T4b)). </w:t>
      </w:r>
    </w:p>
    <w:p w14:paraId="1E3961CF" w14:textId="77777777" w:rsidR="009E7DC3" w:rsidRDefault="009E7DC3" w:rsidP="009E7DC3">
      <w:pPr>
        <w:pStyle w:val="FootnoteText"/>
      </w:pPr>
      <w:r w:rsidRPr="00645C07">
        <w:t>ypN+ denotes preoperative radiotherapy or chemotherapy (y) in a primary (p) tumour with node positivity (or presence of cancer in regional lymph nodes).</w:t>
      </w:r>
    </w:p>
    <w:p w14:paraId="1A6A0975" w14:textId="77777777" w:rsidR="009E7DC3" w:rsidRDefault="009E7DC3" w:rsidP="009E7DC3">
      <w:pPr>
        <w:pStyle w:val="FootnoteText"/>
      </w:pPr>
      <w:r w:rsidRPr="00D72DDE">
        <w:t>pT3, pT4a and pN+ denote the same as above, but without preoperative radiotherapy or chemotherapy (y).</w:t>
      </w:r>
    </w:p>
  </w:footnote>
  <w:footnote w:id="5">
    <w:p w14:paraId="07A0218C" w14:textId="77777777" w:rsidR="00E32601" w:rsidRDefault="00E32601" w:rsidP="00E32601">
      <w:pPr>
        <w:pStyle w:val="FootnoteText"/>
      </w:pPr>
      <w:r>
        <w:rPr>
          <w:rStyle w:val="FootnoteReference"/>
        </w:rPr>
        <w:footnoteRef/>
      </w:r>
      <w:r>
        <w:t xml:space="preserve"> </w:t>
      </w:r>
      <w:r w:rsidRPr="00E32C0B">
        <w:t>Rouprêt M</w:t>
      </w:r>
      <w:r>
        <w:t xml:space="preserve"> et al.</w:t>
      </w:r>
      <w:r w:rsidRPr="00E32C0B">
        <w:t xml:space="preserve"> EAU guidelines on upper urinary tract urothelial carcinoma. Disease management [Internet] Arnhem, The Netherlands. European Association of Urology. 2019</w:t>
      </w:r>
      <w:r>
        <w:t>.</w:t>
      </w:r>
    </w:p>
  </w:footnote>
  <w:footnote w:id="6">
    <w:p w14:paraId="15C21279" w14:textId="3F97868D" w:rsidR="00C40C1E" w:rsidRDefault="00C40C1E">
      <w:pPr>
        <w:pStyle w:val="FootnoteText"/>
      </w:pPr>
      <w:r>
        <w:rPr>
          <w:rStyle w:val="FootnoteReference"/>
        </w:rPr>
        <w:footnoteRef/>
      </w:r>
      <w:r>
        <w:t xml:space="preserve"> </w:t>
      </w:r>
      <w:r w:rsidRPr="00C40C1E">
        <w:t>Round 2 TGA CER for nivolumab, Submission PM-2021-02518-1-4</w:t>
      </w:r>
      <w:r>
        <w:t>, p22</w:t>
      </w:r>
      <w:r w:rsidRPr="00C40C1E">
        <w:t>.</w:t>
      </w:r>
    </w:p>
  </w:footnote>
  <w:footnote w:id="7">
    <w:p w14:paraId="25339A7B" w14:textId="77777777" w:rsidR="00E32601" w:rsidRDefault="00E32601" w:rsidP="00E32601">
      <w:pPr>
        <w:pStyle w:val="FootnoteText"/>
      </w:pPr>
      <w:r>
        <w:rPr>
          <w:rStyle w:val="FootnoteReference"/>
        </w:rPr>
        <w:footnoteRef/>
      </w:r>
      <w:r>
        <w:t xml:space="preserve"> </w:t>
      </w:r>
      <w:r w:rsidRPr="00883C35">
        <w:t>European Association of Urology (https://uroweb.org/guidelines/upper-urinary-tract-urothelial-cell-carcinoma/chapter/disease-management)</w:t>
      </w:r>
    </w:p>
  </w:footnote>
  <w:footnote w:id="8">
    <w:p w14:paraId="47BA1EAB" w14:textId="77777777" w:rsidR="00E32601" w:rsidRDefault="00E32601" w:rsidP="00E32601">
      <w:pPr>
        <w:pStyle w:val="FootnoteText"/>
      </w:pPr>
      <w:r>
        <w:rPr>
          <w:rStyle w:val="FootnoteReference"/>
        </w:rPr>
        <w:footnoteRef/>
      </w:r>
      <w:r>
        <w:t xml:space="preserve"> </w:t>
      </w:r>
      <w:r w:rsidRPr="007E610B">
        <w:t xml:space="preserve">Birtle et al. Adjuvant chemotherapy in upper tract urothelial carcinoma (the POUT trial): a phase 3, open-label, randomised controlled trial. </w:t>
      </w:r>
      <w:r w:rsidRPr="007E610B">
        <w:rPr>
          <w:i/>
        </w:rPr>
        <w:t>The Lancet</w:t>
      </w:r>
      <w:r w:rsidRPr="007E610B">
        <w:t>. 2020, (395), Issue 10232, pp1268-77</w:t>
      </w:r>
    </w:p>
  </w:footnote>
  <w:footnote w:id="9">
    <w:p w14:paraId="4A376069" w14:textId="77777777" w:rsidR="00E32601" w:rsidRDefault="00E32601" w:rsidP="00E32601">
      <w:pPr>
        <w:pStyle w:val="FootnoteText"/>
      </w:pPr>
      <w:r>
        <w:rPr>
          <w:rStyle w:val="FootnoteReference"/>
        </w:rPr>
        <w:footnoteRef/>
      </w:r>
      <w:r>
        <w:t xml:space="preserve"> </w:t>
      </w:r>
      <w:r w:rsidRPr="00883C35">
        <w:t>European Association of Urology (https://uroweb.org/guidelines/muscle-invasive-and-metastatic-bladder-cancer/chapter/disease-management)</w:t>
      </w:r>
    </w:p>
  </w:footnote>
  <w:footnote w:id="10">
    <w:p w14:paraId="3DD3C7A7" w14:textId="5ADFCFC5" w:rsidR="00250F22" w:rsidRDefault="00250F22">
      <w:pPr>
        <w:pStyle w:val="FootnoteText"/>
      </w:pPr>
      <w:r>
        <w:rPr>
          <w:rStyle w:val="FootnoteReference"/>
        </w:rPr>
        <w:footnoteRef/>
      </w:r>
      <w:r>
        <w:t xml:space="preserve"> </w:t>
      </w:r>
      <w:r w:rsidRPr="00813D1D">
        <w:rPr>
          <w:snapToGrid w:val="0"/>
          <w:sz w:val="16"/>
          <w:lang w:eastAsia="en-US"/>
        </w:rPr>
        <w:t>Cherny NI, Dafni U, Bogaerts J, et al: ESMO-Magnitude of Clinical Benefit Scale version 1.1. Annals of Oncology 28:2340-2366, 2017</w:t>
      </w:r>
    </w:p>
  </w:footnote>
  <w:footnote w:id="11">
    <w:p w14:paraId="75D7D13F" w14:textId="25BA2BF8" w:rsidR="00CE03A0" w:rsidRDefault="00CE03A0">
      <w:pPr>
        <w:pStyle w:val="FootnoteText"/>
      </w:pPr>
      <w:r>
        <w:rPr>
          <w:rStyle w:val="FootnoteReference"/>
        </w:rPr>
        <w:footnoteRef/>
      </w:r>
      <w:r>
        <w:t xml:space="preserve"> </w:t>
      </w:r>
      <w:r w:rsidRPr="00CE03A0">
        <w:rPr>
          <w:lang w:val="en-GB"/>
        </w:rPr>
        <w:t>The condition must have progressed on or after prior platinum</w:t>
      </w:r>
      <w:r w:rsidR="004C6E97">
        <w:rPr>
          <w:lang w:val="en-GB"/>
        </w:rPr>
        <w:t>-</w:t>
      </w:r>
      <w:r w:rsidRPr="00CE03A0">
        <w:rPr>
          <w:lang w:val="en-GB"/>
        </w:rPr>
        <w:t xml:space="preserve">based chemotherapy; OR </w:t>
      </w:r>
      <w:r w:rsidRPr="00CE03A0">
        <w:t>The condition must have progressed on or within 12 months of completion of adjuvant platinum-containing chemotherapy following cystectomy for localised muscle-invasive urothelial cancer; OR The condition must have progressed on or within 12 months of completion of neoadjuvant platinum-containing chemotherapy prior to cystectomy for localised muscle-invasive urothelial cancer</w:t>
      </w:r>
      <w:r>
        <w:t>.</w:t>
      </w:r>
    </w:p>
  </w:footnote>
  <w:footnote w:id="12">
    <w:p w14:paraId="61D64D11" w14:textId="2F91564A" w:rsidR="00FD49BF" w:rsidRDefault="00FD49BF">
      <w:pPr>
        <w:pStyle w:val="FootnoteText"/>
      </w:pPr>
      <w:r>
        <w:rPr>
          <w:rStyle w:val="FootnoteReference"/>
        </w:rPr>
        <w:footnoteRef/>
      </w:r>
      <w:r>
        <w:t xml:space="preserve"> </w:t>
      </w:r>
      <w:r w:rsidR="004C6E97" w:rsidRPr="004C6E97">
        <w:t>Sourced from Galsky MD et al. Extended follow-up results from the CheckMate 274 trial. ASCO Genitourinary Cancers Symposium 2023. Abstract LBA443</w:t>
      </w:r>
      <w:r w:rsidR="004C6E97">
        <w:t>.</w:t>
      </w:r>
    </w:p>
  </w:footnote>
  <w:footnote w:id="13">
    <w:p w14:paraId="25DBE1C0" w14:textId="2B146646" w:rsidR="00A54083" w:rsidRDefault="00A54083" w:rsidP="00A54083">
      <w:pPr>
        <w:pStyle w:val="FootnoteText"/>
      </w:pPr>
      <w:r>
        <w:rPr>
          <w:rStyle w:val="FootnoteReference"/>
        </w:rPr>
        <w:footnoteRef/>
      </w:r>
      <w:r>
        <w:t xml:space="preserve"> </w:t>
      </w:r>
      <w:r w:rsidRPr="00FA224B">
        <w:t xml:space="preserve">European Organisation for Research and Treatment of Care </w:t>
      </w:r>
      <w:r w:rsidR="004121CC">
        <w:t>Q</w:t>
      </w:r>
      <w:r w:rsidRPr="00FA224B">
        <w:t xml:space="preserve">uality of </w:t>
      </w:r>
      <w:r w:rsidR="004121CC">
        <w:t>L</w:t>
      </w:r>
      <w:r w:rsidRPr="00FA224B">
        <w:t xml:space="preserve">ife </w:t>
      </w:r>
      <w:r w:rsidR="004121CC">
        <w:t>Q</w:t>
      </w:r>
      <w:r w:rsidRPr="00FA224B">
        <w:t>uestionnaire</w:t>
      </w:r>
    </w:p>
  </w:footnote>
  <w:footnote w:id="14">
    <w:p w14:paraId="4737D3C5" w14:textId="16643E5F" w:rsidR="009C44D6" w:rsidRDefault="009C44D6">
      <w:pPr>
        <w:pStyle w:val="FootnoteText"/>
      </w:pPr>
      <w:r>
        <w:rPr>
          <w:rStyle w:val="FootnoteReference"/>
        </w:rPr>
        <w:footnoteRef/>
      </w:r>
      <w:r>
        <w:t xml:space="preserve"> </w:t>
      </w:r>
      <w:r w:rsidRPr="009C44D6">
        <w:t xml:space="preserve">Bellmunt J, Hussain M, Gschwend JE, Albers P, Oudard S, Castellano D, et al. Adjuvant atezolizumab versus observation in muscle-invasive urothelial carcinoma (IMvigor010): a multicentre, open-label, randomised, phase 3 trial. </w:t>
      </w:r>
      <w:r w:rsidRPr="009C44D6">
        <w:rPr>
          <w:i/>
          <w:iCs/>
        </w:rPr>
        <w:t>The Lancet Oncology</w:t>
      </w:r>
      <w:r w:rsidRPr="009C44D6">
        <w:t>. 2021;22(4):525-37</w:t>
      </w:r>
    </w:p>
  </w:footnote>
  <w:footnote w:id="15">
    <w:p w14:paraId="35A98BBF" w14:textId="2AFB51B4" w:rsidR="008341E7" w:rsidRDefault="008341E7">
      <w:pPr>
        <w:pStyle w:val="FootnoteText"/>
      </w:pPr>
      <w:r>
        <w:rPr>
          <w:rStyle w:val="FootnoteReference"/>
        </w:rPr>
        <w:footnoteRef/>
      </w:r>
      <w:r>
        <w:t xml:space="preserve"> </w:t>
      </w:r>
      <w:r w:rsidRPr="008341E7">
        <w:t xml:space="preserve">Bellmunt J et al. Randomized Phase III Study Comparing Paclitaxel/Cisplatin/ Gemcitabine and Gemcitabine/Cisplatin in Patients With Locally Advanced or Metastatic Urothelial Cancer Without Prior Systemic Therapy: EORTC Intergroup Study 30987. </w:t>
      </w:r>
      <w:r w:rsidRPr="002D5392">
        <w:rPr>
          <w:i/>
          <w:iCs/>
        </w:rPr>
        <w:t>Journal of Clinical Oncology</w:t>
      </w:r>
      <w:r w:rsidRPr="008341E7">
        <w:t>. 2012;30(10):1107-13.</w:t>
      </w:r>
    </w:p>
  </w:footnote>
  <w:footnote w:id="16">
    <w:p w14:paraId="262BA048" w14:textId="0BE11EF2" w:rsidR="007F3EF2" w:rsidRDefault="007F3EF2">
      <w:pPr>
        <w:pStyle w:val="FootnoteText"/>
      </w:pPr>
      <w:r>
        <w:rPr>
          <w:rStyle w:val="FootnoteReference"/>
        </w:rPr>
        <w:footnoteRef/>
      </w:r>
      <w:r>
        <w:t xml:space="preserve"> </w:t>
      </w:r>
      <w:r w:rsidRPr="007F3EF2">
        <w:t>DeSantis M</w:t>
      </w:r>
      <w:r>
        <w:t xml:space="preserve"> et al. </w:t>
      </w:r>
      <w:r w:rsidRPr="007F3EF2">
        <w:t>Randomized Phase II/III Trial Assessing Gemcitabine/Carboplatin and Methotrexate/Carboplatin/Vinblastine in Patients With Advanced Urothelial Cancer Who Are Unfit for Cisplatin-Based Chemotherapy: EORTC Study 30986</w:t>
      </w:r>
      <w:r w:rsidRPr="002D5392">
        <w:rPr>
          <w:i/>
          <w:iCs/>
        </w:rPr>
        <w:t>. Journal of Clinical Oncology</w:t>
      </w:r>
      <w:r w:rsidRPr="007F3EF2">
        <w:t>. 2012;30(2):191-9</w:t>
      </w:r>
      <w:r>
        <w:t>.</w:t>
      </w:r>
    </w:p>
  </w:footnote>
  <w:footnote w:id="17">
    <w:p w14:paraId="1AD281AF" w14:textId="61B79BBF" w:rsidR="007F3EF2" w:rsidRDefault="007F3EF2">
      <w:pPr>
        <w:pStyle w:val="FootnoteText"/>
      </w:pPr>
      <w:r>
        <w:rPr>
          <w:rStyle w:val="FootnoteReference"/>
        </w:rPr>
        <w:footnoteRef/>
      </w:r>
      <w:r>
        <w:t xml:space="preserve"> </w:t>
      </w:r>
      <w:r w:rsidRPr="007F3EF2">
        <w:t>Powles T</w:t>
      </w:r>
      <w:r>
        <w:t xml:space="preserve"> et al. </w:t>
      </w:r>
      <w:r w:rsidRPr="007F3EF2">
        <w:t xml:space="preserve">Avelumab first-line maintenance for advanced urothelial carcinoma: results from the JAVELIN Bladder 100 trial after≥ 2 years of follow-up. </w:t>
      </w:r>
      <w:r w:rsidRPr="002D5392">
        <w:rPr>
          <w:i/>
          <w:iCs/>
        </w:rPr>
        <w:t>Journal of Clinical Oncology</w:t>
      </w:r>
      <w:r w:rsidRPr="007F3EF2">
        <w:t>. 2023;41(19):3486.</w:t>
      </w:r>
    </w:p>
  </w:footnote>
  <w:footnote w:id="18">
    <w:p w14:paraId="1EFEE8B2" w14:textId="0C8135F6" w:rsidR="007F3EF2" w:rsidRDefault="007F3EF2">
      <w:pPr>
        <w:pStyle w:val="FootnoteText"/>
      </w:pPr>
      <w:r>
        <w:rPr>
          <w:rStyle w:val="FootnoteReference"/>
        </w:rPr>
        <w:footnoteRef/>
      </w:r>
      <w:r>
        <w:t xml:space="preserve"> </w:t>
      </w:r>
      <w:r w:rsidRPr="007F3EF2">
        <w:t>Viney R</w:t>
      </w:r>
      <w:r>
        <w:t xml:space="preserve"> et al. </w:t>
      </w:r>
      <w:r w:rsidRPr="007F3EF2">
        <w:t xml:space="preserve">Time trade-off derived EQ-5D weights for Australia. </w:t>
      </w:r>
      <w:r w:rsidRPr="002D5392">
        <w:rPr>
          <w:i/>
          <w:iCs/>
        </w:rPr>
        <w:t>Value Health</w:t>
      </w:r>
      <w:r w:rsidRPr="007F3EF2">
        <w:t>. 2011 Sep-Oct;14(6):928-36</w:t>
      </w:r>
      <w:r>
        <w:t>.</w:t>
      </w:r>
    </w:p>
  </w:footnote>
  <w:footnote w:id="19">
    <w:p w14:paraId="6FC34C9A" w14:textId="77777777" w:rsidR="0036644A" w:rsidRDefault="0036644A" w:rsidP="0036644A">
      <w:pPr>
        <w:pStyle w:val="FootnoteText"/>
      </w:pPr>
      <w:r>
        <w:rPr>
          <w:rStyle w:val="FootnoteReference"/>
        </w:rPr>
        <w:footnoteRef/>
      </w:r>
      <w:r>
        <w:t xml:space="preserve"> </w:t>
      </w:r>
      <w:r w:rsidRPr="002D5392">
        <w:t>Kong J</w:t>
      </w:r>
      <w:r>
        <w:t xml:space="preserve"> et al. </w:t>
      </w:r>
      <w:r w:rsidRPr="002D5392">
        <w:t xml:space="preserve">Causes of death in long-term bladder cancer survivors: A population-based study. Asia-Pacific </w:t>
      </w:r>
      <w:r w:rsidRPr="002D5392">
        <w:rPr>
          <w:i/>
          <w:iCs/>
        </w:rPr>
        <w:t>Journal of Clinical Oncology</w:t>
      </w:r>
      <w:r w:rsidRPr="002D5392">
        <w:t>. 2019;15(5):e167-e74</w:t>
      </w:r>
    </w:p>
  </w:footnote>
  <w:footnote w:id="20">
    <w:p w14:paraId="325EB2FF" w14:textId="77777777" w:rsidR="0036644A" w:rsidRDefault="0036644A" w:rsidP="0036644A">
      <w:pPr>
        <w:pStyle w:val="FootnoteText"/>
      </w:pPr>
      <w:r>
        <w:rPr>
          <w:rStyle w:val="FootnoteReference"/>
        </w:rPr>
        <w:footnoteRef/>
      </w:r>
      <w:r>
        <w:t xml:space="preserve"> </w:t>
      </w:r>
      <w:r w:rsidRPr="002D5392">
        <w:t>Zhai M</w:t>
      </w:r>
      <w:r>
        <w:t xml:space="preserve"> et al.</w:t>
      </w:r>
      <w:r w:rsidRPr="002D5392">
        <w:t xml:space="preserve"> Short-term mortality risks among patients with non-metastatic bladder cancer. </w:t>
      </w:r>
      <w:r w:rsidRPr="002D5392">
        <w:rPr>
          <w:i/>
          <w:iCs/>
        </w:rPr>
        <w:t>BMC Cancer</w:t>
      </w:r>
      <w:r w:rsidRPr="002D5392">
        <w:t>. 2020 2020/11/25;20(1):1148</w:t>
      </w:r>
    </w:p>
  </w:footnote>
  <w:footnote w:id="21">
    <w:p w14:paraId="2B2F4453" w14:textId="06CDBE41" w:rsidR="006C12D1" w:rsidRPr="006C12D1" w:rsidRDefault="006C12D1" w:rsidP="006C12D1">
      <w:pPr>
        <w:autoSpaceDE w:val="0"/>
        <w:autoSpaceDN w:val="0"/>
        <w:adjustRightInd w:val="0"/>
        <w:jc w:val="left"/>
        <w:rPr>
          <w:lang w:val="en-US"/>
        </w:rPr>
      </w:pPr>
      <w:r>
        <w:rPr>
          <w:rStyle w:val="FootnoteReference"/>
        </w:rPr>
        <w:footnoteRef/>
      </w:r>
      <w:r>
        <w:t xml:space="preserve"> </w:t>
      </w:r>
      <w:r>
        <w:rPr>
          <w:rFonts w:ascii="Segoe UI" w:hAnsi="Segoe UI" w:cs="Segoe UI"/>
          <w:sz w:val="18"/>
          <w:szCs w:val="18"/>
        </w:rPr>
        <w:t xml:space="preserve">Bregman B, Teitsson S, Orsini I, Cotté F-E, Amadi A, Moshyk A, et al. Cost–Utility Analysis of Nivolumab in Adjuvant Treatment of Melanoma in France. </w:t>
      </w:r>
      <w:r>
        <w:rPr>
          <w:rFonts w:ascii="Segoe UI" w:hAnsi="Segoe UI" w:cs="Segoe UI"/>
          <w:i/>
          <w:iCs/>
          <w:sz w:val="18"/>
          <w:szCs w:val="18"/>
        </w:rPr>
        <w:t>Dermatology and Therapy</w:t>
      </w:r>
      <w:r>
        <w:rPr>
          <w:rFonts w:ascii="Segoe UI" w:hAnsi="Segoe UI" w:cs="Segoe UI"/>
          <w:sz w:val="18"/>
          <w:szCs w:val="18"/>
        </w:rPr>
        <w:t>. 2020 2020/12/01;10(6):1331-43.</w:t>
      </w:r>
    </w:p>
  </w:footnote>
  <w:footnote w:id="22">
    <w:p w14:paraId="3F408E82" w14:textId="3B2BAC4E" w:rsidR="0025316A" w:rsidRPr="0025316A" w:rsidRDefault="0025316A" w:rsidP="0025316A">
      <w:pPr>
        <w:autoSpaceDE w:val="0"/>
        <w:autoSpaceDN w:val="0"/>
        <w:adjustRightInd w:val="0"/>
        <w:jc w:val="left"/>
        <w:rPr>
          <w:lang w:val="en-US"/>
        </w:rPr>
      </w:pPr>
      <w:r>
        <w:rPr>
          <w:rStyle w:val="FootnoteReference"/>
        </w:rPr>
        <w:footnoteRef/>
      </w:r>
      <w:r>
        <w:t xml:space="preserve"> </w:t>
      </w:r>
      <w:r>
        <w:rPr>
          <w:rFonts w:ascii="Segoe UI" w:hAnsi="Segoe UI" w:cs="Segoe UI"/>
          <w:sz w:val="18"/>
          <w:szCs w:val="18"/>
        </w:rPr>
        <w:t>Australian Institute of Health Welfare. Cancer in Australia 2021. Canberra: AIHW 2021. Report No.: Cancer series no. 133. Cat. no. CAN 144.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2EC6" w14:textId="77777777" w:rsidR="00785872" w:rsidRDefault="00785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C83C" w14:textId="0ABEE164" w:rsidR="008636EF" w:rsidRPr="00056684" w:rsidRDefault="00451D6F" w:rsidP="008636EF">
    <w:pPr>
      <w:pStyle w:val="Header"/>
      <w:ind w:left="360"/>
      <w:rPr>
        <w:rFonts w:asciiTheme="minorHAnsi" w:hAnsiTheme="minorHAnsi"/>
        <w:i/>
        <w:color w:val="808080"/>
      </w:rPr>
    </w:pPr>
    <w:bookmarkStart w:id="97" w:name="_Hlk76375146"/>
    <w:r>
      <w:rPr>
        <w:rFonts w:asciiTheme="minorHAnsi" w:hAnsiTheme="minorHAnsi"/>
        <w:i/>
        <w:color w:val="808080"/>
      </w:rPr>
      <w:t>Public Summary Document</w:t>
    </w:r>
    <w:r w:rsidR="008636EF" w:rsidRPr="00056684">
      <w:rPr>
        <w:rFonts w:asciiTheme="minorHAnsi" w:hAnsiTheme="minorHAnsi"/>
        <w:i/>
        <w:color w:val="808080"/>
      </w:rPr>
      <w:t xml:space="preserve"> – </w:t>
    </w:r>
    <w:r w:rsidR="008636EF">
      <w:rPr>
        <w:rFonts w:asciiTheme="minorHAnsi" w:hAnsiTheme="minorHAnsi"/>
        <w:i/>
        <w:color w:val="808080"/>
      </w:rPr>
      <w:t xml:space="preserve">November 2023 </w:t>
    </w:r>
    <w:r w:rsidR="008636EF" w:rsidRPr="00056684">
      <w:rPr>
        <w:rFonts w:asciiTheme="minorHAnsi" w:hAnsiTheme="minorHAnsi"/>
        <w:i/>
        <w:color w:val="808080"/>
      </w:rPr>
      <w:t>PBAC Meeting</w:t>
    </w:r>
  </w:p>
  <w:bookmarkEnd w:id="97"/>
  <w:p w14:paraId="167D2ECD" w14:textId="77777777" w:rsidR="00575AA1" w:rsidRPr="008C7ECB" w:rsidRDefault="00575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6468" w14:textId="77777777" w:rsidR="00785872" w:rsidRDefault="00785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22A1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5" w15:restartNumberingAfterBreak="0">
    <w:nsid w:val="12EB6BD5"/>
    <w:multiLevelType w:val="hybridMultilevel"/>
    <w:tmpl w:val="242639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DFB6ED9"/>
    <w:multiLevelType w:val="hybridMultilevel"/>
    <w:tmpl w:val="9B78C5F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041AB2"/>
    <w:multiLevelType w:val="hybridMultilevel"/>
    <w:tmpl w:val="7E7A99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6905FCA"/>
    <w:multiLevelType w:val="hybridMultilevel"/>
    <w:tmpl w:val="438491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C06671"/>
    <w:multiLevelType w:val="hybridMultilevel"/>
    <w:tmpl w:val="EA5A12C4"/>
    <w:lvl w:ilvl="0" w:tplc="7006115A">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900B7"/>
    <w:multiLevelType w:val="hybridMultilevel"/>
    <w:tmpl w:val="54F6CC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AE0999"/>
    <w:multiLevelType w:val="hybridMultilevel"/>
    <w:tmpl w:val="D2F6C784"/>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24" w15:restartNumberingAfterBreak="0">
    <w:nsid w:val="748A3661"/>
    <w:multiLevelType w:val="hybridMultilevel"/>
    <w:tmpl w:val="DDF48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D744DE"/>
    <w:multiLevelType w:val="hybridMultilevel"/>
    <w:tmpl w:val="873ED1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AD5D9C"/>
    <w:multiLevelType w:val="hybridMultilevel"/>
    <w:tmpl w:val="9B78C5F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7C8C54C9"/>
    <w:multiLevelType w:val="hybridMultilevel"/>
    <w:tmpl w:val="921A7928"/>
    <w:lvl w:ilvl="0" w:tplc="68D07D42">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16cid:durableId="1057122326">
    <w:abstractNumId w:val="26"/>
  </w:num>
  <w:num w:numId="2" w16cid:durableId="316567850">
    <w:abstractNumId w:val="14"/>
  </w:num>
  <w:num w:numId="3" w16cid:durableId="1827240984">
    <w:abstractNumId w:val="15"/>
  </w:num>
  <w:num w:numId="4" w16cid:durableId="1215845946">
    <w:abstractNumId w:val="0"/>
  </w:num>
  <w:num w:numId="5" w16cid:durableId="1138376023">
    <w:abstractNumId w:val="26"/>
  </w:num>
  <w:num w:numId="6" w16cid:durableId="1863204982">
    <w:abstractNumId w:val="12"/>
  </w:num>
  <w:num w:numId="7" w16cid:durableId="25372989">
    <w:abstractNumId w:val="20"/>
  </w:num>
  <w:num w:numId="8" w16cid:durableId="1369376596">
    <w:abstractNumId w:val="13"/>
  </w:num>
  <w:num w:numId="9" w16cid:durableId="1828933691">
    <w:abstractNumId w:val="10"/>
  </w:num>
  <w:num w:numId="10" w16cid:durableId="726225000">
    <w:abstractNumId w:val="23"/>
  </w:num>
  <w:num w:numId="11" w16cid:durableId="29647509">
    <w:abstractNumId w:val="16"/>
  </w:num>
  <w:num w:numId="12" w16cid:durableId="676732145">
    <w:abstractNumId w:val="25"/>
  </w:num>
  <w:num w:numId="13" w16cid:durableId="1403596707">
    <w:abstractNumId w:val="5"/>
  </w:num>
  <w:num w:numId="14" w16cid:durableId="1282027696">
    <w:abstractNumId w:val="11"/>
  </w:num>
  <w:num w:numId="15" w16cid:durableId="1442338058">
    <w:abstractNumId w:val="6"/>
  </w:num>
  <w:num w:numId="16" w16cid:durableId="1847941785">
    <w:abstractNumId w:val="24"/>
  </w:num>
  <w:num w:numId="17" w16cid:durableId="560023681">
    <w:abstractNumId w:val="28"/>
  </w:num>
  <w:num w:numId="18" w16cid:durableId="862669785">
    <w:abstractNumId w:val="29"/>
  </w:num>
  <w:num w:numId="19" w16cid:durableId="1198544824">
    <w:abstractNumId w:val="21"/>
  </w:num>
  <w:num w:numId="20" w16cid:durableId="1991443529">
    <w:abstractNumId w:val="27"/>
  </w:num>
  <w:num w:numId="21" w16cid:durableId="157234706">
    <w:abstractNumId w:val="15"/>
  </w:num>
  <w:num w:numId="22" w16cid:durableId="1764498304">
    <w:abstractNumId w:val="2"/>
  </w:num>
  <w:num w:numId="23" w16cid:durableId="968710683">
    <w:abstractNumId w:val="17"/>
  </w:num>
  <w:num w:numId="24" w16cid:durableId="208349515">
    <w:abstractNumId w:val="18"/>
  </w:num>
  <w:num w:numId="25" w16cid:durableId="1407611237">
    <w:abstractNumId w:val="3"/>
  </w:num>
  <w:num w:numId="26" w16cid:durableId="67853107">
    <w:abstractNumId w:val="1"/>
  </w:num>
  <w:num w:numId="27" w16cid:durableId="1975522259">
    <w:abstractNumId w:val="8"/>
  </w:num>
  <w:num w:numId="28" w16cid:durableId="1164007051">
    <w:abstractNumId w:val="9"/>
  </w:num>
  <w:num w:numId="29" w16cid:durableId="1566376299">
    <w:abstractNumId w:val="7"/>
  </w:num>
  <w:num w:numId="30" w16cid:durableId="129744317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7142306">
    <w:abstractNumId w:val="22"/>
  </w:num>
  <w:num w:numId="32" w16cid:durableId="1582593698">
    <w:abstractNumId w:val="15"/>
  </w:num>
  <w:num w:numId="33" w16cid:durableId="1495948422">
    <w:abstractNumId w:val="4"/>
  </w:num>
  <w:num w:numId="34" w16cid:durableId="448284211">
    <w:abstractNumId w:val="26"/>
  </w:num>
  <w:num w:numId="35" w16cid:durableId="406998431">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t5aax9uve0z1evxfgx0wsqfvaardvvex0v&quot;&gt;Nivolumab&lt;record-ids&gt;&lt;item&gt;15&lt;/item&gt;&lt;item&gt;16&lt;/item&gt;&lt;item&gt;18&lt;/item&gt;&lt;item&gt;22&lt;/item&gt;&lt;item&gt;23&lt;/item&gt;&lt;item&gt;26&lt;/item&gt;&lt;item&gt;30&lt;/item&gt;&lt;item&gt;31&lt;/item&gt;&lt;item&gt;33&lt;/item&gt;&lt;item&gt;34&lt;/item&gt;&lt;item&gt;35&lt;/item&gt;&lt;item&gt;36&lt;/item&gt;&lt;item&gt;38&lt;/item&gt;&lt;item&gt;39&lt;/item&gt;&lt;item&gt;40&lt;/item&gt;&lt;item&gt;41&lt;/item&gt;&lt;/record-ids&gt;&lt;/item&gt;&lt;/Libraries&gt;"/>
  </w:docVars>
  <w:rsids>
    <w:rsidRoot w:val="00E65E79"/>
    <w:rsid w:val="00000790"/>
    <w:rsid w:val="0000110B"/>
    <w:rsid w:val="00001B1C"/>
    <w:rsid w:val="00001B67"/>
    <w:rsid w:val="00001D9A"/>
    <w:rsid w:val="00003499"/>
    <w:rsid w:val="000039B7"/>
    <w:rsid w:val="000056B9"/>
    <w:rsid w:val="00005920"/>
    <w:rsid w:val="0000639A"/>
    <w:rsid w:val="00012290"/>
    <w:rsid w:val="00013247"/>
    <w:rsid w:val="00014C06"/>
    <w:rsid w:val="00015886"/>
    <w:rsid w:val="000162EF"/>
    <w:rsid w:val="00016C06"/>
    <w:rsid w:val="000207C9"/>
    <w:rsid w:val="00020EA1"/>
    <w:rsid w:val="00021D91"/>
    <w:rsid w:val="0002225F"/>
    <w:rsid w:val="0002347B"/>
    <w:rsid w:val="00023763"/>
    <w:rsid w:val="00024558"/>
    <w:rsid w:val="0002480D"/>
    <w:rsid w:val="00024EB5"/>
    <w:rsid w:val="000274B8"/>
    <w:rsid w:val="00027DC4"/>
    <w:rsid w:val="00030851"/>
    <w:rsid w:val="00031D9B"/>
    <w:rsid w:val="000320E4"/>
    <w:rsid w:val="00032919"/>
    <w:rsid w:val="000335DF"/>
    <w:rsid w:val="00033863"/>
    <w:rsid w:val="00033871"/>
    <w:rsid w:val="00033E91"/>
    <w:rsid w:val="00034618"/>
    <w:rsid w:val="00034CA1"/>
    <w:rsid w:val="00035374"/>
    <w:rsid w:val="00035DC0"/>
    <w:rsid w:val="00036829"/>
    <w:rsid w:val="00036C35"/>
    <w:rsid w:val="00040895"/>
    <w:rsid w:val="000410A0"/>
    <w:rsid w:val="00041B9D"/>
    <w:rsid w:val="00041FF3"/>
    <w:rsid w:val="000435EE"/>
    <w:rsid w:val="00043803"/>
    <w:rsid w:val="00043C37"/>
    <w:rsid w:val="00045017"/>
    <w:rsid w:val="00045A2B"/>
    <w:rsid w:val="0004698F"/>
    <w:rsid w:val="00046D64"/>
    <w:rsid w:val="00050606"/>
    <w:rsid w:val="000508C2"/>
    <w:rsid w:val="00050CF6"/>
    <w:rsid w:val="000532C1"/>
    <w:rsid w:val="000539D0"/>
    <w:rsid w:val="00054621"/>
    <w:rsid w:val="000546D7"/>
    <w:rsid w:val="00054A8D"/>
    <w:rsid w:val="00054F83"/>
    <w:rsid w:val="00055162"/>
    <w:rsid w:val="00056ECF"/>
    <w:rsid w:val="000604DF"/>
    <w:rsid w:val="0006105D"/>
    <w:rsid w:val="00061CC5"/>
    <w:rsid w:val="00062324"/>
    <w:rsid w:val="000624E6"/>
    <w:rsid w:val="000628B7"/>
    <w:rsid w:val="000653B5"/>
    <w:rsid w:val="00066360"/>
    <w:rsid w:val="000666C5"/>
    <w:rsid w:val="0006671C"/>
    <w:rsid w:val="00066AF8"/>
    <w:rsid w:val="00066B4F"/>
    <w:rsid w:val="00066C71"/>
    <w:rsid w:val="00071248"/>
    <w:rsid w:val="000720B9"/>
    <w:rsid w:val="00073160"/>
    <w:rsid w:val="000737F7"/>
    <w:rsid w:val="00074518"/>
    <w:rsid w:val="0007672F"/>
    <w:rsid w:val="00076A34"/>
    <w:rsid w:val="00076B54"/>
    <w:rsid w:val="000774F0"/>
    <w:rsid w:val="00080791"/>
    <w:rsid w:val="00080909"/>
    <w:rsid w:val="000812CA"/>
    <w:rsid w:val="00081B17"/>
    <w:rsid w:val="00081E63"/>
    <w:rsid w:val="0008258D"/>
    <w:rsid w:val="00082FE4"/>
    <w:rsid w:val="00083E99"/>
    <w:rsid w:val="00084FA8"/>
    <w:rsid w:val="000856C5"/>
    <w:rsid w:val="00085C31"/>
    <w:rsid w:val="000870AC"/>
    <w:rsid w:val="0008710D"/>
    <w:rsid w:val="000902D9"/>
    <w:rsid w:val="00090C7E"/>
    <w:rsid w:val="0009116A"/>
    <w:rsid w:val="000911AC"/>
    <w:rsid w:val="00092600"/>
    <w:rsid w:val="0009262B"/>
    <w:rsid w:val="00093310"/>
    <w:rsid w:val="0009417D"/>
    <w:rsid w:val="0009445C"/>
    <w:rsid w:val="00095200"/>
    <w:rsid w:val="00095252"/>
    <w:rsid w:val="00095FE5"/>
    <w:rsid w:val="00096284"/>
    <w:rsid w:val="000A0DAD"/>
    <w:rsid w:val="000A1BC0"/>
    <w:rsid w:val="000A2B24"/>
    <w:rsid w:val="000A2F9E"/>
    <w:rsid w:val="000A3E47"/>
    <w:rsid w:val="000A522B"/>
    <w:rsid w:val="000A5CB9"/>
    <w:rsid w:val="000A6039"/>
    <w:rsid w:val="000A7453"/>
    <w:rsid w:val="000A7D08"/>
    <w:rsid w:val="000B0121"/>
    <w:rsid w:val="000B0670"/>
    <w:rsid w:val="000B0E75"/>
    <w:rsid w:val="000B2DCB"/>
    <w:rsid w:val="000B447E"/>
    <w:rsid w:val="000B5B17"/>
    <w:rsid w:val="000B5CE0"/>
    <w:rsid w:val="000B6CAC"/>
    <w:rsid w:val="000B72DF"/>
    <w:rsid w:val="000B7612"/>
    <w:rsid w:val="000B78AE"/>
    <w:rsid w:val="000C0D3A"/>
    <w:rsid w:val="000C2741"/>
    <w:rsid w:val="000C3DF9"/>
    <w:rsid w:val="000C4CF2"/>
    <w:rsid w:val="000C6128"/>
    <w:rsid w:val="000C6713"/>
    <w:rsid w:val="000C6E15"/>
    <w:rsid w:val="000D05D8"/>
    <w:rsid w:val="000D1B59"/>
    <w:rsid w:val="000D1BFC"/>
    <w:rsid w:val="000D1D5D"/>
    <w:rsid w:val="000D281A"/>
    <w:rsid w:val="000D2848"/>
    <w:rsid w:val="000D30AC"/>
    <w:rsid w:val="000D326A"/>
    <w:rsid w:val="000D51FB"/>
    <w:rsid w:val="000D5913"/>
    <w:rsid w:val="000D64B8"/>
    <w:rsid w:val="000D6802"/>
    <w:rsid w:val="000D707A"/>
    <w:rsid w:val="000D7DC8"/>
    <w:rsid w:val="000E0640"/>
    <w:rsid w:val="000E0B3F"/>
    <w:rsid w:val="000E135D"/>
    <w:rsid w:val="000E2811"/>
    <w:rsid w:val="000E2B2B"/>
    <w:rsid w:val="000E4FE0"/>
    <w:rsid w:val="000E58CC"/>
    <w:rsid w:val="000E6B57"/>
    <w:rsid w:val="000E7BD0"/>
    <w:rsid w:val="000F00BA"/>
    <w:rsid w:val="000F1724"/>
    <w:rsid w:val="000F262F"/>
    <w:rsid w:val="000F316A"/>
    <w:rsid w:val="000F3C74"/>
    <w:rsid w:val="000F4573"/>
    <w:rsid w:val="000F4BB8"/>
    <w:rsid w:val="000F4FA9"/>
    <w:rsid w:val="000F53FB"/>
    <w:rsid w:val="000F61EA"/>
    <w:rsid w:val="000F7127"/>
    <w:rsid w:val="000F7B54"/>
    <w:rsid w:val="001000B3"/>
    <w:rsid w:val="00100F76"/>
    <w:rsid w:val="00100F8A"/>
    <w:rsid w:val="00101C8F"/>
    <w:rsid w:val="00102F82"/>
    <w:rsid w:val="0010452E"/>
    <w:rsid w:val="00104A80"/>
    <w:rsid w:val="00105AE2"/>
    <w:rsid w:val="001060C6"/>
    <w:rsid w:val="001061E3"/>
    <w:rsid w:val="00106B6F"/>
    <w:rsid w:val="00106B80"/>
    <w:rsid w:val="00107DDB"/>
    <w:rsid w:val="0011032E"/>
    <w:rsid w:val="001116B2"/>
    <w:rsid w:val="0011348B"/>
    <w:rsid w:val="0011442C"/>
    <w:rsid w:val="00115982"/>
    <w:rsid w:val="00116C53"/>
    <w:rsid w:val="001212D5"/>
    <w:rsid w:val="00121799"/>
    <w:rsid w:val="001222FC"/>
    <w:rsid w:val="00122D2D"/>
    <w:rsid w:val="00122D65"/>
    <w:rsid w:val="00123779"/>
    <w:rsid w:val="00123902"/>
    <w:rsid w:val="001244CD"/>
    <w:rsid w:val="0012482C"/>
    <w:rsid w:val="00124A51"/>
    <w:rsid w:val="00126621"/>
    <w:rsid w:val="00126B1D"/>
    <w:rsid w:val="00126D3F"/>
    <w:rsid w:val="001301E9"/>
    <w:rsid w:val="00130E2A"/>
    <w:rsid w:val="00130FC3"/>
    <w:rsid w:val="00131D71"/>
    <w:rsid w:val="00131D82"/>
    <w:rsid w:val="00132B22"/>
    <w:rsid w:val="00133009"/>
    <w:rsid w:val="00133D36"/>
    <w:rsid w:val="00137645"/>
    <w:rsid w:val="0014015A"/>
    <w:rsid w:val="00140E99"/>
    <w:rsid w:val="00143F67"/>
    <w:rsid w:val="00143F75"/>
    <w:rsid w:val="00145234"/>
    <w:rsid w:val="00145540"/>
    <w:rsid w:val="001456B0"/>
    <w:rsid w:val="00145A05"/>
    <w:rsid w:val="00152DDC"/>
    <w:rsid w:val="00153AD8"/>
    <w:rsid w:val="001547AB"/>
    <w:rsid w:val="00156F8F"/>
    <w:rsid w:val="00157130"/>
    <w:rsid w:val="001576B1"/>
    <w:rsid w:val="0016047B"/>
    <w:rsid w:val="00160A4C"/>
    <w:rsid w:val="00162203"/>
    <w:rsid w:val="001624C0"/>
    <w:rsid w:val="00162913"/>
    <w:rsid w:val="001639C8"/>
    <w:rsid w:val="00163EFF"/>
    <w:rsid w:val="00163F66"/>
    <w:rsid w:val="00164558"/>
    <w:rsid w:val="0016478E"/>
    <w:rsid w:val="001656AF"/>
    <w:rsid w:val="00165EC4"/>
    <w:rsid w:val="001661FB"/>
    <w:rsid w:val="001671A0"/>
    <w:rsid w:val="0016767F"/>
    <w:rsid w:val="00170D3E"/>
    <w:rsid w:val="00170D97"/>
    <w:rsid w:val="00173565"/>
    <w:rsid w:val="00173B07"/>
    <w:rsid w:val="00174C4F"/>
    <w:rsid w:val="001751FA"/>
    <w:rsid w:val="001756B0"/>
    <w:rsid w:val="001756D7"/>
    <w:rsid w:val="001757F2"/>
    <w:rsid w:val="00176E0E"/>
    <w:rsid w:val="00180BB0"/>
    <w:rsid w:val="00181C10"/>
    <w:rsid w:val="00181D9C"/>
    <w:rsid w:val="001820F0"/>
    <w:rsid w:val="001837FF"/>
    <w:rsid w:val="00183F99"/>
    <w:rsid w:val="00184B0E"/>
    <w:rsid w:val="00186072"/>
    <w:rsid w:val="0018752F"/>
    <w:rsid w:val="00187642"/>
    <w:rsid w:val="001878E2"/>
    <w:rsid w:val="001912CB"/>
    <w:rsid w:val="00192F97"/>
    <w:rsid w:val="00193489"/>
    <w:rsid w:val="00193838"/>
    <w:rsid w:val="00194AD8"/>
    <w:rsid w:val="00195222"/>
    <w:rsid w:val="00195452"/>
    <w:rsid w:val="001970F9"/>
    <w:rsid w:val="001975D2"/>
    <w:rsid w:val="001975D8"/>
    <w:rsid w:val="00197F7D"/>
    <w:rsid w:val="001A1710"/>
    <w:rsid w:val="001A178E"/>
    <w:rsid w:val="001A2789"/>
    <w:rsid w:val="001A2F16"/>
    <w:rsid w:val="001A43FA"/>
    <w:rsid w:val="001A47C5"/>
    <w:rsid w:val="001A59FB"/>
    <w:rsid w:val="001A5E9E"/>
    <w:rsid w:val="001A6354"/>
    <w:rsid w:val="001A6366"/>
    <w:rsid w:val="001A746F"/>
    <w:rsid w:val="001A7AE8"/>
    <w:rsid w:val="001A7E2A"/>
    <w:rsid w:val="001B204E"/>
    <w:rsid w:val="001B2372"/>
    <w:rsid w:val="001B3003"/>
    <w:rsid w:val="001B3443"/>
    <w:rsid w:val="001B344C"/>
    <w:rsid w:val="001B4C20"/>
    <w:rsid w:val="001B4D20"/>
    <w:rsid w:val="001B6288"/>
    <w:rsid w:val="001B6A03"/>
    <w:rsid w:val="001B7F84"/>
    <w:rsid w:val="001C1E90"/>
    <w:rsid w:val="001C2A9B"/>
    <w:rsid w:val="001C3DD6"/>
    <w:rsid w:val="001C4299"/>
    <w:rsid w:val="001C4874"/>
    <w:rsid w:val="001C5C88"/>
    <w:rsid w:val="001C5F94"/>
    <w:rsid w:val="001C60AD"/>
    <w:rsid w:val="001C65B0"/>
    <w:rsid w:val="001C6C53"/>
    <w:rsid w:val="001C6E66"/>
    <w:rsid w:val="001D1100"/>
    <w:rsid w:val="001D1391"/>
    <w:rsid w:val="001D25D7"/>
    <w:rsid w:val="001D26D5"/>
    <w:rsid w:val="001D3FAF"/>
    <w:rsid w:val="001D4250"/>
    <w:rsid w:val="001D50B2"/>
    <w:rsid w:val="001D66D4"/>
    <w:rsid w:val="001D71F4"/>
    <w:rsid w:val="001D7645"/>
    <w:rsid w:val="001D78FA"/>
    <w:rsid w:val="001E19DD"/>
    <w:rsid w:val="001E1A6D"/>
    <w:rsid w:val="001E1E41"/>
    <w:rsid w:val="001E1E86"/>
    <w:rsid w:val="001E238E"/>
    <w:rsid w:val="001E2483"/>
    <w:rsid w:val="001E2B1E"/>
    <w:rsid w:val="001E2CFF"/>
    <w:rsid w:val="001E2F24"/>
    <w:rsid w:val="001E30D4"/>
    <w:rsid w:val="001E34DF"/>
    <w:rsid w:val="001E3C8F"/>
    <w:rsid w:val="001E49E3"/>
    <w:rsid w:val="001E52EB"/>
    <w:rsid w:val="001E61D2"/>
    <w:rsid w:val="001E740C"/>
    <w:rsid w:val="001E79F3"/>
    <w:rsid w:val="001F1235"/>
    <w:rsid w:val="001F1CB3"/>
    <w:rsid w:val="001F30BF"/>
    <w:rsid w:val="001F38B5"/>
    <w:rsid w:val="001F4081"/>
    <w:rsid w:val="001F496B"/>
    <w:rsid w:val="001F4C1C"/>
    <w:rsid w:val="001F5301"/>
    <w:rsid w:val="001F5C2E"/>
    <w:rsid w:val="001F6395"/>
    <w:rsid w:val="001F6BBA"/>
    <w:rsid w:val="001F7361"/>
    <w:rsid w:val="0020088D"/>
    <w:rsid w:val="002011B0"/>
    <w:rsid w:val="00202CBA"/>
    <w:rsid w:val="00203181"/>
    <w:rsid w:val="00203783"/>
    <w:rsid w:val="0020385F"/>
    <w:rsid w:val="00203A3D"/>
    <w:rsid w:val="002043DC"/>
    <w:rsid w:val="00206894"/>
    <w:rsid w:val="002068A0"/>
    <w:rsid w:val="00206A5D"/>
    <w:rsid w:val="00207021"/>
    <w:rsid w:val="0020732F"/>
    <w:rsid w:val="00207AC1"/>
    <w:rsid w:val="00207D00"/>
    <w:rsid w:val="002101BE"/>
    <w:rsid w:val="002105C1"/>
    <w:rsid w:val="002115FA"/>
    <w:rsid w:val="002116FD"/>
    <w:rsid w:val="002129F4"/>
    <w:rsid w:val="00212EF2"/>
    <w:rsid w:val="00213EF5"/>
    <w:rsid w:val="00213FEF"/>
    <w:rsid w:val="00214AA9"/>
    <w:rsid w:val="002156E4"/>
    <w:rsid w:val="00216BF5"/>
    <w:rsid w:val="00222727"/>
    <w:rsid w:val="00223B49"/>
    <w:rsid w:val="00223D5A"/>
    <w:rsid w:val="00224A88"/>
    <w:rsid w:val="00224DD4"/>
    <w:rsid w:val="0022645A"/>
    <w:rsid w:val="002278A0"/>
    <w:rsid w:val="00230090"/>
    <w:rsid w:val="002309CC"/>
    <w:rsid w:val="0023116C"/>
    <w:rsid w:val="00231BA9"/>
    <w:rsid w:val="0023209F"/>
    <w:rsid w:val="00232A6F"/>
    <w:rsid w:val="00233C01"/>
    <w:rsid w:val="0023413C"/>
    <w:rsid w:val="002346F0"/>
    <w:rsid w:val="00234FA0"/>
    <w:rsid w:val="0023629D"/>
    <w:rsid w:val="00236876"/>
    <w:rsid w:val="00237255"/>
    <w:rsid w:val="0024071B"/>
    <w:rsid w:val="00242060"/>
    <w:rsid w:val="002424AF"/>
    <w:rsid w:val="00243533"/>
    <w:rsid w:val="002439DC"/>
    <w:rsid w:val="002441D2"/>
    <w:rsid w:val="00244DC8"/>
    <w:rsid w:val="002458BA"/>
    <w:rsid w:val="00245CE9"/>
    <w:rsid w:val="0024636C"/>
    <w:rsid w:val="00247925"/>
    <w:rsid w:val="00250B90"/>
    <w:rsid w:val="00250F22"/>
    <w:rsid w:val="00251006"/>
    <w:rsid w:val="002524D5"/>
    <w:rsid w:val="0025276E"/>
    <w:rsid w:val="0025316A"/>
    <w:rsid w:val="00253B1D"/>
    <w:rsid w:val="00254367"/>
    <w:rsid w:val="00254DCF"/>
    <w:rsid w:val="0025534B"/>
    <w:rsid w:val="00255BB7"/>
    <w:rsid w:val="00257541"/>
    <w:rsid w:val="00257A39"/>
    <w:rsid w:val="00257AC4"/>
    <w:rsid w:val="00257BBE"/>
    <w:rsid w:val="002603AC"/>
    <w:rsid w:val="002613E8"/>
    <w:rsid w:val="00261EEF"/>
    <w:rsid w:val="00261F89"/>
    <w:rsid w:val="0026209C"/>
    <w:rsid w:val="00262A1A"/>
    <w:rsid w:val="00262A87"/>
    <w:rsid w:val="00264D26"/>
    <w:rsid w:val="00267642"/>
    <w:rsid w:val="00267AEA"/>
    <w:rsid w:val="002700E6"/>
    <w:rsid w:val="0027036D"/>
    <w:rsid w:val="002705D8"/>
    <w:rsid w:val="0027294B"/>
    <w:rsid w:val="002736E1"/>
    <w:rsid w:val="00273944"/>
    <w:rsid w:val="00273EB4"/>
    <w:rsid w:val="0027446E"/>
    <w:rsid w:val="00274682"/>
    <w:rsid w:val="00275158"/>
    <w:rsid w:val="00275C5A"/>
    <w:rsid w:val="00281014"/>
    <w:rsid w:val="002827C6"/>
    <w:rsid w:val="00283EFA"/>
    <w:rsid w:val="00285498"/>
    <w:rsid w:val="00285BCE"/>
    <w:rsid w:val="00285DB9"/>
    <w:rsid w:val="0028629F"/>
    <w:rsid w:val="0028665D"/>
    <w:rsid w:val="00292751"/>
    <w:rsid w:val="002955DA"/>
    <w:rsid w:val="002A14AB"/>
    <w:rsid w:val="002A1890"/>
    <w:rsid w:val="002A1B82"/>
    <w:rsid w:val="002A1D7D"/>
    <w:rsid w:val="002A2ADE"/>
    <w:rsid w:val="002A2F50"/>
    <w:rsid w:val="002A748E"/>
    <w:rsid w:val="002A7943"/>
    <w:rsid w:val="002A7ACB"/>
    <w:rsid w:val="002B030A"/>
    <w:rsid w:val="002B05A1"/>
    <w:rsid w:val="002B09A4"/>
    <w:rsid w:val="002B0AF0"/>
    <w:rsid w:val="002B1C1F"/>
    <w:rsid w:val="002B20C9"/>
    <w:rsid w:val="002B2A5F"/>
    <w:rsid w:val="002B432F"/>
    <w:rsid w:val="002B4C4E"/>
    <w:rsid w:val="002B62B3"/>
    <w:rsid w:val="002B6754"/>
    <w:rsid w:val="002B6CCE"/>
    <w:rsid w:val="002B7308"/>
    <w:rsid w:val="002B7951"/>
    <w:rsid w:val="002C015B"/>
    <w:rsid w:val="002C1C6C"/>
    <w:rsid w:val="002C2510"/>
    <w:rsid w:val="002C2775"/>
    <w:rsid w:val="002C27C1"/>
    <w:rsid w:val="002C3344"/>
    <w:rsid w:val="002C3474"/>
    <w:rsid w:val="002C36E3"/>
    <w:rsid w:val="002C3C99"/>
    <w:rsid w:val="002C5099"/>
    <w:rsid w:val="002C5889"/>
    <w:rsid w:val="002C5B69"/>
    <w:rsid w:val="002C71CE"/>
    <w:rsid w:val="002D08F8"/>
    <w:rsid w:val="002D2A6E"/>
    <w:rsid w:val="002D492E"/>
    <w:rsid w:val="002D5392"/>
    <w:rsid w:val="002D577C"/>
    <w:rsid w:val="002D629A"/>
    <w:rsid w:val="002D7832"/>
    <w:rsid w:val="002E0E81"/>
    <w:rsid w:val="002E1071"/>
    <w:rsid w:val="002E156F"/>
    <w:rsid w:val="002E15B9"/>
    <w:rsid w:val="002E18A6"/>
    <w:rsid w:val="002E2158"/>
    <w:rsid w:val="002E3DC8"/>
    <w:rsid w:val="002E4F02"/>
    <w:rsid w:val="002E7722"/>
    <w:rsid w:val="002E7D16"/>
    <w:rsid w:val="002F07BA"/>
    <w:rsid w:val="002F0DA9"/>
    <w:rsid w:val="002F1014"/>
    <w:rsid w:val="002F1CB1"/>
    <w:rsid w:val="002F1E3B"/>
    <w:rsid w:val="002F2BF6"/>
    <w:rsid w:val="002F2E6F"/>
    <w:rsid w:val="002F49F4"/>
    <w:rsid w:val="002F643C"/>
    <w:rsid w:val="002F71C0"/>
    <w:rsid w:val="002F74F1"/>
    <w:rsid w:val="00301017"/>
    <w:rsid w:val="0030155F"/>
    <w:rsid w:val="003021EB"/>
    <w:rsid w:val="003027C8"/>
    <w:rsid w:val="00303A66"/>
    <w:rsid w:val="00303BCB"/>
    <w:rsid w:val="0030534E"/>
    <w:rsid w:val="0030587B"/>
    <w:rsid w:val="00306D98"/>
    <w:rsid w:val="0030786C"/>
    <w:rsid w:val="0031004F"/>
    <w:rsid w:val="0031031A"/>
    <w:rsid w:val="00310981"/>
    <w:rsid w:val="00311D9B"/>
    <w:rsid w:val="003124D9"/>
    <w:rsid w:val="00312594"/>
    <w:rsid w:val="00315498"/>
    <w:rsid w:val="00316474"/>
    <w:rsid w:val="00320C7B"/>
    <w:rsid w:val="00320CED"/>
    <w:rsid w:val="00322107"/>
    <w:rsid w:val="00322355"/>
    <w:rsid w:val="00322846"/>
    <w:rsid w:val="00324084"/>
    <w:rsid w:val="00326DA1"/>
    <w:rsid w:val="00326DA7"/>
    <w:rsid w:val="003270E4"/>
    <w:rsid w:val="003277E3"/>
    <w:rsid w:val="00330DAA"/>
    <w:rsid w:val="00330F5C"/>
    <w:rsid w:val="0033184E"/>
    <w:rsid w:val="003366C9"/>
    <w:rsid w:val="00336D25"/>
    <w:rsid w:val="003371B0"/>
    <w:rsid w:val="00340673"/>
    <w:rsid w:val="00340DF1"/>
    <w:rsid w:val="003423F3"/>
    <w:rsid w:val="00342E11"/>
    <w:rsid w:val="0034360C"/>
    <w:rsid w:val="00344129"/>
    <w:rsid w:val="003451AF"/>
    <w:rsid w:val="00346867"/>
    <w:rsid w:val="00347C4E"/>
    <w:rsid w:val="00347D1F"/>
    <w:rsid w:val="0035112F"/>
    <w:rsid w:val="003517F9"/>
    <w:rsid w:val="00351BA9"/>
    <w:rsid w:val="00354F64"/>
    <w:rsid w:val="0035620E"/>
    <w:rsid w:val="003575BE"/>
    <w:rsid w:val="00357D73"/>
    <w:rsid w:val="00360345"/>
    <w:rsid w:val="00361A05"/>
    <w:rsid w:val="003624C4"/>
    <w:rsid w:val="00363B00"/>
    <w:rsid w:val="003654AC"/>
    <w:rsid w:val="0036644A"/>
    <w:rsid w:val="00367EBA"/>
    <w:rsid w:val="003710CF"/>
    <w:rsid w:val="003723C3"/>
    <w:rsid w:val="00372623"/>
    <w:rsid w:val="00372F51"/>
    <w:rsid w:val="0037358A"/>
    <w:rsid w:val="00373CD7"/>
    <w:rsid w:val="003750A2"/>
    <w:rsid w:val="003750F6"/>
    <w:rsid w:val="0037532D"/>
    <w:rsid w:val="003760FC"/>
    <w:rsid w:val="0038178C"/>
    <w:rsid w:val="00381BCD"/>
    <w:rsid w:val="00383376"/>
    <w:rsid w:val="0038365C"/>
    <w:rsid w:val="0038369B"/>
    <w:rsid w:val="00383B78"/>
    <w:rsid w:val="0038566E"/>
    <w:rsid w:val="00385A9D"/>
    <w:rsid w:val="00386704"/>
    <w:rsid w:val="00387121"/>
    <w:rsid w:val="003902B1"/>
    <w:rsid w:val="0039179C"/>
    <w:rsid w:val="00391C98"/>
    <w:rsid w:val="00391F07"/>
    <w:rsid w:val="00393CFC"/>
    <w:rsid w:val="00396682"/>
    <w:rsid w:val="00396896"/>
    <w:rsid w:val="00396FD0"/>
    <w:rsid w:val="003A0067"/>
    <w:rsid w:val="003A1A7A"/>
    <w:rsid w:val="003A20F2"/>
    <w:rsid w:val="003A2392"/>
    <w:rsid w:val="003A2831"/>
    <w:rsid w:val="003A3CB6"/>
    <w:rsid w:val="003A3ED1"/>
    <w:rsid w:val="003A44DB"/>
    <w:rsid w:val="003A4C14"/>
    <w:rsid w:val="003A5C33"/>
    <w:rsid w:val="003A7C6C"/>
    <w:rsid w:val="003B1057"/>
    <w:rsid w:val="003B3971"/>
    <w:rsid w:val="003B4420"/>
    <w:rsid w:val="003B477E"/>
    <w:rsid w:val="003B55D1"/>
    <w:rsid w:val="003B5B61"/>
    <w:rsid w:val="003B679C"/>
    <w:rsid w:val="003B6822"/>
    <w:rsid w:val="003C02CB"/>
    <w:rsid w:val="003C123A"/>
    <w:rsid w:val="003C1654"/>
    <w:rsid w:val="003C5542"/>
    <w:rsid w:val="003C7C15"/>
    <w:rsid w:val="003C7D19"/>
    <w:rsid w:val="003C7D2F"/>
    <w:rsid w:val="003D0C5A"/>
    <w:rsid w:val="003D1828"/>
    <w:rsid w:val="003D1DE4"/>
    <w:rsid w:val="003D1E9A"/>
    <w:rsid w:val="003D2422"/>
    <w:rsid w:val="003D2C62"/>
    <w:rsid w:val="003D2E22"/>
    <w:rsid w:val="003D2FD0"/>
    <w:rsid w:val="003D39A1"/>
    <w:rsid w:val="003D3FBF"/>
    <w:rsid w:val="003D44FC"/>
    <w:rsid w:val="003D4A30"/>
    <w:rsid w:val="003D526B"/>
    <w:rsid w:val="003D7452"/>
    <w:rsid w:val="003D79BB"/>
    <w:rsid w:val="003D7C98"/>
    <w:rsid w:val="003D7D9D"/>
    <w:rsid w:val="003E0543"/>
    <w:rsid w:val="003E1F46"/>
    <w:rsid w:val="003E5603"/>
    <w:rsid w:val="003E749E"/>
    <w:rsid w:val="003F0B74"/>
    <w:rsid w:val="003F0D80"/>
    <w:rsid w:val="003F389D"/>
    <w:rsid w:val="003F4156"/>
    <w:rsid w:val="003F4746"/>
    <w:rsid w:val="003F5ADF"/>
    <w:rsid w:val="00400A06"/>
    <w:rsid w:val="00400B29"/>
    <w:rsid w:val="00402784"/>
    <w:rsid w:val="00402812"/>
    <w:rsid w:val="0040504B"/>
    <w:rsid w:val="004054A2"/>
    <w:rsid w:val="004059F4"/>
    <w:rsid w:val="00407FE5"/>
    <w:rsid w:val="004101B0"/>
    <w:rsid w:val="00410326"/>
    <w:rsid w:val="00410708"/>
    <w:rsid w:val="00410EC7"/>
    <w:rsid w:val="00411B39"/>
    <w:rsid w:val="00411F1D"/>
    <w:rsid w:val="004121CC"/>
    <w:rsid w:val="004127A7"/>
    <w:rsid w:val="00413A1E"/>
    <w:rsid w:val="00414476"/>
    <w:rsid w:val="004149D9"/>
    <w:rsid w:val="00414C2E"/>
    <w:rsid w:val="004151CF"/>
    <w:rsid w:val="00416364"/>
    <w:rsid w:val="00416443"/>
    <w:rsid w:val="00420390"/>
    <w:rsid w:val="0042047F"/>
    <w:rsid w:val="00420AA6"/>
    <w:rsid w:val="00420B9F"/>
    <w:rsid w:val="0042192C"/>
    <w:rsid w:val="00422260"/>
    <w:rsid w:val="00422AE4"/>
    <w:rsid w:val="00423035"/>
    <w:rsid w:val="004232E6"/>
    <w:rsid w:val="00423985"/>
    <w:rsid w:val="0042413F"/>
    <w:rsid w:val="004262EF"/>
    <w:rsid w:val="00427BE1"/>
    <w:rsid w:val="004319F8"/>
    <w:rsid w:val="00431E55"/>
    <w:rsid w:val="004321F6"/>
    <w:rsid w:val="00433044"/>
    <w:rsid w:val="00433BF6"/>
    <w:rsid w:val="00434088"/>
    <w:rsid w:val="004358A4"/>
    <w:rsid w:val="004375B9"/>
    <w:rsid w:val="004376EA"/>
    <w:rsid w:val="00437ED2"/>
    <w:rsid w:val="004428D0"/>
    <w:rsid w:val="00444185"/>
    <w:rsid w:val="004442E5"/>
    <w:rsid w:val="004443A7"/>
    <w:rsid w:val="0044442C"/>
    <w:rsid w:val="00444D41"/>
    <w:rsid w:val="00445941"/>
    <w:rsid w:val="004464EB"/>
    <w:rsid w:val="00446DA0"/>
    <w:rsid w:val="00447D26"/>
    <w:rsid w:val="00447DFC"/>
    <w:rsid w:val="0045196A"/>
    <w:rsid w:val="00451D6F"/>
    <w:rsid w:val="004526E0"/>
    <w:rsid w:val="00453DCE"/>
    <w:rsid w:val="00454FF6"/>
    <w:rsid w:val="004550AA"/>
    <w:rsid w:val="00455D45"/>
    <w:rsid w:val="004568D2"/>
    <w:rsid w:val="00457541"/>
    <w:rsid w:val="00461D1C"/>
    <w:rsid w:val="00464595"/>
    <w:rsid w:val="0046481B"/>
    <w:rsid w:val="004658B5"/>
    <w:rsid w:val="00467D3E"/>
    <w:rsid w:val="00470003"/>
    <w:rsid w:val="004711C1"/>
    <w:rsid w:val="004712E6"/>
    <w:rsid w:val="00471EA5"/>
    <w:rsid w:val="00472A79"/>
    <w:rsid w:val="00473F19"/>
    <w:rsid w:val="00474DCA"/>
    <w:rsid w:val="00474ECD"/>
    <w:rsid w:val="0047579A"/>
    <w:rsid w:val="00475E22"/>
    <w:rsid w:val="0048088E"/>
    <w:rsid w:val="00480CFE"/>
    <w:rsid w:val="00480F2B"/>
    <w:rsid w:val="00482720"/>
    <w:rsid w:val="00483174"/>
    <w:rsid w:val="004835E7"/>
    <w:rsid w:val="00483BD9"/>
    <w:rsid w:val="00484B53"/>
    <w:rsid w:val="00484DAA"/>
    <w:rsid w:val="004852DF"/>
    <w:rsid w:val="004859E1"/>
    <w:rsid w:val="004867E2"/>
    <w:rsid w:val="00487AE0"/>
    <w:rsid w:val="004900D7"/>
    <w:rsid w:val="00490B17"/>
    <w:rsid w:val="00491B3A"/>
    <w:rsid w:val="004924F0"/>
    <w:rsid w:val="00492CFD"/>
    <w:rsid w:val="00492FC7"/>
    <w:rsid w:val="00494207"/>
    <w:rsid w:val="00494DD5"/>
    <w:rsid w:val="004962D2"/>
    <w:rsid w:val="004A0DA1"/>
    <w:rsid w:val="004A13D6"/>
    <w:rsid w:val="004A25F6"/>
    <w:rsid w:val="004A50A0"/>
    <w:rsid w:val="004A52E9"/>
    <w:rsid w:val="004A6040"/>
    <w:rsid w:val="004A6597"/>
    <w:rsid w:val="004A7848"/>
    <w:rsid w:val="004A793B"/>
    <w:rsid w:val="004B1CB4"/>
    <w:rsid w:val="004B2306"/>
    <w:rsid w:val="004B2F18"/>
    <w:rsid w:val="004B3DDB"/>
    <w:rsid w:val="004B44FD"/>
    <w:rsid w:val="004B58F1"/>
    <w:rsid w:val="004B5CFC"/>
    <w:rsid w:val="004B61A7"/>
    <w:rsid w:val="004B6F79"/>
    <w:rsid w:val="004B774D"/>
    <w:rsid w:val="004C00B5"/>
    <w:rsid w:val="004C08A9"/>
    <w:rsid w:val="004C08B7"/>
    <w:rsid w:val="004C2AC2"/>
    <w:rsid w:val="004C3052"/>
    <w:rsid w:val="004C4AED"/>
    <w:rsid w:val="004C5A6E"/>
    <w:rsid w:val="004C6E97"/>
    <w:rsid w:val="004D2C2D"/>
    <w:rsid w:val="004D506C"/>
    <w:rsid w:val="004D5B98"/>
    <w:rsid w:val="004D69B5"/>
    <w:rsid w:val="004D7227"/>
    <w:rsid w:val="004D79D4"/>
    <w:rsid w:val="004D7B5E"/>
    <w:rsid w:val="004E0E7F"/>
    <w:rsid w:val="004E0EB8"/>
    <w:rsid w:val="004E18E9"/>
    <w:rsid w:val="004E2ADC"/>
    <w:rsid w:val="004E4053"/>
    <w:rsid w:val="004E43B2"/>
    <w:rsid w:val="004E4FA3"/>
    <w:rsid w:val="004F0779"/>
    <w:rsid w:val="004F11DA"/>
    <w:rsid w:val="004F1D02"/>
    <w:rsid w:val="004F2679"/>
    <w:rsid w:val="004F2923"/>
    <w:rsid w:val="004F2AFB"/>
    <w:rsid w:val="004F2F21"/>
    <w:rsid w:val="004F3694"/>
    <w:rsid w:val="004F3DDE"/>
    <w:rsid w:val="004F3DE5"/>
    <w:rsid w:val="004F62C9"/>
    <w:rsid w:val="004F6913"/>
    <w:rsid w:val="004F7865"/>
    <w:rsid w:val="00500330"/>
    <w:rsid w:val="0050057C"/>
    <w:rsid w:val="0050174E"/>
    <w:rsid w:val="00501854"/>
    <w:rsid w:val="0050219B"/>
    <w:rsid w:val="00503F17"/>
    <w:rsid w:val="00503F3A"/>
    <w:rsid w:val="00506928"/>
    <w:rsid w:val="0050735F"/>
    <w:rsid w:val="005077EF"/>
    <w:rsid w:val="00511AD5"/>
    <w:rsid w:val="00511DC7"/>
    <w:rsid w:val="005142C5"/>
    <w:rsid w:val="0051501B"/>
    <w:rsid w:val="005152B5"/>
    <w:rsid w:val="00515886"/>
    <w:rsid w:val="00520293"/>
    <w:rsid w:val="0052123C"/>
    <w:rsid w:val="00521319"/>
    <w:rsid w:val="00522BC8"/>
    <w:rsid w:val="00523C28"/>
    <w:rsid w:val="00525273"/>
    <w:rsid w:val="005305BD"/>
    <w:rsid w:val="0053176B"/>
    <w:rsid w:val="00532CCC"/>
    <w:rsid w:val="005341B3"/>
    <w:rsid w:val="00534C01"/>
    <w:rsid w:val="00534F11"/>
    <w:rsid w:val="0053524C"/>
    <w:rsid w:val="005364D7"/>
    <w:rsid w:val="00536F42"/>
    <w:rsid w:val="005370BE"/>
    <w:rsid w:val="00537182"/>
    <w:rsid w:val="00537A44"/>
    <w:rsid w:val="00537FBE"/>
    <w:rsid w:val="005401F0"/>
    <w:rsid w:val="005403EE"/>
    <w:rsid w:val="00540C09"/>
    <w:rsid w:val="00541A58"/>
    <w:rsid w:val="00541EDD"/>
    <w:rsid w:val="00542743"/>
    <w:rsid w:val="00542ADE"/>
    <w:rsid w:val="00542C2D"/>
    <w:rsid w:val="00544B43"/>
    <w:rsid w:val="005470D3"/>
    <w:rsid w:val="005478BD"/>
    <w:rsid w:val="005479E3"/>
    <w:rsid w:val="00551487"/>
    <w:rsid w:val="005515A5"/>
    <w:rsid w:val="00551697"/>
    <w:rsid w:val="00551985"/>
    <w:rsid w:val="00552BD3"/>
    <w:rsid w:val="005532A0"/>
    <w:rsid w:val="0055363D"/>
    <w:rsid w:val="00553C97"/>
    <w:rsid w:val="00553EDF"/>
    <w:rsid w:val="00555109"/>
    <w:rsid w:val="0055587B"/>
    <w:rsid w:val="00556B35"/>
    <w:rsid w:val="0055741A"/>
    <w:rsid w:val="005611B7"/>
    <w:rsid w:val="005618D4"/>
    <w:rsid w:val="00564867"/>
    <w:rsid w:val="00565C79"/>
    <w:rsid w:val="00565DF0"/>
    <w:rsid w:val="0056696F"/>
    <w:rsid w:val="00566A62"/>
    <w:rsid w:val="00571BB6"/>
    <w:rsid w:val="00572269"/>
    <w:rsid w:val="0057244A"/>
    <w:rsid w:val="00572F26"/>
    <w:rsid w:val="00573367"/>
    <w:rsid w:val="0057497F"/>
    <w:rsid w:val="005750C5"/>
    <w:rsid w:val="005752DE"/>
    <w:rsid w:val="00575AA1"/>
    <w:rsid w:val="00575D60"/>
    <w:rsid w:val="00575D8D"/>
    <w:rsid w:val="00576972"/>
    <w:rsid w:val="00577248"/>
    <w:rsid w:val="0057764D"/>
    <w:rsid w:val="00577EA4"/>
    <w:rsid w:val="00581A9C"/>
    <w:rsid w:val="005827E1"/>
    <w:rsid w:val="00583699"/>
    <w:rsid w:val="005842A4"/>
    <w:rsid w:val="00585CDD"/>
    <w:rsid w:val="00586A3E"/>
    <w:rsid w:val="00587058"/>
    <w:rsid w:val="00591957"/>
    <w:rsid w:val="00592369"/>
    <w:rsid w:val="005925F0"/>
    <w:rsid w:val="00593F4B"/>
    <w:rsid w:val="00595E20"/>
    <w:rsid w:val="005969F9"/>
    <w:rsid w:val="00597BF9"/>
    <w:rsid w:val="005A0C11"/>
    <w:rsid w:val="005A309A"/>
    <w:rsid w:val="005A3592"/>
    <w:rsid w:val="005A373D"/>
    <w:rsid w:val="005A5948"/>
    <w:rsid w:val="005A7033"/>
    <w:rsid w:val="005A76B6"/>
    <w:rsid w:val="005B0B58"/>
    <w:rsid w:val="005B0C72"/>
    <w:rsid w:val="005B2AE2"/>
    <w:rsid w:val="005B2B15"/>
    <w:rsid w:val="005B307B"/>
    <w:rsid w:val="005B44A8"/>
    <w:rsid w:val="005B4E53"/>
    <w:rsid w:val="005B5857"/>
    <w:rsid w:val="005C097F"/>
    <w:rsid w:val="005C19C4"/>
    <w:rsid w:val="005C1B83"/>
    <w:rsid w:val="005C25FF"/>
    <w:rsid w:val="005C2D55"/>
    <w:rsid w:val="005C346B"/>
    <w:rsid w:val="005C5ABC"/>
    <w:rsid w:val="005C60EC"/>
    <w:rsid w:val="005D02F8"/>
    <w:rsid w:val="005D044D"/>
    <w:rsid w:val="005D0A97"/>
    <w:rsid w:val="005D0ABD"/>
    <w:rsid w:val="005D18AD"/>
    <w:rsid w:val="005D1A43"/>
    <w:rsid w:val="005D1B32"/>
    <w:rsid w:val="005D26B4"/>
    <w:rsid w:val="005E043E"/>
    <w:rsid w:val="005E1995"/>
    <w:rsid w:val="005E3313"/>
    <w:rsid w:val="005E6CBC"/>
    <w:rsid w:val="005E72FF"/>
    <w:rsid w:val="005E73C0"/>
    <w:rsid w:val="005F07ED"/>
    <w:rsid w:val="005F2706"/>
    <w:rsid w:val="005F3A1E"/>
    <w:rsid w:val="005F4681"/>
    <w:rsid w:val="005F581F"/>
    <w:rsid w:val="005F6A8F"/>
    <w:rsid w:val="005F6BB7"/>
    <w:rsid w:val="005F6FEB"/>
    <w:rsid w:val="005F7588"/>
    <w:rsid w:val="006021C3"/>
    <w:rsid w:val="00603DB9"/>
    <w:rsid w:val="00604B2D"/>
    <w:rsid w:val="00606FBA"/>
    <w:rsid w:val="00607669"/>
    <w:rsid w:val="006076F4"/>
    <w:rsid w:val="00607AFD"/>
    <w:rsid w:val="0061076E"/>
    <w:rsid w:val="00611733"/>
    <w:rsid w:val="00611A11"/>
    <w:rsid w:val="00611B12"/>
    <w:rsid w:val="00612F97"/>
    <w:rsid w:val="00613071"/>
    <w:rsid w:val="0061345D"/>
    <w:rsid w:val="0061549B"/>
    <w:rsid w:val="00616802"/>
    <w:rsid w:val="00617E12"/>
    <w:rsid w:val="00620C25"/>
    <w:rsid w:val="00621477"/>
    <w:rsid w:val="00621ADA"/>
    <w:rsid w:val="00621F19"/>
    <w:rsid w:val="00623F7B"/>
    <w:rsid w:val="00624BD4"/>
    <w:rsid w:val="00625BB2"/>
    <w:rsid w:val="00626D91"/>
    <w:rsid w:val="006278C2"/>
    <w:rsid w:val="006279DB"/>
    <w:rsid w:val="00627ADD"/>
    <w:rsid w:val="0063115A"/>
    <w:rsid w:val="0063158F"/>
    <w:rsid w:val="00631A48"/>
    <w:rsid w:val="00631A7E"/>
    <w:rsid w:val="00631D6B"/>
    <w:rsid w:val="00632183"/>
    <w:rsid w:val="00632295"/>
    <w:rsid w:val="006330A1"/>
    <w:rsid w:val="00633681"/>
    <w:rsid w:val="006346C6"/>
    <w:rsid w:val="0063479F"/>
    <w:rsid w:val="006353F0"/>
    <w:rsid w:val="006357B5"/>
    <w:rsid w:val="006361D3"/>
    <w:rsid w:val="006364A1"/>
    <w:rsid w:val="0063678E"/>
    <w:rsid w:val="00636ED4"/>
    <w:rsid w:val="00637556"/>
    <w:rsid w:val="00637BFD"/>
    <w:rsid w:val="00637C5C"/>
    <w:rsid w:val="00640222"/>
    <w:rsid w:val="006416B1"/>
    <w:rsid w:val="00641C4E"/>
    <w:rsid w:val="00641FB3"/>
    <w:rsid w:val="0064239A"/>
    <w:rsid w:val="0064323D"/>
    <w:rsid w:val="006438CE"/>
    <w:rsid w:val="006442BA"/>
    <w:rsid w:val="0064434C"/>
    <w:rsid w:val="00644CBC"/>
    <w:rsid w:val="00645031"/>
    <w:rsid w:val="00645C07"/>
    <w:rsid w:val="00646061"/>
    <w:rsid w:val="006471CC"/>
    <w:rsid w:val="006472FE"/>
    <w:rsid w:val="00647A29"/>
    <w:rsid w:val="00647D6D"/>
    <w:rsid w:val="0065079F"/>
    <w:rsid w:val="0065138A"/>
    <w:rsid w:val="00652A28"/>
    <w:rsid w:val="0065379F"/>
    <w:rsid w:val="006554B7"/>
    <w:rsid w:val="00656188"/>
    <w:rsid w:val="0065678D"/>
    <w:rsid w:val="00657035"/>
    <w:rsid w:val="0065715A"/>
    <w:rsid w:val="006601A9"/>
    <w:rsid w:val="006610F1"/>
    <w:rsid w:val="00661A9F"/>
    <w:rsid w:val="00661C6B"/>
    <w:rsid w:val="00662BC0"/>
    <w:rsid w:val="00662D3E"/>
    <w:rsid w:val="006631A8"/>
    <w:rsid w:val="006639D2"/>
    <w:rsid w:val="006645B8"/>
    <w:rsid w:val="00666626"/>
    <w:rsid w:val="00666B46"/>
    <w:rsid w:val="006674D1"/>
    <w:rsid w:val="00667720"/>
    <w:rsid w:val="00667BE3"/>
    <w:rsid w:val="006700CD"/>
    <w:rsid w:val="00671004"/>
    <w:rsid w:val="0067254F"/>
    <w:rsid w:val="00672646"/>
    <w:rsid w:val="00674E42"/>
    <w:rsid w:val="00675311"/>
    <w:rsid w:val="0067558C"/>
    <w:rsid w:val="00675A36"/>
    <w:rsid w:val="00675CF7"/>
    <w:rsid w:val="00676563"/>
    <w:rsid w:val="00677899"/>
    <w:rsid w:val="0068002F"/>
    <w:rsid w:val="00680B9C"/>
    <w:rsid w:val="006813F8"/>
    <w:rsid w:val="00682112"/>
    <w:rsid w:val="00682BA6"/>
    <w:rsid w:val="00684A5C"/>
    <w:rsid w:val="006851C3"/>
    <w:rsid w:val="00686390"/>
    <w:rsid w:val="00686957"/>
    <w:rsid w:val="006872BA"/>
    <w:rsid w:val="00687A94"/>
    <w:rsid w:val="00690795"/>
    <w:rsid w:val="006915CF"/>
    <w:rsid w:val="00691648"/>
    <w:rsid w:val="006917D7"/>
    <w:rsid w:val="00692CD9"/>
    <w:rsid w:val="006942FE"/>
    <w:rsid w:val="0069434C"/>
    <w:rsid w:val="00694F44"/>
    <w:rsid w:val="00696835"/>
    <w:rsid w:val="00696EF9"/>
    <w:rsid w:val="00696F51"/>
    <w:rsid w:val="00697047"/>
    <w:rsid w:val="006979A5"/>
    <w:rsid w:val="006A016F"/>
    <w:rsid w:val="006A0875"/>
    <w:rsid w:val="006A0DF7"/>
    <w:rsid w:val="006A18F1"/>
    <w:rsid w:val="006A4321"/>
    <w:rsid w:val="006A43D9"/>
    <w:rsid w:val="006A5911"/>
    <w:rsid w:val="006A6334"/>
    <w:rsid w:val="006A6B99"/>
    <w:rsid w:val="006A6D9F"/>
    <w:rsid w:val="006A7007"/>
    <w:rsid w:val="006A7E5F"/>
    <w:rsid w:val="006B0241"/>
    <w:rsid w:val="006B115B"/>
    <w:rsid w:val="006B261B"/>
    <w:rsid w:val="006B292C"/>
    <w:rsid w:val="006B2AAC"/>
    <w:rsid w:val="006B2C90"/>
    <w:rsid w:val="006B2DBD"/>
    <w:rsid w:val="006B35E6"/>
    <w:rsid w:val="006B3F2A"/>
    <w:rsid w:val="006B43BF"/>
    <w:rsid w:val="006B465A"/>
    <w:rsid w:val="006B5133"/>
    <w:rsid w:val="006B6DD0"/>
    <w:rsid w:val="006C0399"/>
    <w:rsid w:val="006C113C"/>
    <w:rsid w:val="006C12D1"/>
    <w:rsid w:val="006C2A8E"/>
    <w:rsid w:val="006C3255"/>
    <w:rsid w:val="006C3F26"/>
    <w:rsid w:val="006C51D2"/>
    <w:rsid w:val="006C69A2"/>
    <w:rsid w:val="006C7D52"/>
    <w:rsid w:val="006D08C6"/>
    <w:rsid w:val="006D0D17"/>
    <w:rsid w:val="006D0F6E"/>
    <w:rsid w:val="006D1AA9"/>
    <w:rsid w:val="006D37D5"/>
    <w:rsid w:val="006D3C7D"/>
    <w:rsid w:val="006D4659"/>
    <w:rsid w:val="006D4DAA"/>
    <w:rsid w:val="006D5D5F"/>
    <w:rsid w:val="006D68FB"/>
    <w:rsid w:val="006E0D61"/>
    <w:rsid w:val="006E2868"/>
    <w:rsid w:val="006E3583"/>
    <w:rsid w:val="006E3E81"/>
    <w:rsid w:val="006E6C83"/>
    <w:rsid w:val="006E761F"/>
    <w:rsid w:val="006F306C"/>
    <w:rsid w:val="006F3B65"/>
    <w:rsid w:val="006F63A5"/>
    <w:rsid w:val="006F7EB5"/>
    <w:rsid w:val="00701262"/>
    <w:rsid w:val="0070142B"/>
    <w:rsid w:val="00701D14"/>
    <w:rsid w:val="00702715"/>
    <w:rsid w:val="0070276E"/>
    <w:rsid w:val="00702F8F"/>
    <w:rsid w:val="00703231"/>
    <w:rsid w:val="00705212"/>
    <w:rsid w:val="007079FC"/>
    <w:rsid w:val="00707A57"/>
    <w:rsid w:val="007106AF"/>
    <w:rsid w:val="007109C5"/>
    <w:rsid w:val="00711A36"/>
    <w:rsid w:val="007125D3"/>
    <w:rsid w:val="00714C26"/>
    <w:rsid w:val="00714F6E"/>
    <w:rsid w:val="0071529C"/>
    <w:rsid w:val="0071616A"/>
    <w:rsid w:val="007170DA"/>
    <w:rsid w:val="007172AD"/>
    <w:rsid w:val="00717546"/>
    <w:rsid w:val="00720320"/>
    <w:rsid w:val="0072061C"/>
    <w:rsid w:val="00720801"/>
    <w:rsid w:val="00722B1B"/>
    <w:rsid w:val="007236B0"/>
    <w:rsid w:val="0072416F"/>
    <w:rsid w:val="00724199"/>
    <w:rsid w:val="007257F1"/>
    <w:rsid w:val="00727C94"/>
    <w:rsid w:val="007301DB"/>
    <w:rsid w:val="007304C0"/>
    <w:rsid w:val="007310DB"/>
    <w:rsid w:val="00731B0A"/>
    <w:rsid w:val="00731EAE"/>
    <w:rsid w:val="00733073"/>
    <w:rsid w:val="00734F18"/>
    <w:rsid w:val="00735033"/>
    <w:rsid w:val="00735328"/>
    <w:rsid w:val="007353CD"/>
    <w:rsid w:val="0073685B"/>
    <w:rsid w:val="00737142"/>
    <w:rsid w:val="007401A7"/>
    <w:rsid w:val="00741EEF"/>
    <w:rsid w:val="00741FC7"/>
    <w:rsid w:val="00742712"/>
    <w:rsid w:val="00742772"/>
    <w:rsid w:val="007428FA"/>
    <w:rsid w:val="007449BF"/>
    <w:rsid w:val="00744D0A"/>
    <w:rsid w:val="0074620D"/>
    <w:rsid w:val="007463FE"/>
    <w:rsid w:val="00746BC0"/>
    <w:rsid w:val="007478CD"/>
    <w:rsid w:val="0075049E"/>
    <w:rsid w:val="007510B4"/>
    <w:rsid w:val="00752142"/>
    <w:rsid w:val="007523F9"/>
    <w:rsid w:val="00752A26"/>
    <w:rsid w:val="0075357E"/>
    <w:rsid w:val="00753B29"/>
    <w:rsid w:val="0075407E"/>
    <w:rsid w:val="00754DA5"/>
    <w:rsid w:val="00756666"/>
    <w:rsid w:val="00756E45"/>
    <w:rsid w:val="007573E8"/>
    <w:rsid w:val="00760927"/>
    <w:rsid w:val="00760C4E"/>
    <w:rsid w:val="00760F9E"/>
    <w:rsid w:val="007614F2"/>
    <w:rsid w:val="007616E6"/>
    <w:rsid w:val="00762057"/>
    <w:rsid w:val="007627BE"/>
    <w:rsid w:val="007648BE"/>
    <w:rsid w:val="00764F03"/>
    <w:rsid w:val="00765B1A"/>
    <w:rsid w:val="00765DC1"/>
    <w:rsid w:val="007677CC"/>
    <w:rsid w:val="0077322C"/>
    <w:rsid w:val="00773DFF"/>
    <w:rsid w:val="007762E7"/>
    <w:rsid w:val="00777215"/>
    <w:rsid w:val="00777335"/>
    <w:rsid w:val="0078103B"/>
    <w:rsid w:val="00782E3F"/>
    <w:rsid w:val="007843F2"/>
    <w:rsid w:val="007846FA"/>
    <w:rsid w:val="00785722"/>
    <w:rsid w:val="00785872"/>
    <w:rsid w:val="00785909"/>
    <w:rsid w:val="00785A9F"/>
    <w:rsid w:val="007866F2"/>
    <w:rsid w:val="00790457"/>
    <w:rsid w:val="00790B10"/>
    <w:rsid w:val="00791BB3"/>
    <w:rsid w:val="007925DF"/>
    <w:rsid w:val="00792E2C"/>
    <w:rsid w:val="00794402"/>
    <w:rsid w:val="00794884"/>
    <w:rsid w:val="0079568D"/>
    <w:rsid w:val="007A08AA"/>
    <w:rsid w:val="007A0A12"/>
    <w:rsid w:val="007A0F9B"/>
    <w:rsid w:val="007A132D"/>
    <w:rsid w:val="007A1345"/>
    <w:rsid w:val="007A1E6D"/>
    <w:rsid w:val="007A289E"/>
    <w:rsid w:val="007A2DDB"/>
    <w:rsid w:val="007A4706"/>
    <w:rsid w:val="007A591B"/>
    <w:rsid w:val="007A70BA"/>
    <w:rsid w:val="007B056D"/>
    <w:rsid w:val="007B0D68"/>
    <w:rsid w:val="007B251D"/>
    <w:rsid w:val="007B3533"/>
    <w:rsid w:val="007B4F58"/>
    <w:rsid w:val="007B50EA"/>
    <w:rsid w:val="007B528D"/>
    <w:rsid w:val="007B5EAC"/>
    <w:rsid w:val="007B63CA"/>
    <w:rsid w:val="007B77D1"/>
    <w:rsid w:val="007B7BF0"/>
    <w:rsid w:val="007C07C7"/>
    <w:rsid w:val="007C1A42"/>
    <w:rsid w:val="007C1CD9"/>
    <w:rsid w:val="007C32EF"/>
    <w:rsid w:val="007C361D"/>
    <w:rsid w:val="007C3701"/>
    <w:rsid w:val="007C397E"/>
    <w:rsid w:val="007C4195"/>
    <w:rsid w:val="007C4B84"/>
    <w:rsid w:val="007C5367"/>
    <w:rsid w:val="007C70FF"/>
    <w:rsid w:val="007C7C25"/>
    <w:rsid w:val="007D004F"/>
    <w:rsid w:val="007D035F"/>
    <w:rsid w:val="007D06B2"/>
    <w:rsid w:val="007D0B38"/>
    <w:rsid w:val="007D2DE6"/>
    <w:rsid w:val="007D31D9"/>
    <w:rsid w:val="007D3277"/>
    <w:rsid w:val="007D5440"/>
    <w:rsid w:val="007D57B3"/>
    <w:rsid w:val="007D5961"/>
    <w:rsid w:val="007D642A"/>
    <w:rsid w:val="007D69EB"/>
    <w:rsid w:val="007E099D"/>
    <w:rsid w:val="007E128F"/>
    <w:rsid w:val="007E1B97"/>
    <w:rsid w:val="007E2866"/>
    <w:rsid w:val="007E4807"/>
    <w:rsid w:val="007E73F6"/>
    <w:rsid w:val="007F1017"/>
    <w:rsid w:val="007F22B9"/>
    <w:rsid w:val="007F3BA4"/>
    <w:rsid w:val="007F3EF2"/>
    <w:rsid w:val="007F4A3F"/>
    <w:rsid w:val="007F4A61"/>
    <w:rsid w:val="007F5255"/>
    <w:rsid w:val="007F56CC"/>
    <w:rsid w:val="007F61C2"/>
    <w:rsid w:val="007F7E99"/>
    <w:rsid w:val="008004D4"/>
    <w:rsid w:val="00801EC9"/>
    <w:rsid w:val="00804AE6"/>
    <w:rsid w:val="00805142"/>
    <w:rsid w:val="008051A7"/>
    <w:rsid w:val="0080534C"/>
    <w:rsid w:val="008057DB"/>
    <w:rsid w:val="00805FCE"/>
    <w:rsid w:val="00807A8B"/>
    <w:rsid w:val="00811324"/>
    <w:rsid w:val="00811383"/>
    <w:rsid w:val="00811F2E"/>
    <w:rsid w:val="00812149"/>
    <w:rsid w:val="0081214E"/>
    <w:rsid w:val="00812CAC"/>
    <w:rsid w:val="00813D1D"/>
    <w:rsid w:val="00815460"/>
    <w:rsid w:val="00815931"/>
    <w:rsid w:val="00816361"/>
    <w:rsid w:val="008166EF"/>
    <w:rsid w:val="00816FEF"/>
    <w:rsid w:val="00817B37"/>
    <w:rsid w:val="00820A8C"/>
    <w:rsid w:val="008215FB"/>
    <w:rsid w:val="008220CC"/>
    <w:rsid w:val="008228DD"/>
    <w:rsid w:val="00823174"/>
    <w:rsid w:val="00823AD9"/>
    <w:rsid w:val="0082435F"/>
    <w:rsid w:val="00824FCB"/>
    <w:rsid w:val="00825751"/>
    <w:rsid w:val="008264EB"/>
    <w:rsid w:val="00826598"/>
    <w:rsid w:val="008268CE"/>
    <w:rsid w:val="00826C75"/>
    <w:rsid w:val="008275C6"/>
    <w:rsid w:val="00827C23"/>
    <w:rsid w:val="00831C5A"/>
    <w:rsid w:val="00833B05"/>
    <w:rsid w:val="008341E7"/>
    <w:rsid w:val="0083592B"/>
    <w:rsid w:val="008362B4"/>
    <w:rsid w:val="008403DE"/>
    <w:rsid w:val="00840CA2"/>
    <w:rsid w:val="0084108A"/>
    <w:rsid w:val="0084374F"/>
    <w:rsid w:val="00844A22"/>
    <w:rsid w:val="0084569B"/>
    <w:rsid w:val="00846CC8"/>
    <w:rsid w:val="00847703"/>
    <w:rsid w:val="00847DF5"/>
    <w:rsid w:val="008515DF"/>
    <w:rsid w:val="00851E9F"/>
    <w:rsid w:val="0085309D"/>
    <w:rsid w:val="00856897"/>
    <w:rsid w:val="00856E9A"/>
    <w:rsid w:val="00860313"/>
    <w:rsid w:val="0086075D"/>
    <w:rsid w:val="00861AC8"/>
    <w:rsid w:val="00861EC4"/>
    <w:rsid w:val="00862085"/>
    <w:rsid w:val="00862502"/>
    <w:rsid w:val="00862CC1"/>
    <w:rsid w:val="00863077"/>
    <w:rsid w:val="008636EF"/>
    <w:rsid w:val="008642A7"/>
    <w:rsid w:val="008660D4"/>
    <w:rsid w:val="008661FA"/>
    <w:rsid w:val="00866ACF"/>
    <w:rsid w:val="00866E63"/>
    <w:rsid w:val="0086771F"/>
    <w:rsid w:val="008712CA"/>
    <w:rsid w:val="00871FA9"/>
    <w:rsid w:val="00872346"/>
    <w:rsid w:val="008728E9"/>
    <w:rsid w:val="00880795"/>
    <w:rsid w:val="00882874"/>
    <w:rsid w:val="00882E3C"/>
    <w:rsid w:val="0088308A"/>
    <w:rsid w:val="00883787"/>
    <w:rsid w:val="00883D5E"/>
    <w:rsid w:val="00883E42"/>
    <w:rsid w:val="00884D81"/>
    <w:rsid w:val="008854EF"/>
    <w:rsid w:val="0088550A"/>
    <w:rsid w:val="008855E4"/>
    <w:rsid w:val="0088600D"/>
    <w:rsid w:val="00886CD2"/>
    <w:rsid w:val="00887645"/>
    <w:rsid w:val="00887F41"/>
    <w:rsid w:val="00891E6F"/>
    <w:rsid w:val="0089275D"/>
    <w:rsid w:val="00892A36"/>
    <w:rsid w:val="00892AF8"/>
    <w:rsid w:val="00893239"/>
    <w:rsid w:val="00894489"/>
    <w:rsid w:val="00894CD6"/>
    <w:rsid w:val="008963A5"/>
    <w:rsid w:val="00896B24"/>
    <w:rsid w:val="00896C08"/>
    <w:rsid w:val="00896D5D"/>
    <w:rsid w:val="00897B4F"/>
    <w:rsid w:val="008A0831"/>
    <w:rsid w:val="008A1EFF"/>
    <w:rsid w:val="008A3158"/>
    <w:rsid w:val="008A3363"/>
    <w:rsid w:val="008A3371"/>
    <w:rsid w:val="008A3C3E"/>
    <w:rsid w:val="008A79DE"/>
    <w:rsid w:val="008B1360"/>
    <w:rsid w:val="008B1757"/>
    <w:rsid w:val="008B1C33"/>
    <w:rsid w:val="008B3212"/>
    <w:rsid w:val="008B4B6F"/>
    <w:rsid w:val="008B5C48"/>
    <w:rsid w:val="008B5F4B"/>
    <w:rsid w:val="008B6934"/>
    <w:rsid w:val="008B730C"/>
    <w:rsid w:val="008B7452"/>
    <w:rsid w:val="008B7992"/>
    <w:rsid w:val="008B7D7E"/>
    <w:rsid w:val="008C00C0"/>
    <w:rsid w:val="008C0CD2"/>
    <w:rsid w:val="008C3A5F"/>
    <w:rsid w:val="008C511B"/>
    <w:rsid w:val="008C5610"/>
    <w:rsid w:val="008C5739"/>
    <w:rsid w:val="008C601D"/>
    <w:rsid w:val="008C7282"/>
    <w:rsid w:val="008C72A2"/>
    <w:rsid w:val="008C7ECB"/>
    <w:rsid w:val="008D0DBA"/>
    <w:rsid w:val="008D3644"/>
    <w:rsid w:val="008D3B86"/>
    <w:rsid w:val="008D43FD"/>
    <w:rsid w:val="008D4755"/>
    <w:rsid w:val="008D477D"/>
    <w:rsid w:val="008D4C3D"/>
    <w:rsid w:val="008D53D4"/>
    <w:rsid w:val="008D743C"/>
    <w:rsid w:val="008E0CF6"/>
    <w:rsid w:val="008E0D3C"/>
    <w:rsid w:val="008E12C4"/>
    <w:rsid w:val="008E1B9E"/>
    <w:rsid w:val="008E211F"/>
    <w:rsid w:val="008E2467"/>
    <w:rsid w:val="008E55AB"/>
    <w:rsid w:val="008E5E1C"/>
    <w:rsid w:val="008E6C86"/>
    <w:rsid w:val="008E72A1"/>
    <w:rsid w:val="008F120A"/>
    <w:rsid w:val="008F1EB5"/>
    <w:rsid w:val="008F27E0"/>
    <w:rsid w:val="008F2824"/>
    <w:rsid w:val="008F391A"/>
    <w:rsid w:val="008F48EB"/>
    <w:rsid w:val="008F4E16"/>
    <w:rsid w:val="008F4F0B"/>
    <w:rsid w:val="008F675F"/>
    <w:rsid w:val="008F7103"/>
    <w:rsid w:val="008F75D4"/>
    <w:rsid w:val="009005E0"/>
    <w:rsid w:val="009046C4"/>
    <w:rsid w:val="009062A5"/>
    <w:rsid w:val="00907699"/>
    <w:rsid w:val="00910FA7"/>
    <w:rsid w:val="00911272"/>
    <w:rsid w:val="00911339"/>
    <w:rsid w:val="0091172A"/>
    <w:rsid w:val="009135D6"/>
    <w:rsid w:val="00914C77"/>
    <w:rsid w:val="009154F7"/>
    <w:rsid w:val="00921ACB"/>
    <w:rsid w:val="0092238A"/>
    <w:rsid w:val="0092369B"/>
    <w:rsid w:val="0092760C"/>
    <w:rsid w:val="009323E1"/>
    <w:rsid w:val="0093373B"/>
    <w:rsid w:val="00934988"/>
    <w:rsid w:val="00935D4A"/>
    <w:rsid w:val="00937089"/>
    <w:rsid w:val="00940077"/>
    <w:rsid w:val="00941791"/>
    <w:rsid w:val="00941B63"/>
    <w:rsid w:val="00942486"/>
    <w:rsid w:val="00944465"/>
    <w:rsid w:val="00944F8A"/>
    <w:rsid w:val="00946AEA"/>
    <w:rsid w:val="009478DA"/>
    <w:rsid w:val="009510A2"/>
    <w:rsid w:val="00953257"/>
    <w:rsid w:val="0095474C"/>
    <w:rsid w:val="00956374"/>
    <w:rsid w:val="009566A4"/>
    <w:rsid w:val="00957D92"/>
    <w:rsid w:val="00961EC0"/>
    <w:rsid w:val="00961F13"/>
    <w:rsid w:val="00962CB9"/>
    <w:rsid w:val="00964312"/>
    <w:rsid w:val="00964B8F"/>
    <w:rsid w:val="00965566"/>
    <w:rsid w:val="00965B8A"/>
    <w:rsid w:val="00965C11"/>
    <w:rsid w:val="0096718A"/>
    <w:rsid w:val="0097071F"/>
    <w:rsid w:val="00970E0C"/>
    <w:rsid w:val="009714D4"/>
    <w:rsid w:val="009717AC"/>
    <w:rsid w:val="0097390A"/>
    <w:rsid w:val="00973CFC"/>
    <w:rsid w:val="00974D2A"/>
    <w:rsid w:val="0097501D"/>
    <w:rsid w:val="009750E3"/>
    <w:rsid w:val="009751C1"/>
    <w:rsid w:val="009758EB"/>
    <w:rsid w:val="009766C4"/>
    <w:rsid w:val="009768B8"/>
    <w:rsid w:val="00976F21"/>
    <w:rsid w:val="009811F1"/>
    <w:rsid w:val="00983E57"/>
    <w:rsid w:val="00985DE2"/>
    <w:rsid w:val="0098675D"/>
    <w:rsid w:val="00987BA4"/>
    <w:rsid w:val="009920CA"/>
    <w:rsid w:val="009926E0"/>
    <w:rsid w:val="00992E02"/>
    <w:rsid w:val="00992F72"/>
    <w:rsid w:val="009944A5"/>
    <w:rsid w:val="0099451E"/>
    <w:rsid w:val="00996B1A"/>
    <w:rsid w:val="009977A1"/>
    <w:rsid w:val="009977E4"/>
    <w:rsid w:val="00997B7C"/>
    <w:rsid w:val="009A0531"/>
    <w:rsid w:val="009A18F6"/>
    <w:rsid w:val="009A1AF4"/>
    <w:rsid w:val="009A1F95"/>
    <w:rsid w:val="009A2CF2"/>
    <w:rsid w:val="009A2DCC"/>
    <w:rsid w:val="009A4560"/>
    <w:rsid w:val="009A595E"/>
    <w:rsid w:val="009A5ABC"/>
    <w:rsid w:val="009A62A2"/>
    <w:rsid w:val="009A6D29"/>
    <w:rsid w:val="009A70B0"/>
    <w:rsid w:val="009A7114"/>
    <w:rsid w:val="009A71D5"/>
    <w:rsid w:val="009A76B4"/>
    <w:rsid w:val="009A7F10"/>
    <w:rsid w:val="009B2078"/>
    <w:rsid w:val="009B3E26"/>
    <w:rsid w:val="009C1271"/>
    <w:rsid w:val="009C241A"/>
    <w:rsid w:val="009C3068"/>
    <w:rsid w:val="009C3706"/>
    <w:rsid w:val="009C3807"/>
    <w:rsid w:val="009C3A32"/>
    <w:rsid w:val="009C3A3A"/>
    <w:rsid w:val="009C44D6"/>
    <w:rsid w:val="009C46D3"/>
    <w:rsid w:val="009C5ED6"/>
    <w:rsid w:val="009C5FF0"/>
    <w:rsid w:val="009C6CEA"/>
    <w:rsid w:val="009C7B85"/>
    <w:rsid w:val="009D003A"/>
    <w:rsid w:val="009D0254"/>
    <w:rsid w:val="009D1A64"/>
    <w:rsid w:val="009D34EF"/>
    <w:rsid w:val="009D5B91"/>
    <w:rsid w:val="009D5DF0"/>
    <w:rsid w:val="009D60C4"/>
    <w:rsid w:val="009D6F61"/>
    <w:rsid w:val="009D792E"/>
    <w:rsid w:val="009E0DFE"/>
    <w:rsid w:val="009E31F6"/>
    <w:rsid w:val="009E4C07"/>
    <w:rsid w:val="009E5E17"/>
    <w:rsid w:val="009E777F"/>
    <w:rsid w:val="009E7DC3"/>
    <w:rsid w:val="009F14B4"/>
    <w:rsid w:val="009F167D"/>
    <w:rsid w:val="009F16E2"/>
    <w:rsid w:val="009F4C2F"/>
    <w:rsid w:val="009F6120"/>
    <w:rsid w:val="009F6A11"/>
    <w:rsid w:val="00A00D76"/>
    <w:rsid w:val="00A00FC9"/>
    <w:rsid w:val="00A01184"/>
    <w:rsid w:val="00A01449"/>
    <w:rsid w:val="00A037C2"/>
    <w:rsid w:val="00A03D43"/>
    <w:rsid w:val="00A04380"/>
    <w:rsid w:val="00A04786"/>
    <w:rsid w:val="00A05472"/>
    <w:rsid w:val="00A05C32"/>
    <w:rsid w:val="00A0653F"/>
    <w:rsid w:val="00A06FEA"/>
    <w:rsid w:val="00A11CD0"/>
    <w:rsid w:val="00A13948"/>
    <w:rsid w:val="00A14608"/>
    <w:rsid w:val="00A14EF1"/>
    <w:rsid w:val="00A15044"/>
    <w:rsid w:val="00A1555B"/>
    <w:rsid w:val="00A155C5"/>
    <w:rsid w:val="00A15693"/>
    <w:rsid w:val="00A16590"/>
    <w:rsid w:val="00A16AD8"/>
    <w:rsid w:val="00A1731F"/>
    <w:rsid w:val="00A173BD"/>
    <w:rsid w:val="00A2021E"/>
    <w:rsid w:val="00A21C95"/>
    <w:rsid w:val="00A21CF3"/>
    <w:rsid w:val="00A244FE"/>
    <w:rsid w:val="00A24813"/>
    <w:rsid w:val="00A250B7"/>
    <w:rsid w:val="00A2544F"/>
    <w:rsid w:val="00A26B18"/>
    <w:rsid w:val="00A27AEC"/>
    <w:rsid w:val="00A301BA"/>
    <w:rsid w:val="00A30DE5"/>
    <w:rsid w:val="00A31B2E"/>
    <w:rsid w:val="00A320DB"/>
    <w:rsid w:val="00A324FF"/>
    <w:rsid w:val="00A34177"/>
    <w:rsid w:val="00A3465A"/>
    <w:rsid w:val="00A34DBD"/>
    <w:rsid w:val="00A35D16"/>
    <w:rsid w:val="00A366E6"/>
    <w:rsid w:val="00A36902"/>
    <w:rsid w:val="00A36C13"/>
    <w:rsid w:val="00A37BCD"/>
    <w:rsid w:val="00A40E55"/>
    <w:rsid w:val="00A41689"/>
    <w:rsid w:val="00A42592"/>
    <w:rsid w:val="00A43593"/>
    <w:rsid w:val="00A43C59"/>
    <w:rsid w:val="00A445AD"/>
    <w:rsid w:val="00A44837"/>
    <w:rsid w:val="00A457BE"/>
    <w:rsid w:val="00A470EE"/>
    <w:rsid w:val="00A473DF"/>
    <w:rsid w:val="00A47727"/>
    <w:rsid w:val="00A503B7"/>
    <w:rsid w:val="00A50814"/>
    <w:rsid w:val="00A50ECD"/>
    <w:rsid w:val="00A518F3"/>
    <w:rsid w:val="00A51B50"/>
    <w:rsid w:val="00A52729"/>
    <w:rsid w:val="00A52E6B"/>
    <w:rsid w:val="00A53004"/>
    <w:rsid w:val="00A53675"/>
    <w:rsid w:val="00A5382E"/>
    <w:rsid w:val="00A54083"/>
    <w:rsid w:val="00A564D7"/>
    <w:rsid w:val="00A56B2C"/>
    <w:rsid w:val="00A56B6A"/>
    <w:rsid w:val="00A56BBB"/>
    <w:rsid w:val="00A578DC"/>
    <w:rsid w:val="00A63912"/>
    <w:rsid w:val="00A640E2"/>
    <w:rsid w:val="00A64D65"/>
    <w:rsid w:val="00A64F85"/>
    <w:rsid w:val="00A65EBE"/>
    <w:rsid w:val="00A6725B"/>
    <w:rsid w:val="00A70605"/>
    <w:rsid w:val="00A70A09"/>
    <w:rsid w:val="00A73134"/>
    <w:rsid w:val="00A7365A"/>
    <w:rsid w:val="00A738FF"/>
    <w:rsid w:val="00A7461F"/>
    <w:rsid w:val="00A76001"/>
    <w:rsid w:val="00A76806"/>
    <w:rsid w:val="00A76BC7"/>
    <w:rsid w:val="00A777B2"/>
    <w:rsid w:val="00A77EC5"/>
    <w:rsid w:val="00A825D4"/>
    <w:rsid w:val="00A828F6"/>
    <w:rsid w:val="00A82B73"/>
    <w:rsid w:val="00A82D10"/>
    <w:rsid w:val="00A86DB2"/>
    <w:rsid w:val="00A86E8B"/>
    <w:rsid w:val="00A87164"/>
    <w:rsid w:val="00A871A9"/>
    <w:rsid w:val="00A900CF"/>
    <w:rsid w:val="00A90EB6"/>
    <w:rsid w:val="00A925EC"/>
    <w:rsid w:val="00A93072"/>
    <w:rsid w:val="00A938BD"/>
    <w:rsid w:val="00A93953"/>
    <w:rsid w:val="00A959D8"/>
    <w:rsid w:val="00A95D8A"/>
    <w:rsid w:val="00A96720"/>
    <w:rsid w:val="00A97A30"/>
    <w:rsid w:val="00AA113D"/>
    <w:rsid w:val="00AA3EC6"/>
    <w:rsid w:val="00AA420E"/>
    <w:rsid w:val="00AA673F"/>
    <w:rsid w:val="00AA6BD5"/>
    <w:rsid w:val="00AA6BD8"/>
    <w:rsid w:val="00AA6C7D"/>
    <w:rsid w:val="00AA7FD6"/>
    <w:rsid w:val="00AB042A"/>
    <w:rsid w:val="00AB0E5B"/>
    <w:rsid w:val="00AB11AD"/>
    <w:rsid w:val="00AB13B7"/>
    <w:rsid w:val="00AB19EF"/>
    <w:rsid w:val="00AB2495"/>
    <w:rsid w:val="00AB2D34"/>
    <w:rsid w:val="00AB3430"/>
    <w:rsid w:val="00AB37B9"/>
    <w:rsid w:val="00AB4AD1"/>
    <w:rsid w:val="00AB5C3F"/>
    <w:rsid w:val="00AB5E07"/>
    <w:rsid w:val="00AB780D"/>
    <w:rsid w:val="00AB7CFA"/>
    <w:rsid w:val="00AC0420"/>
    <w:rsid w:val="00AC07B6"/>
    <w:rsid w:val="00AC243A"/>
    <w:rsid w:val="00AC2D0D"/>
    <w:rsid w:val="00AC4C02"/>
    <w:rsid w:val="00AC5B42"/>
    <w:rsid w:val="00AC5B48"/>
    <w:rsid w:val="00AC7057"/>
    <w:rsid w:val="00AC7826"/>
    <w:rsid w:val="00AD1450"/>
    <w:rsid w:val="00AD15E8"/>
    <w:rsid w:val="00AD2E7D"/>
    <w:rsid w:val="00AD32B1"/>
    <w:rsid w:val="00AD356D"/>
    <w:rsid w:val="00AD5863"/>
    <w:rsid w:val="00AD5F32"/>
    <w:rsid w:val="00AD6502"/>
    <w:rsid w:val="00AD7FD2"/>
    <w:rsid w:val="00AE0695"/>
    <w:rsid w:val="00AE1557"/>
    <w:rsid w:val="00AE1B91"/>
    <w:rsid w:val="00AE3E7E"/>
    <w:rsid w:val="00AE76D5"/>
    <w:rsid w:val="00AE7E53"/>
    <w:rsid w:val="00AF1315"/>
    <w:rsid w:val="00AF19BF"/>
    <w:rsid w:val="00AF2DC3"/>
    <w:rsid w:val="00AF4C6E"/>
    <w:rsid w:val="00AF634A"/>
    <w:rsid w:val="00AF774E"/>
    <w:rsid w:val="00AF7751"/>
    <w:rsid w:val="00B0300E"/>
    <w:rsid w:val="00B03062"/>
    <w:rsid w:val="00B033E5"/>
    <w:rsid w:val="00B035A1"/>
    <w:rsid w:val="00B03A63"/>
    <w:rsid w:val="00B05E6F"/>
    <w:rsid w:val="00B07AB2"/>
    <w:rsid w:val="00B07DCF"/>
    <w:rsid w:val="00B10664"/>
    <w:rsid w:val="00B111E7"/>
    <w:rsid w:val="00B11BA2"/>
    <w:rsid w:val="00B129A4"/>
    <w:rsid w:val="00B13A94"/>
    <w:rsid w:val="00B14078"/>
    <w:rsid w:val="00B14227"/>
    <w:rsid w:val="00B14514"/>
    <w:rsid w:val="00B14950"/>
    <w:rsid w:val="00B156C2"/>
    <w:rsid w:val="00B16F4F"/>
    <w:rsid w:val="00B1780C"/>
    <w:rsid w:val="00B201A4"/>
    <w:rsid w:val="00B201D1"/>
    <w:rsid w:val="00B213A6"/>
    <w:rsid w:val="00B235B0"/>
    <w:rsid w:val="00B24DF6"/>
    <w:rsid w:val="00B27905"/>
    <w:rsid w:val="00B27A61"/>
    <w:rsid w:val="00B27DC2"/>
    <w:rsid w:val="00B3034F"/>
    <w:rsid w:val="00B30F91"/>
    <w:rsid w:val="00B34FE2"/>
    <w:rsid w:val="00B35166"/>
    <w:rsid w:val="00B35185"/>
    <w:rsid w:val="00B357C2"/>
    <w:rsid w:val="00B357D8"/>
    <w:rsid w:val="00B360F4"/>
    <w:rsid w:val="00B36A00"/>
    <w:rsid w:val="00B3792B"/>
    <w:rsid w:val="00B37BFC"/>
    <w:rsid w:val="00B40358"/>
    <w:rsid w:val="00B41614"/>
    <w:rsid w:val="00B42851"/>
    <w:rsid w:val="00B42BB3"/>
    <w:rsid w:val="00B42F80"/>
    <w:rsid w:val="00B435CB"/>
    <w:rsid w:val="00B43D7A"/>
    <w:rsid w:val="00B44338"/>
    <w:rsid w:val="00B465EC"/>
    <w:rsid w:val="00B505C8"/>
    <w:rsid w:val="00B50DB8"/>
    <w:rsid w:val="00B51DE0"/>
    <w:rsid w:val="00B51EFD"/>
    <w:rsid w:val="00B51F31"/>
    <w:rsid w:val="00B53654"/>
    <w:rsid w:val="00B53905"/>
    <w:rsid w:val="00B5431B"/>
    <w:rsid w:val="00B546DB"/>
    <w:rsid w:val="00B54B5B"/>
    <w:rsid w:val="00B55251"/>
    <w:rsid w:val="00B5562E"/>
    <w:rsid w:val="00B55862"/>
    <w:rsid w:val="00B55D0C"/>
    <w:rsid w:val="00B55D65"/>
    <w:rsid w:val="00B56305"/>
    <w:rsid w:val="00B57000"/>
    <w:rsid w:val="00B60939"/>
    <w:rsid w:val="00B60AFD"/>
    <w:rsid w:val="00B61689"/>
    <w:rsid w:val="00B61F04"/>
    <w:rsid w:val="00B6206D"/>
    <w:rsid w:val="00B62715"/>
    <w:rsid w:val="00B64874"/>
    <w:rsid w:val="00B6494F"/>
    <w:rsid w:val="00B65611"/>
    <w:rsid w:val="00B70422"/>
    <w:rsid w:val="00B70CCC"/>
    <w:rsid w:val="00B70E8E"/>
    <w:rsid w:val="00B7337D"/>
    <w:rsid w:val="00B74436"/>
    <w:rsid w:val="00B767FC"/>
    <w:rsid w:val="00B76C92"/>
    <w:rsid w:val="00B807D2"/>
    <w:rsid w:val="00B80D76"/>
    <w:rsid w:val="00B80EFD"/>
    <w:rsid w:val="00B818A4"/>
    <w:rsid w:val="00B827C3"/>
    <w:rsid w:val="00B83739"/>
    <w:rsid w:val="00B83A5D"/>
    <w:rsid w:val="00B84117"/>
    <w:rsid w:val="00B84363"/>
    <w:rsid w:val="00B858F0"/>
    <w:rsid w:val="00B85AA2"/>
    <w:rsid w:val="00B863AB"/>
    <w:rsid w:val="00B8649C"/>
    <w:rsid w:val="00B8695D"/>
    <w:rsid w:val="00B87338"/>
    <w:rsid w:val="00B87F0A"/>
    <w:rsid w:val="00B90C14"/>
    <w:rsid w:val="00B922AA"/>
    <w:rsid w:val="00B92D0B"/>
    <w:rsid w:val="00B93059"/>
    <w:rsid w:val="00B9367B"/>
    <w:rsid w:val="00B94945"/>
    <w:rsid w:val="00B94DD6"/>
    <w:rsid w:val="00B95A95"/>
    <w:rsid w:val="00B95C44"/>
    <w:rsid w:val="00BA16A7"/>
    <w:rsid w:val="00BA1C65"/>
    <w:rsid w:val="00BA322D"/>
    <w:rsid w:val="00BA43F7"/>
    <w:rsid w:val="00BA63FA"/>
    <w:rsid w:val="00BB00B3"/>
    <w:rsid w:val="00BB0BDD"/>
    <w:rsid w:val="00BB1022"/>
    <w:rsid w:val="00BB176C"/>
    <w:rsid w:val="00BB2155"/>
    <w:rsid w:val="00BB2815"/>
    <w:rsid w:val="00BB2A73"/>
    <w:rsid w:val="00BB3A45"/>
    <w:rsid w:val="00BB3CB2"/>
    <w:rsid w:val="00BB4ACC"/>
    <w:rsid w:val="00BB6A9E"/>
    <w:rsid w:val="00BB703E"/>
    <w:rsid w:val="00BB732D"/>
    <w:rsid w:val="00BB7405"/>
    <w:rsid w:val="00BB76E3"/>
    <w:rsid w:val="00BC06F7"/>
    <w:rsid w:val="00BC2329"/>
    <w:rsid w:val="00BC3631"/>
    <w:rsid w:val="00BC3EDA"/>
    <w:rsid w:val="00BC591F"/>
    <w:rsid w:val="00BC5E10"/>
    <w:rsid w:val="00BC7D6D"/>
    <w:rsid w:val="00BD2108"/>
    <w:rsid w:val="00BD3049"/>
    <w:rsid w:val="00BD3114"/>
    <w:rsid w:val="00BD34E9"/>
    <w:rsid w:val="00BD6227"/>
    <w:rsid w:val="00BD68A3"/>
    <w:rsid w:val="00BD6938"/>
    <w:rsid w:val="00BD6950"/>
    <w:rsid w:val="00BD6CF3"/>
    <w:rsid w:val="00BD7F72"/>
    <w:rsid w:val="00BE090C"/>
    <w:rsid w:val="00BE0E60"/>
    <w:rsid w:val="00BE0ECA"/>
    <w:rsid w:val="00BE2180"/>
    <w:rsid w:val="00BE21F2"/>
    <w:rsid w:val="00BE2F1D"/>
    <w:rsid w:val="00BE4275"/>
    <w:rsid w:val="00BE4591"/>
    <w:rsid w:val="00BE4ED3"/>
    <w:rsid w:val="00BE5284"/>
    <w:rsid w:val="00BE598F"/>
    <w:rsid w:val="00BF06AE"/>
    <w:rsid w:val="00BF0F95"/>
    <w:rsid w:val="00BF136A"/>
    <w:rsid w:val="00BF2433"/>
    <w:rsid w:val="00BF2E6E"/>
    <w:rsid w:val="00BF486D"/>
    <w:rsid w:val="00BF61C9"/>
    <w:rsid w:val="00BF6C94"/>
    <w:rsid w:val="00BF7915"/>
    <w:rsid w:val="00C00424"/>
    <w:rsid w:val="00C00869"/>
    <w:rsid w:val="00C00BB0"/>
    <w:rsid w:val="00C04905"/>
    <w:rsid w:val="00C05ADF"/>
    <w:rsid w:val="00C1179F"/>
    <w:rsid w:val="00C12249"/>
    <w:rsid w:val="00C127B9"/>
    <w:rsid w:val="00C128FA"/>
    <w:rsid w:val="00C12C14"/>
    <w:rsid w:val="00C12F9A"/>
    <w:rsid w:val="00C13961"/>
    <w:rsid w:val="00C14A33"/>
    <w:rsid w:val="00C1516F"/>
    <w:rsid w:val="00C15F04"/>
    <w:rsid w:val="00C179B3"/>
    <w:rsid w:val="00C17D2D"/>
    <w:rsid w:val="00C17E3F"/>
    <w:rsid w:val="00C200AA"/>
    <w:rsid w:val="00C2220A"/>
    <w:rsid w:val="00C237ED"/>
    <w:rsid w:val="00C24632"/>
    <w:rsid w:val="00C24A3C"/>
    <w:rsid w:val="00C24C60"/>
    <w:rsid w:val="00C25418"/>
    <w:rsid w:val="00C25D9C"/>
    <w:rsid w:val="00C26A38"/>
    <w:rsid w:val="00C27565"/>
    <w:rsid w:val="00C2778B"/>
    <w:rsid w:val="00C30336"/>
    <w:rsid w:val="00C309F3"/>
    <w:rsid w:val="00C31649"/>
    <w:rsid w:val="00C31823"/>
    <w:rsid w:val="00C31F71"/>
    <w:rsid w:val="00C3434C"/>
    <w:rsid w:val="00C35C9E"/>
    <w:rsid w:val="00C40385"/>
    <w:rsid w:val="00C40C1E"/>
    <w:rsid w:val="00C41768"/>
    <w:rsid w:val="00C42EF7"/>
    <w:rsid w:val="00C45DAC"/>
    <w:rsid w:val="00C45EB1"/>
    <w:rsid w:val="00C46A21"/>
    <w:rsid w:val="00C46C14"/>
    <w:rsid w:val="00C475AA"/>
    <w:rsid w:val="00C5139F"/>
    <w:rsid w:val="00C519A8"/>
    <w:rsid w:val="00C5215F"/>
    <w:rsid w:val="00C527C7"/>
    <w:rsid w:val="00C53C98"/>
    <w:rsid w:val="00C565C3"/>
    <w:rsid w:val="00C56FCF"/>
    <w:rsid w:val="00C57B6C"/>
    <w:rsid w:val="00C61A59"/>
    <w:rsid w:val="00C628A6"/>
    <w:rsid w:val="00C64344"/>
    <w:rsid w:val="00C64964"/>
    <w:rsid w:val="00C65108"/>
    <w:rsid w:val="00C65576"/>
    <w:rsid w:val="00C66165"/>
    <w:rsid w:val="00C66191"/>
    <w:rsid w:val="00C7060A"/>
    <w:rsid w:val="00C7151A"/>
    <w:rsid w:val="00C717E3"/>
    <w:rsid w:val="00C71F60"/>
    <w:rsid w:val="00C72241"/>
    <w:rsid w:val="00C7399A"/>
    <w:rsid w:val="00C750C8"/>
    <w:rsid w:val="00C7560F"/>
    <w:rsid w:val="00C76B7E"/>
    <w:rsid w:val="00C77257"/>
    <w:rsid w:val="00C808B2"/>
    <w:rsid w:val="00C80A0E"/>
    <w:rsid w:val="00C810BF"/>
    <w:rsid w:val="00C8213F"/>
    <w:rsid w:val="00C8303F"/>
    <w:rsid w:val="00C8322A"/>
    <w:rsid w:val="00C833E3"/>
    <w:rsid w:val="00C85154"/>
    <w:rsid w:val="00C85A70"/>
    <w:rsid w:val="00C8797A"/>
    <w:rsid w:val="00C900B8"/>
    <w:rsid w:val="00C90197"/>
    <w:rsid w:val="00C90C71"/>
    <w:rsid w:val="00C91FD1"/>
    <w:rsid w:val="00C931CF"/>
    <w:rsid w:val="00C938CF"/>
    <w:rsid w:val="00C94053"/>
    <w:rsid w:val="00C94A26"/>
    <w:rsid w:val="00C95525"/>
    <w:rsid w:val="00C9624D"/>
    <w:rsid w:val="00C969DA"/>
    <w:rsid w:val="00C96AF4"/>
    <w:rsid w:val="00CA0C54"/>
    <w:rsid w:val="00CA1475"/>
    <w:rsid w:val="00CA2C77"/>
    <w:rsid w:val="00CA444F"/>
    <w:rsid w:val="00CA5245"/>
    <w:rsid w:val="00CA71F4"/>
    <w:rsid w:val="00CA79F3"/>
    <w:rsid w:val="00CA7B09"/>
    <w:rsid w:val="00CB019C"/>
    <w:rsid w:val="00CB0871"/>
    <w:rsid w:val="00CB110C"/>
    <w:rsid w:val="00CB12A5"/>
    <w:rsid w:val="00CB1C96"/>
    <w:rsid w:val="00CB1CAC"/>
    <w:rsid w:val="00CB2F2A"/>
    <w:rsid w:val="00CB3E47"/>
    <w:rsid w:val="00CB5517"/>
    <w:rsid w:val="00CB5B1A"/>
    <w:rsid w:val="00CB67A7"/>
    <w:rsid w:val="00CB6B22"/>
    <w:rsid w:val="00CB7F5F"/>
    <w:rsid w:val="00CC12E8"/>
    <w:rsid w:val="00CC1B39"/>
    <w:rsid w:val="00CC1BFA"/>
    <w:rsid w:val="00CC1C1B"/>
    <w:rsid w:val="00CC2E9F"/>
    <w:rsid w:val="00CC35EA"/>
    <w:rsid w:val="00CC3848"/>
    <w:rsid w:val="00CC3A8F"/>
    <w:rsid w:val="00CC5FFF"/>
    <w:rsid w:val="00CC6D5E"/>
    <w:rsid w:val="00CD0200"/>
    <w:rsid w:val="00CD3F77"/>
    <w:rsid w:val="00CD478A"/>
    <w:rsid w:val="00CD6ADC"/>
    <w:rsid w:val="00CD7193"/>
    <w:rsid w:val="00CD7298"/>
    <w:rsid w:val="00CD7640"/>
    <w:rsid w:val="00CE03A0"/>
    <w:rsid w:val="00CE2ED5"/>
    <w:rsid w:val="00CE38C8"/>
    <w:rsid w:val="00CE524F"/>
    <w:rsid w:val="00CE56F9"/>
    <w:rsid w:val="00CE58CC"/>
    <w:rsid w:val="00CE6274"/>
    <w:rsid w:val="00CE651F"/>
    <w:rsid w:val="00CE6F5C"/>
    <w:rsid w:val="00CE77B6"/>
    <w:rsid w:val="00CF06B9"/>
    <w:rsid w:val="00CF2B8D"/>
    <w:rsid w:val="00CF3A1B"/>
    <w:rsid w:val="00CF456B"/>
    <w:rsid w:val="00CF5A22"/>
    <w:rsid w:val="00D01968"/>
    <w:rsid w:val="00D019DE"/>
    <w:rsid w:val="00D0262E"/>
    <w:rsid w:val="00D03679"/>
    <w:rsid w:val="00D05E3D"/>
    <w:rsid w:val="00D06139"/>
    <w:rsid w:val="00D07BB2"/>
    <w:rsid w:val="00D110BD"/>
    <w:rsid w:val="00D12950"/>
    <w:rsid w:val="00D13675"/>
    <w:rsid w:val="00D141E1"/>
    <w:rsid w:val="00D15314"/>
    <w:rsid w:val="00D15B48"/>
    <w:rsid w:val="00D15C8E"/>
    <w:rsid w:val="00D1671E"/>
    <w:rsid w:val="00D17B09"/>
    <w:rsid w:val="00D17D6C"/>
    <w:rsid w:val="00D2155B"/>
    <w:rsid w:val="00D21FB3"/>
    <w:rsid w:val="00D23D11"/>
    <w:rsid w:val="00D244B6"/>
    <w:rsid w:val="00D2754D"/>
    <w:rsid w:val="00D27B27"/>
    <w:rsid w:val="00D27E62"/>
    <w:rsid w:val="00D30D5B"/>
    <w:rsid w:val="00D31420"/>
    <w:rsid w:val="00D32A5F"/>
    <w:rsid w:val="00D3397E"/>
    <w:rsid w:val="00D33BE9"/>
    <w:rsid w:val="00D33F93"/>
    <w:rsid w:val="00D34BCE"/>
    <w:rsid w:val="00D357FF"/>
    <w:rsid w:val="00D35875"/>
    <w:rsid w:val="00D35A40"/>
    <w:rsid w:val="00D35E57"/>
    <w:rsid w:val="00D361AC"/>
    <w:rsid w:val="00D362C8"/>
    <w:rsid w:val="00D36753"/>
    <w:rsid w:val="00D3756A"/>
    <w:rsid w:val="00D424C7"/>
    <w:rsid w:val="00D43118"/>
    <w:rsid w:val="00D433AB"/>
    <w:rsid w:val="00D43B2A"/>
    <w:rsid w:val="00D43CF1"/>
    <w:rsid w:val="00D43D83"/>
    <w:rsid w:val="00D45278"/>
    <w:rsid w:val="00D47575"/>
    <w:rsid w:val="00D50DD3"/>
    <w:rsid w:val="00D5243B"/>
    <w:rsid w:val="00D5324B"/>
    <w:rsid w:val="00D533EC"/>
    <w:rsid w:val="00D53B4C"/>
    <w:rsid w:val="00D53E49"/>
    <w:rsid w:val="00D54D3C"/>
    <w:rsid w:val="00D556C7"/>
    <w:rsid w:val="00D56301"/>
    <w:rsid w:val="00D56A95"/>
    <w:rsid w:val="00D6076E"/>
    <w:rsid w:val="00D608EA"/>
    <w:rsid w:val="00D60B3B"/>
    <w:rsid w:val="00D612B3"/>
    <w:rsid w:val="00D6400E"/>
    <w:rsid w:val="00D6440D"/>
    <w:rsid w:val="00D651B0"/>
    <w:rsid w:val="00D66C32"/>
    <w:rsid w:val="00D70F16"/>
    <w:rsid w:val="00D72617"/>
    <w:rsid w:val="00D72DDE"/>
    <w:rsid w:val="00D72F57"/>
    <w:rsid w:val="00D73E14"/>
    <w:rsid w:val="00D74B4E"/>
    <w:rsid w:val="00D74FA9"/>
    <w:rsid w:val="00D754C7"/>
    <w:rsid w:val="00D76A44"/>
    <w:rsid w:val="00D77DD0"/>
    <w:rsid w:val="00D80791"/>
    <w:rsid w:val="00D80AAB"/>
    <w:rsid w:val="00D815EF"/>
    <w:rsid w:val="00D81949"/>
    <w:rsid w:val="00D81F26"/>
    <w:rsid w:val="00D822E2"/>
    <w:rsid w:val="00D82455"/>
    <w:rsid w:val="00D835A7"/>
    <w:rsid w:val="00D843F2"/>
    <w:rsid w:val="00D85722"/>
    <w:rsid w:val="00D85BA0"/>
    <w:rsid w:val="00D86231"/>
    <w:rsid w:val="00D86570"/>
    <w:rsid w:val="00D877B2"/>
    <w:rsid w:val="00D912AB"/>
    <w:rsid w:val="00D91923"/>
    <w:rsid w:val="00D93753"/>
    <w:rsid w:val="00D95DC2"/>
    <w:rsid w:val="00D96114"/>
    <w:rsid w:val="00D971DD"/>
    <w:rsid w:val="00D97A48"/>
    <w:rsid w:val="00DA0B51"/>
    <w:rsid w:val="00DA1869"/>
    <w:rsid w:val="00DA3167"/>
    <w:rsid w:val="00DA3312"/>
    <w:rsid w:val="00DA3FC0"/>
    <w:rsid w:val="00DA4DC3"/>
    <w:rsid w:val="00DA53E3"/>
    <w:rsid w:val="00DA5481"/>
    <w:rsid w:val="00DA77A5"/>
    <w:rsid w:val="00DB0E36"/>
    <w:rsid w:val="00DB20E0"/>
    <w:rsid w:val="00DB2839"/>
    <w:rsid w:val="00DB3DBF"/>
    <w:rsid w:val="00DB484F"/>
    <w:rsid w:val="00DB4EE7"/>
    <w:rsid w:val="00DB5447"/>
    <w:rsid w:val="00DC04F6"/>
    <w:rsid w:val="00DC05E7"/>
    <w:rsid w:val="00DC0690"/>
    <w:rsid w:val="00DC0B42"/>
    <w:rsid w:val="00DC1D65"/>
    <w:rsid w:val="00DC2AAA"/>
    <w:rsid w:val="00DC307F"/>
    <w:rsid w:val="00DC3C57"/>
    <w:rsid w:val="00DC5501"/>
    <w:rsid w:val="00DC5DE4"/>
    <w:rsid w:val="00DC6B44"/>
    <w:rsid w:val="00DC7154"/>
    <w:rsid w:val="00DC7D92"/>
    <w:rsid w:val="00DC7E8A"/>
    <w:rsid w:val="00DD0F78"/>
    <w:rsid w:val="00DD273C"/>
    <w:rsid w:val="00DD3165"/>
    <w:rsid w:val="00DD3F28"/>
    <w:rsid w:val="00DD4446"/>
    <w:rsid w:val="00DD4537"/>
    <w:rsid w:val="00DD4A3A"/>
    <w:rsid w:val="00DD4E15"/>
    <w:rsid w:val="00DD4EFB"/>
    <w:rsid w:val="00DD5002"/>
    <w:rsid w:val="00DD6343"/>
    <w:rsid w:val="00DD783A"/>
    <w:rsid w:val="00DE2304"/>
    <w:rsid w:val="00DE2F36"/>
    <w:rsid w:val="00DE3138"/>
    <w:rsid w:val="00DE37F8"/>
    <w:rsid w:val="00DE4273"/>
    <w:rsid w:val="00DE4FCB"/>
    <w:rsid w:val="00DE5CD3"/>
    <w:rsid w:val="00DE5D07"/>
    <w:rsid w:val="00DE72A7"/>
    <w:rsid w:val="00DE7832"/>
    <w:rsid w:val="00DF07C0"/>
    <w:rsid w:val="00DF08AB"/>
    <w:rsid w:val="00DF18FC"/>
    <w:rsid w:val="00DF2D4F"/>
    <w:rsid w:val="00DF3F08"/>
    <w:rsid w:val="00DF463C"/>
    <w:rsid w:val="00DF4F1E"/>
    <w:rsid w:val="00DF5D2B"/>
    <w:rsid w:val="00DF6341"/>
    <w:rsid w:val="00DF7567"/>
    <w:rsid w:val="00E00619"/>
    <w:rsid w:val="00E00CDA"/>
    <w:rsid w:val="00E00E8E"/>
    <w:rsid w:val="00E01EBC"/>
    <w:rsid w:val="00E03604"/>
    <w:rsid w:val="00E044BA"/>
    <w:rsid w:val="00E05630"/>
    <w:rsid w:val="00E05D0B"/>
    <w:rsid w:val="00E06DBB"/>
    <w:rsid w:val="00E10149"/>
    <w:rsid w:val="00E10CB9"/>
    <w:rsid w:val="00E11340"/>
    <w:rsid w:val="00E121F2"/>
    <w:rsid w:val="00E122A1"/>
    <w:rsid w:val="00E1334C"/>
    <w:rsid w:val="00E13B6C"/>
    <w:rsid w:val="00E13DBC"/>
    <w:rsid w:val="00E143FA"/>
    <w:rsid w:val="00E1556A"/>
    <w:rsid w:val="00E161F5"/>
    <w:rsid w:val="00E16372"/>
    <w:rsid w:val="00E16482"/>
    <w:rsid w:val="00E167FD"/>
    <w:rsid w:val="00E16AD8"/>
    <w:rsid w:val="00E17FFA"/>
    <w:rsid w:val="00E20E4D"/>
    <w:rsid w:val="00E20ED6"/>
    <w:rsid w:val="00E21358"/>
    <w:rsid w:val="00E2249B"/>
    <w:rsid w:val="00E226A6"/>
    <w:rsid w:val="00E22A0D"/>
    <w:rsid w:val="00E244F6"/>
    <w:rsid w:val="00E258DB"/>
    <w:rsid w:val="00E26296"/>
    <w:rsid w:val="00E2771E"/>
    <w:rsid w:val="00E30BC1"/>
    <w:rsid w:val="00E31108"/>
    <w:rsid w:val="00E311EF"/>
    <w:rsid w:val="00E31279"/>
    <w:rsid w:val="00E319E5"/>
    <w:rsid w:val="00E32180"/>
    <w:rsid w:val="00E32601"/>
    <w:rsid w:val="00E3317E"/>
    <w:rsid w:val="00E339DC"/>
    <w:rsid w:val="00E3409C"/>
    <w:rsid w:val="00E34238"/>
    <w:rsid w:val="00E34948"/>
    <w:rsid w:val="00E356F0"/>
    <w:rsid w:val="00E37383"/>
    <w:rsid w:val="00E37569"/>
    <w:rsid w:val="00E401B2"/>
    <w:rsid w:val="00E40735"/>
    <w:rsid w:val="00E41B71"/>
    <w:rsid w:val="00E41E30"/>
    <w:rsid w:val="00E42F73"/>
    <w:rsid w:val="00E438F2"/>
    <w:rsid w:val="00E43D70"/>
    <w:rsid w:val="00E43E53"/>
    <w:rsid w:val="00E44B46"/>
    <w:rsid w:val="00E452CF"/>
    <w:rsid w:val="00E45E56"/>
    <w:rsid w:val="00E4639E"/>
    <w:rsid w:val="00E465D2"/>
    <w:rsid w:val="00E466F3"/>
    <w:rsid w:val="00E470B2"/>
    <w:rsid w:val="00E47B2C"/>
    <w:rsid w:val="00E51560"/>
    <w:rsid w:val="00E51821"/>
    <w:rsid w:val="00E53FC8"/>
    <w:rsid w:val="00E54347"/>
    <w:rsid w:val="00E55424"/>
    <w:rsid w:val="00E55915"/>
    <w:rsid w:val="00E55BB5"/>
    <w:rsid w:val="00E566B1"/>
    <w:rsid w:val="00E611DF"/>
    <w:rsid w:val="00E61F1D"/>
    <w:rsid w:val="00E623D6"/>
    <w:rsid w:val="00E65E79"/>
    <w:rsid w:val="00E66929"/>
    <w:rsid w:val="00E66BA2"/>
    <w:rsid w:val="00E66ECD"/>
    <w:rsid w:val="00E67416"/>
    <w:rsid w:val="00E67E7B"/>
    <w:rsid w:val="00E705C9"/>
    <w:rsid w:val="00E718B6"/>
    <w:rsid w:val="00E723BA"/>
    <w:rsid w:val="00E72477"/>
    <w:rsid w:val="00E72F11"/>
    <w:rsid w:val="00E73581"/>
    <w:rsid w:val="00E73A6C"/>
    <w:rsid w:val="00E73D6C"/>
    <w:rsid w:val="00E7550E"/>
    <w:rsid w:val="00E833F7"/>
    <w:rsid w:val="00E83BDF"/>
    <w:rsid w:val="00E85590"/>
    <w:rsid w:val="00E86FCC"/>
    <w:rsid w:val="00E87A1D"/>
    <w:rsid w:val="00E901E7"/>
    <w:rsid w:val="00E9094A"/>
    <w:rsid w:val="00E911C2"/>
    <w:rsid w:val="00E91D35"/>
    <w:rsid w:val="00E926A5"/>
    <w:rsid w:val="00E95E34"/>
    <w:rsid w:val="00E962CC"/>
    <w:rsid w:val="00E97DD6"/>
    <w:rsid w:val="00EA0D06"/>
    <w:rsid w:val="00EA17C3"/>
    <w:rsid w:val="00EA2CAA"/>
    <w:rsid w:val="00EA3864"/>
    <w:rsid w:val="00EA57BF"/>
    <w:rsid w:val="00EA58D6"/>
    <w:rsid w:val="00EA6180"/>
    <w:rsid w:val="00EA7F1C"/>
    <w:rsid w:val="00EB15B6"/>
    <w:rsid w:val="00EB1E32"/>
    <w:rsid w:val="00EB31CA"/>
    <w:rsid w:val="00EB3202"/>
    <w:rsid w:val="00EB3D06"/>
    <w:rsid w:val="00EB4916"/>
    <w:rsid w:val="00EB4D05"/>
    <w:rsid w:val="00EB56EB"/>
    <w:rsid w:val="00EB787E"/>
    <w:rsid w:val="00EB7EC7"/>
    <w:rsid w:val="00EC00C9"/>
    <w:rsid w:val="00EC02B3"/>
    <w:rsid w:val="00EC0CF9"/>
    <w:rsid w:val="00EC0DD9"/>
    <w:rsid w:val="00EC2649"/>
    <w:rsid w:val="00EC31ED"/>
    <w:rsid w:val="00EC5836"/>
    <w:rsid w:val="00EC688C"/>
    <w:rsid w:val="00EC6998"/>
    <w:rsid w:val="00EC7872"/>
    <w:rsid w:val="00EC79D0"/>
    <w:rsid w:val="00ED01A1"/>
    <w:rsid w:val="00ED095D"/>
    <w:rsid w:val="00ED12E3"/>
    <w:rsid w:val="00ED4B04"/>
    <w:rsid w:val="00ED57EA"/>
    <w:rsid w:val="00ED5BD4"/>
    <w:rsid w:val="00ED7FF2"/>
    <w:rsid w:val="00EE07D3"/>
    <w:rsid w:val="00EE1996"/>
    <w:rsid w:val="00EE1C01"/>
    <w:rsid w:val="00EE22AF"/>
    <w:rsid w:val="00EE27C6"/>
    <w:rsid w:val="00EE2F43"/>
    <w:rsid w:val="00EE5AF0"/>
    <w:rsid w:val="00EE7E27"/>
    <w:rsid w:val="00EF0171"/>
    <w:rsid w:val="00EF030E"/>
    <w:rsid w:val="00EF17AE"/>
    <w:rsid w:val="00EF1B25"/>
    <w:rsid w:val="00EF1DA0"/>
    <w:rsid w:val="00EF339A"/>
    <w:rsid w:val="00EF4747"/>
    <w:rsid w:val="00EF4BF8"/>
    <w:rsid w:val="00F02253"/>
    <w:rsid w:val="00F03C2E"/>
    <w:rsid w:val="00F04A66"/>
    <w:rsid w:val="00F04B4B"/>
    <w:rsid w:val="00F0516C"/>
    <w:rsid w:val="00F067A2"/>
    <w:rsid w:val="00F07B9E"/>
    <w:rsid w:val="00F102EB"/>
    <w:rsid w:val="00F1116F"/>
    <w:rsid w:val="00F11357"/>
    <w:rsid w:val="00F1263A"/>
    <w:rsid w:val="00F139C5"/>
    <w:rsid w:val="00F14632"/>
    <w:rsid w:val="00F148CA"/>
    <w:rsid w:val="00F159D4"/>
    <w:rsid w:val="00F15B77"/>
    <w:rsid w:val="00F16001"/>
    <w:rsid w:val="00F21236"/>
    <w:rsid w:val="00F239DF"/>
    <w:rsid w:val="00F24837"/>
    <w:rsid w:val="00F24E39"/>
    <w:rsid w:val="00F2575F"/>
    <w:rsid w:val="00F25861"/>
    <w:rsid w:val="00F25888"/>
    <w:rsid w:val="00F27565"/>
    <w:rsid w:val="00F310D4"/>
    <w:rsid w:val="00F31D5A"/>
    <w:rsid w:val="00F33975"/>
    <w:rsid w:val="00F33DE9"/>
    <w:rsid w:val="00F34870"/>
    <w:rsid w:val="00F35E6D"/>
    <w:rsid w:val="00F3619A"/>
    <w:rsid w:val="00F40AAA"/>
    <w:rsid w:val="00F40BA7"/>
    <w:rsid w:val="00F40F9D"/>
    <w:rsid w:val="00F411EA"/>
    <w:rsid w:val="00F412B2"/>
    <w:rsid w:val="00F41ACD"/>
    <w:rsid w:val="00F46CB6"/>
    <w:rsid w:val="00F4756D"/>
    <w:rsid w:val="00F47DE8"/>
    <w:rsid w:val="00F50562"/>
    <w:rsid w:val="00F50D77"/>
    <w:rsid w:val="00F5277C"/>
    <w:rsid w:val="00F52A50"/>
    <w:rsid w:val="00F542C1"/>
    <w:rsid w:val="00F5470E"/>
    <w:rsid w:val="00F550E3"/>
    <w:rsid w:val="00F55E73"/>
    <w:rsid w:val="00F55EDA"/>
    <w:rsid w:val="00F56033"/>
    <w:rsid w:val="00F56C80"/>
    <w:rsid w:val="00F60092"/>
    <w:rsid w:val="00F60524"/>
    <w:rsid w:val="00F61C18"/>
    <w:rsid w:val="00F63395"/>
    <w:rsid w:val="00F64824"/>
    <w:rsid w:val="00F65056"/>
    <w:rsid w:val="00F65F4B"/>
    <w:rsid w:val="00F66FE4"/>
    <w:rsid w:val="00F673A9"/>
    <w:rsid w:val="00F67A69"/>
    <w:rsid w:val="00F700AF"/>
    <w:rsid w:val="00F70817"/>
    <w:rsid w:val="00F70BFF"/>
    <w:rsid w:val="00F70C9D"/>
    <w:rsid w:val="00F72218"/>
    <w:rsid w:val="00F7276B"/>
    <w:rsid w:val="00F731D1"/>
    <w:rsid w:val="00F73E08"/>
    <w:rsid w:val="00F74CD9"/>
    <w:rsid w:val="00F75362"/>
    <w:rsid w:val="00F75C6C"/>
    <w:rsid w:val="00F76FCF"/>
    <w:rsid w:val="00F77A83"/>
    <w:rsid w:val="00F80923"/>
    <w:rsid w:val="00F80A7B"/>
    <w:rsid w:val="00F80D26"/>
    <w:rsid w:val="00F80D44"/>
    <w:rsid w:val="00F80E5D"/>
    <w:rsid w:val="00F81E78"/>
    <w:rsid w:val="00F8339F"/>
    <w:rsid w:val="00F83719"/>
    <w:rsid w:val="00F83916"/>
    <w:rsid w:val="00F84CE6"/>
    <w:rsid w:val="00F851CE"/>
    <w:rsid w:val="00F86B48"/>
    <w:rsid w:val="00F86BED"/>
    <w:rsid w:val="00F91219"/>
    <w:rsid w:val="00F92444"/>
    <w:rsid w:val="00F92E56"/>
    <w:rsid w:val="00F933F6"/>
    <w:rsid w:val="00F9393E"/>
    <w:rsid w:val="00F93979"/>
    <w:rsid w:val="00F95550"/>
    <w:rsid w:val="00F96A7C"/>
    <w:rsid w:val="00F96F0F"/>
    <w:rsid w:val="00F96FD0"/>
    <w:rsid w:val="00F97A78"/>
    <w:rsid w:val="00FA0B20"/>
    <w:rsid w:val="00FA0D48"/>
    <w:rsid w:val="00FA24E7"/>
    <w:rsid w:val="00FA2DB7"/>
    <w:rsid w:val="00FA39B0"/>
    <w:rsid w:val="00FA4FC5"/>
    <w:rsid w:val="00FA5EE6"/>
    <w:rsid w:val="00FA7956"/>
    <w:rsid w:val="00FA7A73"/>
    <w:rsid w:val="00FB0824"/>
    <w:rsid w:val="00FB113F"/>
    <w:rsid w:val="00FB13D8"/>
    <w:rsid w:val="00FB288F"/>
    <w:rsid w:val="00FB2FCB"/>
    <w:rsid w:val="00FB4837"/>
    <w:rsid w:val="00FB4C9C"/>
    <w:rsid w:val="00FB6C09"/>
    <w:rsid w:val="00FB7C55"/>
    <w:rsid w:val="00FC006B"/>
    <w:rsid w:val="00FC1074"/>
    <w:rsid w:val="00FC1884"/>
    <w:rsid w:val="00FC342E"/>
    <w:rsid w:val="00FC371D"/>
    <w:rsid w:val="00FC5F0B"/>
    <w:rsid w:val="00FC688D"/>
    <w:rsid w:val="00FD0969"/>
    <w:rsid w:val="00FD0F42"/>
    <w:rsid w:val="00FD2100"/>
    <w:rsid w:val="00FD213A"/>
    <w:rsid w:val="00FD34D2"/>
    <w:rsid w:val="00FD436C"/>
    <w:rsid w:val="00FD446D"/>
    <w:rsid w:val="00FD49BF"/>
    <w:rsid w:val="00FD4F2C"/>
    <w:rsid w:val="00FD6394"/>
    <w:rsid w:val="00FD6435"/>
    <w:rsid w:val="00FE0589"/>
    <w:rsid w:val="00FE0E6C"/>
    <w:rsid w:val="00FE1C72"/>
    <w:rsid w:val="00FE1CDC"/>
    <w:rsid w:val="00FE2037"/>
    <w:rsid w:val="00FE2F53"/>
    <w:rsid w:val="00FE45AD"/>
    <w:rsid w:val="00FE4FDD"/>
    <w:rsid w:val="00FE5EDE"/>
    <w:rsid w:val="00FE6993"/>
    <w:rsid w:val="00FE70C3"/>
    <w:rsid w:val="00FF1A8B"/>
    <w:rsid w:val="00FF2AD9"/>
    <w:rsid w:val="00FF359F"/>
    <w:rsid w:val="00FF3DCF"/>
    <w:rsid w:val="00FF492C"/>
    <w:rsid w:val="00FF4A21"/>
    <w:rsid w:val="00FF5AA3"/>
    <w:rsid w:val="00FF5AD8"/>
    <w:rsid w:val="00FF5CC1"/>
    <w:rsid w:val="00FF6D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C9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00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HMR,TabFig title/caption,Caption for Figures and Tables,fig cadre,Caption Char Char,Caption Char Char Char Char,fig cadre Char2,Caption Char2,fig cadre Char Char,NICE Caption,Char1,c,AW Caption,Char,SMC Caption,IB Caption,- H17,Caption2"/>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Caption PHMR Char,TabFig title/caption Char,Caption for Figures and Tables Char,fig cadre Char,Caption Char Char Char,Caption Char Char Char Char Char,fig cadre Char2 Char,Caption Char2 Char,fig cadre Char Char Char,NICE Caption Char,c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Bullet 1,Bullets,Odstavec se seznamem1"/>
    <w:basedOn w:val="Normal"/>
    <w:next w:val="ListBullet"/>
    <w:link w:val="ListParagraphChar"/>
    <w:uiPriority w:val="34"/>
    <w:qFormat/>
    <w:rsid w:val="00236876"/>
    <w:pPr>
      <w:numPr>
        <w:numId w:val="8"/>
      </w:numPr>
      <w:spacing w:after="120"/>
      <w:ind w:left="1134"/>
    </w:pPr>
    <w:rPr>
      <w:rFonts w:asciiTheme="minorHAnsi" w:hAnsiTheme="minorHAnsi"/>
      <w:iCs/>
      <w:snapToGrid w:val="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236876"/>
    <w:rPr>
      <w:rFonts w:asciiTheme="minorHAnsi" w:hAnsiTheme="minorHAnsi" w:cs="Arial"/>
      <w:iCs/>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MSD Table Grid,Dossier table,Section 3- footnotes,Summary Table,HTAtableplain,RTI AMCP Table,PHE Table Grid,Lash Style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Table HEADER PBAC,-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0624E6"/>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D73E14"/>
    <w:pPr>
      <w:numPr>
        <w:ilvl w:val="1"/>
        <w:numId w:val="1"/>
      </w:numPr>
      <w:ind w:left="720" w:hanging="720"/>
    </w:pPr>
  </w:style>
  <w:style w:type="character" w:customStyle="1" w:styleId="3-BodyTextChar">
    <w:name w:val="3-Body Text Char"/>
    <w:basedOn w:val="ListParagraphChar"/>
    <w:link w:val="3-BodyText"/>
    <w:rsid w:val="00D73E14"/>
    <w:rPr>
      <w:rFonts w:asciiTheme="minorHAnsi" w:hAnsiTheme="minorHAnsi" w:cs="Arial"/>
      <w:iCs/>
      <w:snapToGrid w:val="0"/>
      <w:sz w:val="24"/>
      <w:szCs w:val="24"/>
    </w:rPr>
  </w:style>
  <w:style w:type="paragraph" w:customStyle="1" w:styleId="PageFooter">
    <w:name w:val="Page Footer"/>
    <w:basedOn w:val="Normal"/>
    <w:link w:val="PageFooterChar"/>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link w:val="ListBulletChar"/>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7"/>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InstructionalText">
    <w:name w:val="Instructional Text"/>
    <w:basedOn w:val="Normal"/>
    <w:link w:val="InstructionalTextChar"/>
    <w:uiPriority w:val="3"/>
    <w:qFormat/>
    <w:rsid w:val="00E167FD"/>
    <w:pPr>
      <w:spacing w:after="240"/>
    </w:pPr>
    <w:rPr>
      <w:rFonts w:asciiTheme="minorHAnsi" w:eastAsiaTheme="minorHAnsi" w:hAnsiTheme="minorHAnsi" w:cstheme="minorHAnsi"/>
      <w:color w:val="3366FF"/>
      <w:szCs w:val="22"/>
      <w:lang w:eastAsia="en-US"/>
    </w:rPr>
  </w:style>
  <w:style w:type="character" w:customStyle="1" w:styleId="InstructionalTextChar">
    <w:name w:val="Instructional Text Char"/>
    <w:basedOn w:val="DefaultParagraphFont"/>
    <w:link w:val="InstructionalText"/>
    <w:uiPriority w:val="3"/>
    <w:rsid w:val="00E167FD"/>
    <w:rPr>
      <w:rFonts w:asciiTheme="minorHAnsi" w:eastAsiaTheme="minorHAnsi" w:hAnsiTheme="minorHAnsi" w:cstheme="minorHAnsi"/>
      <w:color w:val="3366FF"/>
      <w:sz w:val="24"/>
      <w:szCs w:val="22"/>
      <w:lang w:eastAsia="en-US"/>
    </w:rPr>
  </w:style>
  <w:style w:type="paragraph" w:customStyle="1" w:styleId="BodyTextES">
    <w:name w:val="Body Text ES"/>
    <w:basedOn w:val="BodyText"/>
    <w:qFormat/>
    <w:rsid w:val="00EA58D6"/>
    <w:pPr>
      <w:spacing w:before="120" w:after="120" w:line="288" w:lineRule="auto"/>
      <w:jc w:val="both"/>
    </w:pPr>
    <w:rPr>
      <w:rFonts w:asciiTheme="minorHAnsi" w:eastAsiaTheme="minorHAnsi" w:hAnsiTheme="minorHAnsi" w:cs="Tahoma"/>
      <w:sz w:val="22"/>
      <w:szCs w:val="22"/>
      <w:lang w:eastAsia="en-US"/>
    </w:rPr>
  </w:style>
  <w:style w:type="character" w:customStyle="1" w:styleId="TableFigureFooterChar">
    <w:name w:val="Table/Figure Footer Char"/>
    <w:link w:val="TableFigureFooter"/>
    <w:locked/>
    <w:rsid w:val="00F86B48"/>
    <w:rPr>
      <w:rFonts w:ascii="Arial Narrow" w:hAnsi="Arial Narrow" w:cs="Arial"/>
      <w:sz w:val="18"/>
      <w:szCs w:val="22"/>
    </w:rPr>
  </w:style>
  <w:style w:type="paragraph" w:customStyle="1" w:styleId="TableFigureFooter">
    <w:name w:val="Table/Figure Footer"/>
    <w:basedOn w:val="Normal"/>
    <w:link w:val="TableFigureFooterChar"/>
    <w:qFormat/>
    <w:rsid w:val="00F86B48"/>
    <w:pPr>
      <w:snapToGrid w:val="0"/>
      <w:spacing w:after="120"/>
      <w:contextualSpacing/>
    </w:pPr>
    <w:rPr>
      <w:rFonts w:ascii="Arial Narrow" w:hAnsi="Arial Narrow"/>
      <w:sz w:val="18"/>
      <w:szCs w:val="22"/>
    </w:rPr>
  </w:style>
  <w:style w:type="paragraph" w:customStyle="1" w:styleId="BMSBodyText">
    <w:name w:val="BMS Body Text"/>
    <w:link w:val="BMSBodyTextChar"/>
    <w:qFormat/>
    <w:rsid w:val="00B1780C"/>
    <w:pPr>
      <w:spacing w:after="120" w:line="264" w:lineRule="auto"/>
      <w:jc w:val="both"/>
    </w:pPr>
    <w:rPr>
      <w:rFonts w:ascii="Calibri Light" w:eastAsia="TimesNewRoman" w:hAnsi="Calibri Light" w:cs="Calibri Light"/>
      <w:color w:val="000000"/>
      <w:sz w:val="24"/>
      <w:lang w:val="en-US" w:eastAsia="en-US"/>
    </w:rPr>
  </w:style>
  <w:style w:type="character" w:customStyle="1" w:styleId="BMSBodyTextChar">
    <w:name w:val="BMS Body Text Char"/>
    <w:link w:val="BMSBodyText"/>
    <w:rsid w:val="00B1780C"/>
    <w:rPr>
      <w:rFonts w:ascii="Calibri Light" w:eastAsia="TimesNewRoman" w:hAnsi="Calibri Light" w:cs="Calibri Light"/>
      <w:color w:val="000000"/>
      <w:sz w:val="24"/>
      <w:lang w:val="en-US" w:eastAsia="en-US"/>
    </w:rPr>
  </w:style>
  <w:style w:type="paragraph" w:styleId="FootnoteText">
    <w:name w:val="footnote text"/>
    <w:basedOn w:val="Normal"/>
    <w:link w:val="FootnoteTextChar"/>
    <w:uiPriority w:val="99"/>
    <w:semiHidden/>
    <w:unhideWhenUsed/>
    <w:rsid w:val="008D0DBA"/>
    <w:rPr>
      <w:sz w:val="20"/>
      <w:szCs w:val="20"/>
    </w:rPr>
  </w:style>
  <w:style w:type="character" w:customStyle="1" w:styleId="FootnoteTextChar">
    <w:name w:val="Footnote Text Char"/>
    <w:basedOn w:val="DefaultParagraphFont"/>
    <w:link w:val="FootnoteText"/>
    <w:uiPriority w:val="99"/>
    <w:semiHidden/>
    <w:rsid w:val="008D0DBA"/>
    <w:rPr>
      <w:rFonts w:ascii="Calibri" w:hAnsi="Calibri" w:cs="Arial"/>
    </w:rPr>
  </w:style>
  <w:style w:type="character" w:styleId="FootnoteReference">
    <w:name w:val="footnote reference"/>
    <w:basedOn w:val="DefaultParagraphFont"/>
    <w:uiPriority w:val="99"/>
    <w:semiHidden/>
    <w:unhideWhenUsed/>
    <w:rsid w:val="008D0DBA"/>
    <w:rPr>
      <w:vertAlign w:val="superscript"/>
    </w:rPr>
  </w:style>
  <w:style w:type="paragraph" w:customStyle="1" w:styleId="Tablenotes">
    <w:name w:val="Table notes"/>
    <w:basedOn w:val="Normal"/>
    <w:link w:val="TablenotesChar"/>
    <w:qFormat/>
    <w:rsid w:val="009F167D"/>
    <w:pPr>
      <w:spacing w:after="160"/>
      <w:contextualSpacing/>
      <w:jc w:val="left"/>
    </w:pPr>
    <w:rPr>
      <w:rFonts w:ascii="Segoe UI Emoji" w:eastAsia="Calibri Light" w:hAnsi="Segoe UI Emoji" w:cs="Calibri Light"/>
      <w:sz w:val="16"/>
      <w:szCs w:val="20"/>
      <w:lang w:eastAsia="en-US"/>
    </w:rPr>
  </w:style>
  <w:style w:type="character" w:customStyle="1" w:styleId="TablenotesChar">
    <w:name w:val="Table notes Char"/>
    <w:basedOn w:val="DefaultParagraphFont"/>
    <w:link w:val="Tablenotes"/>
    <w:rsid w:val="009F167D"/>
    <w:rPr>
      <w:rFonts w:ascii="Segoe UI Emoji" w:eastAsia="Calibri Light" w:hAnsi="Segoe UI Emoji" w:cs="Calibri Light"/>
      <w:sz w:val="16"/>
      <w:lang w:eastAsia="en-US"/>
    </w:rPr>
  </w:style>
  <w:style w:type="character" w:styleId="EndnoteReference">
    <w:name w:val="endnote reference"/>
    <w:basedOn w:val="DefaultParagraphFont"/>
    <w:uiPriority w:val="99"/>
    <w:semiHidden/>
    <w:unhideWhenUsed/>
    <w:rsid w:val="00E319E5"/>
    <w:rPr>
      <w:vertAlign w:val="superscript"/>
    </w:rPr>
  </w:style>
  <w:style w:type="table" w:customStyle="1" w:styleId="TableGrid3">
    <w:name w:val="Table Grid3"/>
    <w:basedOn w:val="TableNormal"/>
    <w:next w:val="TableGrid"/>
    <w:uiPriority w:val="59"/>
    <w:rsid w:val="00E356F0"/>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old">
    <w:name w:val="Table bold"/>
    <w:basedOn w:val="Tabletext"/>
    <w:uiPriority w:val="99"/>
    <w:qFormat/>
    <w:rsid w:val="003750A2"/>
    <w:pPr>
      <w:keepNext/>
      <w:keepLines/>
      <w:spacing w:before="60" w:after="60"/>
    </w:pPr>
    <w:rPr>
      <w:rFonts w:ascii="Verdana" w:eastAsia="Calibri" w:hAnsi="Verdana"/>
      <w:b/>
      <w:snapToGrid/>
      <w:sz w:val="18"/>
      <w:szCs w:val="22"/>
      <w:lang w:eastAsia="en-US"/>
    </w:rPr>
  </w:style>
  <w:style w:type="character" w:customStyle="1" w:styleId="TablefootnoteChar">
    <w:name w:val="Table footnote Char"/>
    <w:basedOn w:val="DefaultParagraphFont"/>
    <w:link w:val="Tablefootnote"/>
    <w:locked/>
    <w:rsid w:val="00D35A40"/>
    <w:rPr>
      <w:rFonts w:ascii="MS Mincho" w:eastAsia="Calibri Light" w:hAnsi="MS Mincho" w:cs="Calibri Light"/>
      <w:sz w:val="18"/>
    </w:rPr>
  </w:style>
  <w:style w:type="paragraph" w:customStyle="1" w:styleId="Tablefootnote">
    <w:name w:val="Table footnote"/>
    <w:basedOn w:val="Tablenotes"/>
    <w:link w:val="TablefootnoteChar"/>
    <w:qFormat/>
    <w:rsid w:val="00D35A40"/>
    <w:pPr>
      <w:keepNext/>
      <w:keepLines/>
      <w:spacing w:after="360"/>
    </w:pPr>
    <w:rPr>
      <w:rFonts w:ascii="MS Mincho" w:hAnsi="MS Mincho"/>
      <w:sz w:val="18"/>
      <w:lang w:eastAsia="en-AU"/>
    </w:rPr>
  </w:style>
  <w:style w:type="paragraph" w:customStyle="1" w:styleId="Tableheadingrow">
    <w:name w:val="Table heading row"/>
    <w:qFormat/>
    <w:rsid w:val="002E7D16"/>
    <w:pPr>
      <w:keepNext/>
    </w:pPr>
    <w:rPr>
      <w:rFonts w:ascii="Arial Narrow" w:eastAsiaTheme="majorEastAsia" w:hAnsi="Arial Narrow"/>
      <w:b/>
      <w:szCs w:val="24"/>
      <w:lang w:val="en-US"/>
    </w:rPr>
  </w:style>
  <w:style w:type="paragraph" w:customStyle="1" w:styleId="EndNoteBibliographyTitle">
    <w:name w:val="EndNote Bibliography Title"/>
    <w:basedOn w:val="Normal"/>
    <w:link w:val="EndNoteBibliographyTitleChar"/>
    <w:rsid w:val="00C5215F"/>
    <w:pPr>
      <w:jc w:val="center"/>
    </w:pPr>
    <w:rPr>
      <w:rFonts w:cs="Calibri"/>
      <w:noProof/>
    </w:rPr>
  </w:style>
  <w:style w:type="character" w:customStyle="1" w:styleId="ListBulletChar">
    <w:name w:val="List Bullet Char"/>
    <w:basedOn w:val="DefaultParagraphFont"/>
    <w:link w:val="ListBullet"/>
    <w:rsid w:val="00C5215F"/>
    <w:rPr>
      <w:rFonts w:ascii="Calibri" w:hAnsi="Calibri" w:cs="Arial"/>
      <w:sz w:val="24"/>
      <w:szCs w:val="24"/>
    </w:rPr>
  </w:style>
  <w:style w:type="character" w:customStyle="1" w:styleId="EndNoteBibliographyTitleChar">
    <w:name w:val="EndNote Bibliography Title Char"/>
    <w:basedOn w:val="ListBulletChar"/>
    <w:link w:val="EndNoteBibliographyTitle"/>
    <w:rsid w:val="00C5215F"/>
    <w:rPr>
      <w:rFonts w:ascii="Calibri" w:hAnsi="Calibri" w:cs="Calibri"/>
      <w:noProof/>
      <w:sz w:val="24"/>
      <w:szCs w:val="24"/>
    </w:rPr>
  </w:style>
  <w:style w:type="paragraph" w:customStyle="1" w:styleId="EndNoteBibliography">
    <w:name w:val="EndNote Bibliography"/>
    <w:basedOn w:val="Normal"/>
    <w:link w:val="EndNoteBibliographyChar"/>
    <w:rsid w:val="00C5215F"/>
    <w:rPr>
      <w:rFonts w:cs="Calibri"/>
      <w:noProof/>
    </w:rPr>
  </w:style>
  <w:style w:type="character" w:customStyle="1" w:styleId="EndNoteBibliographyChar">
    <w:name w:val="EndNote Bibliography Char"/>
    <w:basedOn w:val="ListBulletChar"/>
    <w:link w:val="EndNoteBibliography"/>
    <w:rsid w:val="00C5215F"/>
    <w:rPr>
      <w:rFonts w:ascii="Calibri" w:hAnsi="Calibri" w:cs="Calibri"/>
      <w:noProof/>
      <w:sz w:val="24"/>
      <w:szCs w:val="24"/>
    </w:rPr>
  </w:style>
  <w:style w:type="character" w:customStyle="1" w:styleId="ui-provider">
    <w:name w:val="ui-provider"/>
    <w:basedOn w:val="DefaultParagraphFont"/>
    <w:rsid w:val="003451AF"/>
  </w:style>
  <w:style w:type="table" w:customStyle="1" w:styleId="GridTableLightDefault">
    <w:name w:val="Grid Table Light | Default"/>
    <w:basedOn w:val="GridTable1Light"/>
    <w:uiPriority w:val="99"/>
    <w:rsid w:val="003451AF"/>
    <w:pPr>
      <w:spacing w:after="60" w:line="276" w:lineRule="auto"/>
    </w:pPr>
    <w:rPr>
      <w:rFonts w:asciiTheme="minorHAnsi" w:eastAsia="TimesNewRoman" w:hAnsiTheme="minorHAnsi" w:cstheme="minorBidi"/>
      <w:color w:val="1F497D" w:themeColor="text2"/>
      <w:lang w:val="en-GB" w:eastAsia="en-GB"/>
    </w:rPr>
    <w:tblPr>
      <w:tblBorders>
        <w:top w:val="single" w:sz="4" w:space="0" w:color="1F497D" w:themeColor="text2"/>
        <w:left w:val="none" w:sz="0" w:space="0" w:color="auto"/>
        <w:bottom w:val="single" w:sz="4" w:space="0" w:color="1F497D" w:themeColor="text2"/>
        <w:right w:val="none" w:sz="0" w:space="0" w:color="auto"/>
        <w:insideH w:val="single" w:sz="4" w:space="0" w:color="1F497D" w:themeColor="text2"/>
        <w:insideV w:val="none" w:sz="0" w:space="0" w:color="auto"/>
      </w:tblBorders>
    </w:tblPr>
    <w:tblStylePr w:type="firstRow">
      <w:rPr>
        <w:b/>
        <w:bCs/>
        <w:color w:val="1F497D" w:themeColor="text2"/>
      </w:rPr>
      <w:tblPr/>
      <w:tcPr>
        <w:tcBorders>
          <w:bottom w:val="single" w:sz="12" w:space="0" w:color="666666" w:themeColor="text1" w:themeTint="99"/>
        </w:tcBorders>
      </w:tcPr>
    </w:tblStylePr>
    <w:tblStylePr w:type="lastRow">
      <w:rPr>
        <w:b/>
        <w:bCs/>
        <w:color w:val="4BACC6" w:themeColor="accent5"/>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451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headingleft">
    <w:name w:val="Table heading left"/>
    <w:basedOn w:val="TableText0"/>
    <w:qFormat/>
    <w:rsid w:val="003451AF"/>
    <w:pPr>
      <w:keepNext w:val="0"/>
    </w:pPr>
    <w:rPr>
      <w:rFonts w:ascii="Segoe UI Emoji" w:eastAsiaTheme="minorHAnsi" w:hAnsi="Segoe UI Emoji" w:cs="Arial"/>
      <w:b/>
      <w:bCs w:val="0"/>
      <w:color w:val="000000"/>
      <w:szCs w:val="18"/>
      <w:lang w:eastAsia="en-US"/>
    </w:rPr>
  </w:style>
  <w:style w:type="paragraph" w:customStyle="1" w:styleId="TableNotes1">
    <w:name w:val="Table Notes"/>
    <w:basedOn w:val="Normal"/>
    <w:next w:val="Normal"/>
    <w:link w:val="TableNotesChar0"/>
    <w:qFormat/>
    <w:rsid w:val="003451AF"/>
    <w:pPr>
      <w:keepNext/>
      <w:keepLines/>
      <w:widowControl w:val="0"/>
    </w:pPr>
    <w:rPr>
      <w:rFonts w:ascii="Segoe UI Emoji" w:eastAsia="Calibri Light" w:hAnsi="Segoe UI Emoji" w:cs="Calibri Light"/>
      <w:color w:val="000000"/>
      <w:sz w:val="16"/>
    </w:rPr>
  </w:style>
  <w:style w:type="character" w:customStyle="1" w:styleId="TableNotesChar0">
    <w:name w:val="Table Notes Char"/>
    <w:link w:val="TableNotes1"/>
    <w:rsid w:val="003451AF"/>
    <w:rPr>
      <w:rFonts w:ascii="Segoe UI Emoji" w:eastAsia="Calibri Light" w:hAnsi="Segoe UI Emoji" w:cs="Calibri Light"/>
      <w:color w:val="000000"/>
      <w:sz w:val="16"/>
      <w:szCs w:val="24"/>
    </w:rPr>
  </w:style>
  <w:style w:type="table" w:customStyle="1" w:styleId="TableGrid2">
    <w:name w:val="Table Grid2"/>
    <w:basedOn w:val="TableNormal"/>
    <w:next w:val="TableGrid"/>
    <w:uiPriority w:val="39"/>
    <w:rsid w:val="004C00B5"/>
    <w:rPr>
      <w:rFonts w:ascii="Segoe UI Emoji" w:eastAsia="TimesNewRoman" w:hAnsi="Segoe UI Emoj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D66D4"/>
    <w:pPr>
      <w:spacing w:before="100" w:beforeAutospacing="1" w:after="100" w:afterAutospacing="1"/>
      <w:jc w:val="left"/>
    </w:pPr>
    <w:rPr>
      <w:rFonts w:ascii="Times New Roman" w:hAnsi="Times New Roman" w:cs="Times New Roman"/>
    </w:rPr>
  </w:style>
  <w:style w:type="character" w:customStyle="1" w:styleId="normaltextrun">
    <w:name w:val="normaltextrun"/>
    <w:basedOn w:val="DefaultParagraphFont"/>
    <w:rsid w:val="001D66D4"/>
  </w:style>
  <w:style w:type="character" w:customStyle="1" w:styleId="eop">
    <w:name w:val="eop"/>
    <w:basedOn w:val="DefaultParagraphFont"/>
    <w:rsid w:val="001D66D4"/>
  </w:style>
  <w:style w:type="character" w:styleId="UnresolvedMention">
    <w:name w:val="Unresolved Mention"/>
    <w:basedOn w:val="DefaultParagraphFont"/>
    <w:uiPriority w:val="99"/>
    <w:semiHidden/>
    <w:unhideWhenUsed/>
    <w:rsid w:val="009A71D5"/>
    <w:rPr>
      <w:color w:val="605E5C"/>
      <w:shd w:val="clear" w:color="auto" w:fill="E1DFDD"/>
    </w:rPr>
  </w:style>
  <w:style w:type="character" w:customStyle="1" w:styleId="cf01">
    <w:name w:val="cf01"/>
    <w:basedOn w:val="DefaultParagraphFont"/>
    <w:rsid w:val="009A71D5"/>
    <w:rPr>
      <w:rFonts w:ascii="Segoe UI" w:hAnsi="Segoe UI" w:cs="Segoe UI" w:hint="default"/>
      <w:sz w:val="18"/>
      <w:szCs w:val="18"/>
    </w:rPr>
  </w:style>
  <w:style w:type="table" w:customStyle="1" w:styleId="TableGrid1">
    <w:name w:val="Table Grid1"/>
    <w:basedOn w:val="TableNormal"/>
    <w:next w:val="TableGrid"/>
    <w:uiPriority w:val="39"/>
    <w:rsid w:val="006631A8"/>
    <w:rPr>
      <w:rFonts w:eastAsia="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1004F"/>
    <w:pPr>
      <w:spacing w:before="100" w:beforeAutospacing="1" w:after="100" w:afterAutospacing="1"/>
      <w:jc w:val="left"/>
    </w:pPr>
    <w:rPr>
      <w:rFonts w:ascii="Times New Roman" w:hAnsi="Times New Roman" w:cs="Times New Roman"/>
    </w:rPr>
  </w:style>
  <w:style w:type="paragraph" w:customStyle="1" w:styleId="Numberbullet2">
    <w:name w:val="Number bullet 2"/>
    <w:basedOn w:val="ListBullet2"/>
    <w:qFormat/>
    <w:rsid w:val="00451D6F"/>
    <w:pPr>
      <w:numPr>
        <w:ilvl w:val="1"/>
      </w:numPr>
      <w:spacing w:before="120" w:after="180" w:line="240" w:lineRule="atLeast"/>
      <w:ind w:left="1080" w:hanging="360"/>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451D6F"/>
    <w:pPr>
      <w:numPr>
        <w:ilvl w:val="2"/>
        <w:numId w:val="33"/>
      </w:numPr>
      <w:spacing w:before="120" w:after="180" w:line="240" w:lineRule="atLeast"/>
      <w:ind w:left="1800" w:hanging="180"/>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451D6F"/>
    <w:pPr>
      <w:numPr>
        <w:numId w:val="33"/>
      </w:numPr>
    </w:pPr>
  </w:style>
  <w:style w:type="paragraph" w:customStyle="1" w:styleId="COMH1numbered">
    <w:name w:val="COM H1 numbered"/>
    <w:next w:val="Normal"/>
    <w:link w:val="COMH1numberedChar"/>
    <w:qFormat/>
    <w:rsid w:val="00451D6F"/>
    <w:pPr>
      <w:keepNext/>
      <w:numPr>
        <w:numId w:val="33"/>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451D6F"/>
    <w:rPr>
      <w:rFonts w:asciiTheme="minorHAnsi" w:hAnsiTheme="minorHAnsi" w:cs="Arial"/>
      <w:b/>
      <w:snapToGrid w:val="0"/>
      <w:sz w:val="32"/>
      <w:szCs w:val="32"/>
    </w:rPr>
  </w:style>
  <w:style w:type="paragraph" w:styleId="ListBullet2">
    <w:name w:val="List Bullet 2"/>
    <w:basedOn w:val="Normal"/>
    <w:semiHidden/>
    <w:unhideWhenUsed/>
    <w:rsid w:val="00451D6F"/>
    <w:pPr>
      <w:ind w:left="425" w:hanging="425"/>
      <w:contextualSpacing/>
    </w:pPr>
  </w:style>
  <w:style w:type="paragraph" w:styleId="ListBullet3">
    <w:name w:val="List Bullet 3"/>
    <w:basedOn w:val="Normal"/>
    <w:semiHidden/>
    <w:unhideWhenUsed/>
    <w:rsid w:val="00451D6F"/>
    <w:pPr>
      <w:ind w:left="720" w:hanging="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4880714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03272737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93631450">
      <w:bodyDiv w:val="1"/>
      <w:marLeft w:val="0"/>
      <w:marRight w:val="0"/>
      <w:marTop w:val="0"/>
      <w:marBottom w:val="0"/>
      <w:divBdr>
        <w:top w:val="none" w:sz="0" w:space="0" w:color="auto"/>
        <w:left w:val="none" w:sz="0" w:space="0" w:color="auto"/>
        <w:bottom w:val="none" w:sz="0" w:space="0" w:color="auto"/>
        <w:right w:val="none" w:sz="0" w:space="0" w:color="auto"/>
      </w:divBdr>
    </w:div>
    <w:div w:id="1324505588">
      <w:bodyDiv w:val="1"/>
      <w:marLeft w:val="0"/>
      <w:marRight w:val="0"/>
      <w:marTop w:val="0"/>
      <w:marBottom w:val="0"/>
      <w:divBdr>
        <w:top w:val="none" w:sz="0" w:space="0" w:color="auto"/>
        <w:left w:val="none" w:sz="0" w:space="0" w:color="auto"/>
        <w:bottom w:val="none" w:sz="0" w:space="0" w:color="auto"/>
        <w:right w:val="none" w:sz="0" w:space="0" w:color="auto"/>
      </w:divBdr>
    </w:div>
    <w:div w:id="1472361607">
      <w:bodyDiv w:val="1"/>
      <w:marLeft w:val="0"/>
      <w:marRight w:val="0"/>
      <w:marTop w:val="0"/>
      <w:marBottom w:val="0"/>
      <w:divBdr>
        <w:top w:val="none" w:sz="0" w:space="0" w:color="auto"/>
        <w:left w:val="none" w:sz="0" w:space="0" w:color="auto"/>
        <w:bottom w:val="none" w:sz="0" w:space="0" w:color="auto"/>
        <w:right w:val="none" w:sz="0" w:space="0" w:color="auto"/>
      </w:divBdr>
    </w:div>
    <w:div w:id="167237018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0304993">
      <w:bodyDiv w:val="1"/>
      <w:marLeft w:val="0"/>
      <w:marRight w:val="0"/>
      <w:marTop w:val="0"/>
      <w:marBottom w:val="0"/>
      <w:divBdr>
        <w:top w:val="none" w:sz="0" w:space="0" w:color="auto"/>
        <w:left w:val="none" w:sz="0" w:space="0" w:color="auto"/>
        <w:bottom w:val="none" w:sz="0" w:space="0" w:color="auto"/>
        <w:right w:val="none" w:sz="0" w:space="0" w:color="auto"/>
      </w:divBdr>
    </w:div>
    <w:div w:id="2030717111">
      <w:bodyDiv w:val="1"/>
      <w:marLeft w:val="0"/>
      <w:marRight w:val="0"/>
      <w:marTop w:val="0"/>
      <w:marBottom w:val="0"/>
      <w:divBdr>
        <w:top w:val="none" w:sz="0" w:space="0" w:color="auto"/>
        <w:left w:val="none" w:sz="0" w:space="0" w:color="auto"/>
        <w:bottom w:val="none" w:sz="0" w:space="0" w:color="auto"/>
        <w:right w:val="none" w:sz="0" w:space="0" w:color="auto"/>
      </w:divBdr>
    </w:div>
    <w:div w:id="2136481385">
      <w:bodyDiv w:val="1"/>
      <w:marLeft w:val="0"/>
      <w:marRight w:val="0"/>
      <w:marTop w:val="0"/>
      <w:marBottom w:val="0"/>
      <w:divBdr>
        <w:top w:val="none" w:sz="0" w:space="0" w:color="auto"/>
        <w:left w:val="none" w:sz="0" w:space="0" w:color="auto"/>
        <w:bottom w:val="none" w:sz="0" w:space="0" w:color="auto"/>
        <w:right w:val="none" w:sz="0" w:space="0" w:color="auto"/>
      </w:divBdr>
      <w:divsChild>
        <w:div w:id="225529664">
          <w:marLeft w:val="0"/>
          <w:marRight w:val="0"/>
          <w:marTop w:val="0"/>
          <w:marBottom w:val="0"/>
          <w:divBdr>
            <w:top w:val="none" w:sz="0" w:space="0" w:color="auto"/>
            <w:left w:val="none" w:sz="0" w:space="0" w:color="auto"/>
            <w:bottom w:val="none" w:sz="0" w:space="0" w:color="auto"/>
            <w:right w:val="none" w:sz="0" w:space="0" w:color="auto"/>
          </w:divBdr>
          <w:divsChild>
            <w:div w:id="349256208">
              <w:marLeft w:val="0"/>
              <w:marRight w:val="0"/>
              <w:marTop w:val="0"/>
              <w:marBottom w:val="0"/>
              <w:divBdr>
                <w:top w:val="none" w:sz="0" w:space="0" w:color="auto"/>
                <w:left w:val="none" w:sz="0" w:space="0" w:color="auto"/>
                <w:bottom w:val="none" w:sz="0" w:space="0" w:color="auto"/>
                <w:right w:val="none" w:sz="0" w:space="0" w:color="auto"/>
              </w:divBdr>
            </w:div>
            <w:div w:id="1804344585">
              <w:marLeft w:val="0"/>
              <w:marRight w:val="0"/>
              <w:marTop w:val="0"/>
              <w:marBottom w:val="0"/>
              <w:divBdr>
                <w:top w:val="none" w:sz="0" w:space="0" w:color="auto"/>
                <w:left w:val="none" w:sz="0" w:space="0" w:color="auto"/>
                <w:bottom w:val="none" w:sz="0" w:space="0" w:color="auto"/>
                <w:right w:val="none" w:sz="0" w:space="0" w:color="auto"/>
              </w:divBdr>
            </w:div>
          </w:divsChild>
        </w:div>
        <w:div w:id="16980466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FD35-E9D0-4C69-9AAE-FFF1B1250823}">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50</Pages>
  <Words>19966</Words>
  <Characters>113809</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133508</CharactersWithSpaces>
  <SharedDoc>false</SharedDoc>
  <HLinks>
    <vt:vector size="402" baseType="variant">
      <vt:variant>
        <vt:i4>2490408</vt:i4>
      </vt:variant>
      <vt:variant>
        <vt:i4>916</vt:i4>
      </vt:variant>
      <vt:variant>
        <vt:i4>0</vt:i4>
      </vt:variant>
      <vt:variant>
        <vt:i4>5</vt:i4>
      </vt:variant>
      <vt:variant>
        <vt:lpwstr>https://www.aihw.gov.au/reports-data/health-conditions-disability-deaths/cancer/data?page=2</vt:lpwstr>
      </vt:variant>
      <vt:variant>
        <vt:lpwstr/>
      </vt:variant>
      <vt:variant>
        <vt:i4>1376309</vt:i4>
      </vt:variant>
      <vt:variant>
        <vt:i4>386</vt:i4>
      </vt:variant>
      <vt:variant>
        <vt:i4>0</vt:i4>
      </vt:variant>
      <vt:variant>
        <vt:i4>5</vt:i4>
      </vt:variant>
      <vt:variant>
        <vt:lpwstr/>
      </vt:variant>
      <vt:variant>
        <vt:lpwstr>_Toc142939561</vt:lpwstr>
      </vt:variant>
      <vt:variant>
        <vt:i4>1376309</vt:i4>
      </vt:variant>
      <vt:variant>
        <vt:i4>380</vt:i4>
      </vt:variant>
      <vt:variant>
        <vt:i4>0</vt:i4>
      </vt:variant>
      <vt:variant>
        <vt:i4>5</vt:i4>
      </vt:variant>
      <vt:variant>
        <vt:lpwstr/>
      </vt:variant>
      <vt:variant>
        <vt:lpwstr>_Toc142939560</vt:lpwstr>
      </vt:variant>
      <vt:variant>
        <vt:i4>1441845</vt:i4>
      </vt:variant>
      <vt:variant>
        <vt:i4>374</vt:i4>
      </vt:variant>
      <vt:variant>
        <vt:i4>0</vt:i4>
      </vt:variant>
      <vt:variant>
        <vt:i4>5</vt:i4>
      </vt:variant>
      <vt:variant>
        <vt:lpwstr/>
      </vt:variant>
      <vt:variant>
        <vt:lpwstr>_Toc142939559</vt:lpwstr>
      </vt:variant>
      <vt:variant>
        <vt:i4>1441845</vt:i4>
      </vt:variant>
      <vt:variant>
        <vt:i4>368</vt:i4>
      </vt:variant>
      <vt:variant>
        <vt:i4>0</vt:i4>
      </vt:variant>
      <vt:variant>
        <vt:i4>5</vt:i4>
      </vt:variant>
      <vt:variant>
        <vt:lpwstr/>
      </vt:variant>
      <vt:variant>
        <vt:lpwstr>_Toc142939558</vt:lpwstr>
      </vt:variant>
      <vt:variant>
        <vt:i4>1441845</vt:i4>
      </vt:variant>
      <vt:variant>
        <vt:i4>362</vt:i4>
      </vt:variant>
      <vt:variant>
        <vt:i4>0</vt:i4>
      </vt:variant>
      <vt:variant>
        <vt:i4>5</vt:i4>
      </vt:variant>
      <vt:variant>
        <vt:lpwstr/>
      </vt:variant>
      <vt:variant>
        <vt:lpwstr>_Toc142939557</vt:lpwstr>
      </vt:variant>
      <vt:variant>
        <vt:i4>1441845</vt:i4>
      </vt:variant>
      <vt:variant>
        <vt:i4>356</vt:i4>
      </vt:variant>
      <vt:variant>
        <vt:i4>0</vt:i4>
      </vt:variant>
      <vt:variant>
        <vt:i4>5</vt:i4>
      </vt:variant>
      <vt:variant>
        <vt:lpwstr/>
      </vt:variant>
      <vt:variant>
        <vt:lpwstr>_Toc142939556</vt:lpwstr>
      </vt:variant>
      <vt:variant>
        <vt:i4>1441845</vt:i4>
      </vt:variant>
      <vt:variant>
        <vt:i4>350</vt:i4>
      </vt:variant>
      <vt:variant>
        <vt:i4>0</vt:i4>
      </vt:variant>
      <vt:variant>
        <vt:i4>5</vt:i4>
      </vt:variant>
      <vt:variant>
        <vt:lpwstr/>
      </vt:variant>
      <vt:variant>
        <vt:lpwstr>_Toc142939555</vt:lpwstr>
      </vt:variant>
      <vt:variant>
        <vt:i4>1441845</vt:i4>
      </vt:variant>
      <vt:variant>
        <vt:i4>344</vt:i4>
      </vt:variant>
      <vt:variant>
        <vt:i4>0</vt:i4>
      </vt:variant>
      <vt:variant>
        <vt:i4>5</vt:i4>
      </vt:variant>
      <vt:variant>
        <vt:lpwstr/>
      </vt:variant>
      <vt:variant>
        <vt:lpwstr>_Toc142939554</vt:lpwstr>
      </vt:variant>
      <vt:variant>
        <vt:i4>1441845</vt:i4>
      </vt:variant>
      <vt:variant>
        <vt:i4>338</vt:i4>
      </vt:variant>
      <vt:variant>
        <vt:i4>0</vt:i4>
      </vt:variant>
      <vt:variant>
        <vt:i4>5</vt:i4>
      </vt:variant>
      <vt:variant>
        <vt:lpwstr/>
      </vt:variant>
      <vt:variant>
        <vt:lpwstr>_Toc142939553</vt:lpwstr>
      </vt:variant>
      <vt:variant>
        <vt:i4>1441845</vt:i4>
      </vt:variant>
      <vt:variant>
        <vt:i4>332</vt:i4>
      </vt:variant>
      <vt:variant>
        <vt:i4>0</vt:i4>
      </vt:variant>
      <vt:variant>
        <vt:i4>5</vt:i4>
      </vt:variant>
      <vt:variant>
        <vt:lpwstr/>
      </vt:variant>
      <vt:variant>
        <vt:lpwstr>_Toc142939552</vt:lpwstr>
      </vt:variant>
      <vt:variant>
        <vt:i4>1441845</vt:i4>
      </vt:variant>
      <vt:variant>
        <vt:i4>326</vt:i4>
      </vt:variant>
      <vt:variant>
        <vt:i4>0</vt:i4>
      </vt:variant>
      <vt:variant>
        <vt:i4>5</vt:i4>
      </vt:variant>
      <vt:variant>
        <vt:lpwstr/>
      </vt:variant>
      <vt:variant>
        <vt:lpwstr>_Toc142939551</vt:lpwstr>
      </vt:variant>
      <vt:variant>
        <vt:i4>1441845</vt:i4>
      </vt:variant>
      <vt:variant>
        <vt:i4>320</vt:i4>
      </vt:variant>
      <vt:variant>
        <vt:i4>0</vt:i4>
      </vt:variant>
      <vt:variant>
        <vt:i4>5</vt:i4>
      </vt:variant>
      <vt:variant>
        <vt:lpwstr/>
      </vt:variant>
      <vt:variant>
        <vt:lpwstr>_Toc142939550</vt:lpwstr>
      </vt:variant>
      <vt:variant>
        <vt:i4>1507381</vt:i4>
      </vt:variant>
      <vt:variant>
        <vt:i4>314</vt:i4>
      </vt:variant>
      <vt:variant>
        <vt:i4>0</vt:i4>
      </vt:variant>
      <vt:variant>
        <vt:i4>5</vt:i4>
      </vt:variant>
      <vt:variant>
        <vt:lpwstr/>
      </vt:variant>
      <vt:variant>
        <vt:lpwstr>_Toc142939549</vt:lpwstr>
      </vt:variant>
      <vt:variant>
        <vt:i4>1507381</vt:i4>
      </vt:variant>
      <vt:variant>
        <vt:i4>308</vt:i4>
      </vt:variant>
      <vt:variant>
        <vt:i4>0</vt:i4>
      </vt:variant>
      <vt:variant>
        <vt:i4>5</vt:i4>
      </vt:variant>
      <vt:variant>
        <vt:lpwstr/>
      </vt:variant>
      <vt:variant>
        <vt:lpwstr>_Toc142939548</vt:lpwstr>
      </vt:variant>
      <vt:variant>
        <vt:i4>1507381</vt:i4>
      </vt:variant>
      <vt:variant>
        <vt:i4>302</vt:i4>
      </vt:variant>
      <vt:variant>
        <vt:i4>0</vt:i4>
      </vt:variant>
      <vt:variant>
        <vt:i4>5</vt:i4>
      </vt:variant>
      <vt:variant>
        <vt:lpwstr/>
      </vt:variant>
      <vt:variant>
        <vt:lpwstr>_Toc142939547</vt:lpwstr>
      </vt:variant>
      <vt:variant>
        <vt:i4>1507381</vt:i4>
      </vt:variant>
      <vt:variant>
        <vt:i4>296</vt:i4>
      </vt:variant>
      <vt:variant>
        <vt:i4>0</vt:i4>
      </vt:variant>
      <vt:variant>
        <vt:i4>5</vt:i4>
      </vt:variant>
      <vt:variant>
        <vt:lpwstr/>
      </vt:variant>
      <vt:variant>
        <vt:lpwstr>_Toc142939546</vt:lpwstr>
      </vt:variant>
      <vt:variant>
        <vt:i4>1507381</vt:i4>
      </vt:variant>
      <vt:variant>
        <vt:i4>290</vt:i4>
      </vt:variant>
      <vt:variant>
        <vt:i4>0</vt:i4>
      </vt:variant>
      <vt:variant>
        <vt:i4>5</vt:i4>
      </vt:variant>
      <vt:variant>
        <vt:lpwstr/>
      </vt:variant>
      <vt:variant>
        <vt:lpwstr>_Toc142939545</vt:lpwstr>
      </vt:variant>
      <vt:variant>
        <vt:i4>1507381</vt:i4>
      </vt:variant>
      <vt:variant>
        <vt:i4>284</vt:i4>
      </vt:variant>
      <vt:variant>
        <vt:i4>0</vt:i4>
      </vt:variant>
      <vt:variant>
        <vt:i4>5</vt:i4>
      </vt:variant>
      <vt:variant>
        <vt:lpwstr/>
      </vt:variant>
      <vt:variant>
        <vt:lpwstr>_Toc142939544</vt:lpwstr>
      </vt:variant>
      <vt:variant>
        <vt:i4>1507381</vt:i4>
      </vt:variant>
      <vt:variant>
        <vt:i4>278</vt:i4>
      </vt:variant>
      <vt:variant>
        <vt:i4>0</vt:i4>
      </vt:variant>
      <vt:variant>
        <vt:i4>5</vt:i4>
      </vt:variant>
      <vt:variant>
        <vt:lpwstr/>
      </vt:variant>
      <vt:variant>
        <vt:lpwstr>_Toc142939543</vt:lpwstr>
      </vt:variant>
      <vt:variant>
        <vt:i4>1507381</vt:i4>
      </vt:variant>
      <vt:variant>
        <vt:i4>272</vt:i4>
      </vt:variant>
      <vt:variant>
        <vt:i4>0</vt:i4>
      </vt:variant>
      <vt:variant>
        <vt:i4>5</vt:i4>
      </vt:variant>
      <vt:variant>
        <vt:lpwstr/>
      </vt:variant>
      <vt:variant>
        <vt:lpwstr>_Toc142939542</vt:lpwstr>
      </vt:variant>
      <vt:variant>
        <vt:i4>1507381</vt:i4>
      </vt:variant>
      <vt:variant>
        <vt:i4>266</vt:i4>
      </vt:variant>
      <vt:variant>
        <vt:i4>0</vt:i4>
      </vt:variant>
      <vt:variant>
        <vt:i4>5</vt:i4>
      </vt:variant>
      <vt:variant>
        <vt:lpwstr/>
      </vt:variant>
      <vt:variant>
        <vt:lpwstr>_Toc142939541</vt:lpwstr>
      </vt:variant>
      <vt:variant>
        <vt:i4>1507381</vt:i4>
      </vt:variant>
      <vt:variant>
        <vt:i4>260</vt:i4>
      </vt:variant>
      <vt:variant>
        <vt:i4>0</vt:i4>
      </vt:variant>
      <vt:variant>
        <vt:i4>5</vt:i4>
      </vt:variant>
      <vt:variant>
        <vt:lpwstr/>
      </vt:variant>
      <vt:variant>
        <vt:lpwstr>_Toc142939540</vt:lpwstr>
      </vt:variant>
      <vt:variant>
        <vt:i4>1048629</vt:i4>
      </vt:variant>
      <vt:variant>
        <vt:i4>254</vt:i4>
      </vt:variant>
      <vt:variant>
        <vt:i4>0</vt:i4>
      </vt:variant>
      <vt:variant>
        <vt:i4>5</vt:i4>
      </vt:variant>
      <vt:variant>
        <vt:lpwstr/>
      </vt:variant>
      <vt:variant>
        <vt:lpwstr>_Toc142939539</vt:lpwstr>
      </vt:variant>
      <vt:variant>
        <vt:i4>1048629</vt:i4>
      </vt:variant>
      <vt:variant>
        <vt:i4>248</vt:i4>
      </vt:variant>
      <vt:variant>
        <vt:i4>0</vt:i4>
      </vt:variant>
      <vt:variant>
        <vt:i4>5</vt:i4>
      </vt:variant>
      <vt:variant>
        <vt:lpwstr/>
      </vt:variant>
      <vt:variant>
        <vt:lpwstr>_Toc142939538</vt:lpwstr>
      </vt:variant>
      <vt:variant>
        <vt:i4>1048629</vt:i4>
      </vt:variant>
      <vt:variant>
        <vt:i4>242</vt:i4>
      </vt:variant>
      <vt:variant>
        <vt:i4>0</vt:i4>
      </vt:variant>
      <vt:variant>
        <vt:i4>5</vt:i4>
      </vt:variant>
      <vt:variant>
        <vt:lpwstr/>
      </vt:variant>
      <vt:variant>
        <vt:lpwstr>_Toc142939537</vt:lpwstr>
      </vt:variant>
      <vt:variant>
        <vt:i4>1048629</vt:i4>
      </vt:variant>
      <vt:variant>
        <vt:i4>236</vt:i4>
      </vt:variant>
      <vt:variant>
        <vt:i4>0</vt:i4>
      </vt:variant>
      <vt:variant>
        <vt:i4>5</vt:i4>
      </vt:variant>
      <vt:variant>
        <vt:lpwstr/>
      </vt:variant>
      <vt:variant>
        <vt:lpwstr>_Toc142939536</vt:lpwstr>
      </vt:variant>
      <vt:variant>
        <vt:i4>1048629</vt:i4>
      </vt:variant>
      <vt:variant>
        <vt:i4>230</vt:i4>
      </vt:variant>
      <vt:variant>
        <vt:i4>0</vt:i4>
      </vt:variant>
      <vt:variant>
        <vt:i4>5</vt:i4>
      </vt:variant>
      <vt:variant>
        <vt:lpwstr/>
      </vt:variant>
      <vt:variant>
        <vt:lpwstr>_Toc142939535</vt:lpwstr>
      </vt:variant>
      <vt:variant>
        <vt:i4>1048629</vt:i4>
      </vt:variant>
      <vt:variant>
        <vt:i4>224</vt:i4>
      </vt:variant>
      <vt:variant>
        <vt:i4>0</vt:i4>
      </vt:variant>
      <vt:variant>
        <vt:i4>5</vt:i4>
      </vt:variant>
      <vt:variant>
        <vt:lpwstr/>
      </vt:variant>
      <vt:variant>
        <vt:lpwstr>_Toc142939534</vt:lpwstr>
      </vt:variant>
      <vt:variant>
        <vt:i4>1048629</vt:i4>
      </vt:variant>
      <vt:variant>
        <vt:i4>218</vt:i4>
      </vt:variant>
      <vt:variant>
        <vt:i4>0</vt:i4>
      </vt:variant>
      <vt:variant>
        <vt:i4>5</vt:i4>
      </vt:variant>
      <vt:variant>
        <vt:lpwstr/>
      </vt:variant>
      <vt:variant>
        <vt:lpwstr>_Toc142939533</vt:lpwstr>
      </vt:variant>
      <vt:variant>
        <vt:i4>1048629</vt:i4>
      </vt:variant>
      <vt:variant>
        <vt:i4>212</vt:i4>
      </vt:variant>
      <vt:variant>
        <vt:i4>0</vt:i4>
      </vt:variant>
      <vt:variant>
        <vt:i4>5</vt:i4>
      </vt:variant>
      <vt:variant>
        <vt:lpwstr/>
      </vt:variant>
      <vt:variant>
        <vt:lpwstr>_Toc142939532</vt:lpwstr>
      </vt:variant>
      <vt:variant>
        <vt:i4>1048629</vt:i4>
      </vt:variant>
      <vt:variant>
        <vt:i4>206</vt:i4>
      </vt:variant>
      <vt:variant>
        <vt:i4>0</vt:i4>
      </vt:variant>
      <vt:variant>
        <vt:i4>5</vt:i4>
      </vt:variant>
      <vt:variant>
        <vt:lpwstr/>
      </vt:variant>
      <vt:variant>
        <vt:lpwstr>_Toc142939531</vt:lpwstr>
      </vt:variant>
      <vt:variant>
        <vt:i4>1048629</vt:i4>
      </vt:variant>
      <vt:variant>
        <vt:i4>200</vt:i4>
      </vt:variant>
      <vt:variant>
        <vt:i4>0</vt:i4>
      </vt:variant>
      <vt:variant>
        <vt:i4>5</vt:i4>
      </vt:variant>
      <vt:variant>
        <vt:lpwstr/>
      </vt:variant>
      <vt:variant>
        <vt:lpwstr>_Toc142939530</vt:lpwstr>
      </vt:variant>
      <vt:variant>
        <vt:i4>1114165</vt:i4>
      </vt:variant>
      <vt:variant>
        <vt:i4>194</vt:i4>
      </vt:variant>
      <vt:variant>
        <vt:i4>0</vt:i4>
      </vt:variant>
      <vt:variant>
        <vt:i4>5</vt:i4>
      </vt:variant>
      <vt:variant>
        <vt:lpwstr/>
      </vt:variant>
      <vt:variant>
        <vt:lpwstr>_Toc142939529</vt:lpwstr>
      </vt:variant>
      <vt:variant>
        <vt:i4>1114165</vt:i4>
      </vt:variant>
      <vt:variant>
        <vt:i4>188</vt:i4>
      </vt:variant>
      <vt:variant>
        <vt:i4>0</vt:i4>
      </vt:variant>
      <vt:variant>
        <vt:i4>5</vt:i4>
      </vt:variant>
      <vt:variant>
        <vt:lpwstr/>
      </vt:variant>
      <vt:variant>
        <vt:lpwstr>_Toc142939528</vt:lpwstr>
      </vt:variant>
      <vt:variant>
        <vt:i4>1114165</vt:i4>
      </vt:variant>
      <vt:variant>
        <vt:i4>182</vt:i4>
      </vt:variant>
      <vt:variant>
        <vt:i4>0</vt:i4>
      </vt:variant>
      <vt:variant>
        <vt:i4>5</vt:i4>
      </vt:variant>
      <vt:variant>
        <vt:lpwstr/>
      </vt:variant>
      <vt:variant>
        <vt:lpwstr>_Toc142939527</vt:lpwstr>
      </vt:variant>
      <vt:variant>
        <vt:i4>1114165</vt:i4>
      </vt:variant>
      <vt:variant>
        <vt:i4>176</vt:i4>
      </vt:variant>
      <vt:variant>
        <vt:i4>0</vt:i4>
      </vt:variant>
      <vt:variant>
        <vt:i4>5</vt:i4>
      </vt:variant>
      <vt:variant>
        <vt:lpwstr/>
      </vt:variant>
      <vt:variant>
        <vt:lpwstr>_Toc142939526</vt:lpwstr>
      </vt:variant>
      <vt:variant>
        <vt:i4>1114165</vt:i4>
      </vt:variant>
      <vt:variant>
        <vt:i4>170</vt:i4>
      </vt:variant>
      <vt:variant>
        <vt:i4>0</vt:i4>
      </vt:variant>
      <vt:variant>
        <vt:i4>5</vt:i4>
      </vt:variant>
      <vt:variant>
        <vt:lpwstr/>
      </vt:variant>
      <vt:variant>
        <vt:lpwstr>_Toc142939525</vt:lpwstr>
      </vt:variant>
      <vt:variant>
        <vt:i4>1114165</vt:i4>
      </vt:variant>
      <vt:variant>
        <vt:i4>164</vt:i4>
      </vt:variant>
      <vt:variant>
        <vt:i4>0</vt:i4>
      </vt:variant>
      <vt:variant>
        <vt:i4>5</vt:i4>
      </vt:variant>
      <vt:variant>
        <vt:lpwstr/>
      </vt:variant>
      <vt:variant>
        <vt:lpwstr>_Toc142939524</vt:lpwstr>
      </vt:variant>
      <vt:variant>
        <vt:i4>1114165</vt:i4>
      </vt:variant>
      <vt:variant>
        <vt:i4>158</vt:i4>
      </vt:variant>
      <vt:variant>
        <vt:i4>0</vt:i4>
      </vt:variant>
      <vt:variant>
        <vt:i4>5</vt:i4>
      </vt:variant>
      <vt:variant>
        <vt:lpwstr/>
      </vt:variant>
      <vt:variant>
        <vt:lpwstr>_Toc142939523</vt:lpwstr>
      </vt:variant>
      <vt:variant>
        <vt:i4>1114165</vt:i4>
      </vt:variant>
      <vt:variant>
        <vt:i4>152</vt:i4>
      </vt:variant>
      <vt:variant>
        <vt:i4>0</vt:i4>
      </vt:variant>
      <vt:variant>
        <vt:i4>5</vt:i4>
      </vt:variant>
      <vt:variant>
        <vt:lpwstr/>
      </vt:variant>
      <vt:variant>
        <vt:lpwstr>_Toc142939522</vt:lpwstr>
      </vt:variant>
      <vt:variant>
        <vt:i4>1114165</vt:i4>
      </vt:variant>
      <vt:variant>
        <vt:i4>146</vt:i4>
      </vt:variant>
      <vt:variant>
        <vt:i4>0</vt:i4>
      </vt:variant>
      <vt:variant>
        <vt:i4>5</vt:i4>
      </vt:variant>
      <vt:variant>
        <vt:lpwstr/>
      </vt:variant>
      <vt:variant>
        <vt:lpwstr>_Toc142939521</vt:lpwstr>
      </vt:variant>
      <vt:variant>
        <vt:i4>1114165</vt:i4>
      </vt:variant>
      <vt:variant>
        <vt:i4>140</vt:i4>
      </vt:variant>
      <vt:variant>
        <vt:i4>0</vt:i4>
      </vt:variant>
      <vt:variant>
        <vt:i4>5</vt:i4>
      </vt:variant>
      <vt:variant>
        <vt:lpwstr/>
      </vt:variant>
      <vt:variant>
        <vt:lpwstr>_Toc142939520</vt:lpwstr>
      </vt:variant>
      <vt:variant>
        <vt:i4>1179701</vt:i4>
      </vt:variant>
      <vt:variant>
        <vt:i4>134</vt:i4>
      </vt:variant>
      <vt:variant>
        <vt:i4>0</vt:i4>
      </vt:variant>
      <vt:variant>
        <vt:i4>5</vt:i4>
      </vt:variant>
      <vt:variant>
        <vt:lpwstr/>
      </vt:variant>
      <vt:variant>
        <vt:lpwstr>_Toc142939519</vt:lpwstr>
      </vt:variant>
      <vt:variant>
        <vt:i4>1179701</vt:i4>
      </vt:variant>
      <vt:variant>
        <vt:i4>128</vt:i4>
      </vt:variant>
      <vt:variant>
        <vt:i4>0</vt:i4>
      </vt:variant>
      <vt:variant>
        <vt:i4>5</vt:i4>
      </vt:variant>
      <vt:variant>
        <vt:lpwstr/>
      </vt:variant>
      <vt:variant>
        <vt:lpwstr>_Toc142939518</vt:lpwstr>
      </vt:variant>
      <vt:variant>
        <vt:i4>1179701</vt:i4>
      </vt:variant>
      <vt:variant>
        <vt:i4>122</vt:i4>
      </vt:variant>
      <vt:variant>
        <vt:i4>0</vt:i4>
      </vt:variant>
      <vt:variant>
        <vt:i4>5</vt:i4>
      </vt:variant>
      <vt:variant>
        <vt:lpwstr/>
      </vt:variant>
      <vt:variant>
        <vt:lpwstr>_Toc142939517</vt:lpwstr>
      </vt:variant>
      <vt:variant>
        <vt:i4>1179701</vt:i4>
      </vt:variant>
      <vt:variant>
        <vt:i4>116</vt:i4>
      </vt:variant>
      <vt:variant>
        <vt:i4>0</vt:i4>
      </vt:variant>
      <vt:variant>
        <vt:i4>5</vt:i4>
      </vt:variant>
      <vt:variant>
        <vt:lpwstr/>
      </vt:variant>
      <vt:variant>
        <vt:lpwstr>_Toc142939516</vt:lpwstr>
      </vt:variant>
      <vt:variant>
        <vt:i4>1179701</vt:i4>
      </vt:variant>
      <vt:variant>
        <vt:i4>110</vt:i4>
      </vt:variant>
      <vt:variant>
        <vt:i4>0</vt:i4>
      </vt:variant>
      <vt:variant>
        <vt:i4>5</vt:i4>
      </vt:variant>
      <vt:variant>
        <vt:lpwstr/>
      </vt:variant>
      <vt:variant>
        <vt:lpwstr>_Toc142939515</vt:lpwstr>
      </vt:variant>
      <vt:variant>
        <vt:i4>1179701</vt:i4>
      </vt:variant>
      <vt:variant>
        <vt:i4>104</vt:i4>
      </vt:variant>
      <vt:variant>
        <vt:i4>0</vt:i4>
      </vt:variant>
      <vt:variant>
        <vt:i4>5</vt:i4>
      </vt:variant>
      <vt:variant>
        <vt:lpwstr/>
      </vt:variant>
      <vt:variant>
        <vt:lpwstr>_Toc142939514</vt:lpwstr>
      </vt:variant>
      <vt:variant>
        <vt:i4>1179701</vt:i4>
      </vt:variant>
      <vt:variant>
        <vt:i4>98</vt:i4>
      </vt:variant>
      <vt:variant>
        <vt:i4>0</vt:i4>
      </vt:variant>
      <vt:variant>
        <vt:i4>5</vt:i4>
      </vt:variant>
      <vt:variant>
        <vt:lpwstr/>
      </vt:variant>
      <vt:variant>
        <vt:lpwstr>_Toc142939513</vt:lpwstr>
      </vt:variant>
      <vt:variant>
        <vt:i4>1179701</vt:i4>
      </vt:variant>
      <vt:variant>
        <vt:i4>92</vt:i4>
      </vt:variant>
      <vt:variant>
        <vt:i4>0</vt:i4>
      </vt:variant>
      <vt:variant>
        <vt:i4>5</vt:i4>
      </vt:variant>
      <vt:variant>
        <vt:lpwstr/>
      </vt:variant>
      <vt:variant>
        <vt:lpwstr>_Toc142939512</vt:lpwstr>
      </vt:variant>
      <vt:variant>
        <vt:i4>1179701</vt:i4>
      </vt:variant>
      <vt:variant>
        <vt:i4>86</vt:i4>
      </vt:variant>
      <vt:variant>
        <vt:i4>0</vt:i4>
      </vt:variant>
      <vt:variant>
        <vt:i4>5</vt:i4>
      </vt:variant>
      <vt:variant>
        <vt:lpwstr/>
      </vt:variant>
      <vt:variant>
        <vt:lpwstr>_Toc142939511</vt:lpwstr>
      </vt:variant>
      <vt:variant>
        <vt:i4>1179701</vt:i4>
      </vt:variant>
      <vt:variant>
        <vt:i4>80</vt:i4>
      </vt:variant>
      <vt:variant>
        <vt:i4>0</vt:i4>
      </vt:variant>
      <vt:variant>
        <vt:i4>5</vt:i4>
      </vt:variant>
      <vt:variant>
        <vt:lpwstr/>
      </vt:variant>
      <vt:variant>
        <vt:lpwstr>_Toc142939510</vt:lpwstr>
      </vt:variant>
      <vt:variant>
        <vt:i4>1245237</vt:i4>
      </vt:variant>
      <vt:variant>
        <vt:i4>74</vt:i4>
      </vt:variant>
      <vt:variant>
        <vt:i4>0</vt:i4>
      </vt:variant>
      <vt:variant>
        <vt:i4>5</vt:i4>
      </vt:variant>
      <vt:variant>
        <vt:lpwstr/>
      </vt:variant>
      <vt:variant>
        <vt:lpwstr>_Toc142939509</vt:lpwstr>
      </vt:variant>
      <vt:variant>
        <vt:i4>1245237</vt:i4>
      </vt:variant>
      <vt:variant>
        <vt:i4>68</vt:i4>
      </vt:variant>
      <vt:variant>
        <vt:i4>0</vt:i4>
      </vt:variant>
      <vt:variant>
        <vt:i4>5</vt:i4>
      </vt:variant>
      <vt:variant>
        <vt:lpwstr/>
      </vt:variant>
      <vt:variant>
        <vt:lpwstr>_Toc142939508</vt:lpwstr>
      </vt:variant>
      <vt:variant>
        <vt:i4>1245237</vt:i4>
      </vt:variant>
      <vt:variant>
        <vt:i4>62</vt:i4>
      </vt:variant>
      <vt:variant>
        <vt:i4>0</vt:i4>
      </vt:variant>
      <vt:variant>
        <vt:i4>5</vt:i4>
      </vt:variant>
      <vt:variant>
        <vt:lpwstr/>
      </vt:variant>
      <vt:variant>
        <vt:lpwstr>_Toc142939507</vt:lpwstr>
      </vt:variant>
      <vt:variant>
        <vt:i4>1245237</vt:i4>
      </vt:variant>
      <vt:variant>
        <vt:i4>56</vt:i4>
      </vt:variant>
      <vt:variant>
        <vt:i4>0</vt:i4>
      </vt:variant>
      <vt:variant>
        <vt:i4>5</vt:i4>
      </vt:variant>
      <vt:variant>
        <vt:lpwstr/>
      </vt:variant>
      <vt:variant>
        <vt:lpwstr>_Toc142939506</vt:lpwstr>
      </vt:variant>
      <vt:variant>
        <vt:i4>1245237</vt:i4>
      </vt:variant>
      <vt:variant>
        <vt:i4>50</vt:i4>
      </vt:variant>
      <vt:variant>
        <vt:i4>0</vt:i4>
      </vt:variant>
      <vt:variant>
        <vt:i4>5</vt:i4>
      </vt:variant>
      <vt:variant>
        <vt:lpwstr/>
      </vt:variant>
      <vt:variant>
        <vt:lpwstr>_Toc142939505</vt:lpwstr>
      </vt:variant>
      <vt:variant>
        <vt:i4>1245237</vt:i4>
      </vt:variant>
      <vt:variant>
        <vt:i4>44</vt:i4>
      </vt:variant>
      <vt:variant>
        <vt:i4>0</vt:i4>
      </vt:variant>
      <vt:variant>
        <vt:i4>5</vt:i4>
      </vt:variant>
      <vt:variant>
        <vt:lpwstr/>
      </vt:variant>
      <vt:variant>
        <vt:lpwstr>_Toc142939504</vt:lpwstr>
      </vt:variant>
      <vt:variant>
        <vt:i4>1245237</vt:i4>
      </vt:variant>
      <vt:variant>
        <vt:i4>38</vt:i4>
      </vt:variant>
      <vt:variant>
        <vt:i4>0</vt:i4>
      </vt:variant>
      <vt:variant>
        <vt:i4>5</vt:i4>
      </vt:variant>
      <vt:variant>
        <vt:lpwstr/>
      </vt:variant>
      <vt:variant>
        <vt:lpwstr>_Toc142939503</vt:lpwstr>
      </vt:variant>
      <vt:variant>
        <vt:i4>1245237</vt:i4>
      </vt:variant>
      <vt:variant>
        <vt:i4>32</vt:i4>
      </vt:variant>
      <vt:variant>
        <vt:i4>0</vt:i4>
      </vt:variant>
      <vt:variant>
        <vt:i4>5</vt:i4>
      </vt:variant>
      <vt:variant>
        <vt:lpwstr/>
      </vt:variant>
      <vt:variant>
        <vt:lpwstr>_Toc142939502</vt:lpwstr>
      </vt:variant>
      <vt:variant>
        <vt:i4>1245237</vt:i4>
      </vt:variant>
      <vt:variant>
        <vt:i4>26</vt:i4>
      </vt:variant>
      <vt:variant>
        <vt:i4>0</vt:i4>
      </vt:variant>
      <vt:variant>
        <vt:i4>5</vt:i4>
      </vt:variant>
      <vt:variant>
        <vt:lpwstr/>
      </vt:variant>
      <vt:variant>
        <vt:lpwstr>_Toc142939501</vt:lpwstr>
      </vt:variant>
      <vt:variant>
        <vt:i4>1245237</vt:i4>
      </vt:variant>
      <vt:variant>
        <vt:i4>20</vt:i4>
      </vt:variant>
      <vt:variant>
        <vt:i4>0</vt:i4>
      </vt:variant>
      <vt:variant>
        <vt:i4>5</vt:i4>
      </vt:variant>
      <vt:variant>
        <vt:lpwstr/>
      </vt:variant>
      <vt:variant>
        <vt:lpwstr>_Toc142939500</vt:lpwstr>
      </vt:variant>
      <vt:variant>
        <vt:i4>1703988</vt:i4>
      </vt:variant>
      <vt:variant>
        <vt:i4>14</vt:i4>
      </vt:variant>
      <vt:variant>
        <vt:i4>0</vt:i4>
      </vt:variant>
      <vt:variant>
        <vt:i4>5</vt:i4>
      </vt:variant>
      <vt:variant>
        <vt:lpwstr/>
      </vt:variant>
      <vt:variant>
        <vt:lpwstr>_Toc142939499</vt:lpwstr>
      </vt:variant>
      <vt:variant>
        <vt:i4>1703988</vt:i4>
      </vt:variant>
      <vt:variant>
        <vt:i4>8</vt:i4>
      </vt:variant>
      <vt:variant>
        <vt:i4>0</vt:i4>
      </vt:variant>
      <vt:variant>
        <vt:i4>5</vt:i4>
      </vt:variant>
      <vt:variant>
        <vt:lpwstr/>
      </vt:variant>
      <vt:variant>
        <vt:lpwstr>_Toc142939498</vt:lpwstr>
      </vt:variant>
      <vt:variant>
        <vt:i4>1703988</vt:i4>
      </vt:variant>
      <vt:variant>
        <vt:i4>2</vt:i4>
      </vt:variant>
      <vt:variant>
        <vt:i4>0</vt:i4>
      </vt:variant>
      <vt:variant>
        <vt:i4>5</vt:i4>
      </vt:variant>
      <vt:variant>
        <vt:lpwstr/>
      </vt:variant>
      <vt:variant>
        <vt:lpwstr>_Toc142939497</vt:lpwstr>
      </vt:variant>
      <vt:variant>
        <vt:i4>2490408</vt:i4>
      </vt:variant>
      <vt:variant>
        <vt:i4>0</vt:i4>
      </vt:variant>
      <vt:variant>
        <vt:i4>0</vt:i4>
      </vt:variant>
      <vt:variant>
        <vt:i4>5</vt:i4>
      </vt:variant>
      <vt:variant>
        <vt:lpwstr>https://www.aihw.gov.au/reports-data/health-conditions-disability-deaths/cancer/data?page=2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2024-02-15T03:51:00Z</dcterms:created>
  <dcterms:modified xsi:type="dcterms:W3CDTF">2024-03-14T05:53:00Z</dcterms:modified>
</cp:coreProperties>
</file>