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6FDEBD4" w:rsidR="00B60939" w:rsidRPr="004A6040" w:rsidRDefault="00FE2E26" w:rsidP="00E15FB7">
      <w:pPr>
        <w:pStyle w:val="1-MainHeading"/>
        <w:ind w:left="851" w:hanging="851"/>
      </w:pPr>
      <w:bookmarkStart w:id="0" w:name="_Toc145075495"/>
      <w:r>
        <w:t>6.08</w:t>
      </w:r>
      <w:r w:rsidR="00163F66">
        <w:tab/>
      </w:r>
      <w:r w:rsidR="008F1CBD">
        <w:t>OLAPARIB</w:t>
      </w:r>
      <w:r w:rsidR="00163F66">
        <w:t>,</w:t>
      </w:r>
      <w:r w:rsidR="00163F66">
        <w:br/>
      </w:r>
      <w:r w:rsidR="008C2331" w:rsidRPr="008C4198">
        <w:rPr>
          <w:rFonts w:cstheme="minorHAnsi"/>
        </w:rPr>
        <w:t>Tablet 100 mg,</w:t>
      </w:r>
      <w:r w:rsidR="008C2331" w:rsidRPr="008C4198">
        <w:t xml:space="preserve"> </w:t>
      </w:r>
      <w:r w:rsidR="008C2331" w:rsidRPr="008C4198">
        <w:br/>
      </w:r>
      <w:r w:rsidR="008F1CBD">
        <w:t>Tablet</w:t>
      </w:r>
      <w:r w:rsidR="001F3DFE">
        <w:t xml:space="preserve"> </w:t>
      </w:r>
      <w:r w:rsidR="008F1CBD">
        <w:t>150 mg</w:t>
      </w:r>
      <w:r w:rsidR="00163F66">
        <w:t>,</w:t>
      </w:r>
      <w:r w:rsidR="00163F66">
        <w:br/>
      </w:r>
      <w:r w:rsidR="008F1CBD">
        <w:t>Lynparza</w:t>
      </w:r>
      <w:r w:rsidR="008F1CBD" w:rsidRPr="004A6040">
        <w:rPr>
          <w:vertAlign w:val="superscript"/>
        </w:rPr>
        <w:t xml:space="preserve"> </w:t>
      </w:r>
      <w:r w:rsidR="00B60939" w:rsidRPr="004A6040">
        <w:rPr>
          <w:vertAlign w:val="superscript"/>
        </w:rPr>
        <w:t>®</w:t>
      </w:r>
      <w:r w:rsidR="004A6040" w:rsidRPr="004A6040">
        <w:t>,</w:t>
      </w:r>
      <w:r w:rsidR="004A6040" w:rsidRPr="004A6040">
        <w:br/>
      </w:r>
      <w:r w:rsidR="008F1CBD">
        <w:t>AstraZeneca Pty Ltd</w:t>
      </w:r>
      <w:r w:rsidR="00B60939" w:rsidRPr="004A6040">
        <w:t>.</w:t>
      </w:r>
      <w:bookmarkEnd w:id="0"/>
    </w:p>
    <w:p w14:paraId="11C00795" w14:textId="3DFB6D23" w:rsidR="00B50DB8" w:rsidRPr="00407F2D" w:rsidRDefault="00B50DB8" w:rsidP="004A6040">
      <w:pPr>
        <w:pStyle w:val="2-SectionHeading"/>
      </w:pPr>
      <w:bookmarkStart w:id="1" w:name="_Toc145075497"/>
      <w:r w:rsidRPr="00C70570">
        <w:t>Purpo</w:t>
      </w:r>
      <w:r w:rsidRPr="00407F2D">
        <w:t xml:space="preserve">se of </w:t>
      </w:r>
      <w:r w:rsidR="00CD7193">
        <w:t>s</w:t>
      </w:r>
      <w:r w:rsidR="00BB3A45">
        <w:t>ubmission</w:t>
      </w:r>
      <w:bookmarkEnd w:id="1"/>
    </w:p>
    <w:p w14:paraId="1D407AFA" w14:textId="77777777" w:rsidR="00FE2E26" w:rsidRDefault="007170DA" w:rsidP="00FE2E26">
      <w:pPr>
        <w:pStyle w:val="3-BodyText"/>
      </w:pPr>
      <w:r>
        <w:t xml:space="preserve">The </w:t>
      </w:r>
      <w:r w:rsidR="00F73E08">
        <w:t xml:space="preserve">Category </w:t>
      </w:r>
      <w:r w:rsidR="008C6030">
        <w:t xml:space="preserve">2 </w:t>
      </w:r>
      <w:r>
        <w:t xml:space="preserve">submission </w:t>
      </w:r>
      <w:r w:rsidRPr="004E18E9">
        <w:t xml:space="preserve">requested </w:t>
      </w:r>
      <w:r w:rsidR="008C6030">
        <w:t xml:space="preserve">a </w:t>
      </w:r>
      <w:r w:rsidR="008B1757" w:rsidRPr="004E18E9">
        <w:t xml:space="preserve">Section </w:t>
      </w:r>
      <w:r w:rsidR="008C6030">
        <w:t>85 General Schedule</w:t>
      </w:r>
      <w:r w:rsidR="00FA0A77">
        <w:t>,</w:t>
      </w:r>
      <w:r w:rsidR="008C6030">
        <w:t xml:space="preserve"> </w:t>
      </w:r>
      <w:r w:rsidR="008B1757" w:rsidRPr="004E18E9">
        <w:t>Authority Required</w:t>
      </w:r>
      <w:r w:rsidR="008C6030">
        <w:t xml:space="preserve"> (telephone/online) </w:t>
      </w:r>
      <w:r w:rsidR="008B1757" w:rsidRPr="004E18E9">
        <w:t xml:space="preserve">listing for </w:t>
      </w:r>
      <w:r w:rsidR="008C6030">
        <w:t>olaparib in combination with abiraterone</w:t>
      </w:r>
      <w:r w:rsidR="008B1757" w:rsidRPr="004E18E9">
        <w:t xml:space="preserve"> for </w:t>
      </w:r>
      <w:r w:rsidR="0050174E" w:rsidRPr="004E18E9">
        <w:t xml:space="preserve">the </w:t>
      </w:r>
      <w:r w:rsidR="008C6030">
        <w:t>first</w:t>
      </w:r>
      <w:r w:rsidR="001A6142">
        <w:t xml:space="preserve"> </w:t>
      </w:r>
      <w:r w:rsidR="008C6030">
        <w:t xml:space="preserve">line </w:t>
      </w:r>
      <w:r w:rsidR="008B1757" w:rsidRPr="004E18E9">
        <w:t xml:space="preserve">treatment of </w:t>
      </w:r>
      <w:r w:rsidR="008C6030">
        <w:t xml:space="preserve">metastatic castration-resistant prostate cancer (mCRPC) patients with breast cancer </w:t>
      </w:r>
      <w:r w:rsidR="008C6030" w:rsidRPr="00B87979">
        <w:t>gene (</w:t>
      </w:r>
      <w:r w:rsidR="00A41905" w:rsidRPr="00B87979">
        <w:t>BRCA</w:t>
      </w:r>
      <w:r w:rsidR="008C6030" w:rsidRPr="00B87979">
        <w:t>)1/2 pathoge</w:t>
      </w:r>
      <w:r w:rsidR="008C6030">
        <w:t xml:space="preserve">nic variants who have not received prior treatment with a novel hormonal </w:t>
      </w:r>
      <w:r w:rsidR="00FA0A77">
        <w:t>agent</w:t>
      </w:r>
      <w:r w:rsidR="008C6030">
        <w:t xml:space="preserve"> (NHA). </w:t>
      </w:r>
    </w:p>
    <w:p w14:paraId="4E9FBCB5" w14:textId="3A59ACA1" w:rsidR="00C2778B" w:rsidRDefault="005750C5" w:rsidP="00FE2E26">
      <w:pPr>
        <w:pStyle w:val="3-BodyText"/>
      </w:pPr>
      <w:r w:rsidRPr="005750C5">
        <w:t xml:space="preserve">Listing was requested on the basis of a </w:t>
      </w:r>
      <w:r>
        <w:t>cost-</w:t>
      </w:r>
      <w:r w:rsidR="001E53B4">
        <w:t>utility</w:t>
      </w:r>
      <w:r w:rsidR="001E53B4" w:rsidRPr="005750C5">
        <w:t xml:space="preserve"> </w:t>
      </w:r>
      <w:r w:rsidRPr="005750C5">
        <w:t>analysis versus</w:t>
      </w:r>
      <w:r>
        <w:t xml:space="preserve"> </w:t>
      </w:r>
      <w:r w:rsidR="0037726A">
        <w:t>NHA monotherapy</w:t>
      </w:r>
      <w:r>
        <w:t>.</w:t>
      </w:r>
      <w:r w:rsidRPr="005750C5">
        <w:t xml:space="preserve"> </w:t>
      </w:r>
    </w:p>
    <w:p w14:paraId="3718DE61" w14:textId="3341B757" w:rsidR="008B1757" w:rsidRDefault="00696EF9" w:rsidP="004A6040">
      <w:pPr>
        <w:pStyle w:val="TableFigureHeading"/>
        <w:rPr>
          <w:rStyle w:val="CommentReference"/>
          <w:b/>
          <w:szCs w:val="24"/>
        </w:rPr>
      </w:pPr>
      <w:r>
        <w:t xml:space="preserve">Table </w:t>
      </w:r>
      <w:fldSimple w:instr=" SEQ Table \* ARABIC " w:fldLock="1">
        <w:r w:rsidR="006F331F">
          <w:rPr>
            <w:noProof/>
          </w:rPr>
          <w:t>1</w:t>
        </w:r>
      </w:fldSimple>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8029"/>
      </w:tblGrid>
      <w:tr w:rsidR="0037726A" w:rsidRPr="003B758A" w14:paraId="1F9BE74C" w14:textId="77777777" w:rsidTr="00FB1722">
        <w:tc>
          <w:tcPr>
            <w:tcW w:w="1075" w:type="dxa"/>
            <w:vAlign w:val="center"/>
          </w:tcPr>
          <w:p w14:paraId="6BE378CD" w14:textId="77777777" w:rsidR="0037726A" w:rsidRPr="003B758A" w:rsidRDefault="0037726A" w:rsidP="001E53B4">
            <w:pPr>
              <w:pStyle w:val="TableText0"/>
              <w:jc w:val="both"/>
              <w:rPr>
                <w:b/>
                <w:bCs w:val="0"/>
              </w:rPr>
            </w:pPr>
            <w:r w:rsidRPr="003B758A">
              <w:rPr>
                <w:b/>
                <w:bCs w:val="0"/>
              </w:rPr>
              <w:t>Component</w:t>
            </w:r>
          </w:p>
        </w:tc>
        <w:tc>
          <w:tcPr>
            <w:tcW w:w="8081" w:type="dxa"/>
            <w:vAlign w:val="center"/>
          </w:tcPr>
          <w:p w14:paraId="109E2FC9" w14:textId="77777777" w:rsidR="0037726A" w:rsidRPr="003B758A" w:rsidRDefault="0037726A" w:rsidP="001E53B4">
            <w:pPr>
              <w:pStyle w:val="TableText0"/>
              <w:jc w:val="both"/>
              <w:rPr>
                <w:b/>
                <w:bCs w:val="0"/>
              </w:rPr>
            </w:pPr>
            <w:r w:rsidRPr="003B758A">
              <w:rPr>
                <w:b/>
                <w:bCs w:val="0"/>
              </w:rPr>
              <w:t>Description</w:t>
            </w:r>
          </w:p>
        </w:tc>
      </w:tr>
      <w:tr w:rsidR="0037726A" w14:paraId="2A5873F3" w14:textId="77777777" w:rsidTr="00FB1722">
        <w:tc>
          <w:tcPr>
            <w:tcW w:w="1075" w:type="dxa"/>
            <w:vAlign w:val="center"/>
          </w:tcPr>
          <w:p w14:paraId="3B0507B5" w14:textId="77777777" w:rsidR="0037726A" w:rsidRDefault="0037726A" w:rsidP="001E53B4">
            <w:pPr>
              <w:pStyle w:val="TableText0"/>
              <w:jc w:val="both"/>
            </w:pPr>
            <w:r>
              <w:t>Population</w:t>
            </w:r>
          </w:p>
        </w:tc>
        <w:tc>
          <w:tcPr>
            <w:tcW w:w="8081" w:type="dxa"/>
          </w:tcPr>
          <w:p w14:paraId="4B056DF7" w14:textId="70F28C01" w:rsidR="0037726A" w:rsidRDefault="0037726A" w:rsidP="001E53B4">
            <w:pPr>
              <w:pStyle w:val="TableText0"/>
              <w:jc w:val="both"/>
            </w:pPr>
            <w:r w:rsidRPr="00C56A19">
              <w:rPr>
                <w:lang w:val="en-GB"/>
              </w:rPr>
              <w:t>Patients</w:t>
            </w:r>
            <w:r>
              <w:rPr>
                <w:lang w:val="en-GB"/>
              </w:rPr>
              <w:t xml:space="preserve"> diagnosed</w:t>
            </w:r>
            <w:r w:rsidRPr="00C56A19">
              <w:rPr>
                <w:lang w:val="en-GB"/>
              </w:rPr>
              <w:t xml:space="preserve"> with metastatic castration-resistant prostate cancer (mCRPC) </w:t>
            </w:r>
            <w:r>
              <w:rPr>
                <w:lang w:val="en-GB"/>
              </w:rPr>
              <w:t>and</w:t>
            </w:r>
            <w:r w:rsidRPr="00C56A19">
              <w:rPr>
                <w:lang w:val="en-GB"/>
              </w:rPr>
              <w:t xml:space="preserve"> </w:t>
            </w:r>
            <w:r w:rsidRPr="00B87979">
              <w:rPr>
                <w:lang w:val="en-GB"/>
              </w:rPr>
              <w:t xml:space="preserve">confirmed </w:t>
            </w:r>
            <w:r w:rsidR="00A41905" w:rsidRPr="00B87979">
              <w:rPr>
                <w:lang w:val="en-GB"/>
              </w:rPr>
              <w:t>BRCA</w:t>
            </w:r>
            <w:r w:rsidRPr="00C56A19">
              <w:rPr>
                <w:lang w:val="en-GB"/>
              </w:rPr>
              <w:t xml:space="preserve">1 or </w:t>
            </w:r>
            <w:r w:rsidR="00A41905" w:rsidRPr="00A41905">
              <w:rPr>
                <w:i/>
                <w:iCs/>
                <w:lang w:val="en-GB"/>
              </w:rPr>
              <w:t>BRCA</w:t>
            </w:r>
            <w:r w:rsidRPr="00C56A19">
              <w:rPr>
                <w:lang w:val="en-GB"/>
              </w:rPr>
              <w:t xml:space="preserve">2 </w:t>
            </w:r>
            <w:r>
              <w:rPr>
                <w:lang w:val="en-GB"/>
              </w:rPr>
              <w:t>pathogenic variants</w:t>
            </w:r>
            <w:r w:rsidRPr="00C56A19">
              <w:rPr>
                <w:lang w:val="en-GB"/>
              </w:rPr>
              <w:t xml:space="preserve"> who have not received prior NHA treatment </w:t>
            </w:r>
          </w:p>
        </w:tc>
      </w:tr>
      <w:tr w:rsidR="0037726A" w14:paraId="6570A55A" w14:textId="77777777" w:rsidTr="00FB1722">
        <w:tc>
          <w:tcPr>
            <w:tcW w:w="1075" w:type="dxa"/>
            <w:vAlign w:val="center"/>
          </w:tcPr>
          <w:p w14:paraId="1E64F53D" w14:textId="77777777" w:rsidR="0037726A" w:rsidRDefault="0037726A" w:rsidP="001E53B4">
            <w:pPr>
              <w:pStyle w:val="TableText0"/>
              <w:jc w:val="both"/>
            </w:pPr>
            <w:r>
              <w:t>Intervention</w:t>
            </w:r>
          </w:p>
        </w:tc>
        <w:tc>
          <w:tcPr>
            <w:tcW w:w="8081" w:type="dxa"/>
          </w:tcPr>
          <w:p w14:paraId="2220F556" w14:textId="58C0C19E" w:rsidR="0037726A" w:rsidRDefault="0037726A" w:rsidP="001E53B4">
            <w:pPr>
              <w:pStyle w:val="TableText0"/>
              <w:jc w:val="both"/>
            </w:pPr>
            <w:r w:rsidRPr="00C56A19">
              <w:rPr>
                <w:lang w:val="en-GB"/>
              </w:rPr>
              <w:t>Olaparib 300 mg (2×150 mg) twice daily (total dose 600 mg/day</w:t>
            </w:r>
            <w:r>
              <w:rPr>
                <w:lang w:val="en-GB"/>
              </w:rPr>
              <w:t xml:space="preserve">) in combination </w:t>
            </w:r>
            <w:r w:rsidRPr="00C56A19">
              <w:rPr>
                <w:lang w:val="en-GB"/>
              </w:rPr>
              <w:t>with</w:t>
            </w:r>
            <w:r>
              <w:rPr>
                <w:lang w:val="en-GB"/>
              </w:rPr>
              <w:t xml:space="preserve"> a</w:t>
            </w:r>
            <w:r w:rsidRPr="00C56A19">
              <w:rPr>
                <w:lang w:val="en-GB"/>
              </w:rPr>
              <w:t>biraterone once daily</w:t>
            </w:r>
            <w:r>
              <w:rPr>
                <w:lang w:val="en-GB"/>
              </w:rPr>
              <w:t xml:space="preserve"> plus </w:t>
            </w:r>
            <w:r w:rsidRPr="00C56A19">
              <w:rPr>
                <w:lang w:val="en-GB"/>
              </w:rPr>
              <w:t>corticosteroid</w:t>
            </w:r>
            <w:r>
              <w:rPr>
                <w:lang w:val="en-GB"/>
              </w:rPr>
              <w:t xml:space="preserve"> (two formulations: abiraterone 1</w:t>
            </w:r>
            <w:r w:rsidR="00FE2E26">
              <w:rPr>
                <w:lang w:val="en-GB"/>
              </w:rPr>
              <w:t xml:space="preserve"> </w:t>
            </w:r>
            <w:r>
              <w:rPr>
                <w:lang w:val="en-GB"/>
              </w:rPr>
              <w:t>g/day + prednisone/prednisolone 8</w:t>
            </w:r>
            <w:r w:rsidR="00FE2E26">
              <w:rPr>
                <w:lang w:val="en-GB"/>
              </w:rPr>
              <w:t xml:space="preserve"> </w:t>
            </w:r>
            <w:r>
              <w:rPr>
                <w:lang w:val="en-GB"/>
              </w:rPr>
              <w:t>mg/day and abiraterone 500</w:t>
            </w:r>
            <w:r w:rsidR="00FE2E26">
              <w:rPr>
                <w:lang w:val="en-GB"/>
              </w:rPr>
              <w:t xml:space="preserve"> </w:t>
            </w:r>
            <w:r>
              <w:rPr>
                <w:lang w:val="en-GB"/>
              </w:rPr>
              <w:t>mg/day + methylprednisolone 10</w:t>
            </w:r>
            <w:r w:rsidR="00FE2E26">
              <w:rPr>
                <w:lang w:val="en-GB"/>
              </w:rPr>
              <w:t xml:space="preserve"> </w:t>
            </w:r>
            <w:r>
              <w:rPr>
                <w:lang w:val="en-GB"/>
              </w:rPr>
              <w:t>mg/day)</w:t>
            </w:r>
          </w:p>
        </w:tc>
      </w:tr>
      <w:tr w:rsidR="0037726A" w14:paraId="026FF554" w14:textId="77777777" w:rsidTr="00FB1722">
        <w:tc>
          <w:tcPr>
            <w:tcW w:w="1075" w:type="dxa"/>
            <w:vAlign w:val="center"/>
          </w:tcPr>
          <w:p w14:paraId="2D8467FB" w14:textId="77777777" w:rsidR="0037726A" w:rsidRDefault="0037726A" w:rsidP="001E53B4">
            <w:pPr>
              <w:pStyle w:val="TableText0"/>
              <w:jc w:val="both"/>
            </w:pPr>
            <w:r>
              <w:t>Comparator</w:t>
            </w:r>
          </w:p>
        </w:tc>
        <w:tc>
          <w:tcPr>
            <w:tcW w:w="8081" w:type="dxa"/>
          </w:tcPr>
          <w:p w14:paraId="4B95CC71" w14:textId="77777777" w:rsidR="0037726A" w:rsidRPr="00C56A19" w:rsidRDefault="0037726A" w:rsidP="001E53B4">
            <w:pPr>
              <w:pStyle w:val="TableText0"/>
              <w:jc w:val="both"/>
              <w:rPr>
                <w:lang w:val="en-GB"/>
              </w:rPr>
            </w:pPr>
            <w:r w:rsidRPr="00C56A19">
              <w:rPr>
                <w:lang w:val="en-GB"/>
              </w:rPr>
              <w:t>Main comparator: NHA monotherapy with either abiraterone or enzalutamide</w:t>
            </w:r>
          </w:p>
          <w:p w14:paraId="4CD0F719" w14:textId="77777777" w:rsidR="0037726A" w:rsidRDefault="0037726A" w:rsidP="001E53B4">
            <w:pPr>
              <w:pStyle w:val="TableText0"/>
              <w:jc w:val="both"/>
              <w:rPr>
                <w:lang w:val="en-GB"/>
              </w:rPr>
            </w:pPr>
            <w:r w:rsidRPr="00C56A19">
              <w:rPr>
                <w:lang w:val="en-GB"/>
              </w:rPr>
              <w:t xml:space="preserve">Near market comparators: </w:t>
            </w:r>
          </w:p>
          <w:p w14:paraId="07A45114" w14:textId="5FD20E7C" w:rsidR="0037726A" w:rsidRDefault="0037726A" w:rsidP="001E53B4">
            <w:pPr>
              <w:pStyle w:val="TableText0"/>
              <w:jc w:val="both"/>
              <w:rPr>
                <w:lang w:val="en-GB"/>
              </w:rPr>
            </w:pPr>
            <w:r w:rsidRPr="00C56A19">
              <w:rPr>
                <w:lang w:val="en-GB"/>
              </w:rPr>
              <w:t>- Talazoparib</w:t>
            </w:r>
            <w:r>
              <w:rPr>
                <w:lang w:val="en-GB"/>
              </w:rPr>
              <w:t xml:space="preserve"> 0.5</w:t>
            </w:r>
            <w:r w:rsidR="00FE2E26">
              <w:rPr>
                <w:lang w:val="en-GB"/>
              </w:rPr>
              <w:t xml:space="preserve"> </w:t>
            </w:r>
            <w:r>
              <w:rPr>
                <w:lang w:val="en-GB"/>
              </w:rPr>
              <w:t xml:space="preserve">mg once daily </w:t>
            </w:r>
            <w:r w:rsidRPr="00C56A19">
              <w:rPr>
                <w:lang w:val="en-GB"/>
              </w:rPr>
              <w:t>in combination with enzalutamide</w:t>
            </w:r>
            <w:r>
              <w:rPr>
                <w:lang w:val="en-GB"/>
              </w:rPr>
              <w:t xml:space="preserve"> 160</w:t>
            </w:r>
            <w:r w:rsidR="00FE2E26">
              <w:rPr>
                <w:lang w:val="en-GB"/>
              </w:rPr>
              <w:t xml:space="preserve"> </w:t>
            </w:r>
            <w:r>
              <w:rPr>
                <w:lang w:val="en-GB"/>
              </w:rPr>
              <w:t>g once daily</w:t>
            </w:r>
          </w:p>
          <w:p w14:paraId="45C71B52" w14:textId="6721913B" w:rsidR="0037726A" w:rsidRDefault="0037726A" w:rsidP="001E53B4">
            <w:pPr>
              <w:pStyle w:val="TableText0"/>
              <w:jc w:val="both"/>
            </w:pPr>
            <w:r w:rsidRPr="00C56A19">
              <w:rPr>
                <w:lang w:val="en-GB"/>
              </w:rPr>
              <w:t>- Niraparib</w:t>
            </w:r>
            <w:r>
              <w:rPr>
                <w:lang w:val="en-GB"/>
              </w:rPr>
              <w:t xml:space="preserve"> 200</w:t>
            </w:r>
            <w:r w:rsidR="00FE2E26">
              <w:rPr>
                <w:lang w:val="en-GB"/>
              </w:rPr>
              <w:t xml:space="preserve"> </w:t>
            </w:r>
            <w:r>
              <w:rPr>
                <w:lang w:val="en-GB"/>
              </w:rPr>
              <w:t>mg once daily</w:t>
            </w:r>
            <w:r>
              <w:rPr>
                <w:vertAlign w:val="superscript"/>
                <w:lang w:val="en-GB"/>
              </w:rPr>
              <w:t xml:space="preserve"> </w:t>
            </w:r>
            <w:r w:rsidRPr="00C56A19">
              <w:rPr>
                <w:lang w:val="en-GB"/>
              </w:rPr>
              <w:t>in combination with abiraterone</w:t>
            </w:r>
            <w:r>
              <w:rPr>
                <w:lang w:val="en-GB"/>
              </w:rPr>
              <w:t xml:space="preserve"> once daily</w:t>
            </w:r>
          </w:p>
        </w:tc>
      </w:tr>
      <w:tr w:rsidR="0037726A" w:rsidRPr="00184F98" w14:paraId="55591F0C" w14:textId="77777777" w:rsidTr="00FB1722">
        <w:tc>
          <w:tcPr>
            <w:tcW w:w="1075" w:type="dxa"/>
            <w:vAlign w:val="center"/>
          </w:tcPr>
          <w:p w14:paraId="1C235782" w14:textId="77777777" w:rsidR="0037726A" w:rsidRDefault="0037726A" w:rsidP="001E53B4">
            <w:pPr>
              <w:pStyle w:val="TableText0"/>
              <w:jc w:val="both"/>
            </w:pPr>
            <w:r>
              <w:t>Outcomes</w:t>
            </w:r>
          </w:p>
        </w:tc>
        <w:tc>
          <w:tcPr>
            <w:tcW w:w="8081" w:type="dxa"/>
          </w:tcPr>
          <w:p w14:paraId="12E0CE5A" w14:textId="3A45C7BB" w:rsidR="0037726A" w:rsidRPr="001E6A3A" w:rsidRDefault="0037726A" w:rsidP="001E53B4">
            <w:pPr>
              <w:pStyle w:val="TableText0"/>
              <w:jc w:val="both"/>
              <w:rPr>
                <w:lang w:val="es-ES"/>
              </w:rPr>
            </w:pPr>
            <w:r w:rsidRPr="001E6A3A">
              <w:rPr>
                <w:lang w:val="es-ES"/>
              </w:rPr>
              <w:t>OS, PFS, PROs, safety, A</w:t>
            </w:r>
            <w:r w:rsidR="001079B2">
              <w:rPr>
                <w:lang w:val="es-ES"/>
              </w:rPr>
              <w:t>E</w:t>
            </w:r>
            <w:r w:rsidRPr="001E6A3A">
              <w:rPr>
                <w:lang w:val="es-ES"/>
              </w:rPr>
              <w:t>s</w:t>
            </w:r>
          </w:p>
        </w:tc>
      </w:tr>
      <w:tr w:rsidR="0037726A" w14:paraId="7AF8BDC6" w14:textId="77777777" w:rsidTr="00FB1722">
        <w:tc>
          <w:tcPr>
            <w:tcW w:w="1075" w:type="dxa"/>
            <w:vAlign w:val="center"/>
          </w:tcPr>
          <w:p w14:paraId="5708ECB8" w14:textId="77777777" w:rsidR="0037726A" w:rsidRDefault="0037726A" w:rsidP="001E53B4">
            <w:pPr>
              <w:pStyle w:val="TableText0"/>
              <w:jc w:val="both"/>
            </w:pPr>
            <w:r>
              <w:t>Clinical claim</w:t>
            </w:r>
          </w:p>
        </w:tc>
        <w:tc>
          <w:tcPr>
            <w:tcW w:w="8081" w:type="dxa"/>
          </w:tcPr>
          <w:p w14:paraId="0C6E3520" w14:textId="19D8170C" w:rsidR="0037726A" w:rsidRDefault="0037726A" w:rsidP="001E53B4">
            <w:pPr>
              <w:pStyle w:val="TableText0"/>
              <w:jc w:val="both"/>
            </w:pPr>
            <w:r w:rsidRPr="00C56A19">
              <w:rPr>
                <w:lang w:val="en-GB"/>
              </w:rPr>
              <w:t>The combination of olaparib plus abiraterone demonstrates superior efficacy and inferior safety when compared to abiraterone plus placebo in NH</w:t>
            </w:r>
            <w:r>
              <w:rPr>
                <w:lang w:val="en-GB"/>
              </w:rPr>
              <w:t>A</w:t>
            </w:r>
            <w:r w:rsidRPr="00C56A19">
              <w:rPr>
                <w:lang w:val="en-GB"/>
              </w:rPr>
              <w:t xml:space="preserve">-naïve mCRPC patients with a confirmed </w:t>
            </w:r>
            <w:r w:rsidR="00A41905" w:rsidRPr="00A41905">
              <w:rPr>
                <w:i/>
                <w:iCs/>
                <w:lang w:val="en-GB"/>
              </w:rPr>
              <w:t>BRCA</w:t>
            </w:r>
            <w:r w:rsidRPr="003B758A">
              <w:rPr>
                <w:lang w:val="en-GB"/>
              </w:rPr>
              <w:t>1</w:t>
            </w:r>
            <w:r w:rsidRPr="00C56A19">
              <w:rPr>
                <w:lang w:val="en-GB"/>
              </w:rPr>
              <w:t xml:space="preserve"> or </w:t>
            </w:r>
            <w:r w:rsidR="00A41905" w:rsidRPr="00A41905">
              <w:rPr>
                <w:i/>
                <w:iCs/>
                <w:lang w:val="en-GB"/>
              </w:rPr>
              <w:t>BRCA</w:t>
            </w:r>
            <w:r w:rsidRPr="003B758A">
              <w:rPr>
                <w:lang w:val="en-GB"/>
              </w:rPr>
              <w:t xml:space="preserve">2 </w:t>
            </w:r>
            <w:r>
              <w:rPr>
                <w:lang w:val="en-GB"/>
              </w:rPr>
              <w:t>pathogenic variant</w:t>
            </w:r>
            <w:r w:rsidRPr="00C56A19">
              <w:rPr>
                <w:lang w:val="en-GB"/>
              </w:rPr>
              <w:t>.</w:t>
            </w:r>
          </w:p>
        </w:tc>
      </w:tr>
    </w:tbl>
    <w:p w14:paraId="7DB93B4B" w14:textId="77777777" w:rsidR="004E6ED1" w:rsidRDefault="004E6ED1" w:rsidP="004E6ED1">
      <w:pPr>
        <w:pStyle w:val="FooterTableFigure"/>
        <w:spacing w:after="0"/>
        <w:jc w:val="both"/>
      </w:pPr>
      <w:r>
        <w:t xml:space="preserve">Source: Table 1-1, p15 </w:t>
      </w:r>
      <w:r w:rsidRPr="00D13A3E">
        <w:t xml:space="preserve">of the </w:t>
      </w:r>
      <w:r>
        <w:t>submission.</w:t>
      </w:r>
    </w:p>
    <w:p w14:paraId="527CA7F0" w14:textId="796611F1" w:rsidR="004E43B2" w:rsidRPr="004E6ED1" w:rsidRDefault="004E6ED1" w:rsidP="004E6ED1">
      <w:pPr>
        <w:pStyle w:val="TableFooter"/>
        <w:jc w:val="both"/>
      </w:pPr>
      <w:r>
        <w:t xml:space="preserve">AE=adverse events; </w:t>
      </w:r>
      <w:r w:rsidR="00A41905" w:rsidRPr="00B87979">
        <w:t>BRCA</w:t>
      </w:r>
      <w:r w:rsidRPr="00B87979">
        <w:t>=breast c</w:t>
      </w:r>
      <w:r w:rsidRPr="00F65180">
        <w:t>ancer gene;</w:t>
      </w:r>
      <w:r w:rsidRPr="00BE056E">
        <w:rPr>
          <w:rFonts w:ascii="ArialNarrow" w:hAnsi="ArialNarrow"/>
          <w:szCs w:val="18"/>
        </w:rPr>
        <w:t xml:space="preserve"> </w:t>
      </w:r>
      <w:r w:rsidRPr="00BE056E">
        <w:t xml:space="preserve">mCRPC=metastatic castration- prostate cancer; NHA=novel hormonal agent; OS=overall survival; PFS=progression-free survival; </w:t>
      </w:r>
      <w:r>
        <w:t xml:space="preserve">PRO=patient reported outcomes </w:t>
      </w:r>
    </w:p>
    <w:p w14:paraId="6B4AB6C2" w14:textId="7F01D731" w:rsidR="005C25FF" w:rsidRPr="00407F2D" w:rsidRDefault="005C25FF" w:rsidP="004A6040">
      <w:pPr>
        <w:pStyle w:val="2-SectionHeading"/>
      </w:pPr>
      <w:bookmarkStart w:id="2" w:name="_Toc145075498"/>
      <w:r w:rsidRPr="00407F2D">
        <w:t>Background</w:t>
      </w:r>
      <w:bookmarkEnd w:id="2"/>
    </w:p>
    <w:p w14:paraId="2C521D6D" w14:textId="78CF03EE" w:rsidR="005C25FF" w:rsidRPr="004151CF" w:rsidRDefault="005C25FF" w:rsidP="004A6040">
      <w:pPr>
        <w:pStyle w:val="4-SubsectionHeading"/>
      </w:pPr>
      <w:bookmarkStart w:id="3" w:name="_Toc22897638"/>
      <w:bookmarkStart w:id="4" w:name="_Toc145075499"/>
      <w:r w:rsidRPr="004151CF">
        <w:t>Registration status</w:t>
      </w:r>
      <w:bookmarkEnd w:id="3"/>
      <w:bookmarkEnd w:id="4"/>
    </w:p>
    <w:p w14:paraId="4176DCBF" w14:textId="7973CF31" w:rsidR="00FE2E26" w:rsidRPr="00940BEC" w:rsidRDefault="00FE2E26" w:rsidP="00DC7A74">
      <w:pPr>
        <w:pStyle w:val="3-BodyText"/>
      </w:pPr>
      <w:r w:rsidRPr="00940BEC">
        <w:t xml:space="preserve">Olaparib with abiraterone </w:t>
      </w:r>
      <w:r w:rsidR="00CF11D7">
        <w:t xml:space="preserve">received TGA </w:t>
      </w:r>
      <w:r w:rsidRPr="00940BEC">
        <w:t xml:space="preserve">registration </w:t>
      </w:r>
      <w:r w:rsidR="00CF11D7">
        <w:t xml:space="preserve">on 5 October 2023 for the following indication: </w:t>
      </w:r>
    </w:p>
    <w:p w14:paraId="67B145F1" w14:textId="759425C7" w:rsidR="00FE2E26" w:rsidRPr="00940BEC" w:rsidRDefault="00FE2E26" w:rsidP="00FE2E26">
      <w:pPr>
        <w:pStyle w:val="3-BodyText"/>
        <w:numPr>
          <w:ilvl w:val="0"/>
          <w:numId w:val="0"/>
        </w:numPr>
        <w:ind w:left="1020"/>
      </w:pPr>
      <w:r w:rsidRPr="00940BEC">
        <w:t>“Lynparza</w:t>
      </w:r>
      <w:r w:rsidRPr="00940BEC">
        <w:rPr>
          <w:rFonts w:cstheme="minorHAnsi"/>
        </w:rPr>
        <w:t>®</w:t>
      </w:r>
      <w:r w:rsidRPr="00940BEC">
        <w:t xml:space="preserve">, in combination with abiraterone and either prednisone or prednisolone, is indicated for the treatment of </w:t>
      </w:r>
      <w:r w:rsidR="00CF11D7">
        <w:t xml:space="preserve">adult </w:t>
      </w:r>
      <w:r w:rsidRPr="00940BEC">
        <w:t xml:space="preserve">patients who have </w:t>
      </w:r>
      <w:r w:rsidR="00CF11D7">
        <w:t>mCRPC</w:t>
      </w:r>
      <w:r w:rsidRPr="00940BEC">
        <w:t xml:space="preserve"> with a deleterious or suspected deleterious BRCA mutation</w:t>
      </w:r>
      <w:r w:rsidR="00CF11D7">
        <w:t xml:space="preserve"> (germline or somatic)</w:t>
      </w:r>
      <w:r w:rsidRPr="00940BEC">
        <w:t>”.</w:t>
      </w:r>
    </w:p>
    <w:p w14:paraId="68542B5B" w14:textId="4F7A28BF" w:rsidR="005B1D42" w:rsidRPr="00D63872" w:rsidRDefault="005B1D42" w:rsidP="00FE2E26">
      <w:pPr>
        <w:pStyle w:val="3-BodyText"/>
      </w:pPr>
      <w:r w:rsidRPr="00D63872">
        <w:lastRenderedPageBreak/>
        <w:t xml:space="preserve">Olaparib is </w:t>
      </w:r>
      <w:r w:rsidR="00CF11D7">
        <w:t>also</w:t>
      </w:r>
      <w:r w:rsidR="00CF11D7" w:rsidRPr="00D63872">
        <w:t xml:space="preserve"> </w:t>
      </w:r>
      <w:r w:rsidR="005C25FF" w:rsidRPr="00D63872">
        <w:t>TGA</w:t>
      </w:r>
      <w:r w:rsidRPr="00D63872">
        <w:t>-</w:t>
      </w:r>
      <w:r w:rsidR="005C25FF" w:rsidRPr="00D63872">
        <w:t xml:space="preserve">registered </w:t>
      </w:r>
      <w:r w:rsidRPr="00D63872">
        <w:t xml:space="preserve">for use as monotherapy for the treatment of mCRPC patients </w:t>
      </w:r>
      <w:r w:rsidRPr="00B87979">
        <w:t xml:space="preserve">with </w:t>
      </w:r>
      <w:r w:rsidR="006C3ED1" w:rsidRPr="00B87979">
        <w:t>BRCA1/2</w:t>
      </w:r>
      <w:r w:rsidRPr="00B87979">
        <w:t xml:space="preserve"> pathogenic</w:t>
      </w:r>
      <w:r w:rsidRPr="00D63872">
        <w:t xml:space="preserve"> variants who have progressed following </w:t>
      </w:r>
      <w:r w:rsidR="00B87979">
        <w:t>NHA</w:t>
      </w:r>
      <w:r w:rsidRPr="00D63872">
        <w:t xml:space="preserve"> therapy</w:t>
      </w:r>
      <w:r w:rsidR="00B230BE" w:rsidRPr="00D63872">
        <w:t xml:space="preserve">. </w:t>
      </w:r>
      <w:r w:rsidR="00C321C4">
        <w:t xml:space="preserve"> </w:t>
      </w:r>
    </w:p>
    <w:p w14:paraId="109760DD" w14:textId="61EE12E6" w:rsidR="00C321C4" w:rsidRPr="00330A70" w:rsidRDefault="00C321C4" w:rsidP="00C321C4">
      <w:pPr>
        <w:pStyle w:val="4-SubsectionHeading"/>
      </w:pPr>
      <w:bookmarkStart w:id="5" w:name="_Toc492317094"/>
      <w:bookmarkStart w:id="6" w:name="_Toc58779751"/>
      <w:r w:rsidRPr="00330A70">
        <w:t>Previous PBAC consideration</w:t>
      </w:r>
      <w:bookmarkEnd w:id="5"/>
      <w:bookmarkEnd w:id="6"/>
      <w:r>
        <w:t>s</w:t>
      </w:r>
    </w:p>
    <w:p w14:paraId="1A5A4776" w14:textId="42081601" w:rsidR="00C321C4" w:rsidRPr="00940BEC" w:rsidRDefault="00C321C4" w:rsidP="00FE2E26">
      <w:pPr>
        <w:pStyle w:val="ExecSumBodyText"/>
        <w:numPr>
          <w:ilvl w:val="1"/>
          <w:numId w:val="1"/>
        </w:numPr>
        <w:jc w:val="both"/>
      </w:pPr>
      <w:r w:rsidRPr="00940BEC">
        <w:rPr>
          <w:lang w:val="en-GB"/>
        </w:rPr>
        <w:t xml:space="preserve">Olaparib monotherapy was recommended by the PBAC in November 2021 for the treatment of mCRPC in patients with BRCA1/2 pathogenic gene variants who have progressed following </w:t>
      </w:r>
      <w:r w:rsidR="00B87979" w:rsidRPr="00940BEC">
        <w:rPr>
          <w:lang w:val="en-GB"/>
        </w:rPr>
        <w:t xml:space="preserve">treatment with a </w:t>
      </w:r>
      <w:r w:rsidRPr="00940BEC">
        <w:rPr>
          <w:lang w:val="en-GB"/>
        </w:rPr>
        <w:t>NHA (para</w:t>
      </w:r>
      <w:r w:rsidR="00B87979" w:rsidRPr="00940BEC">
        <w:rPr>
          <w:lang w:val="en-GB"/>
        </w:rPr>
        <w:t>graph</w:t>
      </w:r>
      <w:r w:rsidRPr="00940BEC">
        <w:rPr>
          <w:lang w:val="en-GB"/>
        </w:rPr>
        <w:t xml:space="preserve"> 7.1 olaparib </w:t>
      </w:r>
      <w:r w:rsidR="00313F0F" w:rsidRPr="00313F0F">
        <w:t xml:space="preserve">Public Summary Document </w:t>
      </w:r>
      <w:r w:rsidR="00313F0F">
        <w:t>(</w:t>
      </w:r>
      <w:r w:rsidRPr="00940BEC">
        <w:rPr>
          <w:lang w:val="en-GB"/>
        </w:rPr>
        <w:t>PSD</w:t>
      </w:r>
      <w:r w:rsidR="00313F0F">
        <w:rPr>
          <w:lang w:val="en-GB"/>
        </w:rPr>
        <w:t>)</w:t>
      </w:r>
      <w:r w:rsidRPr="00940BEC">
        <w:rPr>
          <w:lang w:val="en-GB"/>
        </w:rPr>
        <w:t>, November 2021). The PBAC considered that olaparib monotherapy was cost effective at an incremental cost effectiveness ratio (ICER) of $55,000 to &lt;</w:t>
      </w:r>
      <w:r w:rsidR="00BB2EC3">
        <w:rPr>
          <w:lang w:val="en-GB"/>
        </w:rPr>
        <w:t> </w:t>
      </w:r>
      <w:r w:rsidRPr="00940BEC">
        <w:rPr>
          <w:lang w:val="en-GB"/>
        </w:rPr>
        <w:t>$75,000 per quality adjusted life year (QALY) (para</w:t>
      </w:r>
      <w:r w:rsidR="00FB1722">
        <w:rPr>
          <w:lang w:val="en-GB"/>
        </w:rPr>
        <w:t>graph</w:t>
      </w:r>
      <w:r w:rsidRPr="00940BEC">
        <w:rPr>
          <w:lang w:val="en-GB"/>
        </w:rPr>
        <w:t xml:space="preserve"> 7.9, olaparib PSD, November 2021). </w:t>
      </w:r>
    </w:p>
    <w:p w14:paraId="6792DB20" w14:textId="7FC1C0E2" w:rsidR="00940BEC" w:rsidRPr="00940BEC" w:rsidRDefault="00940BEC" w:rsidP="00940BEC">
      <w:pPr>
        <w:pStyle w:val="ExecSumBodyText"/>
        <w:ind w:firstLine="0"/>
        <w:jc w:val="both"/>
        <w:rPr>
          <w:i/>
          <w:iCs/>
        </w:rPr>
      </w:pPr>
      <w:r w:rsidRPr="00940BEC">
        <w:rPr>
          <w:i/>
          <w:iCs/>
          <w:lang w:val="en-GB"/>
        </w:rPr>
        <w:t>For more detail on PBAC’s view, see section 7 PBAC outcome.</w:t>
      </w:r>
    </w:p>
    <w:p w14:paraId="76E4EF3C" w14:textId="13040F70" w:rsidR="00B60939" w:rsidRPr="00882085" w:rsidRDefault="00B50DB8" w:rsidP="004E18E9">
      <w:pPr>
        <w:pStyle w:val="2-SectionHeading"/>
      </w:pPr>
      <w:bookmarkStart w:id="7" w:name="_Toc107902078"/>
      <w:bookmarkStart w:id="8" w:name="_Toc145075500"/>
      <w:bookmarkEnd w:id="7"/>
      <w:r w:rsidRPr="00407F2D">
        <w:t>Requested listing</w:t>
      </w:r>
      <w:bookmarkEnd w:id="8"/>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6"/>
        <w:gridCol w:w="2113"/>
        <w:gridCol w:w="986"/>
        <w:gridCol w:w="986"/>
        <w:gridCol w:w="846"/>
        <w:gridCol w:w="1550"/>
      </w:tblGrid>
      <w:tr w:rsidR="00371375" w:rsidRPr="001428E9" w14:paraId="1DEB6064" w14:textId="77777777" w:rsidTr="007E324F">
        <w:trPr>
          <w:cantSplit/>
          <w:trHeight w:val="20"/>
        </w:trPr>
        <w:tc>
          <w:tcPr>
            <w:tcW w:w="2536" w:type="dxa"/>
            <w:vAlign w:val="center"/>
          </w:tcPr>
          <w:p w14:paraId="24842817" w14:textId="77777777" w:rsidR="00371375" w:rsidRPr="001428E9" w:rsidRDefault="00371375" w:rsidP="002B2FDF">
            <w:pPr>
              <w:keepLines/>
              <w:widowControl w:val="0"/>
              <w:rPr>
                <w:rFonts w:ascii="Arial Narrow" w:hAnsi="Arial Narrow"/>
                <w:b/>
                <w:bCs/>
                <w:sz w:val="20"/>
                <w:szCs w:val="20"/>
              </w:rPr>
            </w:pPr>
            <w:r w:rsidRPr="001428E9">
              <w:rPr>
                <w:rFonts w:ascii="Arial Narrow" w:hAnsi="Arial Narrow"/>
                <w:b/>
                <w:bCs/>
                <w:sz w:val="20"/>
                <w:szCs w:val="20"/>
              </w:rPr>
              <w:t>MEDICINAL PRODUCT</w:t>
            </w:r>
          </w:p>
          <w:p w14:paraId="7D02C4F1" w14:textId="77777777" w:rsidR="00371375" w:rsidRPr="001428E9" w:rsidRDefault="00371375" w:rsidP="002B2FDF">
            <w:pPr>
              <w:keepLines/>
              <w:widowControl w:val="0"/>
              <w:rPr>
                <w:rFonts w:ascii="Arial Narrow" w:hAnsi="Arial Narrow"/>
                <w:b/>
                <w:sz w:val="20"/>
                <w:szCs w:val="20"/>
              </w:rPr>
            </w:pPr>
            <w:r w:rsidRPr="001428E9">
              <w:rPr>
                <w:rFonts w:ascii="Arial Narrow" w:hAnsi="Arial Narrow"/>
                <w:b/>
                <w:bCs/>
                <w:sz w:val="20"/>
                <w:szCs w:val="20"/>
              </w:rPr>
              <w:t>medicinal product pack</w:t>
            </w:r>
          </w:p>
        </w:tc>
        <w:tc>
          <w:tcPr>
            <w:tcW w:w="2113" w:type="dxa"/>
            <w:vAlign w:val="center"/>
          </w:tcPr>
          <w:p w14:paraId="6E4A5E27" w14:textId="77777777" w:rsidR="00371375" w:rsidRPr="00C61A59" w:rsidRDefault="00371375" w:rsidP="002B2FDF">
            <w:pPr>
              <w:pStyle w:val="TableText0"/>
              <w:keepNext w:val="0"/>
              <w:keepLines/>
              <w:widowControl w:val="0"/>
              <w:rPr>
                <w:b/>
                <w:bCs w:val="0"/>
                <w:szCs w:val="20"/>
              </w:rPr>
            </w:pPr>
            <w:r w:rsidRPr="00C61A59">
              <w:rPr>
                <w:b/>
                <w:bCs w:val="0"/>
                <w:snapToGrid w:val="0"/>
              </w:rPr>
              <w:t xml:space="preserve">Dispensed Price for Max. Qty </w:t>
            </w:r>
          </w:p>
        </w:tc>
        <w:tc>
          <w:tcPr>
            <w:tcW w:w="986" w:type="dxa"/>
            <w:vAlign w:val="center"/>
          </w:tcPr>
          <w:p w14:paraId="360AE57F" w14:textId="77777777" w:rsidR="00371375" w:rsidRPr="001428E9" w:rsidRDefault="00371375" w:rsidP="002B2FDF">
            <w:pPr>
              <w:keepLines/>
              <w:widowControl w:val="0"/>
              <w:rPr>
                <w:rFonts w:ascii="Arial Narrow" w:hAnsi="Arial Narrow"/>
                <w:b/>
                <w:sz w:val="20"/>
                <w:szCs w:val="20"/>
              </w:rPr>
            </w:pPr>
            <w:r w:rsidRPr="001428E9">
              <w:rPr>
                <w:rFonts w:ascii="Arial Narrow" w:hAnsi="Arial Narrow"/>
                <w:b/>
                <w:sz w:val="20"/>
                <w:szCs w:val="20"/>
              </w:rPr>
              <w:t>Max. qty packs</w:t>
            </w:r>
          </w:p>
        </w:tc>
        <w:tc>
          <w:tcPr>
            <w:tcW w:w="986" w:type="dxa"/>
            <w:vAlign w:val="center"/>
          </w:tcPr>
          <w:p w14:paraId="5B12FF31" w14:textId="77777777" w:rsidR="00371375" w:rsidRPr="001428E9" w:rsidRDefault="00371375" w:rsidP="002B2FDF">
            <w:pPr>
              <w:keepLines/>
              <w:widowControl w:val="0"/>
              <w:rPr>
                <w:rFonts w:ascii="Arial Narrow" w:hAnsi="Arial Narrow"/>
                <w:b/>
                <w:sz w:val="20"/>
                <w:szCs w:val="20"/>
              </w:rPr>
            </w:pPr>
            <w:r w:rsidRPr="001428E9">
              <w:rPr>
                <w:rFonts w:ascii="Arial Narrow" w:hAnsi="Arial Narrow"/>
                <w:b/>
                <w:sz w:val="20"/>
                <w:szCs w:val="20"/>
              </w:rPr>
              <w:t>Max. qty units</w:t>
            </w:r>
          </w:p>
        </w:tc>
        <w:tc>
          <w:tcPr>
            <w:tcW w:w="846" w:type="dxa"/>
            <w:vAlign w:val="center"/>
          </w:tcPr>
          <w:p w14:paraId="02D4F4A3" w14:textId="4A5BA71F" w:rsidR="00371375" w:rsidRPr="001428E9" w:rsidRDefault="00371375" w:rsidP="002B2FDF">
            <w:pPr>
              <w:keepLines/>
              <w:widowControl w:val="0"/>
              <w:rPr>
                <w:rFonts w:ascii="Arial Narrow" w:hAnsi="Arial Narrow"/>
                <w:b/>
                <w:sz w:val="20"/>
                <w:szCs w:val="20"/>
              </w:rPr>
            </w:pPr>
            <w:r w:rsidRPr="001428E9">
              <w:rPr>
                <w:rFonts w:ascii="Arial Narrow" w:hAnsi="Arial Narrow"/>
                <w:b/>
                <w:sz w:val="20"/>
                <w:szCs w:val="20"/>
              </w:rPr>
              <w:t>№.</w:t>
            </w:r>
            <w:r w:rsidR="007E324F">
              <w:rPr>
                <w:rFonts w:ascii="Arial Narrow" w:hAnsi="Arial Narrow"/>
                <w:b/>
                <w:sz w:val="20"/>
                <w:szCs w:val="20"/>
              </w:rPr>
              <w:t xml:space="preserve"> </w:t>
            </w:r>
            <w:r w:rsidRPr="001428E9">
              <w:rPr>
                <w:rFonts w:ascii="Arial Narrow" w:hAnsi="Arial Narrow"/>
                <w:b/>
                <w:sz w:val="20"/>
                <w:szCs w:val="20"/>
              </w:rPr>
              <w:t>of</w:t>
            </w:r>
          </w:p>
          <w:p w14:paraId="3EB9D207" w14:textId="77777777" w:rsidR="00371375" w:rsidRPr="001428E9" w:rsidRDefault="00371375" w:rsidP="002B2FDF">
            <w:pPr>
              <w:keepLines/>
              <w:widowControl w:val="0"/>
              <w:rPr>
                <w:rFonts w:ascii="Arial Narrow" w:hAnsi="Arial Narrow"/>
                <w:b/>
                <w:sz w:val="20"/>
                <w:szCs w:val="20"/>
              </w:rPr>
            </w:pPr>
            <w:r w:rsidRPr="001428E9">
              <w:rPr>
                <w:rFonts w:ascii="Arial Narrow" w:hAnsi="Arial Narrow"/>
                <w:b/>
                <w:sz w:val="20"/>
                <w:szCs w:val="20"/>
              </w:rPr>
              <w:t>Rpts</w:t>
            </w:r>
          </w:p>
        </w:tc>
        <w:tc>
          <w:tcPr>
            <w:tcW w:w="1550" w:type="dxa"/>
            <w:vAlign w:val="center"/>
          </w:tcPr>
          <w:p w14:paraId="79BB34F4" w14:textId="77777777" w:rsidR="00371375" w:rsidRPr="001428E9" w:rsidRDefault="00371375" w:rsidP="002B2FDF">
            <w:pPr>
              <w:keepLines/>
              <w:widowControl w:val="0"/>
              <w:rPr>
                <w:rFonts w:ascii="Arial Narrow" w:hAnsi="Arial Narrow"/>
                <w:b/>
                <w:sz w:val="20"/>
                <w:szCs w:val="20"/>
                <w:lang w:val="fr-FR"/>
              </w:rPr>
            </w:pPr>
            <w:r w:rsidRPr="001428E9">
              <w:rPr>
                <w:rFonts w:ascii="Arial Narrow" w:hAnsi="Arial Narrow"/>
                <w:b/>
                <w:sz w:val="20"/>
                <w:szCs w:val="20"/>
              </w:rPr>
              <w:t>Available brands</w:t>
            </w:r>
          </w:p>
        </w:tc>
      </w:tr>
      <w:tr w:rsidR="00371375" w:rsidRPr="001428E9" w14:paraId="750D960E" w14:textId="77777777" w:rsidTr="007E324F">
        <w:trPr>
          <w:cantSplit/>
          <w:trHeight w:val="20"/>
        </w:trPr>
        <w:tc>
          <w:tcPr>
            <w:tcW w:w="9017" w:type="dxa"/>
            <w:gridSpan w:val="6"/>
            <w:vAlign w:val="center"/>
          </w:tcPr>
          <w:p w14:paraId="69DD9798" w14:textId="778DE823" w:rsidR="00371375" w:rsidRPr="001428E9" w:rsidRDefault="00371375" w:rsidP="00D63872">
            <w:pPr>
              <w:pStyle w:val="TableText0"/>
              <w:keepNext w:val="0"/>
              <w:keepLines/>
              <w:widowControl w:val="0"/>
              <w:jc w:val="both"/>
              <w:rPr>
                <w:rFonts w:cs="Arial"/>
                <w:szCs w:val="20"/>
              </w:rPr>
            </w:pPr>
            <w:r>
              <w:t xml:space="preserve">Olaparib </w:t>
            </w:r>
            <w:r w:rsidR="007E324F">
              <w:t>– initial and continuing treatment</w:t>
            </w:r>
          </w:p>
        </w:tc>
      </w:tr>
      <w:tr w:rsidR="00371375" w:rsidRPr="003A4C14" w14:paraId="7AD8464B" w14:textId="77777777" w:rsidTr="007E324F">
        <w:trPr>
          <w:cantSplit/>
          <w:trHeight w:val="20"/>
        </w:trPr>
        <w:tc>
          <w:tcPr>
            <w:tcW w:w="2536" w:type="dxa"/>
            <w:vAlign w:val="center"/>
          </w:tcPr>
          <w:p w14:paraId="06833341" w14:textId="5874D4D1" w:rsidR="0042464F" w:rsidRPr="00275F35" w:rsidRDefault="00371375" w:rsidP="002B2FDF">
            <w:pPr>
              <w:keepLines/>
              <w:widowControl w:val="0"/>
              <w:rPr>
                <w:rFonts w:ascii="Arial Narrow" w:eastAsiaTheme="majorEastAsia" w:hAnsi="Arial Narrow" w:cstheme="majorBidi"/>
                <w:bCs/>
                <w:sz w:val="20"/>
              </w:rPr>
            </w:pPr>
            <w:r w:rsidRPr="00275F35">
              <w:rPr>
                <w:rFonts w:ascii="Arial Narrow" w:eastAsiaTheme="majorEastAsia" w:hAnsi="Arial Narrow" w:cstheme="majorBidi"/>
                <w:bCs/>
                <w:sz w:val="20"/>
              </w:rPr>
              <w:t xml:space="preserve">OLAPARIB, </w:t>
            </w:r>
          </w:p>
          <w:p w14:paraId="05A48FCA" w14:textId="5DC0D942" w:rsidR="00371375" w:rsidRPr="007E324F" w:rsidRDefault="0046354D" w:rsidP="002B2FDF">
            <w:pPr>
              <w:keepLines/>
              <w:widowControl w:val="0"/>
              <w:rPr>
                <w:rFonts w:ascii="Arial Narrow" w:eastAsiaTheme="majorEastAsia" w:hAnsi="Arial Narrow" w:cstheme="majorBidi"/>
                <w:bCs/>
                <w:sz w:val="20"/>
              </w:rPr>
            </w:pPr>
            <w:r w:rsidRPr="00275F35">
              <w:rPr>
                <w:rFonts w:ascii="Arial Narrow" w:eastAsiaTheme="majorEastAsia" w:hAnsi="Arial Narrow" w:cstheme="majorBidi"/>
                <w:bCs/>
                <w:sz w:val="20"/>
              </w:rPr>
              <w:t>Tablet 100mg, 56</w:t>
            </w:r>
            <w:r w:rsidRPr="00275F35">
              <w:rPr>
                <w:rFonts w:ascii="Arial Narrow" w:eastAsiaTheme="majorEastAsia" w:hAnsi="Arial Narrow" w:cstheme="majorBidi"/>
                <w:bCs/>
                <w:sz w:val="20"/>
              </w:rPr>
              <w:br/>
              <w:t>Tablet 150mg, 56</w:t>
            </w:r>
          </w:p>
        </w:tc>
        <w:tc>
          <w:tcPr>
            <w:tcW w:w="2113" w:type="dxa"/>
            <w:vAlign w:val="center"/>
          </w:tcPr>
          <w:p w14:paraId="152CF620" w14:textId="77777777" w:rsidR="00371375" w:rsidRPr="00565C79" w:rsidRDefault="00371375" w:rsidP="002B2FDF">
            <w:pPr>
              <w:pStyle w:val="TableText0"/>
              <w:keepNext w:val="0"/>
              <w:keepLines/>
              <w:widowControl w:val="0"/>
            </w:pPr>
            <w:r w:rsidRPr="00565C79">
              <w:t>$</w:t>
            </w:r>
            <w:r w:rsidRPr="000648C6">
              <w:t>6,630.78</w:t>
            </w:r>
            <w:r w:rsidRPr="00565C79">
              <w:t xml:space="preserve"> published price</w:t>
            </w:r>
          </w:p>
          <w:p w14:paraId="78EAF6DF" w14:textId="24EA3390" w:rsidR="00371375" w:rsidRPr="001428E9" w:rsidRDefault="00371375" w:rsidP="002B2FDF">
            <w:pPr>
              <w:pStyle w:val="TableText0"/>
              <w:keepNext w:val="0"/>
              <w:keepLines/>
              <w:widowControl w:val="0"/>
              <w:rPr>
                <w:szCs w:val="20"/>
              </w:rPr>
            </w:pPr>
            <w:r w:rsidRPr="00565C79">
              <w:t>$</w:t>
            </w:r>
            <w:r w:rsidR="003C22C5" w:rsidRPr="003C22C5">
              <w:rPr>
                <w:szCs w:val="20"/>
              </w:rPr>
              <w:t xml:space="preserve"> </w:t>
            </w:r>
            <w:r w:rsidR="00B7116A" w:rsidRPr="00B7116A">
              <w:rPr>
                <w:color w:val="000000"/>
                <w:spacing w:val="51"/>
                <w:szCs w:val="20"/>
                <w:shd w:val="solid" w:color="000000" w:fill="000000"/>
                <w:fitText w:val="326" w:id="-1031540992"/>
                <w14:textFill>
                  <w14:solidFill>
                    <w14:srgbClr w14:val="000000">
                      <w14:alpha w14:val="100000"/>
                    </w14:srgbClr>
                  </w14:solidFill>
                </w14:textFill>
              </w:rPr>
              <w:t>|||</w:t>
            </w:r>
            <w:r w:rsidR="00B7116A" w:rsidRPr="00B7116A">
              <w:rPr>
                <w:color w:val="000000"/>
                <w:spacing w:val="3"/>
                <w:szCs w:val="20"/>
                <w:shd w:val="solid" w:color="000000" w:fill="000000"/>
                <w:fitText w:val="326" w:id="-1031540992"/>
                <w14:textFill>
                  <w14:solidFill>
                    <w14:srgbClr w14:val="000000">
                      <w14:alpha w14:val="100000"/>
                    </w14:srgbClr>
                  </w14:solidFill>
                </w14:textFill>
              </w:rPr>
              <w:t>|</w:t>
            </w:r>
            <w:r>
              <w:rPr>
                <w:szCs w:val="20"/>
              </w:rPr>
              <w:t xml:space="preserve"> </w:t>
            </w:r>
            <w:r w:rsidRPr="00565C79">
              <w:t>effective price</w:t>
            </w:r>
          </w:p>
        </w:tc>
        <w:tc>
          <w:tcPr>
            <w:tcW w:w="986" w:type="dxa"/>
            <w:vAlign w:val="center"/>
          </w:tcPr>
          <w:p w14:paraId="690DD3A0" w14:textId="77777777" w:rsidR="00371375" w:rsidRPr="000648C6" w:rsidRDefault="00371375" w:rsidP="002B2FDF">
            <w:pPr>
              <w:pStyle w:val="TableText0"/>
              <w:keepNext w:val="0"/>
              <w:keepLines/>
              <w:widowControl w:val="0"/>
            </w:pPr>
            <w:r w:rsidRPr="00435365">
              <w:t>2</w:t>
            </w:r>
          </w:p>
        </w:tc>
        <w:tc>
          <w:tcPr>
            <w:tcW w:w="986" w:type="dxa"/>
            <w:vAlign w:val="center"/>
          </w:tcPr>
          <w:p w14:paraId="527CA2D3" w14:textId="77777777" w:rsidR="00371375" w:rsidRPr="000648C6" w:rsidRDefault="00371375" w:rsidP="002B2FDF">
            <w:pPr>
              <w:pStyle w:val="TableText0"/>
              <w:keepNext w:val="0"/>
              <w:keepLines/>
              <w:widowControl w:val="0"/>
            </w:pPr>
            <w:r w:rsidRPr="00435365">
              <w:t>112</w:t>
            </w:r>
          </w:p>
        </w:tc>
        <w:tc>
          <w:tcPr>
            <w:tcW w:w="846" w:type="dxa"/>
            <w:vAlign w:val="center"/>
          </w:tcPr>
          <w:p w14:paraId="127F629B" w14:textId="77777777" w:rsidR="00371375" w:rsidRPr="000648C6" w:rsidRDefault="00371375" w:rsidP="002B2FDF">
            <w:pPr>
              <w:pStyle w:val="TableText0"/>
              <w:keepNext w:val="0"/>
              <w:keepLines/>
              <w:widowControl w:val="0"/>
            </w:pPr>
            <w:r w:rsidRPr="00435365">
              <w:t>2</w:t>
            </w:r>
          </w:p>
        </w:tc>
        <w:tc>
          <w:tcPr>
            <w:tcW w:w="1550" w:type="dxa"/>
            <w:vAlign w:val="center"/>
          </w:tcPr>
          <w:p w14:paraId="3BF681A4" w14:textId="77777777" w:rsidR="00371375" w:rsidRPr="003A4C14" w:rsidRDefault="00371375" w:rsidP="002B2FDF">
            <w:pPr>
              <w:pStyle w:val="TableText0"/>
              <w:keepNext w:val="0"/>
              <w:keepLines/>
              <w:widowControl w:val="0"/>
              <w:rPr>
                <w:color w:val="0066FF"/>
                <w:szCs w:val="20"/>
              </w:rPr>
            </w:pPr>
            <w:r w:rsidRPr="000648C6">
              <w:t>LYNPARZA</w:t>
            </w:r>
            <w:r w:rsidRPr="000648C6">
              <w:rPr>
                <w:vertAlign w:val="superscript"/>
              </w:rPr>
              <w:t>®</w:t>
            </w:r>
            <w:r>
              <w:rPr>
                <w:vertAlign w:val="superscript"/>
              </w:rPr>
              <w:t xml:space="preserve">, </w:t>
            </w:r>
            <w:r w:rsidRPr="000648C6">
              <w:t>AstraZe</w:t>
            </w:r>
            <w:r>
              <w:t>n</w:t>
            </w:r>
            <w:r w:rsidRPr="000648C6">
              <w:t>eca</w:t>
            </w:r>
          </w:p>
        </w:tc>
      </w:tr>
      <w:tr w:rsidR="00FE2E26" w:rsidRPr="00046D64" w14:paraId="48EE0571"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tcPr>
          <w:p w14:paraId="6B3770C4" w14:textId="77777777" w:rsidR="00FE2E26" w:rsidRPr="00046D64" w:rsidRDefault="00FE2E26" w:rsidP="00D63872">
            <w:pPr>
              <w:pStyle w:val="TableText0"/>
              <w:keepNext w:val="0"/>
              <w:keepLines/>
              <w:widowControl w:val="0"/>
              <w:jc w:val="both"/>
              <w:rPr>
                <w:b/>
              </w:rPr>
            </w:pPr>
          </w:p>
        </w:tc>
      </w:tr>
      <w:tr w:rsidR="00FA3385" w:rsidRPr="00046D64" w14:paraId="22C9F2C1"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tcPr>
          <w:p w14:paraId="75719E11" w14:textId="77777777" w:rsidR="00FA3385" w:rsidRPr="00046D64" w:rsidRDefault="00FA3385" w:rsidP="00D63872">
            <w:pPr>
              <w:pStyle w:val="TableText0"/>
              <w:keepNext w:val="0"/>
              <w:keepLines/>
              <w:widowControl w:val="0"/>
              <w:jc w:val="both"/>
            </w:pPr>
            <w:r w:rsidRPr="00046D64">
              <w:rPr>
                <w:b/>
              </w:rPr>
              <w:t xml:space="preserve">Category / Program: </w:t>
            </w:r>
            <w:r>
              <w:t>General Schedule (Code GE)</w:t>
            </w:r>
          </w:p>
        </w:tc>
      </w:tr>
      <w:tr w:rsidR="00FA3385" w:rsidRPr="00046D64" w14:paraId="2114897D"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tcPr>
          <w:p w14:paraId="3872A444" w14:textId="77777777" w:rsidR="00FA3385" w:rsidRPr="00046D64" w:rsidRDefault="00FA3385" w:rsidP="00D63872">
            <w:pPr>
              <w:pStyle w:val="TableText0"/>
              <w:keepNext w:val="0"/>
              <w:keepLines/>
              <w:widowControl w:val="0"/>
              <w:jc w:val="both"/>
              <w:rPr>
                <w:b/>
              </w:rPr>
            </w:pPr>
            <w:r w:rsidRPr="00046D64">
              <w:rPr>
                <w:b/>
              </w:rPr>
              <w:t xml:space="preserve">Prescriber type: </w:t>
            </w:r>
            <w:r w:rsidRPr="00046D64">
              <w:fldChar w:fldCharType="begin" w:fldLock="1">
                <w:ffData>
                  <w:name w:val="Check1"/>
                  <w:enabled/>
                  <w:calcOnExit w:val="0"/>
                  <w:checkBox>
                    <w:sizeAuto/>
                    <w:default w:val="0"/>
                  </w:checkBox>
                </w:ffData>
              </w:fldChar>
            </w:r>
            <w:r w:rsidRPr="00046D64">
              <w:instrText xml:space="preserve"> FORMCHECKBOX </w:instrText>
            </w:r>
            <w:r w:rsidR="0026182E">
              <w:fldChar w:fldCharType="separate"/>
            </w:r>
            <w:r w:rsidRPr="00046D64">
              <w:fldChar w:fldCharType="end"/>
            </w:r>
            <w:r w:rsidRPr="00046D64">
              <w:t xml:space="preserve">Dental </w:t>
            </w:r>
            <w:r>
              <w:fldChar w:fldCharType="begin" w:fldLock="1">
                <w:ffData>
                  <w:name w:val=""/>
                  <w:enabled/>
                  <w:calcOnExit w:val="0"/>
                  <w:checkBox>
                    <w:sizeAuto/>
                    <w:default w:val="1"/>
                  </w:checkBox>
                </w:ffData>
              </w:fldChar>
            </w:r>
            <w:r>
              <w:instrText xml:space="preserve"> FORMCHECKBOX </w:instrText>
            </w:r>
            <w:r w:rsidR="0026182E">
              <w:fldChar w:fldCharType="separate"/>
            </w:r>
            <w:r>
              <w:fldChar w:fldCharType="end"/>
            </w:r>
            <w:r w:rsidRPr="00046D64">
              <w:t xml:space="preserve">Medical Practitioners </w:t>
            </w:r>
            <w:r w:rsidRPr="00046D64">
              <w:fldChar w:fldCharType="begin" w:fldLock="1">
                <w:ffData>
                  <w:name w:val="Check3"/>
                  <w:enabled/>
                  <w:calcOnExit w:val="0"/>
                  <w:checkBox>
                    <w:sizeAuto/>
                    <w:default w:val="0"/>
                  </w:checkBox>
                </w:ffData>
              </w:fldChar>
            </w:r>
            <w:r w:rsidRPr="00046D64">
              <w:instrText xml:space="preserve"> FORMCHECKBOX </w:instrText>
            </w:r>
            <w:r w:rsidR="0026182E">
              <w:fldChar w:fldCharType="separate"/>
            </w:r>
            <w:r w:rsidRPr="00046D64">
              <w:fldChar w:fldCharType="end"/>
            </w:r>
            <w:r w:rsidRPr="00046D64">
              <w:t xml:space="preserve">Nurse practitioners </w:t>
            </w:r>
            <w:r w:rsidRPr="00046D64">
              <w:fldChar w:fldCharType="begin" w:fldLock="1">
                <w:ffData>
                  <w:name w:val=""/>
                  <w:enabled/>
                  <w:calcOnExit w:val="0"/>
                  <w:checkBox>
                    <w:sizeAuto/>
                    <w:default w:val="0"/>
                  </w:checkBox>
                </w:ffData>
              </w:fldChar>
            </w:r>
            <w:r w:rsidRPr="00046D64">
              <w:instrText xml:space="preserve"> FORMCHECKBOX </w:instrText>
            </w:r>
            <w:r w:rsidR="0026182E">
              <w:fldChar w:fldCharType="separate"/>
            </w:r>
            <w:r w:rsidRPr="00046D64">
              <w:fldChar w:fldCharType="end"/>
            </w:r>
            <w:r w:rsidRPr="00046D64">
              <w:t xml:space="preserve">Optometrists </w:t>
            </w:r>
            <w:r w:rsidRPr="00046D64">
              <w:fldChar w:fldCharType="begin" w:fldLock="1">
                <w:ffData>
                  <w:name w:val="Check5"/>
                  <w:enabled/>
                  <w:calcOnExit w:val="0"/>
                  <w:checkBox>
                    <w:sizeAuto/>
                    <w:default w:val="0"/>
                  </w:checkBox>
                </w:ffData>
              </w:fldChar>
            </w:r>
            <w:r w:rsidRPr="00046D64">
              <w:instrText xml:space="preserve"> FORMCHECKBOX </w:instrText>
            </w:r>
            <w:r w:rsidR="0026182E">
              <w:fldChar w:fldCharType="separate"/>
            </w:r>
            <w:r w:rsidRPr="00046D64">
              <w:fldChar w:fldCharType="end"/>
            </w:r>
          </w:p>
        </w:tc>
      </w:tr>
      <w:tr w:rsidR="00FA3385" w:rsidRPr="00046D64" w14:paraId="7D7C6BBB"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BEB5083" w14:textId="77777777" w:rsidR="00FA3385" w:rsidRPr="00046D64" w:rsidRDefault="00FA3385" w:rsidP="00D63872">
            <w:pPr>
              <w:pStyle w:val="TableText0"/>
              <w:keepNext w:val="0"/>
              <w:keepLines/>
              <w:widowControl w:val="0"/>
              <w:jc w:val="both"/>
              <w:rPr>
                <w:b/>
              </w:rPr>
            </w:pPr>
            <w:r w:rsidRPr="00046D64">
              <w:rPr>
                <w:b/>
              </w:rPr>
              <w:t>Severity:</w:t>
            </w:r>
            <w:r w:rsidRPr="00C323D1">
              <w:rPr>
                <w:iCs/>
                <w:szCs w:val="20"/>
              </w:rPr>
              <w:t xml:space="preserve"> Metastatic</w:t>
            </w:r>
          </w:p>
        </w:tc>
      </w:tr>
      <w:tr w:rsidR="00FA3385" w:rsidRPr="00046D64" w14:paraId="46474491"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293DE357" w14:textId="77777777" w:rsidR="00FA3385" w:rsidRPr="00046D64" w:rsidRDefault="00FA3385" w:rsidP="00D63872">
            <w:pPr>
              <w:pStyle w:val="TableText0"/>
              <w:keepNext w:val="0"/>
              <w:keepLines/>
              <w:widowControl w:val="0"/>
              <w:jc w:val="both"/>
              <w:rPr>
                <w:b/>
              </w:rPr>
            </w:pPr>
            <w:r w:rsidRPr="00046D64">
              <w:rPr>
                <w:b/>
              </w:rPr>
              <w:t xml:space="preserve">Condition: </w:t>
            </w:r>
            <w:r w:rsidRPr="00BE056E">
              <w:rPr>
                <w:rFonts w:cs="Arial"/>
                <w:szCs w:val="20"/>
              </w:rPr>
              <w:t>Castration resistant metastatic carcinoma of the prostate</w:t>
            </w:r>
          </w:p>
        </w:tc>
      </w:tr>
      <w:tr w:rsidR="00FA3385" w:rsidRPr="00046D64" w14:paraId="1E5DF24F"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71E3EDA" w14:textId="77777777" w:rsidR="00FA3385" w:rsidRPr="00046D64" w:rsidRDefault="00FA3385" w:rsidP="00D63872">
            <w:pPr>
              <w:pStyle w:val="TableText0"/>
              <w:keepNext w:val="0"/>
              <w:keepLines/>
              <w:widowControl w:val="0"/>
              <w:jc w:val="both"/>
            </w:pPr>
            <w:r w:rsidRPr="00046D64">
              <w:rPr>
                <w:b/>
              </w:rPr>
              <w:t>Indication:</w:t>
            </w:r>
            <w:r w:rsidRPr="00046D64">
              <w:t xml:space="preserve"> </w:t>
            </w:r>
            <w:r w:rsidRPr="00BE056E">
              <w:rPr>
                <w:rFonts w:cs="Arial"/>
                <w:szCs w:val="20"/>
              </w:rPr>
              <w:t>Castration resistant metastatic carcinoma of the prostate</w:t>
            </w:r>
            <w:r>
              <w:rPr>
                <w:rFonts w:cs="Arial"/>
                <w:szCs w:val="20"/>
              </w:rPr>
              <w:t xml:space="preserve"> </w:t>
            </w:r>
          </w:p>
        </w:tc>
      </w:tr>
      <w:tr w:rsidR="00FA3385" w:rsidRPr="00046D64" w14:paraId="5DC35C05"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1525949F" w14:textId="77777777" w:rsidR="00FA3385" w:rsidRPr="00046D64" w:rsidRDefault="00FA3385" w:rsidP="00D63872">
            <w:pPr>
              <w:pStyle w:val="TableText0"/>
              <w:keepNext w:val="0"/>
              <w:keepLines/>
              <w:widowControl w:val="0"/>
              <w:jc w:val="both"/>
            </w:pPr>
            <w:r w:rsidRPr="00046D64">
              <w:rPr>
                <w:b/>
              </w:rPr>
              <w:t>Treatment Phase:</w:t>
            </w:r>
            <w:r w:rsidRPr="00C323D1">
              <w:rPr>
                <w:rFonts w:cs="Arial"/>
                <w:szCs w:val="20"/>
              </w:rPr>
              <w:t xml:space="preserve"> Initial</w:t>
            </w:r>
          </w:p>
        </w:tc>
      </w:tr>
      <w:tr w:rsidR="00FA3385" w:rsidRPr="00046D64" w14:paraId="7FD28935"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3D65046" w14:textId="20B648A2" w:rsidR="00FA3385" w:rsidRPr="00046D64" w:rsidRDefault="00FA3385" w:rsidP="007E324F">
            <w:pPr>
              <w:pStyle w:val="TableText0"/>
              <w:keepNext w:val="0"/>
              <w:keepLines/>
              <w:widowControl w:val="0"/>
              <w:jc w:val="both"/>
              <w:rPr>
                <w:b/>
              </w:rPr>
            </w:pPr>
            <w:r w:rsidRPr="00046D64">
              <w:rPr>
                <w:b/>
              </w:rPr>
              <w:t xml:space="preserve">Restriction type: </w:t>
            </w:r>
            <w:r>
              <w:rPr>
                <w:rFonts w:eastAsia="Times New Roman"/>
              </w:rPr>
              <w:fldChar w:fldCharType="begin" w:fldLock="1">
                <w:ffData>
                  <w:name w:val="Check3"/>
                  <w:enabled/>
                  <w:calcOnExit w:val="0"/>
                  <w:checkBox>
                    <w:sizeAuto/>
                    <w:default w:val="1"/>
                  </w:checkBox>
                </w:ffData>
              </w:fldChar>
            </w:r>
            <w:bookmarkStart w:id="9" w:name="Check3"/>
            <w:r>
              <w:rPr>
                <w:rFonts w:eastAsia="Times New Roman"/>
              </w:rPr>
              <w:instrText xml:space="preserve"> FORMCHECKBOX </w:instrText>
            </w:r>
            <w:r w:rsidR="0026182E">
              <w:rPr>
                <w:rFonts w:eastAsia="Times New Roman"/>
              </w:rPr>
            </w:r>
            <w:r w:rsidR="0026182E">
              <w:rPr>
                <w:rFonts w:eastAsia="Times New Roman"/>
              </w:rPr>
              <w:fldChar w:fldCharType="separate"/>
            </w:r>
            <w:r>
              <w:rPr>
                <w:rFonts w:eastAsia="Times New Roman"/>
              </w:rPr>
              <w:fldChar w:fldCharType="end"/>
            </w:r>
            <w:bookmarkEnd w:id="9"/>
            <w:r w:rsidRPr="00046D64">
              <w:rPr>
                <w:rFonts w:eastAsia="Times New Roman"/>
              </w:rPr>
              <w:t>Authority Required (telephone/online PBS Authorities system)</w:t>
            </w:r>
          </w:p>
        </w:tc>
      </w:tr>
      <w:tr w:rsidR="00FA3385" w:rsidRPr="00046D64" w14:paraId="1059F399"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AE6B927" w14:textId="77777777" w:rsidR="00FA3385" w:rsidRPr="00046D64" w:rsidRDefault="00FA3385" w:rsidP="00D63872">
            <w:pPr>
              <w:pStyle w:val="TableText0"/>
              <w:keepNext w:val="0"/>
              <w:keepLines/>
              <w:widowControl w:val="0"/>
              <w:jc w:val="both"/>
            </w:pPr>
            <w:r w:rsidRPr="00046D64">
              <w:rPr>
                <w:b/>
              </w:rPr>
              <w:t>Clinical criteria:</w:t>
            </w:r>
          </w:p>
        </w:tc>
      </w:tr>
      <w:tr w:rsidR="00FA3385" w:rsidRPr="00046D64" w14:paraId="709386B1"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5E2F3AB" w14:textId="44BF5622"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 xml:space="preserve">The condition must be associated with a class 4 or 5 </w:t>
            </w:r>
            <w:r w:rsidR="00A41905" w:rsidRPr="00A41905">
              <w:rPr>
                <w:rFonts w:eastAsiaTheme="majorEastAsia"/>
                <w:bCs/>
                <w:i/>
                <w:iCs/>
                <w:szCs w:val="20"/>
                <w:lang w:eastAsia="en-AU"/>
              </w:rPr>
              <w:t>BRCA</w:t>
            </w:r>
            <w:r w:rsidRPr="00C323D1">
              <w:rPr>
                <w:rFonts w:eastAsiaTheme="majorEastAsia"/>
                <w:bCs/>
                <w:szCs w:val="20"/>
                <w:lang w:eastAsia="en-AU"/>
              </w:rPr>
              <w:t xml:space="preserve">1 or </w:t>
            </w:r>
            <w:r w:rsidR="00A41905" w:rsidRPr="00A41905">
              <w:rPr>
                <w:rFonts w:eastAsiaTheme="majorEastAsia"/>
                <w:bCs/>
                <w:i/>
                <w:iCs/>
                <w:szCs w:val="20"/>
                <w:lang w:eastAsia="en-AU"/>
              </w:rPr>
              <w:t>BRCA</w:t>
            </w:r>
            <w:r w:rsidRPr="00C323D1">
              <w:rPr>
                <w:rFonts w:eastAsiaTheme="majorEastAsia"/>
                <w:bCs/>
                <w:szCs w:val="20"/>
                <w:lang w:eastAsia="en-AU"/>
              </w:rPr>
              <w:t>2 gene mutation,</w:t>
            </w:r>
          </w:p>
          <w:p w14:paraId="4EAAE513"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0D22F0B5"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The treatment must be/have been initiated within 4 months of treatment initiation of an NHA</w:t>
            </w:r>
          </w:p>
          <w:p w14:paraId="10790B53"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0EB43224"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The treatment must be in combination with abiraterone, unless an intolerance to abiraterone requires a temporary or permanent discontinuation of abiraterone</w:t>
            </w:r>
          </w:p>
          <w:p w14:paraId="31F45164"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04E339A8"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The treatment must not be used in combination with chemotherapy</w:t>
            </w:r>
          </w:p>
          <w:p w14:paraId="1C278AB8"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34018086"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Patient must have a WHO performance status of 2 or less</w:t>
            </w:r>
          </w:p>
          <w:p w14:paraId="38AC59B0"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46F999F1" w14:textId="77777777" w:rsidR="00FA3385" w:rsidRPr="00046D64" w:rsidRDefault="00FA3385" w:rsidP="00D63872">
            <w:pPr>
              <w:pStyle w:val="TableText0"/>
              <w:keepNext w:val="0"/>
              <w:keepLines/>
              <w:widowControl w:val="0"/>
              <w:jc w:val="both"/>
            </w:pPr>
            <w:r w:rsidRPr="00C323D1">
              <w:rPr>
                <w:rFonts w:cs="Arial"/>
                <w:szCs w:val="20"/>
              </w:rPr>
              <w:t>Patient must not receive PBS-subsidised treatment with this drug if progressive disease develops while on this drug</w:t>
            </w:r>
          </w:p>
        </w:tc>
      </w:tr>
      <w:tr w:rsidR="00FA3385" w:rsidRPr="00046D64" w14:paraId="1E082BDA"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66A333D4" w14:textId="77777777" w:rsidR="00FA3385" w:rsidRPr="00C323D1" w:rsidRDefault="00FA3385" w:rsidP="00D63872">
            <w:pPr>
              <w:pStyle w:val="TableText0"/>
              <w:keepNext w:val="0"/>
              <w:keepLines/>
              <w:widowControl w:val="0"/>
              <w:jc w:val="both"/>
              <w:rPr>
                <w:b/>
                <w:bCs w:val="0"/>
              </w:rPr>
            </w:pPr>
            <w:r w:rsidRPr="00C323D1">
              <w:rPr>
                <w:b/>
                <w:bCs w:val="0"/>
              </w:rPr>
              <w:t>Treatment Criteria</w:t>
            </w:r>
          </w:p>
        </w:tc>
      </w:tr>
      <w:tr w:rsidR="00FA3385" w:rsidRPr="00046D64" w14:paraId="2F59A103"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A8709E3"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Patient must be undergoing treatment with this drug class for the first time;</w:t>
            </w:r>
          </w:p>
          <w:p w14:paraId="69930C13"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OR</w:t>
            </w:r>
          </w:p>
          <w:p w14:paraId="49432119" w14:textId="77777777" w:rsidR="00FA3385" w:rsidRPr="00C323D1" w:rsidRDefault="00FA3385" w:rsidP="00D63872">
            <w:pPr>
              <w:pStyle w:val="TableText0"/>
              <w:keepNext w:val="0"/>
              <w:keepLines/>
              <w:widowControl w:val="0"/>
              <w:jc w:val="both"/>
              <w:rPr>
                <w:b/>
                <w:bCs w:val="0"/>
              </w:rPr>
            </w:pPr>
            <w:r w:rsidRPr="00C323D1">
              <w:rPr>
                <w:rFonts w:cs="Arial"/>
                <w:szCs w:val="20"/>
              </w:rPr>
              <w:t>Patient must be undergoing treatment with this drug class on a subsequent occasion, but only because there was an intolerance/contraindication to another drug in the same class that required permanent treatment withdrawal.</w:t>
            </w:r>
          </w:p>
        </w:tc>
      </w:tr>
      <w:tr w:rsidR="007E324F" w:rsidRPr="00046D64" w14:paraId="466C716F"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1982B528" w14:textId="77777777" w:rsidR="007E324F" w:rsidRPr="00C323D1" w:rsidRDefault="007E324F" w:rsidP="00D63872">
            <w:pPr>
              <w:pStyle w:val="PBACTabletext"/>
              <w:keepNext w:val="0"/>
              <w:widowControl w:val="0"/>
              <w:suppressLineNumbers w:val="0"/>
              <w:spacing w:after="0"/>
              <w:jc w:val="both"/>
              <w:rPr>
                <w:rFonts w:eastAsiaTheme="majorEastAsia"/>
                <w:bCs/>
                <w:szCs w:val="20"/>
                <w:lang w:eastAsia="en-AU"/>
              </w:rPr>
            </w:pPr>
          </w:p>
        </w:tc>
      </w:tr>
      <w:tr w:rsidR="00FA3385" w:rsidRPr="00046D64" w14:paraId="5EA3B6FD"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1C82BD45" w14:textId="77777777" w:rsidR="00FA3385" w:rsidRPr="00046D64" w:rsidRDefault="00FA3385" w:rsidP="00D63872">
            <w:pPr>
              <w:pStyle w:val="TableText0"/>
              <w:keepNext w:val="0"/>
              <w:keepLines/>
              <w:widowControl w:val="0"/>
              <w:jc w:val="both"/>
            </w:pPr>
            <w:r w:rsidRPr="00046D64">
              <w:rPr>
                <w:b/>
              </w:rPr>
              <w:t>Treatment Phase:</w:t>
            </w:r>
            <w:r w:rsidRPr="00C323D1">
              <w:rPr>
                <w:rFonts w:cs="Arial"/>
                <w:szCs w:val="20"/>
              </w:rPr>
              <w:t xml:space="preserve"> </w:t>
            </w:r>
            <w:r>
              <w:rPr>
                <w:rFonts w:cs="Arial"/>
                <w:szCs w:val="20"/>
              </w:rPr>
              <w:t>Continuing</w:t>
            </w:r>
          </w:p>
        </w:tc>
      </w:tr>
      <w:tr w:rsidR="00FA3385" w:rsidRPr="00046D64" w14:paraId="2AEBBEA5"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C462AFA" w14:textId="739A9883" w:rsidR="00FA3385" w:rsidRPr="00C61A59" w:rsidRDefault="00FA3385" w:rsidP="007E324F">
            <w:pPr>
              <w:pStyle w:val="TableText0"/>
              <w:keepNext w:val="0"/>
              <w:keepLines/>
              <w:widowControl w:val="0"/>
              <w:jc w:val="both"/>
              <w:rPr>
                <w:color w:val="0066FF"/>
              </w:rPr>
            </w:pPr>
            <w:r w:rsidRPr="00046D64">
              <w:rPr>
                <w:b/>
              </w:rPr>
              <w:t xml:space="preserve">Restriction type: </w:t>
            </w:r>
            <w:r>
              <w:rPr>
                <w:rFonts w:eastAsia="Times New Roman"/>
              </w:rPr>
              <w:fldChar w:fldCharType="begin" w:fldLock="1">
                <w:ffData>
                  <w:name w:val="Check3"/>
                  <w:enabled/>
                  <w:calcOnExit w:val="0"/>
                  <w:checkBox>
                    <w:sizeAuto/>
                    <w:default w:val="1"/>
                  </w:checkBox>
                </w:ffData>
              </w:fldChar>
            </w:r>
            <w:r>
              <w:rPr>
                <w:rFonts w:eastAsia="Times New Roman"/>
              </w:rPr>
              <w:instrText xml:space="preserve"> FORMCHECKBOX </w:instrText>
            </w:r>
            <w:r w:rsidR="0026182E">
              <w:rPr>
                <w:rFonts w:eastAsia="Times New Roman"/>
              </w:rPr>
            </w:r>
            <w:r w:rsidR="0026182E">
              <w:rPr>
                <w:rFonts w:eastAsia="Times New Roman"/>
              </w:rPr>
              <w:fldChar w:fldCharType="separate"/>
            </w:r>
            <w:r>
              <w:rPr>
                <w:rFonts w:eastAsia="Times New Roman"/>
              </w:rPr>
              <w:fldChar w:fldCharType="end"/>
            </w:r>
            <w:r w:rsidRPr="00046D64">
              <w:rPr>
                <w:rFonts w:eastAsia="Times New Roman"/>
              </w:rPr>
              <w:t>Authority Required (telephone/online PBS Authorities system)</w:t>
            </w:r>
          </w:p>
        </w:tc>
      </w:tr>
      <w:tr w:rsidR="00FA3385" w:rsidRPr="00046D64" w14:paraId="08A30621"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0FD834E" w14:textId="77777777" w:rsidR="00FA3385" w:rsidRPr="00046D64" w:rsidRDefault="00FA3385" w:rsidP="00D63872">
            <w:pPr>
              <w:pStyle w:val="TableText0"/>
              <w:keepNext w:val="0"/>
              <w:keepLines/>
              <w:widowControl w:val="0"/>
              <w:jc w:val="both"/>
            </w:pPr>
            <w:r>
              <w:rPr>
                <w:b/>
              </w:rPr>
              <w:t>Clinical</w:t>
            </w:r>
            <w:r w:rsidRPr="00046D64">
              <w:rPr>
                <w:b/>
              </w:rPr>
              <w:t xml:space="preserve"> criteria:</w:t>
            </w:r>
          </w:p>
        </w:tc>
      </w:tr>
      <w:tr w:rsidR="00FA3385" w:rsidRPr="00046D64" w14:paraId="16D3DDF5"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12EDBB4"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Patient must have previously received PBS-subsidised treatment with this drug for this condition,</w:t>
            </w:r>
          </w:p>
          <w:p w14:paraId="2DAF7FAE"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40C1F048"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Patient must not have developed disease progression while receiving treatment with this drug for this condition</w:t>
            </w:r>
          </w:p>
          <w:p w14:paraId="6B2BCB3A" w14:textId="77777777" w:rsidR="00FA3385" w:rsidRPr="00C323D1" w:rsidRDefault="00FA3385" w:rsidP="00D63872">
            <w:pPr>
              <w:pStyle w:val="PBACTabletext"/>
              <w:keepNext w:val="0"/>
              <w:widowControl w:val="0"/>
              <w:suppressLineNumbers w:val="0"/>
              <w:spacing w:after="0"/>
              <w:jc w:val="both"/>
              <w:rPr>
                <w:rFonts w:eastAsiaTheme="majorEastAsia"/>
                <w:bCs/>
                <w:szCs w:val="20"/>
                <w:lang w:eastAsia="en-AU"/>
              </w:rPr>
            </w:pPr>
            <w:r w:rsidRPr="00C323D1">
              <w:rPr>
                <w:rFonts w:eastAsiaTheme="majorEastAsia"/>
                <w:bCs/>
                <w:szCs w:val="20"/>
                <w:lang w:eastAsia="en-AU"/>
              </w:rPr>
              <w:t>AND</w:t>
            </w:r>
          </w:p>
          <w:p w14:paraId="0A205E71" w14:textId="77777777" w:rsidR="00FA3385" w:rsidRPr="00046D64" w:rsidRDefault="00FA3385" w:rsidP="00D63872">
            <w:pPr>
              <w:pStyle w:val="TableText0"/>
              <w:keepNext w:val="0"/>
              <w:keepLines/>
              <w:widowControl w:val="0"/>
              <w:jc w:val="both"/>
              <w:rPr>
                <w:i/>
                <w:iCs/>
              </w:rPr>
            </w:pPr>
            <w:r w:rsidRPr="00C323D1">
              <w:rPr>
                <w:rFonts w:cs="Arial"/>
                <w:szCs w:val="20"/>
              </w:rPr>
              <w:t>The treatment must be in combination with PBS-subsidised abiraterone for this condition, unless an intolerance to abiraterone requires a temporary or permanent discontinuation of abiraterone</w:t>
            </w:r>
          </w:p>
        </w:tc>
      </w:tr>
      <w:tr w:rsidR="00FA3385" w:rsidRPr="00046D64" w14:paraId="0F8BF69A"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58F6CFBA" w14:textId="77777777" w:rsidR="00FA3385" w:rsidRPr="00046D64" w:rsidRDefault="00FA3385" w:rsidP="00D63872">
            <w:pPr>
              <w:pStyle w:val="TableText0"/>
              <w:keepNext w:val="0"/>
              <w:keepLines/>
              <w:widowControl w:val="0"/>
              <w:jc w:val="both"/>
            </w:pPr>
            <w:r w:rsidRPr="00C323D1">
              <w:rPr>
                <w:b/>
                <w:bCs w:val="0"/>
              </w:rPr>
              <w:t>Treatment Criteria</w:t>
            </w:r>
          </w:p>
        </w:tc>
      </w:tr>
      <w:tr w:rsidR="00FA3385" w:rsidRPr="00046D64" w14:paraId="5CF9F172"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0780383B" w14:textId="77777777" w:rsidR="00FA3385" w:rsidRPr="00C61A59" w:rsidRDefault="00FA3385" w:rsidP="00D63872">
            <w:pPr>
              <w:pStyle w:val="PBACTabletext"/>
              <w:keepNext w:val="0"/>
              <w:widowControl w:val="0"/>
              <w:suppressLineNumbers w:val="0"/>
              <w:spacing w:after="0"/>
              <w:jc w:val="both"/>
              <w:rPr>
                <w:color w:val="0066FF"/>
              </w:rPr>
            </w:pPr>
            <w:r w:rsidRPr="007D1800">
              <w:rPr>
                <w:rFonts w:eastAsiaTheme="majorEastAsia"/>
                <w:bCs/>
                <w:szCs w:val="20"/>
                <w:lang w:eastAsia="en-AU"/>
              </w:rPr>
              <w:t>None</w:t>
            </w:r>
          </w:p>
        </w:tc>
      </w:tr>
      <w:tr w:rsidR="00FA3385" w:rsidRPr="00046D64" w14:paraId="3CC0F99B" w14:textId="77777777" w:rsidTr="007E324F">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7BB07D39" w14:textId="77777777" w:rsidR="00FA3385" w:rsidRPr="00046D64" w:rsidRDefault="00FA3385" w:rsidP="00D63872">
            <w:pPr>
              <w:pStyle w:val="TableText0"/>
              <w:keepNext w:val="0"/>
              <w:keepLines/>
              <w:widowControl w:val="0"/>
              <w:jc w:val="both"/>
            </w:pPr>
            <w:r w:rsidRPr="00046D64">
              <w:rPr>
                <w:b/>
              </w:rPr>
              <w:t xml:space="preserve">Administrative Advice: </w:t>
            </w:r>
            <w:r w:rsidRPr="00BE056E">
              <w:rPr>
                <w:iCs/>
                <w:szCs w:val="20"/>
              </w:rPr>
              <w:t>Special Pricing Arrangements apply</w:t>
            </w:r>
          </w:p>
        </w:tc>
      </w:tr>
    </w:tbl>
    <w:p w14:paraId="4D75DAC2" w14:textId="24DB1FEB" w:rsidR="00FA3385" w:rsidRDefault="00FA3385" w:rsidP="00D63872">
      <w:pPr>
        <w:pStyle w:val="FooterTableFigure"/>
        <w:keepLines/>
        <w:widowControl w:val="0"/>
        <w:jc w:val="both"/>
      </w:pPr>
      <w:r>
        <w:t xml:space="preserve">Source: Tables 1.17, 1.18; pp41-42 </w:t>
      </w:r>
      <w:r w:rsidRPr="00D13A3E">
        <w:t xml:space="preserve">of the </w:t>
      </w:r>
      <w:r>
        <w:t xml:space="preserve">submission. </w:t>
      </w:r>
    </w:p>
    <w:p w14:paraId="702667BA" w14:textId="01E60F4B" w:rsidR="009A76AF" w:rsidRPr="00940BEC" w:rsidRDefault="005E1B84" w:rsidP="007A35C1">
      <w:pPr>
        <w:pStyle w:val="ExecSumBodyText"/>
        <w:numPr>
          <w:ilvl w:val="1"/>
          <w:numId w:val="1"/>
        </w:numPr>
        <w:jc w:val="both"/>
      </w:pPr>
      <w:r w:rsidRPr="00940BEC">
        <w:t>To allow for delays in BRCA1/2 testing, t</w:t>
      </w:r>
      <w:r w:rsidR="009A76AF" w:rsidRPr="00940BEC">
        <w:t xml:space="preserve">he sponsor </w:t>
      </w:r>
      <w:r w:rsidRPr="00940BEC">
        <w:t>proposed a</w:t>
      </w:r>
      <w:r w:rsidR="009A76AF" w:rsidRPr="00940BEC">
        <w:rPr>
          <w:lang w:val="en-GB"/>
        </w:rPr>
        <w:t xml:space="preserve"> clinical criteri</w:t>
      </w:r>
      <w:r w:rsidRPr="00940BEC">
        <w:rPr>
          <w:lang w:val="en-GB"/>
        </w:rPr>
        <w:t>on</w:t>
      </w:r>
      <w:r w:rsidR="009A76AF" w:rsidRPr="00940BEC">
        <w:rPr>
          <w:lang w:val="en-GB"/>
        </w:rPr>
        <w:t xml:space="preserve"> </w:t>
      </w:r>
      <w:r w:rsidR="007D0253" w:rsidRPr="00940BEC">
        <w:rPr>
          <w:lang w:val="en-GB"/>
        </w:rPr>
        <w:t xml:space="preserve">that </w:t>
      </w:r>
      <w:r w:rsidRPr="00940BEC">
        <w:rPr>
          <w:lang w:val="en-GB"/>
        </w:rPr>
        <w:t>allows</w:t>
      </w:r>
      <w:r w:rsidR="009A76AF" w:rsidRPr="00940BEC">
        <w:rPr>
          <w:lang w:val="en-GB"/>
        </w:rPr>
        <w:t xml:space="preserve"> olaparib to be initiated within four months of initiating an NHA </w:t>
      </w:r>
      <w:r w:rsidRPr="00940BEC">
        <w:rPr>
          <w:lang w:val="en-GB"/>
        </w:rPr>
        <w:t xml:space="preserve">for the treatment of </w:t>
      </w:r>
      <w:r w:rsidR="009A76AF" w:rsidRPr="00940BEC">
        <w:rPr>
          <w:lang w:val="en-GB"/>
        </w:rPr>
        <w:t xml:space="preserve">mCRPC. This strategy </w:t>
      </w:r>
      <w:r w:rsidR="007A35C1" w:rsidRPr="00940BEC">
        <w:rPr>
          <w:lang w:val="en-GB"/>
        </w:rPr>
        <w:t>wa</w:t>
      </w:r>
      <w:r w:rsidR="009A76AF" w:rsidRPr="00940BEC">
        <w:rPr>
          <w:lang w:val="en-GB"/>
        </w:rPr>
        <w:t>s not consistent with olaparib’s P</w:t>
      </w:r>
      <w:r w:rsidR="00FE2E26" w:rsidRPr="00940BEC">
        <w:rPr>
          <w:lang w:val="en-GB"/>
        </w:rPr>
        <w:t xml:space="preserve">roduct </w:t>
      </w:r>
      <w:r w:rsidR="009A76AF" w:rsidRPr="00940BEC">
        <w:rPr>
          <w:lang w:val="en-GB"/>
        </w:rPr>
        <w:t>I</w:t>
      </w:r>
      <w:r w:rsidR="00FE2E26" w:rsidRPr="00940BEC">
        <w:rPr>
          <w:lang w:val="en-GB"/>
        </w:rPr>
        <w:t>nformation,</w:t>
      </w:r>
      <w:r w:rsidR="009A76AF" w:rsidRPr="00940BEC">
        <w:rPr>
          <w:lang w:val="en-GB"/>
        </w:rPr>
        <w:t xml:space="preserve"> </w:t>
      </w:r>
      <w:r w:rsidR="007A35C1" w:rsidRPr="00940BEC">
        <w:rPr>
          <w:lang w:val="en-GB"/>
        </w:rPr>
        <w:t>n</w:t>
      </w:r>
      <w:r w:rsidR="009A76AF" w:rsidRPr="00940BEC">
        <w:rPr>
          <w:lang w:val="en-GB"/>
        </w:rPr>
        <w:t xml:space="preserve">or </w:t>
      </w:r>
      <w:r w:rsidR="00FE2E26" w:rsidRPr="00940BEC">
        <w:rPr>
          <w:lang w:val="en-GB"/>
        </w:rPr>
        <w:t>the</w:t>
      </w:r>
      <w:r w:rsidR="007A35C1" w:rsidRPr="00940BEC">
        <w:rPr>
          <w:lang w:val="en-GB"/>
        </w:rPr>
        <w:t xml:space="preserve"> clinical evidence from </w:t>
      </w:r>
      <w:r w:rsidR="009A76AF" w:rsidRPr="00940BEC">
        <w:rPr>
          <w:lang w:val="en-GB"/>
        </w:rPr>
        <w:t>the PROpel trial</w:t>
      </w:r>
      <w:r w:rsidR="00520D5F" w:rsidRPr="00940BEC">
        <w:rPr>
          <w:lang w:val="en-GB"/>
        </w:rPr>
        <w:t>, but ESC considered that it was a pragmatic approach to allow for BRCA1/2 testing</w:t>
      </w:r>
      <w:r w:rsidR="009A76AF" w:rsidRPr="00940BEC">
        <w:rPr>
          <w:lang w:val="en-GB"/>
        </w:rPr>
        <w:t>.</w:t>
      </w:r>
      <w:r w:rsidR="00520D5F" w:rsidRPr="00940BEC">
        <w:rPr>
          <w:lang w:val="en-GB"/>
        </w:rPr>
        <w:t xml:space="preserve"> </w:t>
      </w:r>
      <w:r w:rsidR="00520D5F" w:rsidRPr="00940BEC">
        <w:rPr>
          <w:lang w:eastAsia="en-US"/>
        </w:rPr>
        <w:t>The ESC noted that, at present, the current restrictions would not allow a patient who had commenced with enzalutamide to switch to abiraterone (in combination with olaparib) once BRCA1/2 status was confirmed.</w:t>
      </w:r>
    </w:p>
    <w:p w14:paraId="32E67B19" w14:textId="1FB02E21" w:rsidR="00940BEC" w:rsidRDefault="00A9060B" w:rsidP="00FA3BF9">
      <w:pPr>
        <w:pStyle w:val="ExecSumBodyText"/>
        <w:numPr>
          <w:ilvl w:val="1"/>
          <w:numId w:val="1"/>
        </w:numPr>
        <w:jc w:val="both"/>
      </w:pPr>
      <w:r w:rsidRPr="00940BEC">
        <w:t xml:space="preserve">The submission </w:t>
      </w:r>
      <w:r w:rsidR="002B03E0" w:rsidRPr="00940BEC">
        <w:t xml:space="preserve">proposed an effective </w:t>
      </w:r>
      <w:r w:rsidR="00B87979" w:rsidRPr="00940BEC">
        <w:t>dispensed price for maximum quantity (</w:t>
      </w:r>
      <w:r w:rsidR="002B03E0" w:rsidRPr="00940BEC">
        <w:t>DPMQ</w:t>
      </w:r>
      <w:r w:rsidR="00B87979" w:rsidRPr="00940BEC">
        <w:t>)</w:t>
      </w:r>
      <w:r w:rsidR="002B03E0" w:rsidRPr="00940BEC">
        <w:t xml:space="preserve"> of $</w:t>
      </w:r>
      <w:r w:rsidR="003C22C5" w:rsidRPr="003C22C5">
        <w:t xml:space="preserve"> </w:t>
      </w:r>
      <w:r w:rsidR="00B7116A" w:rsidRPr="0026182E">
        <w:rPr>
          <w:color w:val="000000"/>
          <w:w w:val="15"/>
          <w:shd w:val="solid" w:color="000000" w:fill="000000"/>
          <w:fitText w:val="-20" w:id="-1031540991"/>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91"/>
          <w14:textFill>
            <w14:solidFill>
              <w14:srgbClr w14:val="000000">
                <w14:alpha w14:val="100000"/>
              </w14:srgbClr>
            </w14:solidFill>
          </w14:textFill>
        </w:rPr>
        <w:t>|</w:t>
      </w:r>
      <w:r w:rsidR="002B03E0" w:rsidRPr="00940BEC">
        <w:t xml:space="preserve"> for olaparib</w:t>
      </w:r>
      <w:r w:rsidR="00FE2E26" w:rsidRPr="00940BEC">
        <w:t xml:space="preserve"> (effective </w:t>
      </w:r>
      <w:r w:rsidR="00B87979" w:rsidRPr="00940BEC">
        <w:t>approved ex-manufacturer price (AEMP)</w:t>
      </w:r>
      <w:r w:rsidR="00FE2E26" w:rsidRPr="00940BEC">
        <w:t xml:space="preserve"> = $</w:t>
      </w:r>
      <w:r w:rsidR="003C22C5" w:rsidRPr="003C22C5">
        <w:t xml:space="preserve"> </w:t>
      </w:r>
      <w:r w:rsidR="00B7116A" w:rsidRPr="0026182E">
        <w:rPr>
          <w:color w:val="000000"/>
          <w:w w:val="15"/>
          <w:shd w:val="solid" w:color="000000" w:fill="000000"/>
          <w:fitText w:val="-20" w:id="-1031540990"/>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90"/>
          <w14:textFill>
            <w14:solidFill>
              <w14:srgbClr w14:val="000000">
                <w14:alpha w14:val="100000"/>
              </w14:srgbClr>
            </w14:solidFill>
          </w14:textFill>
        </w:rPr>
        <w:t>|</w:t>
      </w:r>
      <w:r w:rsidR="00FE2E26" w:rsidRPr="00940BEC">
        <w:t xml:space="preserve"> for 56 tablets and $</w:t>
      </w:r>
      <w:r w:rsidR="003C22C5" w:rsidRPr="003C22C5">
        <w:t xml:space="preserve"> </w:t>
      </w:r>
      <w:r w:rsidR="00B7116A" w:rsidRPr="0026182E">
        <w:rPr>
          <w:color w:val="000000"/>
          <w:w w:val="15"/>
          <w:shd w:val="solid" w:color="000000" w:fill="000000"/>
          <w:fitText w:val="-20" w:id="-1031540989"/>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9"/>
          <w14:textFill>
            <w14:solidFill>
              <w14:srgbClr w14:val="000000">
                <w14:alpha w14:val="100000"/>
              </w14:srgbClr>
            </w14:solidFill>
          </w14:textFill>
        </w:rPr>
        <w:t>|</w:t>
      </w:r>
      <w:r w:rsidR="00FE2E26" w:rsidRPr="00940BEC">
        <w:t xml:space="preserve"> for 112 tablets)</w:t>
      </w:r>
      <w:r w:rsidR="002B03E0" w:rsidRPr="00940BEC">
        <w:t xml:space="preserve">. </w:t>
      </w:r>
      <w:r w:rsidR="00D70ADC" w:rsidRPr="00940BEC">
        <w:t xml:space="preserve">The requested effective </w:t>
      </w:r>
      <w:r w:rsidR="00FE2E26" w:rsidRPr="00940BEC">
        <w:t xml:space="preserve">DPMQ </w:t>
      </w:r>
      <w:r w:rsidR="007A35C1" w:rsidRPr="00940BEC">
        <w:t>was</w:t>
      </w:r>
      <w:r w:rsidR="00D70ADC" w:rsidRPr="00940BEC">
        <w:t xml:space="preserve"> approximately </w:t>
      </w:r>
      <w:r w:rsidR="003C22C5" w:rsidRPr="003C22C5">
        <w:t xml:space="preserve"> </w:t>
      </w:r>
      <w:r w:rsidR="00B7116A" w:rsidRPr="0026182E">
        <w:rPr>
          <w:color w:val="000000"/>
          <w:w w:val="15"/>
          <w:shd w:val="solid" w:color="000000" w:fill="000000"/>
          <w:fitText w:val="-20" w:id="-1031540988"/>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8"/>
          <w14:textFill>
            <w14:solidFill>
              <w14:srgbClr w14:val="000000">
                <w14:alpha w14:val="100000"/>
              </w14:srgbClr>
            </w14:solidFill>
          </w14:textFill>
        </w:rPr>
        <w:t>|</w:t>
      </w:r>
      <w:r w:rsidR="00D70ADC" w:rsidRPr="00FC70CD">
        <w:t xml:space="preserve">% higher </w:t>
      </w:r>
      <w:r w:rsidR="00D70ADC" w:rsidRPr="00940BEC">
        <w:t xml:space="preserve">than </w:t>
      </w:r>
      <w:r w:rsidR="007A35C1" w:rsidRPr="00940BEC">
        <w:t xml:space="preserve">the effective </w:t>
      </w:r>
      <w:r w:rsidR="00FE2E26" w:rsidRPr="00940BEC">
        <w:t xml:space="preserve">DPMQ </w:t>
      </w:r>
      <w:r w:rsidR="00D70ADC" w:rsidRPr="00940BEC">
        <w:t>for olaparib monotherapy in second</w:t>
      </w:r>
      <w:r w:rsidR="00C70570" w:rsidRPr="00940BEC">
        <w:t xml:space="preserve"> </w:t>
      </w:r>
      <w:r w:rsidR="00D70ADC" w:rsidRPr="00940BEC">
        <w:t xml:space="preserve">line mCRPC </w:t>
      </w:r>
      <w:r w:rsidR="00FE2E26" w:rsidRPr="00940BEC">
        <w:t>of $</w:t>
      </w:r>
      <w:r w:rsidR="003C22C5" w:rsidRPr="003C22C5">
        <w:t xml:space="preserve"> </w:t>
      </w:r>
      <w:r w:rsidR="00B7116A" w:rsidRPr="0026182E">
        <w:rPr>
          <w:color w:val="000000"/>
          <w:w w:val="15"/>
          <w:shd w:val="solid" w:color="000000" w:fill="000000"/>
          <w:fitText w:val="-20" w:id="-1031540987"/>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7"/>
          <w14:textFill>
            <w14:solidFill>
              <w14:srgbClr w14:val="000000">
                <w14:alpha w14:val="100000"/>
              </w14:srgbClr>
            </w14:solidFill>
          </w14:textFill>
        </w:rPr>
        <w:t>|</w:t>
      </w:r>
      <w:r w:rsidR="00D70ADC" w:rsidRPr="00940BEC">
        <w:t>.</w:t>
      </w:r>
      <w:r w:rsidR="00CF11D7">
        <w:t xml:space="preserve"> The pre-PBAC response, proposed a reduced AEMP of $</w:t>
      </w:r>
      <w:r w:rsidR="003C22C5" w:rsidRPr="003C22C5">
        <w:t xml:space="preserve"> </w:t>
      </w:r>
      <w:r w:rsidR="00B7116A" w:rsidRPr="0026182E">
        <w:rPr>
          <w:color w:val="000000"/>
          <w:w w:val="15"/>
          <w:shd w:val="solid" w:color="000000" w:fill="000000"/>
          <w:fitText w:val="-20" w:id="-1031540986"/>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6"/>
          <w14:textFill>
            <w14:solidFill>
              <w14:srgbClr w14:val="000000">
                <w14:alpha w14:val="100000"/>
              </w14:srgbClr>
            </w14:solidFill>
          </w14:textFill>
        </w:rPr>
        <w:t>|</w:t>
      </w:r>
      <w:r w:rsidR="00CF11D7">
        <w:t xml:space="preserve"> for 112 tablet</w:t>
      </w:r>
      <w:r w:rsidR="00CF11D7" w:rsidRPr="00FC70CD">
        <w:t>s which was the same as the existing price for olaparib monotherapy.</w:t>
      </w:r>
      <w:r w:rsidR="00CF11D7">
        <w:t xml:space="preserve"> </w:t>
      </w:r>
    </w:p>
    <w:p w14:paraId="5E0D732E" w14:textId="10F8C692" w:rsidR="00940BEC" w:rsidRPr="00940BEC" w:rsidRDefault="00940BEC" w:rsidP="00940BEC">
      <w:pPr>
        <w:pStyle w:val="ExecSumBodyText"/>
        <w:ind w:firstLine="0"/>
        <w:jc w:val="both"/>
        <w:rPr>
          <w:i/>
          <w:iCs/>
        </w:rPr>
      </w:pPr>
      <w:r w:rsidRPr="00940BEC">
        <w:rPr>
          <w:i/>
          <w:iCs/>
          <w:lang w:val="en-GB"/>
        </w:rPr>
        <w:t>For more detail on PBAC’s view, see section 7 PBAC outcome.</w:t>
      </w:r>
    </w:p>
    <w:p w14:paraId="7075B85C" w14:textId="62A47B7B" w:rsidR="00B50DB8" w:rsidRPr="00407F2D" w:rsidDel="00195452" w:rsidRDefault="00203181" w:rsidP="007A35C1">
      <w:pPr>
        <w:pStyle w:val="2-SectionHeading"/>
        <w:jc w:val="both"/>
      </w:pPr>
      <w:bookmarkStart w:id="10" w:name="_Toc145075501"/>
      <w:r w:rsidDel="00195452">
        <w:t xml:space="preserve">Population and </w:t>
      </w:r>
      <w:r w:rsidR="008E0D3C" w:rsidDel="00195452">
        <w:t>d</w:t>
      </w:r>
      <w:r w:rsidDel="00195452">
        <w:t>isease</w:t>
      </w:r>
      <w:bookmarkEnd w:id="10"/>
    </w:p>
    <w:p w14:paraId="727374B8" w14:textId="77777777" w:rsidR="00D63872" w:rsidRPr="00940BEC" w:rsidRDefault="00D63872" w:rsidP="00FE2E26">
      <w:pPr>
        <w:pStyle w:val="3-BodyText"/>
      </w:pPr>
      <w:r w:rsidRPr="00940BEC">
        <w:t>Olaparib is a poly(adenosine diphosphate)-ribose polymerase (PARP) inhibitor. PARP enzymes are involved in DNA transcription, cell cycle regulation and DNA repair, and the anti-tumour effect of PARP inhibitors is dependent on an underlying defect in a cancer cell’s DNA damage response mechanisms.</w:t>
      </w:r>
    </w:p>
    <w:p w14:paraId="1065F032" w14:textId="27BE34AF" w:rsidR="004C21F9" w:rsidRPr="00940BEC" w:rsidRDefault="00FB1722" w:rsidP="00FE2E26">
      <w:pPr>
        <w:pStyle w:val="3-BodyText"/>
        <w:rPr>
          <w:snapToGrid/>
          <w:lang w:val="en-US"/>
        </w:rPr>
      </w:pPr>
      <w:r>
        <w:t>T</w:t>
      </w:r>
      <w:r w:rsidR="00D63872" w:rsidRPr="00940BEC">
        <w:t xml:space="preserve">he proposed clinical algorithm positioned olaparib in combination </w:t>
      </w:r>
      <w:r>
        <w:t xml:space="preserve">with </w:t>
      </w:r>
      <w:r w:rsidR="00D63872" w:rsidRPr="00940BEC">
        <w:t xml:space="preserve">abiraterone as an alternative first-line treatment option for mCRPC </w:t>
      </w:r>
      <w:r>
        <w:t xml:space="preserve">patients </w:t>
      </w:r>
      <w:r w:rsidR="006C3ED1" w:rsidRPr="00940BEC">
        <w:t>BRCA1/2</w:t>
      </w:r>
      <w:r>
        <w:t xml:space="preserve"> pathogenetic variants</w:t>
      </w:r>
      <w:r w:rsidR="00D63872" w:rsidRPr="00940BEC">
        <w:t xml:space="preserve"> who are NHA-naïve. </w:t>
      </w:r>
      <w:r w:rsidR="00DA7A2B" w:rsidRPr="00940BEC">
        <w:t xml:space="preserve">The submission did not provide any </w:t>
      </w:r>
      <w:r w:rsidR="004C21F9" w:rsidRPr="00940BEC">
        <w:rPr>
          <w:lang w:val="en-GB"/>
        </w:rPr>
        <w:t xml:space="preserve">clinical evidence comparing the proposed place </w:t>
      </w:r>
      <w:r w:rsidR="00FF0226" w:rsidRPr="00940BEC">
        <w:rPr>
          <w:lang w:val="en-GB"/>
        </w:rPr>
        <w:t>as</w:t>
      </w:r>
      <w:r w:rsidR="004C21F9" w:rsidRPr="00940BEC">
        <w:rPr>
          <w:lang w:val="en-GB"/>
        </w:rPr>
        <w:t xml:space="preserve"> first</w:t>
      </w:r>
      <w:r w:rsidR="00DA7A2B" w:rsidRPr="00940BEC">
        <w:rPr>
          <w:lang w:val="en-GB"/>
        </w:rPr>
        <w:t>-</w:t>
      </w:r>
      <w:r w:rsidR="004C21F9" w:rsidRPr="00940BEC">
        <w:rPr>
          <w:lang w:val="en-GB"/>
        </w:rPr>
        <w:t xml:space="preserve">line treatment versus the current algorithm where olaparib </w:t>
      </w:r>
      <w:r>
        <w:rPr>
          <w:lang w:val="en-GB"/>
        </w:rPr>
        <w:t xml:space="preserve">monotherapy </w:t>
      </w:r>
      <w:r w:rsidR="004C21F9" w:rsidRPr="00940BEC">
        <w:rPr>
          <w:lang w:val="en-GB"/>
        </w:rPr>
        <w:t xml:space="preserve">is provided </w:t>
      </w:r>
      <w:r>
        <w:rPr>
          <w:lang w:val="en-GB"/>
        </w:rPr>
        <w:t xml:space="preserve">to BRCA1/2 variant positive patients following treatment with </w:t>
      </w:r>
      <w:proofErr w:type="gramStart"/>
      <w:r>
        <w:rPr>
          <w:lang w:val="en-GB"/>
        </w:rPr>
        <w:t>a</w:t>
      </w:r>
      <w:proofErr w:type="gramEnd"/>
      <w:r>
        <w:rPr>
          <w:lang w:val="en-GB"/>
        </w:rPr>
        <w:t xml:space="preserve"> NHA</w:t>
      </w:r>
      <w:r w:rsidR="004C21F9" w:rsidRPr="00940BEC">
        <w:rPr>
          <w:lang w:val="en-GB"/>
        </w:rPr>
        <w:t>.</w:t>
      </w:r>
      <w:r w:rsidR="00C70570" w:rsidRPr="00940BEC">
        <w:rPr>
          <w:lang w:val="en-GB"/>
        </w:rPr>
        <w:t xml:space="preserve"> Further, the ESC noted that the clinical algorithm in Australia has changed since the PROpel trial was conducted, with the availability of </w:t>
      </w:r>
      <w:r w:rsidR="00C70570" w:rsidRPr="00940BEC">
        <w:rPr>
          <w:lang w:val="en-GB"/>
        </w:rPr>
        <w:lastRenderedPageBreak/>
        <w:t xml:space="preserve">NHAs earlier in the algorithm for metastatic hormone sensitive prostate cancer (mHSPC) and non-metastatic castration resistant prostate cancer (m0CRPC). </w:t>
      </w:r>
    </w:p>
    <w:p w14:paraId="17B1F6FE" w14:textId="397812D6" w:rsidR="00D63872" w:rsidRPr="00940BEC" w:rsidRDefault="00B82D42" w:rsidP="00DC7A74">
      <w:pPr>
        <w:pStyle w:val="ExecSumBodyText"/>
        <w:numPr>
          <w:ilvl w:val="1"/>
          <w:numId w:val="1"/>
        </w:numPr>
        <w:jc w:val="both"/>
      </w:pPr>
      <w:r w:rsidRPr="00940BEC">
        <w:rPr>
          <w:snapToGrid/>
          <w:lang w:val="en-US"/>
        </w:rPr>
        <w:t xml:space="preserve">MBS items for </w:t>
      </w:r>
      <w:r w:rsidR="000614BC" w:rsidRPr="00940BEC">
        <w:rPr>
          <w:snapToGrid/>
          <w:lang w:val="en-US"/>
        </w:rPr>
        <w:t>tumo</w:t>
      </w:r>
      <w:r w:rsidR="0028098B" w:rsidRPr="00940BEC">
        <w:rPr>
          <w:snapToGrid/>
          <w:lang w:val="en-US"/>
        </w:rPr>
        <w:t>u</w:t>
      </w:r>
      <w:r w:rsidR="000614BC" w:rsidRPr="00940BEC">
        <w:rPr>
          <w:snapToGrid/>
          <w:lang w:val="en-US"/>
        </w:rPr>
        <w:t xml:space="preserve">r and germline </w:t>
      </w:r>
      <w:r w:rsidRPr="00940BEC">
        <w:rPr>
          <w:snapToGrid/>
          <w:lang w:val="en-US"/>
        </w:rPr>
        <w:t>BRCA</w:t>
      </w:r>
      <w:r w:rsidR="000614BC" w:rsidRPr="00940BEC">
        <w:rPr>
          <w:snapToGrid/>
          <w:lang w:val="en-US"/>
        </w:rPr>
        <w:t>1/2</w:t>
      </w:r>
      <w:r w:rsidRPr="00940BEC">
        <w:rPr>
          <w:snapToGrid/>
          <w:lang w:val="en-US"/>
        </w:rPr>
        <w:t xml:space="preserve"> testing to </w:t>
      </w:r>
      <w:r w:rsidR="00281967" w:rsidRPr="00940BEC">
        <w:rPr>
          <w:snapToGrid/>
          <w:lang w:val="en-US"/>
        </w:rPr>
        <w:t>determine eligibility for</w:t>
      </w:r>
      <w:r w:rsidRPr="00940BEC">
        <w:rPr>
          <w:snapToGrid/>
          <w:lang w:val="en-US"/>
        </w:rPr>
        <w:t xml:space="preserve"> access to olaparib in prostate cancer </w:t>
      </w:r>
      <w:r w:rsidR="008978F0" w:rsidRPr="00940BEC">
        <w:rPr>
          <w:snapToGrid/>
          <w:lang w:val="en-US"/>
        </w:rPr>
        <w:t>are</w:t>
      </w:r>
      <w:r w:rsidRPr="00940BEC">
        <w:rPr>
          <w:snapToGrid/>
          <w:lang w:val="en-US"/>
        </w:rPr>
        <w:t xml:space="preserve"> already established</w:t>
      </w:r>
      <w:r w:rsidR="008978F0" w:rsidRPr="00940BEC">
        <w:rPr>
          <w:snapToGrid/>
          <w:lang w:val="en-US"/>
        </w:rPr>
        <w:t xml:space="preserve">. </w:t>
      </w:r>
      <w:r w:rsidRPr="00940BEC">
        <w:rPr>
          <w:snapToGrid/>
          <w:lang w:val="en-US"/>
        </w:rPr>
        <w:t>MBS Item</w:t>
      </w:r>
      <w:r w:rsidR="00F9090E" w:rsidRPr="00940BEC">
        <w:rPr>
          <w:snapToGrid/>
          <w:lang w:val="en-US"/>
        </w:rPr>
        <w:t>s</w:t>
      </w:r>
      <w:r w:rsidRPr="00940BEC">
        <w:rPr>
          <w:snapToGrid/>
          <w:lang w:val="en-US"/>
        </w:rPr>
        <w:t xml:space="preserve"> 73303 and 73304 are applicable for </w:t>
      </w:r>
      <w:r w:rsidR="00F9090E" w:rsidRPr="00940BEC">
        <w:rPr>
          <w:snapToGrid/>
          <w:lang w:val="en-US"/>
        </w:rPr>
        <w:t>determining BRCA status</w:t>
      </w:r>
      <w:r w:rsidR="008978F0" w:rsidRPr="00940BEC">
        <w:rPr>
          <w:snapToGrid/>
          <w:lang w:val="en-US"/>
        </w:rPr>
        <w:t xml:space="preserve"> for the proposed population </w:t>
      </w:r>
      <w:r w:rsidRPr="00940BEC">
        <w:rPr>
          <w:snapToGrid/>
          <w:lang w:val="en-US"/>
        </w:rPr>
        <w:t xml:space="preserve">without further amendment. </w:t>
      </w:r>
      <w:r w:rsidR="00D63872" w:rsidRPr="00940BEC">
        <w:t>The recommended dose is 300</w:t>
      </w:r>
      <w:r w:rsidR="00FE2E26" w:rsidRPr="00940BEC">
        <w:t xml:space="preserve"> </w:t>
      </w:r>
      <w:r w:rsidR="00D63872" w:rsidRPr="00940BEC">
        <w:t>mg (2</w:t>
      </w:r>
      <w:r w:rsidR="00D63872" w:rsidRPr="00940BEC">
        <w:rPr>
          <w:rFonts w:ascii="Calibri" w:hAnsi="Calibri" w:cs="Calibri"/>
        </w:rPr>
        <w:t>×</w:t>
      </w:r>
      <w:r w:rsidR="00D63872" w:rsidRPr="00940BEC">
        <w:t>150</w:t>
      </w:r>
      <w:r w:rsidR="00FE2E26" w:rsidRPr="00940BEC">
        <w:t xml:space="preserve"> </w:t>
      </w:r>
      <w:r w:rsidR="00D63872" w:rsidRPr="00940BEC">
        <w:t>mg tablets) twice daily, for a total of 600</w:t>
      </w:r>
      <w:r w:rsidR="00FE2E26" w:rsidRPr="00940BEC">
        <w:t xml:space="preserve"> </w:t>
      </w:r>
      <w:r w:rsidR="00D63872" w:rsidRPr="00940BEC">
        <w:t>mg/day, until progression. Olaparib 100</w:t>
      </w:r>
      <w:r w:rsidR="00FE2E26" w:rsidRPr="00940BEC">
        <w:t xml:space="preserve"> </w:t>
      </w:r>
      <w:r w:rsidR="00D63872" w:rsidRPr="00940BEC">
        <w:t>mg is available if dose reductions are required to manage adverse events (AEs).</w:t>
      </w:r>
    </w:p>
    <w:p w14:paraId="2D107A58" w14:textId="46F7D7CB" w:rsidR="00940BEC" w:rsidRDefault="00D63872" w:rsidP="00940BEC">
      <w:pPr>
        <w:pStyle w:val="3-BodyText"/>
      </w:pPr>
      <w:r w:rsidRPr="00940BEC">
        <w:t>The submission explained that patients treated with olaparib would not be eligible to receive another PARP inhibitor following progression on olaparib plus abiraterone treatment. Therefore, the use of the olaparib combination in first</w:t>
      </w:r>
      <w:r w:rsidR="00B87979" w:rsidRPr="00940BEC">
        <w:t xml:space="preserve"> </w:t>
      </w:r>
      <w:r w:rsidRPr="00940BEC">
        <w:t>line mCRPC would result in fewer patients receiving olaparib monotherapy.</w:t>
      </w:r>
    </w:p>
    <w:p w14:paraId="4F54AEEF" w14:textId="05C16E20" w:rsidR="00940BEC" w:rsidRPr="00940BEC" w:rsidRDefault="00D63872" w:rsidP="00940BEC">
      <w:pPr>
        <w:pStyle w:val="3-BodyText"/>
      </w:pPr>
      <w:r w:rsidRPr="00940BEC">
        <w:rPr>
          <w:lang w:val="en-GB"/>
        </w:rPr>
        <w:t xml:space="preserve">Following recent PBS listings of NHAs for mHSPC and m0CRPC, and the amendment to </w:t>
      </w:r>
      <w:r w:rsidRPr="00940BEC">
        <w:t>allow use of enzalutamide and abiraterone prior to docetaxel (para</w:t>
      </w:r>
      <w:r w:rsidR="00FB1722">
        <w:t>graphs</w:t>
      </w:r>
      <w:r w:rsidRPr="00940BEC">
        <w:t xml:space="preserve"> 5.1 and 5.2, abiraterone enzalutamide PSD, March 2021), </w:t>
      </w:r>
      <w:r w:rsidR="00C70570" w:rsidRPr="00940BEC">
        <w:rPr>
          <w:lang w:val="en-GB"/>
        </w:rPr>
        <w:t xml:space="preserve">the ESC considered that the use of olaparib plus abiraterone is likely to be limited as most patients will have received an NHA prior to reaching the mCRPC stage. The ESC considered that most patients with BRCA1/2 pathogenic variants would continue to receive olaparib monotherapy. </w:t>
      </w:r>
    </w:p>
    <w:p w14:paraId="1B5622D7" w14:textId="7EC7D977" w:rsidR="004C21F9" w:rsidRPr="00940BEC" w:rsidRDefault="00940BEC" w:rsidP="00940BEC">
      <w:pPr>
        <w:pStyle w:val="ExecSumBodyText"/>
        <w:ind w:hanging="40"/>
        <w:jc w:val="both"/>
        <w:rPr>
          <w:i/>
          <w:iCs/>
        </w:rPr>
      </w:pPr>
      <w:r w:rsidRPr="00940BEC">
        <w:rPr>
          <w:i/>
          <w:iCs/>
          <w:lang w:val="en-GB"/>
        </w:rPr>
        <w:t>For more detail on PBAC’s view, see section 7 PBAC outcome.</w:t>
      </w:r>
    </w:p>
    <w:p w14:paraId="51E5AE96" w14:textId="136A63B1" w:rsidR="00B50DB8" w:rsidRPr="00407F2D" w:rsidRDefault="00B50DB8" w:rsidP="004E18E9">
      <w:pPr>
        <w:pStyle w:val="2-SectionHeading"/>
      </w:pPr>
      <w:bookmarkStart w:id="11" w:name="_Toc145075502"/>
      <w:r w:rsidRPr="00407F2D">
        <w:t>Comparator</w:t>
      </w:r>
      <w:bookmarkEnd w:id="11"/>
    </w:p>
    <w:p w14:paraId="65BDA91B" w14:textId="169DA765" w:rsidR="007E4B29" w:rsidRPr="00940BEC" w:rsidRDefault="007E4B29" w:rsidP="00FE2E26">
      <w:pPr>
        <w:pStyle w:val="3-BodyText"/>
        <w:rPr>
          <w:snapToGrid/>
          <w:lang w:val="en-US"/>
        </w:rPr>
      </w:pPr>
      <w:r w:rsidRPr="00940BEC">
        <w:t xml:space="preserve">The submission nominated NHA monotherapy with either enzalutamide or abiraterone as the main comparator. </w:t>
      </w:r>
      <w:r w:rsidR="00FA4D1C" w:rsidRPr="00940BEC">
        <w:t>Th</w:t>
      </w:r>
      <w:r w:rsidR="00520D5F" w:rsidRPr="00940BEC">
        <w:t>e ESC considered that th</w:t>
      </w:r>
      <w:r w:rsidR="00FA4D1C" w:rsidRPr="00940BEC">
        <w:t>is was appropriate.</w:t>
      </w:r>
    </w:p>
    <w:p w14:paraId="446BFB40" w14:textId="2D1E65C2" w:rsidR="0028098B" w:rsidRPr="00940BEC" w:rsidRDefault="0028098B" w:rsidP="00FE2E26">
      <w:pPr>
        <w:pStyle w:val="3-BodyText"/>
        <w:rPr>
          <w:snapToGrid/>
          <w:lang w:val="en-US"/>
        </w:rPr>
      </w:pPr>
      <w:r w:rsidRPr="00940BEC">
        <w:t xml:space="preserve">Olaparib monotherapy </w:t>
      </w:r>
      <w:r w:rsidR="00FB1722">
        <w:t>was</w:t>
      </w:r>
      <w:r w:rsidR="00FB1722" w:rsidRPr="00940BEC">
        <w:t xml:space="preserve"> </w:t>
      </w:r>
      <w:r w:rsidRPr="00940BEC">
        <w:t xml:space="preserve">not considered a relevant comparator </w:t>
      </w:r>
      <w:r w:rsidR="00FB1722">
        <w:t xml:space="preserve">by the submission </w:t>
      </w:r>
      <w:r w:rsidRPr="00940BEC">
        <w:t xml:space="preserve">due to the different place in the treatment pathway (i.e., second line after NHA failure vs. first line combination olaparib). </w:t>
      </w:r>
    </w:p>
    <w:p w14:paraId="102417C2" w14:textId="346008CA" w:rsidR="00940BEC" w:rsidRPr="00940BEC" w:rsidRDefault="00FB1722" w:rsidP="00940BEC">
      <w:pPr>
        <w:pStyle w:val="3-BodyText"/>
        <w:rPr>
          <w:snapToGrid/>
          <w:lang w:val="en-US"/>
        </w:rPr>
      </w:pPr>
      <w:r>
        <w:rPr>
          <w:lang w:val="en-GB"/>
        </w:rPr>
        <w:t>The submission did not consider d</w:t>
      </w:r>
      <w:r w:rsidR="00A27A0A" w:rsidRPr="00940BEC">
        <w:rPr>
          <w:lang w:val="en-GB"/>
        </w:rPr>
        <w:t>ocetaxel w</w:t>
      </w:r>
      <w:r>
        <w:rPr>
          <w:lang w:val="en-GB"/>
        </w:rPr>
        <w:t xml:space="preserve"> to be</w:t>
      </w:r>
      <w:r w:rsidR="00A27A0A" w:rsidRPr="00940BEC">
        <w:rPr>
          <w:lang w:val="en-GB"/>
        </w:rPr>
        <w:t xml:space="preserve"> a relevant comparator as the majority of NHA-naïve mCRPC patients would currently receive an NHA following the removal of the requirement for prior docetaxel in the revised PBS restrictions for abiraterone and enzalutamide (para</w:t>
      </w:r>
      <w:r>
        <w:rPr>
          <w:lang w:val="en-GB"/>
        </w:rPr>
        <w:t>graph</w:t>
      </w:r>
      <w:r w:rsidR="00A27A0A" w:rsidRPr="00940BEC">
        <w:rPr>
          <w:lang w:val="en-GB"/>
        </w:rPr>
        <w:t xml:space="preserve"> 3.1, abiraterone acetate and enzalutamide PSD, March 2021). </w:t>
      </w:r>
      <w:bookmarkStart w:id="12" w:name="_Hlk143352309"/>
      <w:r>
        <w:rPr>
          <w:lang w:val="en-GB"/>
        </w:rPr>
        <w:t>Although reasonable,</w:t>
      </w:r>
      <w:r w:rsidR="00D57C35" w:rsidRPr="00940BEC">
        <w:rPr>
          <w:lang w:val="en-GB"/>
        </w:rPr>
        <w:t xml:space="preserve"> th</w:t>
      </w:r>
      <w:r w:rsidR="00FE2E26" w:rsidRPr="00940BEC">
        <w:rPr>
          <w:lang w:val="en-GB"/>
        </w:rPr>
        <w:t xml:space="preserve">e use of docetaxel in the mCRPC setting </w:t>
      </w:r>
      <w:r w:rsidR="00D57C35" w:rsidRPr="00940BEC">
        <w:rPr>
          <w:lang w:val="en-GB"/>
        </w:rPr>
        <w:t xml:space="preserve">may </w:t>
      </w:r>
      <w:r w:rsidR="00FE2E26" w:rsidRPr="00940BEC">
        <w:rPr>
          <w:lang w:val="en-GB"/>
        </w:rPr>
        <w:t xml:space="preserve">increase </w:t>
      </w:r>
      <w:r w:rsidR="00D57C35" w:rsidRPr="00940BEC">
        <w:rPr>
          <w:lang w:val="en-GB"/>
        </w:rPr>
        <w:t>as more patients initiate NHA</w:t>
      </w:r>
      <w:r w:rsidR="005E1B84" w:rsidRPr="00940BEC">
        <w:rPr>
          <w:lang w:val="en-GB"/>
        </w:rPr>
        <w:t>s</w:t>
      </w:r>
      <w:r w:rsidR="00D57C35" w:rsidRPr="00940BEC">
        <w:rPr>
          <w:lang w:val="en-GB"/>
        </w:rPr>
        <w:t xml:space="preserve"> earlier in the disease pathway.</w:t>
      </w:r>
      <w:bookmarkEnd w:id="12"/>
      <w:r w:rsidR="00D57C35" w:rsidRPr="00940BEC">
        <w:rPr>
          <w:lang w:val="en-GB"/>
        </w:rPr>
        <w:t xml:space="preserve"> </w:t>
      </w:r>
    </w:p>
    <w:p w14:paraId="09ADB8C3" w14:textId="39F6FA1C" w:rsidR="00940BEC" w:rsidRPr="00940BEC" w:rsidRDefault="00A27A0A" w:rsidP="00940BEC">
      <w:pPr>
        <w:pStyle w:val="3-BodyText"/>
        <w:rPr>
          <w:snapToGrid/>
          <w:lang w:val="en-US"/>
        </w:rPr>
      </w:pPr>
      <w:r w:rsidRPr="00940BEC">
        <w:rPr>
          <w:lang w:val="en-GB"/>
        </w:rPr>
        <w:t xml:space="preserve">The submission identified two near-market comparators: the PARP inhibitors </w:t>
      </w:r>
      <w:r w:rsidR="00274773" w:rsidRPr="00940BEC">
        <w:rPr>
          <w:lang w:val="en-GB"/>
        </w:rPr>
        <w:t>niraparib</w:t>
      </w:r>
      <w:r w:rsidRPr="00940BEC">
        <w:t xml:space="preserve"> and talazoparib, administered in combination with abiraterone and enzalutamide, respectively. N</w:t>
      </w:r>
      <w:r w:rsidR="00FE2E26" w:rsidRPr="00940BEC">
        <w:t>either</w:t>
      </w:r>
      <w:r w:rsidRPr="00940BEC">
        <w:t xml:space="preserve"> of these agents </w:t>
      </w:r>
      <w:r w:rsidR="00FB1722">
        <w:t>we</w:t>
      </w:r>
      <w:r w:rsidR="00FB1722" w:rsidRPr="00940BEC">
        <w:t xml:space="preserve">re </w:t>
      </w:r>
      <w:r w:rsidRPr="00940BEC">
        <w:t>TGA-approved in mCRPC.</w:t>
      </w:r>
      <w:r w:rsidR="00940BEC">
        <w:t xml:space="preserve"> </w:t>
      </w:r>
    </w:p>
    <w:p w14:paraId="7E418DA3" w14:textId="432F53C6" w:rsidR="00A27A0A" w:rsidRPr="00940BEC" w:rsidRDefault="00940BEC" w:rsidP="00940BEC">
      <w:pPr>
        <w:pStyle w:val="ExecSumBodyText"/>
        <w:ind w:firstLine="0"/>
        <w:jc w:val="both"/>
        <w:rPr>
          <w:i/>
          <w:iCs/>
        </w:rPr>
      </w:pPr>
      <w:r w:rsidRPr="00940BEC">
        <w:rPr>
          <w:i/>
          <w:iCs/>
          <w:lang w:val="en-GB"/>
        </w:rPr>
        <w:t>For more detail on PBAC’s view, see section 7 PBAC outcome.</w:t>
      </w:r>
    </w:p>
    <w:p w14:paraId="7F9C27C8" w14:textId="77777777" w:rsidR="00223D5A" w:rsidRPr="00407F2D" w:rsidRDefault="00223D5A" w:rsidP="00B7116A">
      <w:pPr>
        <w:pStyle w:val="2-SectionHeading"/>
        <w:numPr>
          <w:ilvl w:val="0"/>
          <w:numId w:val="1"/>
        </w:numPr>
      </w:pPr>
      <w:bookmarkStart w:id="13" w:name="_Toc145075503"/>
      <w:bookmarkStart w:id="14" w:name="_Toc22897640"/>
      <w:r>
        <w:lastRenderedPageBreak/>
        <w:t>C</w:t>
      </w:r>
      <w:r w:rsidRPr="00407F2D">
        <w:t>onsideration of the evidence</w:t>
      </w:r>
      <w:bookmarkEnd w:id="13"/>
    </w:p>
    <w:p w14:paraId="07AAD576" w14:textId="240AD12A" w:rsidR="00940BEC" w:rsidRPr="00CF11D7" w:rsidRDefault="00940BEC" w:rsidP="00B7116A">
      <w:pPr>
        <w:pStyle w:val="Heading2"/>
        <w:keepNext/>
        <w:rPr>
          <w:snapToGrid w:val="0"/>
        </w:rPr>
      </w:pPr>
      <w:bookmarkStart w:id="15" w:name="_Hlk76382586"/>
      <w:bookmarkStart w:id="16" w:name="_Toc145075504"/>
      <w:r w:rsidRPr="00CF11D7">
        <w:rPr>
          <w:snapToGrid w:val="0"/>
        </w:rPr>
        <w:t>Sponsor hearing</w:t>
      </w:r>
    </w:p>
    <w:bookmarkEnd w:id="15"/>
    <w:p w14:paraId="50656E77" w14:textId="1DB5675A" w:rsidR="00940BEC" w:rsidRPr="00CF11D7" w:rsidRDefault="00940BEC" w:rsidP="00940BEC">
      <w:pPr>
        <w:widowControl w:val="0"/>
        <w:numPr>
          <w:ilvl w:val="1"/>
          <w:numId w:val="1"/>
        </w:numPr>
        <w:spacing w:after="120"/>
        <w:jc w:val="both"/>
        <w:rPr>
          <w:rFonts w:cs="Calibri"/>
          <w:bCs/>
          <w:snapToGrid w:val="0"/>
        </w:rPr>
      </w:pPr>
      <w:r w:rsidRPr="00CF11D7">
        <w:rPr>
          <w:rFonts w:cs="Calibri"/>
          <w:bCs/>
          <w:snapToGrid w:val="0"/>
        </w:rPr>
        <w:t>There was no hearing for this item.</w:t>
      </w:r>
    </w:p>
    <w:p w14:paraId="17FCCA39" w14:textId="77777777" w:rsidR="00940BEC" w:rsidRPr="00CF11D7" w:rsidRDefault="00940BEC" w:rsidP="00940BEC">
      <w:pPr>
        <w:pStyle w:val="Heading2"/>
      </w:pPr>
      <w:r w:rsidRPr="00CF11D7">
        <w:t>Consumer comments</w:t>
      </w:r>
    </w:p>
    <w:p w14:paraId="03A21CC9" w14:textId="5A021878" w:rsidR="00CF11D7" w:rsidRPr="00CF11D7" w:rsidRDefault="00940BEC" w:rsidP="00940BEC">
      <w:pPr>
        <w:widowControl w:val="0"/>
        <w:numPr>
          <w:ilvl w:val="1"/>
          <w:numId w:val="1"/>
        </w:numPr>
        <w:spacing w:after="120"/>
        <w:jc w:val="both"/>
        <w:rPr>
          <w:rFonts w:asciiTheme="minorHAnsi" w:hAnsiTheme="minorHAnsi"/>
          <w:bCs/>
          <w:snapToGrid w:val="0"/>
        </w:rPr>
      </w:pPr>
      <w:bookmarkStart w:id="17" w:name="_Hlk76382618"/>
      <w:r w:rsidRPr="00CF11D7">
        <w:rPr>
          <w:rFonts w:asciiTheme="minorHAnsi" w:hAnsiTheme="minorHAnsi"/>
          <w:bCs/>
          <w:snapToGrid w:val="0"/>
        </w:rPr>
        <w:t>The PBAC noted and welcomed the input from individuals (</w:t>
      </w:r>
      <w:r w:rsidR="00CF11D7" w:rsidRPr="00CF11D7">
        <w:rPr>
          <w:rFonts w:asciiTheme="minorHAnsi" w:hAnsiTheme="minorHAnsi"/>
          <w:bCs/>
          <w:snapToGrid w:val="0"/>
        </w:rPr>
        <w:t>10</w:t>
      </w:r>
      <w:r w:rsidRPr="00CF11D7">
        <w:rPr>
          <w:rFonts w:asciiTheme="minorHAnsi" w:hAnsiTheme="minorHAnsi"/>
          <w:bCs/>
          <w:snapToGrid w:val="0"/>
        </w:rPr>
        <w:t>), health care professionals (</w:t>
      </w:r>
      <w:r w:rsidR="00CF11D7" w:rsidRPr="00CF11D7">
        <w:rPr>
          <w:rFonts w:asciiTheme="minorHAnsi" w:hAnsiTheme="minorHAnsi"/>
          <w:bCs/>
          <w:snapToGrid w:val="0"/>
        </w:rPr>
        <w:t>2</w:t>
      </w:r>
      <w:r w:rsidRPr="00CF11D7">
        <w:rPr>
          <w:rFonts w:asciiTheme="minorHAnsi" w:hAnsiTheme="minorHAnsi"/>
          <w:bCs/>
          <w:snapToGrid w:val="0"/>
        </w:rPr>
        <w:t>) and organisations (1</w:t>
      </w:r>
      <w:r w:rsidR="00CF11D7" w:rsidRPr="00CF11D7">
        <w:rPr>
          <w:rFonts w:asciiTheme="minorHAnsi" w:hAnsiTheme="minorHAnsi"/>
          <w:bCs/>
          <w:snapToGrid w:val="0"/>
        </w:rPr>
        <w:t>7</w:t>
      </w:r>
      <w:r w:rsidRPr="00CF11D7">
        <w:rPr>
          <w:rFonts w:asciiTheme="minorHAnsi" w:hAnsiTheme="minorHAnsi"/>
          <w:bCs/>
          <w:snapToGrid w:val="0"/>
        </w:rPr>
        <w:t xml:space="preserve">) via the Consumer Comments facility on the PBS website.  The comments </w:t>
      </w:r>
      <w:r w:rsidR="00CF11D7" w:rsidRPr="00CF11D7">
        <w:rPr>
          <w:rFonts w:asciiTheme="minorHAnsi" w:hAnsiTheme="minorHAnsi"/>
          <w:bCs/>
          <w:snapToGrid w:val="0"/>
        </w:rPr>
        <w:t xml:space="preserve">from individuals and health professionals </w:t>
      </w:r>
      <w:r w:rsidR="001316D7">
        <w:rPr>
          <w:rFonts w:asciiTheme="minorHAnsi" w:hAnsiTheme="minorHAnsi"/>
          <w:bCs/>
          <w:snapToGrid w:val="0"/>
        </w:rPr>
        <w:t xml:space="preserve">supported the </w:t>
      </w:r>
      <w:r w:rsidR="00CF11D7" w:rsidRPr="00CF11D7">
        <w:rPr>
          <w:rFonts w:asciiTheme="minorHAnsi" w:hAnsiTheme="minorHAnsi"/>
          <w:bCs/>
          <w:snapToGrid w:val="0"/>
        </w:rPr>
        <w:t xml:space="preserve">olaparib </w:t>
      </w:r>
      <w:r w:rsidR="001316D7">
        <w:rPr>
          <w:rFonts w:asciiTheme="minorHAnsi" w:hAnsiTheme="minorHAnsi"/>
          <w:bCs/>
          <w:snapToGrid w:val="0"/>
        </w:rPr>
        <w:t>submission</w:t>
      </w:r>
      <w:r w:rsidR="00CF11D7" w:rsidRPr="00CF11D7">
        <w:rPr>
          <w:rFonts w:asciiTheme="minorHAnsi" w:hAnsiTheme="minorHAnsi"/>
          <w:bCs/>
          <w:snapToGrid w:val="0"/>
        </w:rPr>
        <w:t xml:space="preserve"> and noted the benefits including improved survival and quality of life. The comments also not the prohibitive cost of treatment if not subsidised. </w:t>
      </w:r>
    </w:p>
    <w:bookmarkEnd w:id="17"/>
    <w:p w14:paraId="725182DF" w14:textId="0DA38124" w:rsidR="00CF11D7" w:rsidRPr="00CF11D7" w:rsidRDefault="00940BEC" w:rsidP="00FA3BF9">
      <w:pPr>
        <w:widowControl w:val="0"/>
        <w:numPr>
          <w:ilvl w:val="1"/>
          <w:numId w:val="1"/>
        </w:numPr>
        <w:spacing w:after="120"/>
        <w:jc w:val="both"/>
        <w:rPr>
          <w:rFonts w:asciiTheme="minorHAnsi" w:hAnsiTheme="minorHAnsi"/>
          <w:bCs/>
          <w:snapToGrid w:val="0"/>
        </w:rPr>
      </w:pPr>
      <w:r w:rsidRPr="00CF11D7">
        <w:rPr>
          <w:rFonts w:asciiTheme="minorHAnsi" w:hAnsiTheme="minorHAnsi"/>
          <w:bCs/>
          <w:snapToGrid w:val="0"/>
        </w:rPr>
        <w:t xml:space="preserve">The Medical Oncology Group of Australia (MOGA) also expressed its strong support for the </w:t>
      </w:r>
      <w:r w:rsidR="00CF11D7" w:rsidRPr="00CF11D7">
        <w:rPr>
          <w:rFonts w:asciiTheme="minorHAnsi" w:hAnsiTheme="minorHAnsi"/>
          <w:bCs/>
          <w:snapToGrid w:val="0"/>
        </w:rPr>
        <w:t>olaparib</w:t>
      </w:r>
      <w:r w:rsidRPr="00CF11D7">
        <w:rPr>
          <w:rFonts w:asciiTheme="minorHAnsi" w:hAnsiTheme="minorHAnsi"/>
          <w:bCs/>
          <w:snapToGrid w:val="0"/>
        </w:rPr>
        <w:t xml:space="preserve"> submission, categorising it as one of the therapies of “high priority for PBS listing” on the basis of the </w:t>
      </w:r>
      <w:r w:rsidR="00CF11D7" w:rsidRPr="00CF11D7">
        <w:rPr>
          <w:rFonts w:asciiTheme="minorHAnsi" w:hAnsiTheme="minorHAnsi"/>
          <w:bCs/>
          <w:snapToGrid w:val="0"/>
        </w:rPr>
        <w:t>PROpel</w:t>
      </w:r>
      <w:r w:rsidRPr="00CF11D7">
        <w:rPr>
          <w:rFonts w:asciiTheme="minorHAnsi" w:hAnsiTheme="minorHAnsi"/>
          <w:bCs/>
          <w:snapToGrid w:val="0"/>
        </w:rPr>
        <w:t xml:space="preserve"> trial. The PBAC noted that the MOGA presented a European Society for Medical Oncology Magnitude of Clinical Benefit Scale (ESMO-MCBS) for </w:t>
      </w:r>
      <w:r w:rsidR="00CF11D7" w:rsidRPr="00CF11D7">
        <w:rPr>
          <w:rFonts w:asciiTheme="minorHAnsi" w:hAnsiTheme="minorHAnsi"/>
          <w:bCs/>
          <w:snapToGrid w:val="0"/>
        </w:rPr>
        <w:t>olaparib</w:t>
      </w:r>
      <w:r w:rsidRPr="00CF11D7">
        <w:rPr>
          <w:rFonts w:asciiTheme="minorHAnsi" w:hAnsiTheme="minorHAnsi"/>
          <w:bCs/>
          <w:snapToGrid w:val="0"/>
        </w:rPr>
        <w:t xml:space="preserve">, which was limited to </w:t>
      </w:r>
      <w:r w:rsidR="00CF11D7" w:rsidRPr="00CF11D7">
        <w:rPr>
          <w:rFonts w:asciiTheme="minorHAnsi" w:hAnsiTheme="minorHAnsi"/>
          <w:bCs/>
          <w:snapToGrid w:val="0"/>
        </w:rPr>
        <w:t>4</w:t>
      </w:r>
      <w:r w:rsidRPr="00CF11D7">
        <w:rPr>
          <w:rFonts w:asciiTheme="minorHAnsi" w:hAnsiTheme="minorHAnsi"/>
          <w:bCs/>
          <w:snapToGrid w:val="0"/>
        </w:rPr>
        <w:t xml:space="preserve"> (out of a maximum of 5, where 5 and 4 represent the grades with substantial improvement)</w:t>
      </w:r>
      <w:r w:rsidR="00CF11D7" w:rsidRPr="00CF11D7">
        <w:rPr>
          <w:rStyle w:val="FootnoteReference"/>
          <w:rFonts w:asciiTheme="minorHAnsi" w:hAnsiTheme="minorHAnsi"/>
          <w:bCs/>
          <w:snapToGrid w:val="0"/>
        </w:rPr>
        <w:footnoteReference w:id="2"/>
      </w:r>
      <w:r w:rsidRPr="00CF11D7">
        <w:rPr>
          <w:rFonts w:asciiTheme="minorHAnsi" w:hAnsiTheme="minorHAnsi"/>
          <w:bCs/>
          <w:snapToGrid w:val="0"/>
        </w:rPr>
        <w:t xml:space="preserve">, based on a comparison with </w:t>
      </w:r>
      <w:r w:rsidR="00CF11D7" w:rsidRPr="00CF11D7">
        <w:rPr>
          <w:rFonts w:asciiTheme="minorHAnsi" w:hAnsiTheme="minorHAnsi"/>
          <w:bCs/>
          <w:snapToGrid w:val="0"/>
        </w:rPr>
        <w:t>placebo</w:t>
      </w:r>
      <w:r w:rsidRPr="00CF11D7">
        <w:rPr>
          <w:rFonts w:asciiTheme="minorHAnsi" w:hAnsiTheme="minorHAnsi"/>
          <w:bCs/>
          <w:snapToGrid w:val="0"/>
        </w:rPr>
        <w:t>.</w:t>
      </w:r>
      <w:r w:rsidR="00CF11D7" w:rsidRPr="00CF11D7">
        <w:rPr>
          <w:rFonts w:asciiTheme="minorHAnsi" w:hAnsiTheme="minorHAnsi"/>
          <w:bCs/>
          <w:snapToGrid w:val="0"/>
        </w:rPr>
        <w:t xml:space="preserve"> </w:t>
      </w:r>
    </w:p>
    <w:p w14:paraId="4B6E2512" w14:textId="4207781D" w:rsidR="00940BEC" w:rsidRPr="00CF11D7" w:rsidRDefault="00CF11D7" w:rsidP="00FA3BF9">
      <w:pPr>
        <w:widowControl w:val="0"/>
        <w:numPr>
          <w:ilvl w:val="1"/>
          <w:numId w:val="1"/>
        </w:numPr>
        <w:spacing w:after="120"/>
        <w:jc w:val="both"/>
        <w:rPr>
          <w:rFonts w:asciiTheme="minorHAnsi" w:hAnsiTheme="minorHAnsi"/>
          <w:bCs/>
          <w:snapToGrid w:val="0"/>
        </w:rPr>
      </w:pPr>
      <w:r w:rsidRPr="00CF11D7">
        <w:rPr>
          <w:rFonts w:asciiTheme="minorHAnsi" w:hAnsiTheme="minorHAnsi"/>
          <w:bCs/>
          <w:snapToGrid w:val="0"/>
        </w:rPr>
        <w:t xml:space="preserve">The PBAC also noted input from 16 consumer group organisations (Prostate Cancer Foundation of Australia, Pink Hope, Nepean/Blue Mountains Prostate Cancer Support Group Inc, PROST! Exercise for Prostate Cancer, Bega Valley Prostate Cancer Support Group, South Eastern Prostate Cancer Support Group, Prostate Cancer Support Group Port Macquarie, Grafton Ngerrie (Aboriginal) Mens Cancer Support Group, Bayside Kingston Prostate Cancer Support Group, Prostate Cancer Support Group – ACT and Region, Bairnsdale Prostate Cancer Support Group, Lakes Entrance Prostate Cancer Support Group, Grafton Prostate Cancer Support Group, Parkes Prostate Cancer Awareness and Support Group and Men’s Health and Cancer Support Group of Milton and Ulladulla NSW). These groups noted the improved progression free and survival in patients with BRCA1/2 </w:t>
      </w:r>
      <w:r>
        <w:rPr>
          <w:rFonts w:asciiTheme="minorHAnsi" w:hAnsiTheme="minorHAnsi"/>
          <w:bCs/>
          <w:snapToGrid w:val="0"/>
        </w:rPr>
        <w:t>pathogenic variants</w:t>
      </w:r>
      <w:r w:rsidRPr="00CF11D7">
        <w:rPr>
          <w:rFonts w:asciiTheme="minorHAnsi" w:hAnsiTheme="minorHAnsi"/>
          <w:bCs/>
          <w:snapToGrid w:val="0"/>
        </w:rPr>
        <w:t xml:space="preserve"> treated with olaparib, the benefits to quality of life and described the manageable side effect profile of olaparib. Further, the groups noted the prohibitive cost of olaparib</w:t>
      </w:r>
      <w:r>
        <w:rPr>
          <w:rFonts w:asciiTheme="minorHAnsi" w:hAnsiTheme="minorHAnsi"/>
          <w:bCs/>
          <w:snapToGrid w:val="0"/>
        </w:rPr>
        <w:t>.</w:t>
      </w:r>
    </w:p>
    <w:p w14:paraId="609C0765" w14:textId="7A95BC34" w:rsidR="00B60939" w:rsidRPr="00C9624D" w:rsidRDefault="00B60939" w:rsidP="002E4F02">
      <w:pPr>
        <w:pStyle w:val="4-SubsectionHeading"/>
      </w:pPr>
      <w:r w:rsidRPr="00C9624D">
        <w:t>Clinical trials</w:t>
      </w:r>
      <w:bookmarkEnd w:id="14"/>
      <w:bookmarkEnd w:id="16"/>
    </w:p>
    <w:p w14:paraId="6FB52C47" w14:textId="0EB29044" w:rsidR="00B17D8C" w:rsidRPr="00940BEC" w:rsidRDefault="00A73134" w:rsidP="00FE2E26">
      <w:pPr>
        <w:pStyle w:val="3-BodyText"/>
      </w:pPr>
      <w:r w:rsidRPr="00940BEC">
        <w:rPr>
          <w:snapToGrid/>
          <w:lang w:val="en-US"/>
        </w:rPr>
        <w:t xml:space="preserve">The submission </w:t>
      </w:r>
      <w:r w:rsidR="00D5243B" w:rsidRPr="00940BEC">
        <w:rPr>
          <w:snapToGrid/>
          <w:lang w:val="en-US"/>
        </w:rPr>
        <w:t>wa</w:t>
      </w:r>
      <w:r w:rsidRPr="00940BEC">
        <w:rPr>
          <w:snapToGrid/>
          <w:lang w:val="en-US"/>
        </w:rPr>
        <w:t xml:space="preserve">s based on one head-to-head trial comparing </w:t>
      </w:r>
      <w:r w:rsidR="00B17D8C" w:rsidRPr="00940BEC">
        <w:t xml:space="preserve">olaparib plus abiraterone to </w:t>
      </w:r>
      <w:r w:rsidR="00931940" w:rsidRPr="00940BEC">
        <w:t xml:space="preserve">placebo to </w:t>
      </w:r>
      <w:r w:rsidR="00B17D8C" w:rsidRPr="00940BEC">
        <w:t>abiraterone</w:t>
      </w:r>
      <w:r w:rsidR="0055674E" w:rsidRPr="00940BEC">
        <w:rPr>
          <w:snapToGrid/>
          <w:lang w:val="en-US"/>
        </w:rPr>
        <w:t>,</w:t>
      </w:r>
      <w:r w:rsidRPr="00940BEC">
        <w:rPr>
          <w:snapToGrid/>
          <w:lang w:val="en-US"/>
        </w:rPr>
        <w:t xml:space="preserve"> </w:t>
      </w:r>
      <w:r w:rsidR="00B17D8C" w:rsidRPr="00940BEC">
        <w:rPr>
          <w:snapToGrid/>
          <w:lang w:val="en-US"/>
        </w:rPr>
        <w:t>PROpel</w:t>
      </w:r>
      <w:r w:rsidR="0055674E" w:rsidRPr="00940BEC">
        <w:rPr>
          <w:snapToGrid/>
          <w:lang w:val="en-US"/>
        </w:rPr>
        <w:t xml:space="preserve"> (</w:t>
      </w:r>
      <w:r w:rsidR="0012761F" w:rsidRPr="00940BEC">
        <w:rPr>
          <w:snapToGrid/>
          <w:lang w:val="en-US"/>
        </w:rPr>
        <w:t>N</w:t>
      </w:r>
      <w:r w:rsidR="0055674E" w:rsidRPr="00940BEC">
        <w:rPr>
          <w:snapToGrid/>
          <w:lang w:val="en-US"/>
        </w:rPr>
        <w:t>=</w:t>
      </w:r>
      <w:r w:rsidR="0055674E" w:rsidRPr="00940BEC">
        <w:rPr>
          <w:lang w:val="en-US"/>
        </w:rPr>
        <w:t>796)</w:t>
      </w:r>
      <w:r w:rsidR="00B17D8C" w:rsidRPr="00940BEC">
        <w:rPr>
          <w:snapToGrid/>
          <w:lang w:val="en-US"/>
        </w:rPr>
        <w:t>.</w:t>
      </w:r>
    </w:p>
    <w:p w14:paraId="763B1D9A" w14:textId="15E503A5" w:rsidR="00E73BC3" w:rsidRPr="00940BEC" w:rsidRDefault="00E73BC3" w:rsidP="00FE2E26">
      <w:pPr>
        <w:pStyle w:val="3-BodyText"/>
      </w:pPr>
      <w:r w:rsidRPr="00940BEC">
        <w:t xml:space="preserve">The PROpel trial recruited genetically unselected mCRPC patients who were stratified by site of distant metastases (bone only vs visceral vs other) and of prior taxane use, but not </w:t>
      </w:r>
      <w:r w:rsidR="00A41905" w:rsidRPr="00940BEC">
        <w:t>BRCA</w:t>
      </w:r>
      <w:r w:rsidRPr="00940BEC">
        <w:t xml:space="preserve"> status. </w:t>
      </w:r>
    </w:p>
    <w:p w14:paraId="34E22787" w14:textId="1C0CC549" w:rsidR="00E73BC3" w:rsidRPr="00940BEC" w:rsidRDefault="00E73BC3" w:rsidP="00FE2E26">
      <w:pPr>
        <w:pStyle w:val="3-BodyText"/>
      </w:pPr>
      <w:r w:rsidRPr="00940BEC">
        <w:lastRenderedPageBreak/>
        <w:t xml:space="preserve">The clinical claim of superior effectiveness and inferior safety was based on a </w:t>
      </w:r>
      <w:r w:rsidRPr="00FB1722">
        <w:rPr>
          <w:i/>
          <w:iCs/>
        </w:rPr>
        <w:t>post-hoc</w:t>
      </w:r>
      <w:r w:rsidRPr="00940BEC">
        <w:t xml:space="preserve"> subgroup analysis of patients with </w:t>
      </w:r>
      <w:r w:rsidR="006C3ED1" w:rsidRPr="00940BEC">
        <w:t>BRCA1/2</w:t>
      </w:r>
      <w:r w:rsidRPr="00940BEC">
        <w:t xml:space="preserve"> pathogenic variants</w:t>
      </w:r>
      <w:r w:rsidR="0055674E" w:rsidRPr="00940BEC">
        <w:t xml:space="preserve"> (n=85)</w:t>
      </w:r>
      <w:r w:rsidRPr="00940BEC">
        <w:t xml:space="preserve">. The submission acknowledged that the </w:t>
      </w:r>
      <w:r w:rsidRPr="00FB1722">
        <w:rPr>
          <w:i/>
          <w:iCs/>
        </w:rPr>
        <w:t>post-hoc</w:t>
      </w:r>
      <w:r w:rsidRPr="00940BEC">
        <w:t xml:space="preserve"> analyses had important limitations, including lack of alpha control and lack of stratification by </w:t>
      </w:r>
      <w:r w:rsidR="00A41905" w:rsidRPr="00940BEC">
        <w:t>BRCA</w:t>
      </w:r>
      <w:r w:rsidRPr="00940BEC">
        <w:t xml:space="preserve"> status.</w:t>
      </w:r>
    </w:p>
    <w:p w14:paraId="786CFBC2" w14:textId="0116AB08" w:rsidR="00826EA5" w:rsidRPr="00940BEC" w:rsidRDefault="00A73134" w:rsidP="00FE2E26">
      <w:pPr>
        <w:pStyle w:val="3-BodyText"/>
      </w:pPr>
      <w:r w:rsidRPr="00940BEC">
        <w:rPr>
          <w:snapToGrid/>
          <w:lang w:val="en-US"/>
        </w:rPr>
        <w:t xml:space="preserve">Details of the trial presented in the submission are provided in </w:t>
      </w:r>
      <w:r w:rsidR="00696EF9" w:rsidRPr="00940BEC">
        <w:rPr>
          <w:snapToGrid/>
          <w:lang w:val="en-US"/>
        </w:rPr>
        <w:fldChar w:fldCharType="begin" w:fldLock="1"/>
      </w:r>
      <w:r w:rsidR="00696EF9" w:rsidRPr="00940BEC">
        <w:rPr>
          <w:snapToGrid/>
          <w:lang w:val="en-US"/>
        </w:rPr>
        <w:instrText xml:space="preserve"> REF _Ref104803956 \h </w:instrText>
      </w:r>
      <w:r w:rsidR="00940BEC" w:rsidRPr="00940BEC">
        <w:rPr>
          <w:snapToGrid/>
          <w:lang w:val="en-US"/>
        </w:rPr>
        <w:instrText xml:space="preserve"> \* MERGEFORMAT </w:instrText>
      </w:r>
      <w:r w:rsidR="00696EF9" w:rsidRPr="00940BEC">
        <w:rPr>
          <w:snapToGrid/>
          <w:lang w:val="en-US"/>
        </w:rPr>
      </w:r>
      <w:r w:rsidR="00696EF9" w:rsidRPr="00940BEC">
        <w:rPr>
          <w:snapToGrid/>
          <w:lang w:val="en-US"/>
        </w:rPr>
        <w:fldChar w:fldCharType="separate"/>
      </w:r>
      <w:r w:rsidR="006F331F" w:rsidRPr="00940BEC">
        <w:t xml:space="preserve">Table </w:t>
      </w:r>
      <w:r w:rsidR="006F331F" w:rsidRPr="00940BEC">
        <w:rPr>
          <w:noProof/>
        </w:rPr>
        <w:t>2</w:t>
      </w:r>
      <w:r w:rsidR="00696EF9" w:rsidRPr="00940BEC">
        <w:rPr>
          <w:snapToGrid/>
          <w:lang w:val="en-US"/>
        </w:rPr>
        <w:fldChar w:fldCharType="end"/>
      </w:r>
      <w:r w:rsidRPr="00940BEC">
        <w:rPr>
          <w:snapToGrid/>
          <w:lang w:val="en-US"/>
        </w:rPr>
        <w:t>.</w:t>
      </w:r>
      <w:r w:rsidR="00BC591F" w:rsidRPr="00940BEC">
        <w:rPr>
          <w:snapToGrid/>
          <w:lang w:val="en-US"/>
        </w:rPr>
        <w:t xml:space="preserve"> </w:t>
      </w:r>
    </w:p>
    <w:p w14:paraId="7DE3A286" w14:textId="41B60EC7" w:rsidR="008E0D3C" w:rsidRDefault="00696EF9" w:rsidP="002E4F02">
      <w:pPr>
        <w:pStyle w:val="TableFigureHeading"/>
        <w:rPr>
          <w:rStyle w:val="CommentReference"/>
          <w:b/>
          <w:szCs w:val="24"/>
        </w:rPr>
      </w:pPr>
      <w:bookmarkStart w:id="18" w:name="_Ref104803956"/>
      <w:r>
        <w:t xml:space="preserve">Table </w:t>
      </w:r>
      <w:fldSimple w:instr=" SEQ Table \* ARABIC " w:fldLock="1">
        <w:r w:rsidR="006F331F">
          <w:rPr>
            <w:noProof/>
          </w:rPr>
          <w:t>2</w:t>
        </w:r>
      </w:fldSimple>
      <w:bookmarkEnd w:id="18"/>
      <w:r>
        <w:t>:</w:t>
      </w:r>
      <w:r w:rsidR="00BC591F" w:rsidRPr="002E4F02">
        <w:rPr>
          <w:rStyle w:val="CommentReference"/>
          <w:b/>
          <w:szCs w:val="24"/>
        </w:rPr>
        <w:t xml:space="preserve"> </w:t>
      </w:r>
      <w:r w:rsidR="002A14E7">
        <w:rPr>
          <w:rStyle w:val="CommentReference"/>
          <w:b/>
          <w:szCs w:val="24"/>
        </w:rPr>
        <w:t>Key t</w:t>
      </w:r>
      <w:r w:rsidR="008E0D3C" w:rsidRPr="002E4F02">
        <w:rPr>
          <w:rStyle w:val="CommentReference"/>
          <w:b/>
          <w:szCs w:val="24"/>
        </w:rPr>
        <w:t>rial</w:t>
      </w:r>
      <w:r w:rsidR="00826EA5">
        <w:rPr>
          <w:rStyle w:val="CommentReference"/>
          <w:b/>
          <w:szCs w:val="24"/>
        </w:rPr>
        <w:t xml:space="preserve"> </w:t>
      </w:r>
      <w:r w:rsidR="008E0D3C" w:rsidRPr="002E4F02">
        <w:rPr>
          <w:rStyle w:val="CommentReference"/>
          <w:b/>
          <w:szCs w:val="24"/>
        </w:rPr>
        <w:t xml:space="preserve">and </w:t>
      </w:r>
      <w:r w:rsidR="0012761F">
        <w:rPr>
          <w:rStyle w:val="CommentReference"/>
          <w:b/>
          <w:szCs w:val="24"/>
        </w:rPr>
        <w:t xml:space="preserve">main </w:t>
      </w:r>
      <w:r w:rsidR="008E0D3C" w:rsidRPr="002E4F02">
        <w:rPr>
          <w:rStyle w:val="CommentReference"/>
          <w:b/>
          <w:szCs w:val="24"/>
        </w:rPr>
        <w:t>reports presented in the submission</w:t>
      </w:r>
    </w:p>
    <w:tbl>
      <w:tblPr>
        <w:tblStyle w:val="TableGrid"/>
        <w:tblW w:w="9067" w:type="dxa"/>
        <w:tblLook w:val="04A0" w:firstRow="1" w:lastRow="0" w:firstColumn="1" w:lastColumn="0" w:noHBand="0" w:noVBand="1"/>
      </w:tblPr>
      <w:tblGrid>
        <w:gridCol w:w="1413"/>
        <w:gridCol w:w="7654"/>
      </w:tblGrid>
      <w:tr w:rsidR="00826EA5" w:rsidRPr="00A05B93" w14:paraId="771952DD" w14:textId="77777777" w:rsidTr="001E53B4">
        <w:trPr>
          <w:tblHeader/>
        </w:trPr>
        <w:tc>
          <w:tcPr>
            <w:tcW w:w="1413" w:type="dxa"/>
          </w:tcPr>
          <w:p w14:paraId="34372F25" w14:textId="0A3F1556" w:rsidR="00826EA5" w:rsidRPr="00A05B93" w:rsidRDefault="00826EA5" w:rsidP="001E53B4">
            <w:pPr>
              <w:pStyle w:val="PBACTabletext"/>
              <w:keepNext w:val="0"/>
              <w:widowControl w:val="0"/>
              <w:suppressLineNumbers w:val="0"/>
              <w:spacing w:after="0"/>
              <w:rPr>
                <w:b/>
                <w:bCs/>
              </w:rPr>
            </w:pPr>
            <w:r>
              <w:rPr>
                <w:b/>
                <w:bCs/>
              </w:rPr>
              <w:t xml:space="preserve">Trial </w:t>
            </w:r>
            <w:r w:rsidRPr="00A05B93">
              <w:rPr>
                <w:b/>
                <w:bCs/>
              </w:rPr>
              <w:t>ID</w:t>
            </w:r>
          </w:p>
        </w:tc>
        <w:tc>
          <w:tcPr>
            <w:tcW w:w="7654" w:type="dxa"/>
          </w:tcPr>
          <w:p w14:paraId="4418664C" w14:textId="77777777" w:rsidR="00826EA5" w:rsidRPr="00A05B93" w:rsidRDefault="00826EA5" w:rsidP="001E53B4">
            <w:pPr>
              <w:pStyle w:val="PBACTabletext"/>
              <w:keepNext w:val="0"/>
              <w:widowControl w:val="0"/>
              <w:suppressLineNumbers w:val="0"/>
              <w:spacing w:after="0"/>
              <w:rPr>
                <w:b/>
                <w:bCs/>
              </w:rPr>
            </w:pPr>
            <w:r w:rsidRPr="00A05B93">
              <w:rPr>
                <w:b/>
                <w:bCs/>
              </w:rPr>
              <w:t>Reports</w:t>
            </w:r>
          </w:p>
        </w:tc>
      </w:tr>
      <w:tr w:rsidR="00826EA5" w:rsidRPr="00E338EA" w14:paraId="77AFE001" w14:textId="77777777" w:rsidTr="001E53B4">
        <w:tc>
          <w:tcPr>
            <w:tcW w:w="1413" w:type="dxa"/>
            <w:vMerge w:val="restart"/>
          </w:tcPr>
          <w:p w14:paraId="218CDFA6" w14:textId="77777777" w:rsidR="00826EA5" w:rsidRDefault="00826EA5" w:rsidP="001E53B4">
            <w:pPr>
              <w:pStyle w:val="PBACTabletext"/>
              <w:keepNext w:val="0"/>
              <w:widowControl w:val="0"/>
              <w:suppressLineNumbers w:val="0"/>
              <w:spacing w:after="0"/>
            </w:pPr>
            <w:r>
              <w:t>PROpel</w:t>
            </w:r>
          </w:p>
          <w:p w14:paraId="346CA46B" w14:textId="77777777" w:rsidR="00826EA5" w:rsidRPr="00E338EA" w:rsidRDefault="00826EA5" w:rsidP="001E53B4">
            <w:pPr>
              <w:pStyle w:val="PBACTabletext"/>
              <w:keepNext w:val="0"/>
              <w:widowControl w:val="0"/>
              <w:suppressLineNumbers w:val="0"/>
              <w:spacing w:after="0"/>
            </w:pPr>
            <w:r w:rsidRPr="00AA403B">
              <w:rPr>
                <w:shd w:val="clear" w:color="auto" w:fill="FFFFFF"/>
              </w:rPr>
              <w:t>NCT03732820</w:t>
            </w:r>
          </w:p>
        </w:tc>
        <w:tc>
          <w:tcPr>
            <w:tcW w:w="7654" w:type="dxa"/>
          </w:tcPr>
          <w:p w14:paraId="46EC70CA" w14:textId="77777777" w:rsidR="00826EA5" w:rsidRPr="00E338EA" w:rsidRDefault="00826EA5" w:rsidP="001E53B4">
            <w:pPr>
              <w:pStyle w:val="PBACTabletext"/>
              <w:keepNext w:val="0"/>
              <w:widowControl w:val="0"/>
              <w:suppressLineNumbers w:val="0"/>
              <w:spacing w:after="0"/>
            </w:pPr>
            <w:r w:rsidRPr="002203F6">
              <w:rPr>
                <w:rFonts w:eastAsia="TimesNewRoman"/>
              </w:rPr>
              <w:t>DCO1 CSR</w:t>
            </w:r>
            <w:r>
              <w:rPr>
                <w:rFonts w:eastAsia="TimesNewRoman"/>
              </w:rPr>
              <w:t>:</w:t>
            </w:r>
            <w:r w:rsidRPr="002203F6">
              <w:rPr>
                <w:rFonts w:eastAsia="TimesNewRoman"/>
              </w:rPr>
              <w:t xml:space="preserve"> Interim </w:t>
            </w:r>
            <w:r>
              <w:rPr>
                <w:rFonts w:eastAsia="TimesNewRoman"/>
              </w:rPr>
              <w:t xml:space="preserve">analysis </w:t>
            </w:r>
            <w:r w:rsidRPr="00C07B9A">
              <w:rPr>
                <w:rFonts w:eastAsia="TimesNewRoman"/>
              </w:rPr>
              <w:t>–</w:t>
            </w:r>
            <w:r w:rsidRPr="002203F6">
              <w:rPr>
                <w:rFonts w:eastAsia="TimesNewRoman"/>
              </w:rPr>
              <w:t xml:space="preserve"> </w:t>
            </w:r>
            <w:r>
              <w:rPr>
                <w:rFonts w:eastAsia="TimesNewRoman"/>
              </w:rPr>
              <w:t>data cut</w:t>
            </w:r>
            <w:r w:rsidRPr="00E627A4">
              <w:rPr>
                <w:rFonts w:eastAsia="TimesNewRoman"/>
              </w:rPr>
              <w:t xml:space="preserve"> 30 July 2021</w:t>
            </w:r>
            <w:r>
              <w:rPr>
                <w:rFonts w:eastAsia="TimesNewRoman"/>
              </w:rPr>
              <w:t xml:space="preserve"> </w:t>
            </w:r>
          </w:p>
        </w:tc>
      </w:tr>
      <w:tr w:rsidR="00826EA5" w:rsidRPr="00E338EA" w14:paraId="6147BCDF" w14:textId="77777777" w:rsidTr="001E53B4">
        <w:tc>
          <w:tcPr>
            <w:tcW w:w="1413" w:type="dxa"/>
            <w:vMerge/>
          </w:tcPr>
          <w:p w14:paraId="31317269" w14:textId="77777777" w:rsidR="00826EA5" w:rsidRPr="00E338EA" w:rsidRDefault="00826EA5" w:rsidP="001E53B4">
            <w:pPr>
              <w:pStyle w:val="PBACTabletext"/>
              <w:keepNext w:val="0"/>
              <w:widowControl w:val="0"/>
              <w:suppressLineNumbers w:val="0"/>
              <w:spacing w:after="0"/>
            </w:pPr>
          </w:p>
        </w:tc>
        <w:tc>
          <w:tcPr>
            <w:tcW w:w="7654" w:type="dxa"/>
          </w:tcPr>
          <w:p w14:paraId="50FEFD49" w14:textId="77777777" w:rsidR="00826EA5" w:rsidRPr="00E338EA" w:rsidRDefault="00826EA5" w:rsidP="001E53B4">
            <w:pPr>
              <w:pStyle w:val="PBACTabletext"/>
              <w:keepNext w:val="0"/>
              <w:widowControl w:val="0"/>
              <w:suppressLineNumbers w:val="0"/>
              <w:spacing w:after="0"/>
            </w:pPr>
            <w:r w:rsidRPr="002203F6">
              <w:rPr>
                <w:rFonts w:eastAsia="TimesNewRoman"/>
              </w:rPr>
              <w:t>DCO2 CSR</w:t>
            </w:r>
            <w:r>
              <w:rPr>
                <w:rFonts w:eastAsia="TimesNewRoman"/>
              </w:rPr>
              <w:t xml:space="preserve">: Interim analysis – data cut </w:t>
            </w:r>
            <w:r w:rsidRPr="00E627A4">
              <w:rPr>
                <w:rFonts w:eastAsia="TimesNewRoman"/>
              </w:rPr>
              <w:t>14 March 2022</w:t>
            </w:r>
          </w:p>
        </w:tc>
      </w:tr>
      <w:tr w:rsidR="00826EA5" w:rsidRPr="00E338EA" w14:paraId="08636627" w14:textId="77777777" w:rsidTr="001E53B4">
        <w:tc>
          <w:tcPr>
            <w:tcW w:w="1413" w:type="dxa"/>
            <w:vMerge/>
          </w:tcPr>
          <w:p w14:paraId="1825B1AC" w14:textId="77777777" w:rsidR="00826EA5" w:rsidRPr="00E338EA" w:rsidRDefault="00826EA5" w:rsidP="001E53B4">
            <w:pPr>
              <w:pStyle w:val="PBACTabletext"/>
              <w:keepNext w:val="0"/>
              <w:widowControl w:val="0"/>
              <w:suppressLineNumbers w:val="0"/>
              <w:spacing w:after="0"/>
            </w:pPr>
          </w:p>
        </w:tc>
        <w:tc>
          <w:tcPr>
            <w:tcW w:w="7654" w:type="dxa"/>
          </w:tcPr>
          <w:p w14:paraId="791DD438" w14:textId="77777777" w:rsidR="00826EA5" w:rsidRPr="00E338EA" w:rsidRDefault="00826EA5" w:rsidP="001E53B4">
            <w:pPr>
              <w:pStyle w:val="PBACTabletext"/>
              <w:keepNext w:val="0"/>
              <w:widowControl w:val="0"/>
              <w:suppressLineNumbers w:val="0"/>
              <w:spacing w:after="0"/>
            </w:pPr>
            <w:r w:rsidRPr="002203F6">
              <w:rPr>
                <w:rFonts w:eastAsia="TimesNewRoman"/>
              </w:rPr>
              <w:t>DCO3</w:t>
            </w:r>
            <w:r>
              <w:rPr>
                <w:rFonts w:eastAsia="TimesNewRoman"/>
              </w:rPr>
              <w:t xml:space="preserve"> CSR: Final OS Analysis – data cut </w:t>
            </w:r>
            <w:r w:rsidRPr="001D2606">
              <w:rPr>
                <w:rFonts w:eastAsia="TimesNewRoman"/>
              </w:rPr>
              <w:t>12 October 2022</w:t>
            </w:r>
          </w:p>
        </w:tc>
      </w:tr>
      <w:tr w:rsidR="00826EA5" w:rsidRPr="00E338EA" w14:paraId="69EC09BC" w14:textId="77777777" w:rsidTr="001E53B4">
        <w:tc>
          <w:tcPr>
            <w:tcW w:w="1413" w:type="dxa"/>
            <w:vMerge/>
          </w:tcPr>
          <w:p w14:paraId="685298BE" w14:textId="77777777" w:rsidR="00826EA5" w:rsidRPr="00E338EA" w:rsidRDefault="00826EA5" w:rsidP="001E53B4">
            <w:pPr>
              <w:pStyle w:val="PBACTabletext"/>
              <w:keepNext w:val="0"/>
              <w:widowControl w:val="0"/>
              <w:suppressLineNumbers w:val="0"/>
              <w:spacing w:after="0"/>
            </w:pPr>
          </w:p>
        </w:tc>
        <w:tc>
          <w:tcPr>
            <w:tcW w:w="7654" w:type="dxa"/>
          </w:tcPr>
          <w:p w14:paraId="43BAA22A" w14:textId="494E378E" w:rsidR="00826EA5" w:rsidRPr="00E338EA" w:rsidRDefault="00826EA5" w:rsidP="001E53B4">
            <w:pPr>
              <w:pStyle w:val="PBACTabletext"/>
              <w:keepNext w:val="0"/>
              <w:widowControl w:val="0"/>
              <w:suppressLineNumbers w:val="0"/>
              <w:spacing w:after="0"/>
            </w:pPr>
            <w:r w:rsidRPr="007D7A4E">
              <w:rPr>
                <w:rFonts w:eastAsia="TimesNewRoman"/>
              </w:rPr>
              <w:t>ODAC</w:t>
            </w:r>
            <w:r w:rsidR="007E324F">
              <w:t>^</w:t>
            </w:r>
            <w:r>
              <w:rPr>
                <w:rFonts w:eastAsia="TimesNewRoman"/>
              </w:rPr>
              <w:t xml:space="preserve"> Briefing paper 28</w:t>
            </w:r>
            <w:r w:rsidRPr="007D7A4E">
              <w:rPr>
                <w:rFonts w:eastAsia="TimesNewRoman"/>
                <w:vertAlign w:val="superscript"/>
              </w:rPr>
              <w:t>th</w:t>
            </w:r>
            <w:r>
              <w:rPr>
                <w:rFonts w:eastAsia="TimesNewRoman"/>
              </w:rPr>
              <w:t xml:space="preserve"> April 2023</w:t>
            </w:r>
          </w:p>
        </w:tc>
      </w:tr>
      <w:tr w:rsidR="00826EA5" w:rsidRPr="00E338EA" w14:paraId="09043BE3" w14:textId="77777777" w:rsidTr="001E53B4">
        <w:tc>
          <w:tcPr>
            <w:tcW w:w="1413" w:type="dxa"/>
            <w:vMerge/>
          </w:tcPr>
          <w:p w14:paraId="1F3E6164" w14:textId="77777777" w:rsidR="00826EA5" w:rsidRPr="00E338EA" w:rsidRDefault="00826EA5" w:rsidP="001E53B4">
            <w:pPr>
              <w:pStyle w:val="PBACTabletext"/>
              <w:keepNext w:val="0"/>
              <w:widowControl w:val="0"/>
              <w:suppressLineNumbers w:val="0"/>
              <w:spacing w:after="0"/>
            </w:pPr>
          </w:p>
        </w:tc>
        <w:tc>
          <w:tcPr>
            <w:tcW w:w="7654" w:type="dxa"/>
          </w:tcPr>
          <w:p w14:paraId="372B08FA" w14:textId="58B62291" w:rsidR="00826EA5" w:rsidRPr="007D7A4E" w:rsidRDefault="00826EA5" w:rsidP="001E53B4">
            <w:pPr>
              <w:pStyle w:val="PBACTabletext"/>
              <w:keepNext w:val="0"/>
              <w:widowControl w:val="0"/>
              <w:suppressLineNumbers w:val="0"/>
              <w:spacing w:after="0"/>
              <w:rPr>
                <w:rFonts w:eastAsia="TimesNewRoman"/>
              </w:rPr>
            </w:pPr>
            <w:r>
              <w:rPr>
                <w:rFonts w:eastAsia="TimesNewRoman"/>
              </w:rPr>
              <w:t>ODAC</w:t>
            </w:r>
            <w:r w:rsidR="007E324F">
              <w:t>^</w:t>
            </w:r>
            <w:r>
              <w:rPr>
                <w:rFonts w:eastAsia="TimesNewRoman"/>
              </w:rPr>
              <w:t xml:space="preserve"> Presentation 28</w:t>
            </w:r>
            <w:r w:rsidRPr="00B11C07">
              <w:rPr>
                <w:rFonts w:eastAsia="TimesNewRoman"/>
                <w:vertAlign w:val="superscript"/>
              </w:rPr>
              <w:t>th</w:t>
            </w:r>
            <w:r>
              <w:rPr>
                <w:rFonts w:eastAsia="TimesNewRoman"/>
              </w:rPr>
              <w:t xml:space="preserve"> April 2023</w:t>
            </w:r>
          </w:p>
        </w:tc>
      </w:tr>
      <w:tr w:rsidR="00826EA5" w:rsidRPr="00E338EA" w14:paraId="352552A7" w14:textId="77777777" w:rsidTr="001E53B4">
        <w:tc>
          <w:tcPr>
            <w:tcW w:w="1413" w:type="dxa"/>
            <w:vMerge/>
          </w:tcPr>
          <w:p w14:paraId="00B7412E" w14:textId="77777777" w:rsidR="00826EA5" w:rsidRPr="00E338EA" w:rsidRDefault="00826EA5" w:rsidP="001E53B4">
            <w:pPr>
              <w:pStyle w:val="PBACTabletext"/>
              <w:keepNext w:val="0"/>
              <w:widowControl w:val="0"/>
              <w:suppressLineNumbers w:val="0"/>
              <w:spacing w:after="0"/>
            </w:pPr>
          </w:p>
        </w:tc>
        <w:tc>
          <w:tcPr>
            <w:tcW w:w="7654" w:type="dxa"/>
          </w:tcPr>
          <w:p w14:paraId="114C3F4E" w14:textId="77777777" w:rsidR="00826EA5" w:rsidRPr="00A05B93" w:rsidRDefault="00826EA5" w:rsidP="001E53B4">
            <w:pPr>
              <w:pStyle w:val="In-tableHeading"/>
              <w:rPr>
                <w:b w:val="0"/>
                <w:bCs/>
              </w:rPr>
            </w:pPr>
            <w:r w:rsidRPr="00A05B93">
              <w:rPr>
                <w:b w:val="0"/>
                <w:bCs/>
              </w:rPr>
              <w:t xml:space="preserve">Clarke NW, Armstrong AJ, Thiery-Vuillemin A, Oya M, Ye D, Mateo J, et al. PROPEL: a randomized, phase III trial evaluating the efficacy and safety of olaparib combined with abiraterone as first-line therapy in patients with metastatic castration-resistant prostate cancer (mCRPC). Journal of clinical oncology. </w:t>
            </w:r>
            <w:proofErr w:type="gramStart"/>
            <w:r w:rsidRPr="00A05B93">
              <w:rPr>
                <w:b w:val="0"/>
                <w:bCs/>
              </w:rPr>
              <w:t>2019;37:2019</w:t>
            </w:r>
            <w:proofErr w:type="gramEnd"/>
            <w:r w:rsidRPr="00A05B93">
              <w:rPr>
                <w:b w:val="0"/>
                <w:bCs/>
              </w:rPr>
              <w:t>-05.</w:t>
            </w:r>
          </w:p>
        </w:tc>
      </w:tr>
    </w:tbl>
    <w:p w14:paraId="7E315B46" w14:textId="2F58FDA1" w:rsidR="00C85D09" w:rsidRDefault="00C85D09" w:rsidP="00C85D09">
      <w:pPr>
        <w:pStyle w:val="FooterTableFigure"/>
        <w:jc w:val="both"/>
      </w:pPr>
      <w:r>
        <w:t xml:space="preserve">Source: Table 2.4, pp56-57 </w:t>
      </w:r>
      <w:r w:rsidRPr="00D13A3E">
        <w:t xml:space="preserve">of the </w:t>
      </w:r>
      <w:r>
        <w:t>submission.</w:t>
      </w:r>
    </w:p>
    <w:p w14:paraId="0406DA57" w14:textId="06191A3B" w:rsidR="00C11780" w:rsidRDefault="00C11780" w:rsidP="00C85D09">
      <w:pPr>
        <w:pStyle w:val="FooterTableFigure"/>
        <w:jc w:val="both"/>
      </w:pPr>
      <w:r>
        <w:t>DCO=data cut-off; ODAC=</w:t>
      </w:r>
      <w:r w:rsidRPr="00C11780">
        <w:t>Oncologic Drugs Advisory Committee</w:t>
      </w:r>
    </w:p>
    <w:p w14:paraId="0C0FEC81" w14:textId="000B855C" w:rsidR="00C11780" w:rsidRPr="00C85D09" w:rsidRDefault="00C11780" w:rsidP="00C85D09">
      <w:pPr>
        <w:pStyle w:val="FooterTableFigure"/>
        <w:jc w:val="both"/>
      </w:pPr>
      <w:r>
        <w:t>^</w:t>
      </w:r>
      <w:r>
        <w:tab/>
        <w:t>ODAC is a Food and Drug Administration (FDA) advisory committee</w:t>
      </w:r>
    </w:p>
    <w:p w14:paraId="2CA5806B" w14:textId="275D107B" w:rsidR="00C85D09" w:rsidRPr="00C85D09" w:rsidRDefault="008F120A" w:rsidP="00FE2E26">
      <w:pPr>
        <w:pStyle w:val="3-BodyText"/>
      </w:pPr>
      <w:r w:rsidRPr="00B50DB8">
        <w:t xml:space="preserve">The key features of the </w:t>
      </w:r>
      <w:r w:rsidR="00C85D09">
        <w:t>PROpel trial</w:t>
      </w:r>
      <w:r w:rsidRPr="00B50DB8">
        <w:t xml:space="preserve"> are summarised in</w:t>
      </w:r>
      <w:r w:rsidR="00D6076E">
        <w:t xml:space="preserve"> </w:t>
      </w:r>
      <w:r w:rsidR="00D6076E" w:rsidRPr="00C85D09">
        <w:fldChar w:fldCharType="begin" w:fldLock="1"/>
      </w:r>
      <w:r w:rsidR="00D6076E" w:rsidRPr="00C85D09">
        <w:instrText xml:space="preserve"> REF _Ref104804098 \h  \* MERGEFORMAT </w:instrText>
      </w:r>
      <w:r w:rsidR="00D6076E" w:rsidRPr="00C85D09">
        <w:fldChar w:fldCharType="separate"/>
      </w:r>
      <w:r w:rsidR="006F331F" w:rsidRPr="006F331F">
        <w:t>Table 3</w:t>
      </w:r>
      <w:r w:rsidR="00D6076E" w:rsidRPr="00C85D09">
        <w:fldChar w:fldCharType="end"/>
      </w:r>
      <w:r w:rsidRPr="00C85D09">
        <w:t>.</w:t>
      </w:r>
      <w:r w:rsidR="00BC591F" w:rsidRPr="00C85D09">
        <w:t xml:space="preserve"> </w:t>
      </w:r>
    </w:p>
    <w:p w14:paraId="355E2F15" w14:textId="2FED4106" w:rsidR="007F1017" w:rsidRDefault="00696EF9" w:rsidP="00D6076E">
      <w:pPr>
        <w:pStyle w:val="Caption"/>
        <w:rPr>
          <w:rStyle w:val="CommentReference"/>
          <w:rFonts w:eastAsiaTheme="majorEastAsia" w:cstheme="majorBidi"/>
          <w:b/>
          <w:szCs w:val="24"/>
        </w:rPr>
      </w:pPr>
      <w:bookmarkStart w:id="19"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6F331F">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19"/>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94"/>
        <w:gridCol w:w="601"/>
        <w:gridCol w:w="1439"/>
        <w:gridCol w:w="821"/>
        <w:gridCol w:w="1820"/>
        <w:gridCol w:w="1078"/>
        <w:gridCol w:w="1464"/>
      </w:tblGrid>
      <w:tr w:rsidR="00C85D09" w:rsidRPr="00B41614" w14:paraId="0638220B" w14:textId="77777777" w:rsidTr="00C321C4">
        <w:trPr>
          <w:cantSplit/>
          <w:tblHeader/>
        </w:trPr>
        <w:tc>
          <w:tcPr>
            <w:tcW w:w="995" w:type="pct"/>
            <w:shd w:val="clear" w:color="auto" w:fill="auto"/>
            <w:vAlign w:val="center"/>
          </w:tcPr>
          <w:p w14:paraId="6359657B" w14:textId="77777777" w:rsidR="00C85D09" w:rsidRPr="00B41614" w:rsidRDefault="00C85D09" w:rsidP="001E53B4">
            <w:pPr>
              <w:pStyle w:val="In-tableHeading"/>
            </w:pPr>
            <w:r w:rsidRPr="00B41614">
              <w:t>Trial</w:t>
            </w:r>
          </w:p>
        </w:tc>
        <w:tc>
          <w:tcPr>
            <w:tcW w:w="333" w:type="pct"/>
            <w:shd w:val="clear" w:color="auto" w:fill="auto"/>
            <w:vAlign w:val="center"/>
          </w:tcPr>
          <w:p w14:paraId="7796FF10" w14:textId="77777777" w:rsidR="00C85D09" w:rsidRPr="00B41614" w:rsidRDefault="00C85D09" w:rsidP="001E53B4">
            <w:pPr>
              <w:pStyle w:val="In-tableHeading"/>
              <w:jc w:val="center"/>
            </w:pPr>
            <w:r w:rsidRPr="00B41614">
              <w:t>N</w:t>
            </w:r>
          </w:p>
        </w:tc>
        <w:tc>
          <w:tcPr>
            <w:tcW w:w="798" w:type="pct"/>
            <w:shd w:val="clear" w:color="auto" w:fill="auto"/>
            <w:vAlign w:val="center"/>
          </w:tcPr>
          <w:p w14:paraId="76C411C7" w14:textId="77777777" w:rsidR="00C85D09" w:rsidRPr="00B41614" w:rsidRDefault="00C85D09" w:rsidP="001E53B4">
            <w:pPr>
              <w:pStyle w:val="In-tableHeading"/>
              <w:jc w:val="center"/>
            </w:pPr>
            <w:r w:rsidRPr="00B41614">
              <w:t>Design/ duration</w:t>
            </w:r>
          </w:p>
        </w:tc>
        <w:tc>
          <w:tcPr>
            <w:tcW w:w="455" w:type="pct"/>
            <w:shd w:val="clear" w:color="auto" w:fill="auto"/>
            <w:vAlign w:val="center"/>
          </w:tcPr>
          <w:p w14:paraId="5AEB00FE" w14:textId="77777777" w:rsidR="00C85D09" w:rsidRPr="00B41614" w:rsidRDefault="00C85D09" w:rsidP="001E53B4">
            <w:pPr>
              <w:pStyle w:val="In-tableHeading"/>
              <w:jc w:val="center"/>
            </w:pPr>
            <w:r w:rsidRPr="00B41614">
              <w:t>Risk of bias</w:t>
            </w:r>
          </w:p>
        </w:tc>
        <w:tc>
          <w:tcPr>
            <w:tcW w:w="1009" w:type="pct"/>
            <w:shd w:val="clear" w:color="auto" w:fill="auto"/>
            <w:vAlign w:val="center"/>
          </w:tcPr>
          <w:p w14:paraId="0491FA4D" w14:textId="77777777" w:rsidR="00C85D09" w:rsidRPr="00B41614" w:rsidRDefault="00C85D09" w:rsidP="001E53B4">
            <w:pPr>
              <w:pStyle w:val="In-tableHeading"/>
              <w:jc w:val="center"/>
            </w:pPr>
            <w:r w:rsidRPr="00B41614">
              <w:t>Patient population</w:t>
            </w:r>
          </w:p>
        </w:tc>
        <w:tc>
          <w:tcPr>
            <w:tcW w:w="598" w:type="pct"/>
            <w:shd w:val="clear" w:color="auto" w:fill="auto"/>
            <w:vAlign w:val="center"/>
          </w:tcPr>
          <w:p w14:paraId="6F3C1045" w14:textId="77777777" w:rsidR="00C85D09" w:rsidRPr="00B41614" w:rsidRDefault="00C85D09" w:rsidP="001E53B4">
            <w:pPr>
              <w:pStyle w:val="In-tableHeading"/>
              <w:jc w:val="center"/>
            </w:pPr>
            <w:r w:rsidRPr="00B41614">
              <w:t>Outcome(s)</w:t>
            </w:r>
          </w:p>
        </w:tc>
        <w:tc>
          <w:tcPr>
            <w:tcW w:w="811" w:type="pct"/>
            <w:shd w:val="clear" w:color="auto" w:fill="auto"/>
            <w:vAlign w:val="center"/>
          </w:tcPr>
          <w:p w14:paraId="6E491F06" w14:textId="77777777" w:rsidR="00C85D09" w:rsidRPr="00B41614" w:rsidRDefault="00C85D09" w:rsidP="001E53B4">
            <w:pPr>
              <w:pStyle w:val="In-tableHeading"/>
              <w:jc w:val="center"/>
            </w:pPr>
            <w:r w:rsidRPr="00B41614">
              <w:t>Use in modelled evaluation</w:t>
            </w:r>
          </w:p>
        </w:tc>
      </w:tr>
      <w:tr w:rsidR="00C85D09" w:rsidRPr="00E2771E" w14:paraId="41A6BB68" w14:textId="77777777" w:rsidTr="001E53B4">
        <w:trPr>
          <w:cantSplit/>
        </w:trPr>
        <w:tc>
          <w:tcPr>
            <w:tcW w:w="5000" w:type="pct"/>
            <w:gridSpan w:val="7"/>
            <w:shd w:val="clear" w:color="auto" w:fill="auto"/>
            <w:vAlign w:val="center"/>
          </w:tcPr>
          <w:p w14:paraId="327EB306" w14:textId="77777777" w:rsidR="00C85D09" w:rsidRPr="00EC5836" w:rsidRDefault="00C85D09" w:rsidP="001E53B4">
            <w:pPr>
              <w:pStyle w:val="In-tableHeading"/>
            </w:pPr>
            <w:r>
              <w:t>Olaparib plus abiraterone vs. abiraterone</w:t>
            </w:r>
          </w:p>
        </w:tc>
      </w:tr>
      <w:tr w:rsidR="00C85D09" w:rsidRPr="00E2771E" w14:paraId="7B5803FA" w14:textId="77777777" w:rsidTr="00C321C4">
        <w:trPr>
          <w:cantSplit/>
        </w:trPr>
        <w:tc>
          <w:tcPr>
            <w:tcW w:w="995" w:type="pct"/>
            <w:shd w:val="clear" w:color="auto" w:fill="auto"/>
            <w:vAlign w:val="center"/>
          </w:tcPr>
          <w:p w14:paraId="34705089" w14:textId="77777777" w:rsidR="00C85D09" w:rsidRPr="00E2771E" w:rsidRDefault="00C85D09" w:rsidP="001E53B4">
            <w:pPr>
              <w:pStyle w:val="TableText0"/>
              <w:rPr>
                <w:lang w:val="en-US"/>
              </w:rPr>
            </w:pPr>
            <w:r>
              <w:rPr>
                <w:lang w:val="en-US"/>
              </w:rPr>
              <w:t>PROpel ITT</w:t>
            </w:r>
          </w:p>
        </w:tc>
        <w:tc>
          <w:tcPr>
            <w:tcW w:w="333" w:type="pct"/>
            <w:shd w:val="clear" w:color="auto" w:fill="auto"/>
            <w:vAlign w:val="center"/>
          </w:tcPr>
          <w:p w14:paraId="53CE63BF" w14:textId="77777777" w:rsidR="00C85D09" w:rsidRPr="00E2771E" w:rsidRDefault="00C85D09" w:rsidP="001E53B4">
            <w:pPr>
              <w:pStyle w:val="TableText0"/>
              <w:jc w:val="center"/>
              <w:rPr>
                <w:lang w:val="en-US"/>
              </w:rPr>
            </w:pPr>
            <w:r>
              <w:rPr>
                <w:lang w:val="en-US"/>
              </w:rPr>
              <w:t>796</w:t>
            </w:r>
          </w:p>
        </w:tc>
        <w:tc>
          <w:tcPr>
            <w:tcW w:w="798" w:type="pct"/>
            <w:shd w:val="clear" w:color="auto" w:fill="auto"/>
            <w:vAlign w:val="center"/>
          </w:tcPr>
          <w:p w14:paraId="2FD57745" w14:textId="77777777" w:rsidR="00C85D09" w:rsidRPr="00E2771E" w:rsidRDefault="00C85D09" w:rsidP="001E53B4">
            <w:pPr>
              <w:pStyle w:val="TableText0"/>
              <w:jc w:val="center"/>
              <w:rPr>
                <w:lang w:val="en-US"/>
              </w:rPr>
            </w:pPr>
            <w:r w:rsidRPr="00E2771E">
              <w:rPr>
                <w:lang w:val="en-US"/>
              </w:rPr>
              <w:t>R, DB</w:t>
            </w:r>
            <w:r>
              <w:rPr>
                <w:lang w:val="en-US"/>
              </w:rPr>
              <w:t>, P3, MC ongoing</w:t>
            </w:r>
          </w:p>
        </w:tc>
        <w:tc>
          <w:tcPr>
            <w:tcW w:w="455" w:type="pct"/>
            <w:shd w:val="clear" w:color="auto" w:fill="auto"/>
            <w:vAlign w:val="center"/>
          </w:tcPr>
          <w:p w14:paraId="2B4D6696" w14:textId="77777777" w:rsidR="00C85D09" w:rsidRPr="008131B8" w:rsidRDefault="00C85D09" w:rsidP="001E53B4">
            <w:pPr>
              <w:pStyle w:val="TableText0"/>
              <w:jc w:val="center"/>
              <w:rPr>
                <w:iCs/>
                <w:lang w:val="en-US"/>
              </w:rPr>
            </w:pPr>
            <w:r w:rsidRPr="008131B8">
              <w:rPr>
                <w:iCs/>
                <w:lang w:val="en-US"/>
              </w:rPr>
              <w:t>Low</w:t>
            </w:r>
          </w:p>
        </w:tc>
        <w:tc>
          <w:tcPr>
            <w:tcW w:w="1009" w:type="pct"/>
            <w:shd w:val="clear" w:color="auto" w:fill="auto"/>
            <w:vAlign w:val="center"/>
          </w:tcPr>
          <w:p w14:paraId="53655E22" w14:textId="77777777" w:rsidR="00C85D09" w:rsidRPr="00E2771E" w:rsidRDefault="00C85D09" w:rsidP="001E53B4">
            <w:pPr>
              <w:pStyle w:val="TableText0"/>
              <w:jc w:val="center"/>
              <w:rPr>
                <w:lang w:val="en-US"/>
              </w:rPr>
            </w:pPr>
            <w:r>
              <w:rPr>
                <w:lang w:val="en-US"/>
              </w:rPr>
              <w:t>mCRPC</w:t>
            </w:r>
          </w:p>
        </w:tc>
        <w:tc>
          <w:tcPr>
            <w:tcW w:w="598" w:type="pct"/>
            <w:shd w:val="clear" w:color="auto" w:fill="auto"/>
            <w:vAlign w:val="center"/>
          </w:tcPr>
          <w:p w14:paraId="72D92FCA" w14:textId="77777777" w:rsidR="00C85D09" w:rsidRPr="00E2771E" w:rsidRDefault="00C85D09" w:rsidP="001E53B4">
            <w:pPr>
              <w:pStyle w:val="TableText0"/>
              <w:jc w:val="center"/>
              <w:rPr>
                <w:lang w:val="en-US"/>
              </w:rPr>
            </w:pPr>
            <w:r w:rsidRPr="00E2771E">
              <w:rPr>
                <w:lang w:val="en-US"/>
              </w:rPr>
              <w:t>OS</w:t>
            </w:r>
            <w:r>
              <w:rPr>
                <w:lang w:val="en-US"/>
              </w:rPr>
              <w:t>, rPFS</w:t>
            </w:r>
          </w:p>
        </w:tc>
        <w:tc>
          <w:tcPr>
            <w:tcW w:w="811" w:type="pct"/>
            <w:shd w:val="clear" w:color="auto" w:fill="auto"/>
            <w:vAlign w:val="center"/>
          </w:tcPr>
          <w:p w14:paraId="110B58BD" w14:textId="77777777" w:rsidR="00C85D09" w:rsidRPr="00E2771E" w:rsidRDefault="00C85D09" w:rsidP="001E53B4">
            <w:pPr>
              <w:pStyle w:val="TableText0"/>
              <w:jc w:val="center"/>
              <w:rPr>
                <w:lang w:val="en-US"/>
              </w:rPr>
            </w:pPr>
            <w:r w:rsidRPr="00E2771E">
              <w:rPr>
                <w:lang w:val="en-US"/>
              </w:rPr>
              <w:t>Not used</w:t>
            </w:r>
          </w:p>
        </w:tc>
      </w:tr>
      <w:tr w:rsidR="00C85D09" w:rsidRPr="00021AA5" w14:paraId="0AAE6794" w14:textId="77777777" w:rsidTr="00C321C4">
        <w:trPr>
          <w:cantSplit/>
        </w:trPr>
        <w:tc>
          <w:tcPr>
            <w:tcW w:w="995" w:type="pct"/>
            <w:shd w:val="clear" w:color="auto" w:fill="auto"/>
            <w:vAlign w:val="center"/>
          </w:tcPr>
          <w:p w14:paraId="7A9D8C4C" w14:textId="421092E2" w:rsidR="00C85D09" w:rsidRPr="00021AA5" w:rsidRDefault="00C85D09" w:rsidP="001E53B4">
            <w:pPr>
              <w:pStyle w:val="TableText0"/>
              <w:rPr>
                <w:lang w:val="en-US"/>
              </w:rPr>
            </w:pPr>
            <w:r w:rsidRPr="00021AA5">
              <w:rPr>
                <w:lang w:val="en-US"/>
              </w:rPr>
              <w:t xml:space="preserve">PROpel </w:t>
            </w:r>
            <w:r w:rsidR="006C3ED1" w:rsidRPr="00021AA5">
              <w:rPr>
                <w:lang w:val="en-US"/>
              </w:rPr>
              <w:t>BRCA1/2</w:t>
            </w:r>
            <w:r w:rsidRPr="00021AA5">
              <w:rPr>
                <w:lang w:val="en-US"/>
              </w:rPr>
              <w:t xml:space="preserve"> subgroup</w:t>
            </w:r>
          </w:p>
        </w:tc>
        <w:tc>
          <w:tcPr>
            <w:tcW w:w="333" w:type="pct"/>
            <w:shd w:val="clear" w:color="auto" w:fill="auto"/>
            <w:vAlign w:val="center"/>
          </w:tcPr>
          <w:p w14:paraId="091C30D4" w14:textId="77777777" w:rsidR="00C85D09" w:rsidRPr="00021AA5" w:rsidRDefault="00C85D09" w:rsidP="001E53B4">
            <w:pPr>
              <w:pStyle w:val="TableText0"/>
              <w:jc w:val="center"/>
              <w:rPr>
                <w:lang w:val="en-US"/>
              </w:rPr>
            </w:pPr>
            <w:r w:rsidRPr="00021AA5">
              <w:rPr>
                <w:lang w:val="en-US"/>
              </w:rPr>
              <w:t>85</w:t>
            </w:r>
          </w:p>
        </w:tc>
        <w:tc>
          <w:tcPr>
            <w:tcW w:w="798" w:type="pct"/>
            <w:shd w:val="clear" w:color="auto" w:fill="auto"/>
            <w:vAlign w:val="center"/>
          </w:tcPr>
          <w:p w14:paraId="1989FA2D" w14:textId="77777777" w:rsidR="00C85D09" w:rsidRPr="00021AA5" w:rsidRDefault="00C85D09" w:rsidP="001E53B4">
            <w:pPr>
              <w:pStyle w:val="TableText0"/>
              <w:jc w:val="center"/>
              <w:rPr>
                <w:lang w:val="en-US"/>
              </w:rPr>
            </w:pPr>
            <w:r w:rsidRPr="00021AA5">
              <w:rPr>
                <w:lang w:val="en-US"/>
              </w:rPr>
              <w:t>R, DB, P3, MC ongoing</w:t>
            </w:r>
          </w:p>
        </w:tc>
        <w:tc>
          <w:tcPr>
            <w:tcW w:w="455" w:type="pct"/>
            <w:shd w:val="clear" w:color="auto" w:fill="auto"/>
            <w:vAlign w:val="center"/>
          </w:tcPr>
          <w:p w14:paraId="5D4F5CEC" w14:textId="77777777" w:rsidR="00C85D09" w:rsidRPr="00021AA5" w:rsidRDefault="00C85D09" w:rsidP="001E53B4">
            <w:pPr>
              <w:pStyle w:val="TableText0"/>
              <w:jc w:val="center"/>
              <w:rPr>
                <w:lang w:val="en-US"/>
              </w:rPr>
            </w:pPr>
            <w:r w:rsidRPr="00021AA5">
              <w:rPr>
                <w:lang w:val="en-US"/>
              </w:rPr>
              <w:t>High</w:t>
            </w:r>
          </w:p>
        </w:tc>
        <w:tc>
          <w:tcPr>
            <w:tcW w:w="1009" w:type="pct"/>
            <w:shd w:val="clear" w:color="auto" w:fill="auto"/>
            <w:vAlign w:val="center"/>
          </w:tcPr>
          <w:p w14:paraId="48ACBC00" w14:textId="74425F28" w:rsidR="00C85D09" w:rsidRPr="00021AA5" w:rsidRDefault="00C85D09" w:rsidP="001E53B4">
            <w:pPr>
              <w:pStyle w:val="TableText0"/>
              <w:jc w:val="center"/>
              <w:rPr>
                <w:lang w:val="en-US"/>
              </w:rPr>
            </w:pPr>
            <w:r w:rsidRPr="00021AA5">
              <w:rPr>
                <w:lang w:val="en-US"/>
              </w:rPr>
              <w:t xml:space="preserve">mCRPC and </w:t>
            </w:r>
            <w:r w:rsidR="006C3ED1" w:rsidRPr="00021AA5">
              <w:rPr>
                <w:lang w:val="en-US"/>
              </w:rPr>
              <w:t>BRCA1/2</w:t>
            </w:r>
            <w:r w:rsidRPr="00021AA5">
              <w:rPr>
                <w:lang w:val="en-US"/>
              </w:rPr>
              <w:t>-positive</w:t>
            </w:r>
          </w:p>
        </w:tc>
        <w:tc>
          <w:tcPr>
            <w:tcW w:w="598" w:type="pct"/>
            <w:shd w:val="clear" w:color="auto" w:fill="auto"/>
            <w:vAlign w:val="center"/>
          </w:tcPr>
          <w:p w14:paraId="25B525EA" w14:textId="77777777" w:rsidR="00C85D09" w:rsidRPr="00021AA5" w:rsidRDefault="00C85D09" w:rsidP="001E53B4">
            <w:pPr>
              <w:pStyle w:val="TableText0"/>
              <w:jc w:val="center"/>
              <w:rPr>
                <w:lang w:val="en-US"/>
              </w:rPr>
            </w:pPr>
            <w:r w:rsidRPr="00021AA5">
              <w:rPr>
                <w:lang w:val="en-US"/>
              </w:rPr>
              <w:t>OS, rPFS</w:t>
            </w:r>
          </w:p>
        </w:tc>
        <w:tc>
          <w:tcPr>
            <w:tcW w:w="811" w:type="pct"/>
            <w:shd w:val="clear" w:color="auto" w:fill="auto"/>
            <w:vAlign w:val="center"/>
          </w:tcPr>
          <w:p w14:paraId="317C5AA6" w14:textId="77777777" w:rsidR="00C85D09" w:rsidRPr="00021AA5" w:rsidRDefault="00C85D09" w:rsidP="001E53B4">
            <w:pPr>
              <w:pStyle w:val="TableText0"/>
              <w:jc w:val="center"/>
              <w:rPr>
                <w:lang w:val="en-US"/>
              </w:rPr>
            </w:pPr>
            <w:r w:rsidRPr="00021AA5">
              <w:rPr>
                <w:lang w:val="en-US"/>
              </w:rPr>
              <w:t>Used</w:t>
            </w:r>
          </w:p>
        </w:tc>
      </w:tr>
    </w:tbl>
    <w:p w14:paraId="7E094DF6" w14:textId="1C78CEDE" w:rsidR="00C85D09" w:rsidRDefault="00C85D09" w:rsidP="00C85D09">
      <w:pPr>
        <w:pStyle w:val="TableFigureFooter"/>
      </w:pPr>
      <w:r>
        <w:t xml:space="preserve">Source: Table 2-10, p66 and Table 2.25, p97 </w:t>
      </w:r>
      <w:r w:rsidRPr="00D13A3E">
        <w:t xml:space="preserve">of the </w:t>
      </w:r>
      <w:r>
        <w:t>submission.</w:t>
      </w:r>
    </w:p>
    <w:p w14:paraId="4600DE70" w14:textId="3F41D71C" w:rsidR="00C85D09" w:rsidRDefault="00A41905" w:rsidP="00C85D09">
      <w:pPr>
        <w:pStyle w:val="TableFigureFooter"/>
      </w:pPr>
      <w:r w:rsidRPr="00B87979">
        <w:t>BRCA</w:t>
      </w:r>
      <w:r w:rsidR="00C85D09" w:rsidRPr="00B87979">
        <w:t>=</w:t>
      </w:r>
      <w:r w:rsidR="00C85D09">
        <w:t xml:space="preserve">breast cancer gene; </w:t>
      </w:r>
      <w:r w:rsidR="00C85D09" w:rsidRPr="0072416F">
        <w:t xml:space="preserve">DB=double blind; </w:t>
      </w:r>
      <w:r w:rsidR="00C85D09">
        <w:t xml:space="preserve">ITT=intention to treat; </w:t>
      </w:r>
      <w:r w:rsidR="00C85D09" w:rsidRPr="0072416F">
        <w:t xml:space="preserve">MC=multi-centre; </w:t>
      </w:r>
      <w:r w:rsidR="00C85D09">
        <w:t xml:space="preserve">mCRPC=metastatic castration-resistant prostate cancer; </w:t>
      </w:r>
      <w:r w:rsidR="00C85D09" w:rsidRPr="0072416F">
        <w:t xml:space="preserve">OS=overall survival; </w:t>
      </w:r>
      <w:r w:rsidR="00C85D09">
        <w:t xml:space="preserve">P3=phase 3; </w:t>
      </w:r>
      <w:r w:rsidR="00C85D09" w:rsidRPr="0072416F">
        <w:t>R</w:t>
      </w:r>
      <w:r w:rsidR="00C85D09">
        <w:t>=</w:t>
      </w:r>
      <w:r w:rsidR="00C85D09" w:rsidRPr="0072416F">
        <w:t>randomised</w:t>
      </w:r>
      <w:r w:rsidR="00C85D09">
        <w:t>; r</w:t>
      </w:r>
      <w:r w:rsidR="00C85D09" w:rsidRPr="0072416F">
        <w:t>PFS=</w:t>
      </w:r>
      <w:r w:rsidR="00C85D09">
        <w:t xml:space="preserve">radiologic </w:t>
      </w:r>
      <w:r w:rsidR="00C85D09" w:rsidRPr="0072416F">
        <w:t>progression-free survival</w:t>
      </w:r>
      <w:r w:rsidR="00C85D09">
        <w:t>.</w:t>
      </w:r>
      <w:r w:rsidR="00C85D09" w:rsidRPr="0072416F">
        <w:t xml:space="preserve"> </w:t>
      </w:r>
    </w:p>
    <w:p w14:paraId="75D55836" w14:textId="50422B65" w:rsidR="007B2524" w:rsidRPr="00940BEC" w:rsidRDefault="007B2524" w:rsidP="00FE2E26">
      <w:pPr>
        <w:pStyle w:val="3-BodyText"/>
      </w:pPr>
      <w:r w:rsidRPr="00940BEC">
        <w:t>The primary outcome was investigator-assessed radiologic progression-free survival (rPFS). The more appropriate blinded independent central review (BICR)-assessed rPFS</w:t>
      </w:r>
      <w:r w:rsidR="00F707D7" w:rsidRPr="00940BEC">
        <w:t xml:space="preserve"> results were presented for the first data cut-off (DCO) time point (see below).</w:t>
      </w:r>
    </w:p>
    <w:p w14:paraId="50F631A1" w14:textId="67FD40BD" w:rsidR="003920E1" w:rsidRPr="00940BEC" w:rsidRDefault="003920E1" w:rsidP="00FE2E26">
      <w:pPr>
        <w:pStyle w:val="3-BodyText"/>
      </w:pPr>
      <w:r w:rsidRPr="00940BEC">
        <w:t xml:space="preserve">The key clinical evidence was sourced from two DCO: 1) DCO1: interim analysis of the rPFS, at </w:t>
      </w:r>
      <w:r w:rsidR="003F59A7" w:rsidRPr="00940BEC">
        <w:t xml:space="preserve">a </w:t>
      </w:r>
      <w:r w:rsidRPr="00940BEC">
        <w:t xml:space="preserve">minimum follow-up </w:t>
      </w:r>
      <w:r w:rsidR="003F59A7" w:rsidRPr="00940BEC">
        <w:t xml:space="preserve">of </w:t>
      </w:r>
      <w:r w:rsidRPr="00940BEC">
        <w:t xml:space="preserve">13 months; and 2) DCO3: final analysis of overall survival (OS), 48 months after randomisation. The submission also conducted a final analysis of rPFS (DCO2), after a minimum follow-up of 21 months, but no data were presented for the </w:t>
      </w:r>
      <w:r w:rsidR="006C3ED1" w:rsidRPr="00940BEC">
        <w:t>BRCA1/2</w:t>
      </w:r>
      <w:r w:rsidRPr="00940BEC">
        <w:t xml:space="preserve"> subgroup at this time point. </w:t>
      </w:r>
    </w:p>
    <w:p w14:paraId="0C8A9B57" w14:textId="61A230ED" w:rsidR="00F65E0E" w:rsidRPr="00940BEC" w:rsidRDefault="00F65E0E" w:rsidP="00FE2E26">
      <w:pPr>
        <w:pStyle w:val="3-BodyText"/>
      </w:pPr>
      <w:r w:rsidRPr="00940BEC">
        <w:t>Baseline characteristics and disease characteristics were well balanced between treatment groups in the</w:t>
      </w:r>
      <w:r w:rsidR="006C22A9" w:rsidRPr="00940BEC">
        <w:t xml:space="preserve"> intention to treat (</w:t>
      </w:r>
      <w:r w:rsidRPr="00940BEC">
        <w:t>ITT</w:t>
      </w:r>
      <w:r w:rsidR="006C22A9" w:rsidRPr="00940BEC">
        <w:t>)</w:t>
      </w:r>
      <w:r w:rsidRPr="00940BEC">
        <w:t xml:space="preserve"> population, but that was not the case for the </w:t>
      </w:r>
      <w:r w:rsidR="006C3ED1" w:rsidRPr="00940BEC">
        <w:t>BRCA1/2</w:t>
      </w:r>
      <w:r w:rsidRPr="00940BEC">
        <w:t xml:space="preserve"> subgroup.</w:t>
      </w:r>
      <w:r w:rsidR="007B2524" w:rsidRPr="00940BEC">
        <w:t xml:space="preserve"> </w:t>
      </w:r>
    </w:p>
    <w:p w14:paraId="025E448E" w14:textId="031987E4" w:rsidR="00CE5EB0" w:rsidRPr="00940BEC" w:rsidRDefault="00CE5EB0" w:rsidP="00DC7A74">
      <w:pPr>
        <w:pStyle w:val="3-BodyText"/>
      </w:pPr>
      <w:r w:rsidRPr="00940BEC">
        <w:t xml:space="preserve">Key baseline characteristics were imbalanced in patients with </w:t>
      </w:r>
      <w:r w:rsidR="006C3ED1" w:rsidRPr="00940BEC">
        <w:t>BRCA1/2</w:t>
      </w:r>
      <w:r w:rsidRPr="00940BEC">
        <w:t xml:space="preserve"> pathogenic variants; for example, patients in the abiraterone treatment group were older (71.1% v</w:t>
      </w:r>
      <w:r w:rsidR="00FB1722">
        <w:t>er</w:t>
      </w:r>
      <w:r w:rsidRPr="00940BEC">
        <w:t>s</w:t>
      </w:r>
      <w:r w:rsidR="00FB1722">
        <w:t>us</w:t>
      </w:r>
      <w:r w:rsidRPr="00940BEC">
        <w:t xml:space="preserve"> 63.8% aged ≥ 65), had a higher proportion of visceral metastases (21.1% v</w:t>
      </w:r>
      <w:r w:rsidR="00FB1722">
        <w:t>er</w:t>
      </w:r>
      <w:r w:rsidRPr="00940BEC">
        <w:t>s</w:t>
      </w:r>
      <w:r w:rsidR="00FB1722">
        <w:t>us</w:t>
      </w:r>
      <w:r w:rsidRPr="00940BEC">
        <w:t xml:space="preserve"> </w:t>
      </w:r>
      <w:r w:rsidRPr="00940BEC">
        <w:lastRenderedPageBreak/>
        <w:t>10.6%), higher proportion of prior docetaxel treatment (26.3% v</w:t>
      </w:r>
      <w:r w:rsidR="00FB1722">
        <w:t>ersus</w:t>
      </w:r>
      <w:r w:rsidRPr="00940BEC">
        <w:t xml:space="preserve"> 17.0%), and had worse ECOG performance status (47.4% v</w:t>
      </w:r>
      <w:r w:rsidR="00FB1722">
        <w:t>ersu</w:t>
      </w:r>
      <w:r w:rsidRPr="00940BEC">
        <w:t xml:space="preserve">s 23.4% with ECOG 1) than patients in the olaparib </w:t>
      </w:r>
      <w:r w:rsidR="00E4284F" w:rsidRPr="00940BEC">
        <w:t xml:space="preserve">plus abiraterone </w:t>
      </w:r>
      <w:r w:rsidRPr="00940BEC">
        <w:t>combination group. These factors may have biased results against abiraterone monotherapy, particularly given the small number of patients in each treatment group (38 patients treated with abiraterone monotherapy and 47 patients treated with the olaparib plus abiraterone combination).</w:t>
      </w:r>
      <w:r w:rsidR="00FE2E26" w:rsidRPr="00940BEC">
        <w:t xml:space="preserve"> </w:t>
      </w:r>
    </w:p>
    <w:p w14:paraId="66FBEA66" w14:textId="44E4896A" w:rsidR="00CE5EB0" w:rsidRPr="00940BEC" w:rsidRDefault="00CE5EB0" w:rsidP="00DC7A74">
      <w:pPr>
        <w:pStyle w:val="3-BodyText"/>
      </w:pPr>
      <w:r w:rsidRPr="00940BEC">
        <w:t xml:space="preserve">The submission </w:t>
      </w:r>
      <w:r w:rsidR="006C22A9" w:rsidRPr="00940BEC">
        <w:t xml:space="preserve">identified </w:t>
      </w:r>
      <w:r w:rsidRPr="00940BEC">
        <w:t xml:space="preserve">site of metastases and prior docetaxel treatment </w:t>
      </w:r>
      <w:r w:rsidR="006C22A9" w:rsidRPr="00940BEC">
        <w:t>as ke</w:t>
      </w:r>
      <w:r w:rsidRPr="00940BEC">
        <w:t>y confounding factors and</w:t>
      </w:r>
      <w:r w:rsidR="006C22A9" w:rsidRPr="00940BEC">
        <w:t xml:space="preserve"> </w:t>
      </w:r>
      <w:r w:rsidRPr="00940BEC">
        <w:t>explain</w:t>
      </w:r>
      <w:r w:rsidR="006C22A9" w:rsidRPr="00940BEC">
        <w:t>ed</w:t>
      </w:r>
      <w:r w:rsidRPr="00940BEC">
        <w:t xml:space="preserve"> why stratification</w:t>
      </w:r>
      <w:r w:rsidR="006C22A9" w:rsidRPr="00940BEC">
        <w:t xml:space="preserve"> including these factors</w:t>
      </w:r>
      <w:r w:rsidRPr="00940BEC">
        <w:t xml:space="preserve"> was </w:t>
      </w:r>
      <w:r w:rsidR="007B2524" w:rsidRPr="00940BEC">
        <w:t>necessary</w:t>
      </w:r>
      <w:r w:rsidRPr="00940BEC">
        <w:t xml:space="preserve">: </w:t>
      </w:r>
    </w:p>
    <w:p w14:paraId="695C2770" w14:textId="404386C2" w:rsidR="00CE5EB0" w:rsidRPr="00940BEC" w:rsidRDefault="00CE5EB0" w:rsidP="0075138F">
      <w:pPr>
        <w:pStyle w:val="ListParagraph"/>
        <w:ind w:left="1134"/>
      </w:pPr>
      <w:r w:rsidRPr="00940BEC">
        <w:t>Patients with visceral metastases have been shown to have a shorter survival time compared to patients without visceral metastases from the PREVAIL study, and patients with bone-only metastases have been shown to have longer survival compared to patients with other metastases at baseline from the COU-AA-302 study.</w:t>
      </w:r>
    </w:p>
    <w:p w14:paraId="0F61F278" w14:textId="1E27FD17" w:rsidR="00CE5EB0" w:rsidRPr="00940BEC" w:rsidRDefault="00CE5EB0" w:rsidP="0075138F">
      <w:pPr>
        <w:pStyle w:val="ListParagraph"/>
        <w:ind w:left="1134"/>
      </w:pPr>
      <w:r w:rsidRPr="00940BEC">
        <w:t xml:space="preserve">Docetaxel treatment is only indicated in patients with high disease burden (high volume disease) or with high-risk features at </w:t>
      </w:r>
      <w:r w:rsidR="009B1B01" w:rsidRPr="00940BEC">
        <w:t>metastatic hormone-sensitive prostate cancer (</w:t>
      </w:r>
      <w:r w:rsidRPr="00940BEC">
        <w:t>mHSPC</w:t>
      </w:r>
      <w:r w:rsidR="009B1B01" w:rsidRPr="00940BEC">
        <w:t>)</w:t>
      </w:r>
      <w:r w:rsidRPr="00940BEC">
        <w:t xml:space="preserve"> based on 2 randomized controlled Phase III trials, CHAARTED (NCT00309985) and STAMPEDE (NCT00268476). Hence patients with prior docetaxel at mHSPC by default have a poor prognosis compared to patients without prior docetaxel at mHSPC (most likely low disease burden or low-risk patients).”</w:t>
      </w:r>
    </w:p>
    <w:p w14:paraId="469A1FD1" w14:textId="7A1AEB84" w:rsidR="001C15FE" w:rsidRPr="00940BEC" w:rsidRDefault="001C15FE" w:rsidP="00FE2E26">
      <w:pPr>
        <w:pStyle w:val="3-BodyText"/>
      </w:pPr>
      <w:r w:rsidRPr="00940BEC">
        <w:t>The twofold rate of visceral metastases in the abiraterone group was of particular concern. The stratified analysis by metastases site showed a lower rPFS hazard ratio (HR) for the olaparib combination vs. abiraterone in patients with visceral metastases (HR</w:t>
      </w:r>
      <w:r w:rsidR="00FE2E26" w:rsidRPr="00940BEC">
        <w:t xml:space="preserve"> </w:t>
      </w:r>
      <w:r w:rsidRPr="00940BEC">
        <w:t>=</w:t>
      </w:r>
      <w:r w:rsidR="00FE2E26" w:rsidRPr="00940BEC">
        <w:t xml:space="preserve"> </w:t>
      </w:r>
      <w:r w:rsidRPr="00940BEC">
        <w:t>0.56</w:t>
      </w:r>
      <w:r w:rsidR="00FE2E26" w:rsidRPr="00940BEC">
        <w:t>;</w:t>
      </w:r>
      <w:r w:rsidRPr="00940BEC">
        <w:t xml:space="preserve"> 95%</w:t>
      </w:r>
      <w:r w:rsidR="00FE2E26" w:rsidRPr="00940BEC">
        <w:t xml:space="preserve"> </w:t>
      </w:r>
      <w:r w:rsidRPr="00940BEC">
        <w:t>CI</w:t>
      </w:r>
      <w:r w:rsidR="00FE2E26" w:rsidRPr="00940BEC">
        <w:t>:</w:t>
      </w:r>
      <w:r w:rsidRPr="00940BEC">
        <w:t xml:space="preserve"> 0.36, 0.87) than in patients with only bone metastases (HR</w:t>
      </w:r>
      <w:r w:rsidR="00FE2E26" w:rsidRPr="00940BEC">
        <w:t xml:space="preserve"> </w:t>
      </w:r>
      <w:r w:rsidRPr="00940BEC">
        <w:t>=</w:t>
      </w:r>
      <w:r w:rsidR="00FE2E26" w:rsidRPr="00940BEC">
        <w:t xml:space="preserve"> </w:t>
      </w:r>
      <w:r w:rsidRPr="00940BEC">
        <w:t>0.76</w:t>
      </w:r>
      <w:r w:rsidR="00FE2E26" w:rsidRPr="00940BEC">
        <w:t>;</w:t>
      </w:r>
      <w:r w:rsidRPr="00940BEC">
        <w:t xml:space="preserve"> 95%</w:t>
      </w:r>
      <w:r w:rsidR="00FE2E26" w:rsidRPr="00940BEC">
        <w:t xml:space="preserve"> </w:t>
      </w:r>
      <w:r w:rsidRPr="00940BEC">
        <w:t>CI</w:t>
      </w:r>
      <w:r w:rsidR="00FE2E26" w:rsidRPr="00940BEC">
        <w:t>:</w:t>
      </w:r>
      <w:r w:rsidRPr="00940BEC">
        <w:t xml:space="preserve"> 0.59, 0.98), indicating a greater rPFS benefit for the olaparib combination in patients with visceral metastasis. This </w:t>
      </w:r>
      <w:r w:rsidR="003F59A7" w:rsidRPr="00940BEC">
        <w:t>wa</w:t>
      </w:r>
      <w:r w:rsidRPr="00940BEC">
        <w:t>s consistent with multivariate analyses conducted in the MAGNITUDE trial of niraparib plus abiraterone (Chi 2023</w:t>
      </w:r>
      <w:r w:rsidRPr="00940BEC">
        <w:rPr>
          <w:rStyle w:val="FootnoteReference"/>
        </w:rPr>
        <w:footnoteReference w:id="3"/>
      </w:r>
      <w:r w:rsidRPr="00940BEC">
        <w:t>) which showed the presence of visceral metastases (v</w:t>
      </w:r>
      <w:r w:rsidR="00FB1722">
        <w:t>ersu</w:t>
      </w:r>
      <w:r w:rsidRPr="00940BEC">
        <w:t>s no visceral metastases) significantly increased the risk of progression (HR</w:t>
      </w:r>
      <w:r w:rsidR="00FE2E26" w:rsidRPr="00940BEC">
        <w:t xml:space="preserve"> =</w:t>
      </w:r>
      <w:r w:rsidRPr="00940BEC">
        <w:t xml:space="preserve"> 1.608; 95%</w:t>
      </w:r>
      <w:r w:rsidR="00FE2E26" w:rsidRPr="00940BEC">
        <w:t xml:space="preserve"> </w:t>
      </w:r>
      <w:r w:rsidRPr="00940BEC">
        <w:t>CI</w:t>
      </w:r>
      <w:r w:rsidR="00FE2E26" w:rsidRPr="00940BEC">
        <w:t>:</w:t>
      </w:r>
      <w:r w:rsidRPr="00940BEC">
        <w:t xml:space="preserve"> 1.171, 2.210) and death (HR</w:t>
      </w:r>
      <w:r w:rsidR="00FE2E26" w:rsidRPr="00940BEC">
        <w:t xml:space="preserve"> =</w:t>
      </w:r>
      <w:r w:rsidRPr="00940BEC">
        <w:t xml:space="preserve"> 1.694; 95%</w:t>
      </w:r>
      <w:r w:rsidR="00FE2E26" w:rsidRPr="00940BEC">
        <w:t xml:space="preserve"> </w:t>
      </w:r>
      <w:r w:rsidRPr="00940BEC">
        <w:t>CI</w:t>
      </w:r>
      <w:r w:rsidR="00FE2E26" w:rsidRPr="00940BEC">
        <w:t>:</w:t>
      </w:r>
      <w:r w:rsidRPr="00940BEC">
        <w:t xml:space="preserve"> 1.110, 2.587).</w:t>
      </w:r>
    </w:p>
    <w:p w14:paraId="1696F744" w14:textId="6125875C" w:rsidR="00CE5EB0" w:rsidRPr="00940BEC" w:rsidRDefault="008814DE" w:rsidP="00FE2E26">
      <w:pPr>
        <w:pStyle w:val="3-BodyText"/>
      </w:pPr>
      <w:bookmarkStart w:id="20" w:name="_Ref150778201"/>
      <w:r w:rsidRPr="00940BEC">
        <w:t>Overall, t</w:t>
      </w:r>
      <w:r w:rsidR="006C22A9" w:rsidRPr="00940BEC">
        <w:t xml:space="preserve">hese confounding factors and the small sample size </w:t>
      </w:r>
      <w:r w:rsidR="005E1B84" w:rsidRPr="00940BEC">
        <w:t xml:space="preserve">result in </w:t>
      </w:r>
      <w:r w:rsidR="006C22A9" w:rsidRPr="00940BEC">
        <w:t xml:space="preserve">the magnitude of the effect for olaparib plus abiraterone in the </w:t>
      </w:r>
      <w:r w:rsidR="006C3ED1" w:rsidRPr="00940BEC">
        <w:t>BRCA1/2</w:t>
      </w:r>
      <w:r w:rsidR="006C22A9" w:rsidRPr="00940BEC">
        <w:t xml:space="preserve"> subgroup</w:t>
      </w:r>
      <w:r w:rsidR="005E1B84" w:rsidRPr="00940BEC">
        <w:t xml:space="preserve"> being highly uncertain</w:t>
      </w:r>
      <w:r w:rsidR="006C22A9" w:rsidRPr="00940BEC">
        <w:t>.</w:t>
      </w:r>
      <w:r w:rsidR="00520D5F" w:rsidRPr="00940BEC">
        <w:t xml:space="preserve"> The </w:t>
      </w:r>
      <w:r w:rsidR="00313F0F" w:rsidRPr="00313F0F">
        <w:t xml:space="preserve">Pre-Sub-Committee Response </w:t>
      </w:r>
      <w:r w:rsidR="00313F0F">
        <w:t>(</w:t>
      </w:r>
      <w:r w:rsidR="00520D5F" w:rsidRPr="00940BEC">
        <w:t>PSCR</w:t>
      </w:r>
      <w:r w:rsidR="00313F0F">
        <w:t>)</w:t>
      </w:r>
      <w:r w:rsidR="00520D5F" w:rsidRPr="00940BEC">
        <w:t xml:space="preserve"> acknowledged that the PROpel trial was not designed to stratify by BRCA status but stated that the subgroup analysis of BRCA1/2 patients was appropriate given the strong clinical and non-clinical evidence supporting the biological plausibility of differential treatment results in </w:t>
      </w:r>
      <w:r w:rsidR="00520D5F" w:rsidRPr="00940BEC">
        <w:lastRenderedPageBreak/>
        <w:t xml:space="preserve">BRCA1/2 patients. Further, the PSCR presented </w:t>
      </w:r>
      <w:r w:rsidR="00C321C4" w:rsidRPr="00940BEC">
        <w:t xml:space="preserve">the results of </w:t>
      </w:r>
      <w:r w:rsidR="00520D5F" w:rsidRPr="00940BEC">
        <w:t>a multivariate regression analysis that adjusted for potential confounders (including visceral metastases, prior docetaxel treatment, ECOG performance status, age, region, race, PSA and BRCA1/2 mutation) which, compared to the unadjusted results, showed negligible changes in rPFS and OS.</w:t>
      </w:r>
      <w:r w:rsidR="00C321C4" w:rsidRPr="00940BEC">
        <w:t xml:space="preserve"> The ESC considered that given the small sample size in the BRCA1/2 subgroup, the validity of the regression model adjusted for the number of variables listed above was unclear and that the effects of confounding remained uncertain.</w:t>
      </w:r>
      <w:bookmarkEnd w:id="20"/>
    </w:p>
    <w:p w14:paraId="0F65FBAF" w14:textId="4EA8B881" w:rsidR="00822DBF" w:rsidRPr="00940BEC" w:rsidRDefault="00822DBF" w:rsidP="00FE2E26">
      <w:pPr>
        <w:pStyle w:val="3-BodyText"/>
      </w:pPr>
      <w:r w:rsidRPr="00940BEC">
        <w:t xml:space="preserve">The submission did not present the flow of participants in the </w:t>
      </w:r>
      <w:r w:rsidR="006C3ED1" w:rsidRPr="00940BEC">
        <w:t>BRCA1/2</w:t>
      </w:r>
      <w:r w:rsidRPr="00940BEC">
        <w:t xml:space="preserve"> subgroup, so it was not possible to evaluate the loss to follow up and treatment discontinuation in these patients. </w:t>
      </w:r>
      <w:r w:rsidR="00B83218" w:rsidRPr="00940BEC">
        <w:rPr>
          <w:lang w:val="en-US" w:eastAsia="en-GB"/>
        </w:rPr>
        <w:t>This was not appropriate, as th</w:t>
      </w:r>
      <w:r w:rsidR="00567AFD" w:rsidRPr="00940BEC">
        <w:rPr>
          <w:lang w:val="en-US" w:eastAsia="en-GB"/>
        </w:rPr>
        <w:t xml:space="preserve">e </w:t>
      </w:r>
      <w:r w:rsidR="00440304" w:rsidRPr="00940BEC">
        <w:rPr>
          <w:lang w:val="en-US" w:eastAsia="en-GB"/>
        </w:rPr>
        <w:t xml:space="preserve">submission requested listing for the </w:t>
      </w:r>
      <w:r w:rsidR="00440304" w:rsidRPr="00940BEC">
        <w:t>BRCA1/2 subgroup only</w:t>
      </w:r>
      <w:r w:rsidR="00B83218" w:rsidRPr="00940BEC">
        <w:rPr>
          <w:lang w:val="en-US" w:eastAsia="en-GB"/>
        </w:rPr>
        <w:t>.</w:t>
      </w:r>
    </w:p>
    <w:p w14:paraId="564DE4D4" w14:textId="75CA104D" w:rsidR="00CE5EB0" w:rsidRPr="00940BEC" w:rsidRDefault="0055646E" w:rsidP="00FE2E26">
      <w:pPr>
        <w:pStyle w:val="3-BodyText"/>
      </w:pPr>
      <w:r w:rsidRPr="00940BEC">
        <w:t xml:space="preserve">The submission also presented a summary of two </w:t>
      </w:r>
      <w:r w:rsidR="00FB1722">
        <w:t>randomised controlled trial</w:t>
      </w:r>
      <w:r w:rsidR="00FB1722" w:rsidRPr="00940BEC">
        <w:t xml:space="preserve">s </w:t>
      </w:r>
      <w:r w:rsidRPr="00940BEC">
        <w:t xml:space="preserve">comparing </w:t>
      </w:r>
      <w:r w:rsidR="005E1B84" w:rsidRPr="00940BEC">
        <w:t xml:space="preserve">the nominated near-market comparators (talazoparib and niraparib) </w:t>
      </w:r>
      <w:r w:rsidRPr="00940BEC">
        <w:t>in combination with NHAs to NHA monotherapy:</w:t>
      </w:r>
    </w:p>
    <w:p w14:paraId="54A8E640" w14:textId="74BA08E3" w:rsidR="0055646E" w:rsidRPr="00940BEC" w:rsidRDefault="0055646E" w:rsidP="0075138F">
      <w:pPr>
        <w:pStyle w:val="ListParagraph"/>
        <w:ind w:left="993" w:hanging="284"/>
        <w:rPr>
          <w:lang w:val="es-ES"/>
        </w:rPr>
      </w:pPr>
      <w:r w:rsidRPr="00940BEC">
        <w:rPr>
          <w:lang w:val="es-ES"/>
        </w:rPr>
        <w:t xml:space="preserve">TALAPRO-2 (Agarwal 2023 </w:t>
      </w:r>
      <w:r w:rsidRPr="00940BEC">
        <w:rPr>
          <w:vertAlign w:val="superscript"/>
        </w:rPr>
        <w:footnoteReference w:id="4"/>
      </w:r>
      <w:r w:rsidRPr="00940BEC">
        <w:rPr>
          <w:lang w:val="es-ES"/>
        </w:rPr>
        <w:t>): talazoparib + enzalutamide vs enzalutamide + placebo</w:t>
      </w:r>
      <w:r w:rsidR="00FB1722">
        <w:rPr>
          <w:lang w:val="es-ES"/>
        </w:rPr>
        <w:t>; and</w:t>
      </w:r>
      <w:r w:rsidRPr="00940BEC">
        <w:rPr>
          <w:lang w:val="es-ES"/>
        </w:rPr>
        <w:t xml:space="preserve"> </w:t>
      </w:r>
    </w:p>
    <w:p w14:paraId="6E9603BB" w14:textId="327D796F" w:rsidR="0055646E" w:rsidRPr="00940BEC" w:rsidRDefault="0055646E" w:rsidP="0075138F">
      <w:pPr>
        <w:pStyle w:val="ListParagraph"/>
        <w:ind w:left="993" w:hanging="284"/>
      </w:pPr>
      <w:r w:rsidRPr="00940BEC">
        <w:t>MAGNITUDE (Chi 2023): niraparib + abiraterone vs abiraterone + placebo</w:t>
      </w:r>
      <w:r w:rsidR="00FB1722">
        <w:t>.</w:t>
      </w:r>
    </w:p>
    <w:p w14:paraId="4A4FE085" w14:textId="1C5613CC" w:rsidR="00B60939" w:rsidRPr="00C9624D" w:rsidRDefault="00B60939" w:rsidP="00EC5836">
      <w:pPr>
        <w:pStyle w:val="4-SubsectionHeading"/>
      </w:pPr>
      <w:bookmarkStart w:id="21" w:name="_Toc22897641"/>
      <w:bookmarkStart w:id="22" w:name="_Toc145075505"/>
      <w:r w:rsidRPr="00C9624D">
        <w:t>Comparative effectiveness</w:t>
      </w:r>
      <w:bookmarkEnd w:id="21"/>
      <w:bookmarkEnd w:id="22"/>
    </w:p>
    <w:p w14:paraId="16ABCF59" w14:textId="6475E53E" w:rsidR="000C7B10" w:rsidRPr="00940BEC" w:rsidRDefault="003F59A7" w:rsidP="00FE2E26">
      <w:pPr>
        <w:pStyle w:val="3-BodyText"/>
      </w:pPr>
      <w:r w:rsidRPr="00940BEC">
        <w:fldChar w:fldCharType="begin" w:fldLock="1"/>
      </w:r>
      <w:r w:rsidRPr="00940BEC">
        <w:instrText xml:space="preserve"> REF _Ref142987884 \h </w:instrText>
      </w:r>
      <w:r w:rsidR="00940BEC" w:rsidRPr="00940BEC">
        <w:instrText xml:space="preserve"> \* MERGEFORMAT </w:instrText>
      </w:r>
      <w:r w:rsidRPr="00940BEC">
        <w:fldChar w:fldCharType="separate"/>
      </w:r>
      <w:r w:rsidR="006F331F" w:rsidRPr="00940BEC">
        <w:t xml:space="preserve">Table </w:t>
      </w:r>
      <w:r w:rsidR="006F331F" w:rsidRPr="00940BEC">
        <w:rPr>
          <w:noProof/>
        </w:rPr>
        <w:t>4</w:t>
      </w:r>
      <w:r w:rsidRPr="00940BEC">
        <w:fldChar w:fldCharType="end"/>
      </w:r>
      <w:r w:rsidRPr="00940BEC">
        <w:t xml:space="preserve"> </w:t>
      </w:r>
      <w:r w:rsidR="000C7B10" w:rsidRPr="00940BEC">
        <w:t>summarises key time to event outcomes from PROpel</w:t>
      </w:r>
      <w:r w:rsidR="007B2524" w:rsidRPr="00940BEC">
        <w:t xml:space="preserve"> in the ITT, </w:t>
      </w:r>
      <w:r w:rsidR="006C3ED1" w:rsidRPr="00940BEC">
        <w:t>BRCA1/2</w:t>
      </w:r>
      <w:r w:rsidR="007B2524" w:rsidRPr="00940BEC">
        <w:t xml:space="preserve">-positive and </w:t>
      </w:r>
      <w:r w:rsidR="00A41905" w:rsidRPr="00940BEC">
        <w:t>BRCA</w:t>
      </w:r>
      <w:r w:rsidR="007B2524" w:rsidRPr="00940BEC">
        <w:t xml:space="preserve"> wild type (WT) populations. </w:t>
      </w:r>
    </w:p>
    <w:p w14:paraId="7AC0ADF8" w14:textId="28BF81C2" w:rsidR="00E4451C" w:rsidRDefault="00E4451C" w:rsidP="00E4451C">
      <w:pPr>
        <w:pStyle w:val="Caption"/>
      </w:pPr>
      <w:bookmarkStart w:id="23" w:name="_Ref142987884"/>
      <w:r>
        <w:t xml:space="preserve">Table </w:t>
      </w:r>
      <w:fldSimple w:instr=" SEQ Table \* ARABIC " w:fldLock="1">
        <w:r w:rsidR="006F331F">
          <w:rPr>
            <w:noProof/>
          </w:rPr>
          <w:t>4</w:t>
        </w:r>
      </w:fldSimple>
      <w:bookmarkEnd w:id="23"/>
      <w:r>
        <w:t>: Summary of rPFS and OS reported in PROPel</w:t>
      </w:r>
    </w:p>
    <w:tbl>
      <w:tblPr>
        <w:tblStyle w:val="TableGrid"/>
        <w:tblW w:w="5028" w:type="pct"/>
        <w:tblCellMar>
          <w:left w:w="28" w:type="dxa"/>
          <w:right w:w="28" w:type="dxa"/>
        </w:tblCellMar>
        <w:tblLook w:val="04A0" w:firstRow="1" w:lastRow="0" w:firstColumn="1" w:lastColumn="0" w:noHBand="0" w:noVBand="1"/>
      </w:tblPr>
      <w:tblGrid>
        <w:gridCol w:w="1192"/>
        <w:gridCol w:w="1730"/>
        <w:gridCol w:w="1895"/>
        <w:gridCol w:w="1304"/>
        <w:gridCol w:w="1434"/>
        <w:gridCol w:w="1512"/>
      </w:tblGrid>
      <w:tr w:rsidR="000C7B10" w:rsidRPr="00940BEC" w14:paraId="4844D83C" w14:textId="77777777" w:rsidTr="00E4451C">
        <w:trPr>
          <w:tblHeader/>
        </w:trPr>
        <w:tc>
          <w:tcPr>
            <w:tcW w:w="657" w:type="pct"/>
            <w:vMerge w:val="restart"/>
            <w:shd w:val="clear" w:color="auto" w:fill="auto"/>
          </w:tcPr>
          <w:p w14:paraId="66D470D1" w14:textId="77777777" w:rsidR="000C7B10" w:rsidRPr="00940BEC" w:rsidRDefault="000C7B10" w:rsidP="001E53B4">
            <w:pPr>
              <w:keepNext/>
              <w:spacing w:before="10" w:after="10"/>
              <w:jc w:val="both"/>
              <w:rPr>
                <w:rFonts w:ascii="Arial Narrow" w:hAnsi="Arial Narrow"/>
                <w:sz w:val="19"/>
                <w:szCs w:val="19"/>
                <w:lang w:eastAsia="en-US"/>
              </w:rPr>
            </w:pPr>
          </w:p>
        </w:tc>
        <w:tc>
          <w:tcPr>
            <w:tcW w:w="1999" w:type="pct"/>
            <w:gridSpan w:val="2"/>
            <w:shd w:val="clear" w:color="auto" w:fill="auto"/>
            <w:vAlign w:val="center"/>
          </w:tcPr>
          <w:p w14:paraId="7EF8FFF4"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Number of events/total number of patients (%)</w:t>
            </w:r>
          </w:p>
        </w:tc>
        <w:tc>
          <w:tcPr>
            <w:tcW w:w="719" w:type="pct"/>
            <w:shd w:val="clear" w:color="auto" w:fill="auto"/>
            <w:vAlign w:val="center"/>
          </w:tcPr>
          <w:p w14:paraId="31802169"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HR (95% CI)</w:t>
            </w:r>
          </w:p>
        </w:tc>
        <w:tc>
          <w:tcPr>
            <w:tcW w:w="1625" w:type="pct"/>
            <w:gridSpan w:val="2"/>
            <w:shd w:val="clear" w:color="auto" w:fill="auto"/>
            <w:vAlign w:val="center"/>
          </w:tcPr>
          <w:p w14:paraId="1B8E9708"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Median duration (95% CI), months</w:t>
            </w:r>
          </w:p>
        </w:tc>
      </w:tr>
      <w:tr w:rsidR="000C7B10" w:rsidRPr="00940BEC" w14:paraId="4FEE4DFE" w14:textId="77777777" w:rsidTr="00E4451C">
        <w:trPr>
          <w:tblHeader/>
        </w:trPr>
        <w:tc>
          <w:tcPr>
            <w:tcW w:w="657" w:type="pct"/>
            <w:vMerge/>
            <w:shd w:val="clear" w:color="auto" w:fill="auto"/>
          </w:tcPr>
          <w:p w14:paraId="142856D5" w14:textId="77777777" w:rsidR="000C7B10" w:rsidRPr="00940BEC" w:rsidRDefault="000C7B10" w:rsidP="001E53B4">
            <w:pPr>
              <w:keepNext/>
              <w:spacing w:before="10" w:after="10"/>
              <w:jc w:val="both"/>
              <w:rPr>
                <w:rFonts w:ascii="Arial Narrow" w:hAnsi="Arial Narrow"/>
                <w:sz w:val="19"/>
                <w:szCs w:val="19"/>
                <w:lang w:eastAsia="en-US"/>
              </w:rPr>
            </w:pPr>
          </w:p>
        </w:tc>
        <w:tc>
          <w:tcPr>
            <w:tcW w:w="954" w:type="pct"/>
            <w:shd w:val="clear" w:color="auto" w:fill="auto"/>
            <w:vAlign w:val="center"/>
          </w:tcPr>
          <w:p w14:paraId="6A97E578" w14:textId="77777777" w:rsidR="000C7B10" w:rsidRPr="00940BEC" w:rsidRDefault="000C7B10" w:rsidP="001E53B4">
            <w:pPr>
              <w:keepNext/>
              <w:spacing w:before="10" w:after="10"/>
              <w:jc w:val="center"/>
              <w:rPr>
                <w:rFonts w:ascii="Arial Narrow" w:hAnsi="Arial Narrow"/>
                <w:b/>
                <w:sz w:val="19"/>
                <w:szCs w:val="19"/>
                <w:lang w:eastAsia="en-US"/>
              </w:rPr>
            </w:pPr>
            <w:r w:rsidRPr="00940BEC">
              <w:rPr>
                <w:rFonts w:ascii="Arial Narrow" w:hAnsi="Arial Narrow"/>
                <w:b/>
                <w:sz w:val="19"/>
                <w:szCs w:val="19"/>
                <w:lang w:eastAsia="en-US"/>
              </w:rPr>
              <w:t>OLA+ABI</w:t>
            </w:r>
          </w:p>
        </w:tc>
        <w:tc>
          <w:tcPr>
            <w:tcW w:w="1045" w:type="pct"/>
            <w:shd w:val="clear" w:color="auto" w:fill="auto"/>
            <w:vAlign w:val="center"/>
          </w:tcPr>
          <w:p w14:paraId="604B205B" w14:textId="77777777" w:rsidR="000C7B10" w:rsidRPr="00940BEC" w:rsidRDefault="000C7B10" w:rsidP="001E53B4">
            <w:pPr>
              <w:keepNext/>
              <w:spacing w:before="10" w:after="10"/>
              <w:jc w:val="center"/>
              <w:rPr>
                <w:rFonts w:ascii="Arial Narrow" w:hAnsi="Arial Narrow"/>
                <w:b/>
                <w:sz w:val="19"/>
                <w:szCs w:val="19"/>
                <w:lang w:eastAsia="en-US"/>
              </w:rPr>
            </w:pPr>
            <w:r w:rsidRPr="00940BEC">
              <w:rPr>
                <w:rFonts w:ascii="Arial Narrow" w:hAnsi="Arial Narrow"/>
                <w:b/>
                <w:sz w:val="19"/>
                <w:szCs w:val="19"/>
                <w:lang w:eastAsia="en-US"/>
              </w:rPr>
              <w:t>ABI</w:t>
            </w:r>
          </w:p>
        </w:tc>
        <w:tc>
          <w:tcPr>
            <w:tcW w:w="719" w:type="pct"/>
            <w:shd w:val="clear" w:color="auto" w:fill="auto"/>
            <w:vAlign w:val="center"/>
          </w:tcPr>
          <w:p w14:paraId="3D253540" w14:textId="77777777" w:rsidR="000C7B10" w:rsidRPr="00940BEC" w:rsidRDefault="000C7B10" w:rsidP="001E53B4">
            <w:pPr>
              <w:keepNext/>
              <w:spacing w:before="10" w:after="10"/>
              <w:jc w:val="center"/>
              <w:rPr>
                <w:rFonts w:ascii="Arial Narrow" w:hAnsi="Arial Narrow"/>
                <w:b/>
                <w:sz w:val="19"/>
                <w:szCs w:val="19"/>
                <w:lang w:eastAsia="en-US"/>
              </w:rPr>
            </w:pPr>
            <w:r w:rsidRPr="00940BEC">
              <w:rPr>
                <w:rFonts w:ascii="Arial Narrow" w:hAnsi="Arial Narrow"/>
                <w:b/>
                <w:sz w:val="19"/>
                <w:szCs w:val="19"/>
                <w:lang w:eastAsia="en-US"/>
              </w:rPr>
              <w:t>HR</w:t>
            </w:r>
          </w:p>
        </w:tc>
        <w:tc>
          <w:tcPr>
            <w:tcW w:w="791" w:type="pct"/>
            <w:shd w:val="clear" w:color="auto" w:fill="auto"/>
            <w:vAlign w:val="center"/>
          </w:tcPr>
          <w:p w14:paraId="5778AB32" w14:textId="77777777" w:rsidR="000C7B10" w:rsidRPr="00940BEC" w:rsidRDefault="000C7B10" w:rsidP="001E53B4">
            <w:pPr>
              <w:keepNext/>
              <w:spacing w:before="10" w:after="10"/>
              <w:jc w:val="center"/>
              <w:rPr>
                <w:rFonts w:ascii="Arial Narrow" w:hAnsi="Arial Narrow"/>
                <w:b/>
                <w:sz w:val="19"/>
                <w:szCs w:val="19"/>
                <w:lang w:eastAsia="en-US"/>
              </w:rPr>
            </w:pPr>
            <w:r w:rsidRPr="00940BEC">
              <w:rPr>
                <w:rFonts w:ascii="Arial Narrow" w:hAnsi="Arial Narrow"/>
                <w:b/>
                <w:sz w:val="19"/>
                <w:szCs w:val="19"/>
                <w:lang w:eastAsia="en-US"/>
              </w:rPr>
              <w:t>OLA+ABI</w:t>
            </w:r>
          </w:p>
        </w:tc>
        <w:tc>
          <w:tcPr>
            <w:tcW w:w="834" w:type="pct"/>
            <w:shd w:val="clear" w:color="auto" w:fill="auto"/>
            <w:vAlign w:val="center"/>
          </w:tcPr>
          <w:p w14:paraId="4B4C79ED" w14:textId="77777777" w:rsidR="000C7B10" w:rsidRPr="00940BEC" w:rsidRDefault="000C7B10" w:rsidP="001E53B4">
            <w:pPr>
              <w:keepNext/>
              <w:spacing w:before="10" w:after="10"/>
              <w:jc w:val="center"/>
              <w:rPr>
                <w:rFonts w:ascii="Arial Narrow" w:hAnsi="Arial Narrow"/>
                <w:b/>
                <w:sz w:val="19"/>
                <w:szCs w:val="19"/>
                <w:lang w:eastAsia="en-US"/>
              </w:rPr>
            </w:pPr>
            <w:r w:rsidRPr="00940BEC">
              <w:rPr>
                <w:rFonts w:ascii="Arial Narrow" w:hAnsi="Arial Narrow"/>
                <w:b/>
                <w:sz w:val="19"/>
                <w:szCs w:val="19"/>
                <w:lang w:eastAsia="en-US"/>
              </w:rPr>
              <w:t>ABI</w:t>
            </w:r>
          </w:p>
        </w:tc>
      </w:tr>
      <w:tr w:rsidR="000C7B10" w:rsidRPr="00940BEC" w14:paraId="2E178E87" w14:textId="77777777" w:rsidTr="001E53B4">
        <w:tc>
          <w:tcPr>
            <w:tcW w:w="5000" w:type="pct"/>
            <w:gridSpan w:val="6"/>
            <w:shd w:val="clear" w:color="auto" w:fill="auto"/>
            <w:vAlign w:val="center"/>
          </w:tcPr>
          <w:p w14:paraId="0432DB66" w14:textId="77777777" w:rsidR="000C7B10" w:rsidRPr="00940BEC" w:rsidRDefault="000C7B10" w:rsidP="001E53B4">
            <w:pPr>
              <w:keepNext/>
              <w:spacing w:before="10" w:after="10"/>
              <w:rPr>
                <w:rFonts w:ascii="Arial Narrow" w:hAnsi="Arial Narrow"/>
                <w:sz w:val="19"/>
                <w:szCs w:val="19"/>
                <w:lang w:eastAsia="en-US"/>
              </w:rPr>
            </w:pPr>
            <w:r w:rsidRPr="00940BEC">
              <w:rPr>
                <w:rFonts w:ascii="Arial Narrow" w:hAnsi="Arial Narrow"/>
                <w:b/>
                <w:sz w:val="19"/>
                <w:szCs w:val="19"/>
              </w:rPr>
              <w:t>rPFS – BICR assessed (DCO1: 30 July 2021)</w:t>
            </w:r>
          </w:p>
        </w:tc>
      </w:tr>
      <w:tr w:rsidR="000C7B10" w:rsidRPr="00940BEC" w14:paraId="2C609C7D" w14:textId="77777777" w:rsidTr="00E4451C">
        <w:tc>
          <w:tcPr>
            <w:tcW w:w="657" w:type="pct"/>
            <w:shd w:val="clear" w:color="auto" w:fill="auto"/>
          </w:tcPr>
          <w:p w14:paraId="58C3ACE7" w14:textId="77777777" w:rsidR="000C7B10" w:rsidRPr="00940BEC" w:rsidRDefault="000C7B10" w:rsidP="001E53B4">
            <w:pPr>
              <w:keepNext/>
              <w:spacing w:before="10" w:after="10"/>
              <w:jc w:val="both"/>
              <w:rPr>
                <w:rFonts w:ascii="Arial Narrow" w:hAnsi="Arial Narrow"/>
                <w:sz w:val="19"/>
                <w:szCs w:val="19"/>
                <w:lang w:eastAsia="en-US"/>
              </w:rPr>
            </w:pPr>
            <w:r w:rsidRPr="00940BEC">
              <w:rPr>
                <w:rFonts w:ascii="Arial Narrow" w:hAnsi="Arial Narrow"/>
                <w:sz w:val="19"/>
                <w:szCs w:val="19"/>
                <w:lang w:eastAsia="en-US"/>
              </w:rPr>
              <w:t>ITT</w:t>
            </w:r>
          </w:p>
        </w:tc>
        <w:tc>
          <w:tcPr>
            <w:tcW w:w="954" w:type="pct"/>
            <w:shd w:val="clear" w:color="auto" w:fill="auto"/>
            <w:vAlign w:val="center"/>
          </w:tcPr>
          <w:p w14:paraId="65CD0E48"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157/399 (39.3)</w:t>
            </w:r>
          </w:p>
        </w:tc>
        <w:tc>
          <w:tcPr>
            <w:tcW w:w="1045" w:type="pct"/>
            <w:shd w:val="clear" w:color="auto" w:fill="auto"/>
            <w:vAlign w:val="center"/>
          </w:tcPr>
          <w:p w14:paraId="06A9BD5F"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218/397 (54.9)</w:t>
            </w:r>
          </w:p>
        </w:tc>
        <w:tc>
          <w:tcPr>
            <w:tcW w:w="719" w:type="pct"/>
            <w:shd w:val="clear" w:color="auto" w:fill="auto"/>
            <w:vAlign w:val="center"/>
          </w:tcPr>
          <w:p w14:paraId="38D2977D"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0.61 (0.49, 0.74)</w:t>
            </w:r>
          </w:p>
        </w:tc>
        <w:tc>
          <w:tcPr>
            <w:tcW w:w="791" w:type="pct"/>
            <w:shd w:val="clear" w:color="auto" w:fill="auto"/>
            <w:vAlign w:val="center"/>
          </w:tcPr>
          <w:p w14:paraId="020A762C"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27.6 (19.58, NE)</w:t>
            </w:r>
          </w:p>
        </w:tc>
        <w:tc>
          <w:tcPr>
            <w:tcW w:w="834" w:type="pct"/>
            <w:shd w:val="clear" w:color="auto" w:fill="auto"/>
            <w:vAlign w:val="center"/>
          </w:tcPr>
          <w:p w14:paraId="66642EB4"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16.4 (13.77, 19.12)</w:t>
            </w:r>
          </w:p>
        </w:tc>
      </w:tr>
      <w:tr w:rsidR="000C7B10" w:rsidRPr="00940BEC" w14:paraId="4D53ACE7" w14:textId="77777777" w:rsidTr="00E4451C">
        <w:tc>
          <w:tcPr>
            <w:tcW w:w="657" w:type="pct"/>
            <w:tcBorders>
              <w:bottom w:val="nil"/>
            </w:tcBorders>
            <w:shd w:val="clear" w:color="auto" w:fill="auto"/>
          </w:tcPr>
          <w:p w14:paraId="116043E0" w14:textId="601DC927" w:rsidR="000C7B10" w:rsidRPr="00940BEC" w:rsidRDefault="006C3ED1" w:rsidP="001E53B4">
            <w:pPr>
              <w:keepNext/>
              <w:spacing w:before="10" w:after="10"/>
              <w:jc w:val="both"/>
              <w:rPr>
                <w:rFonts w:ascii="Arial Narrow" w:hAnsi="Arial Narrow"/>
                <w:sz w:val="19"/>
                <w:szCs w:val="19"/>
                <w:lang w:eastAsia="en-US"/>
              </w:rPr>
            </w:pPr>
            <w:r w:rsidRPr="00940BEC">
              <w:rPr>
                <w:rFonts w:ascii="Arial Narrow" w:hAnsi="Arial Narrow"/>
                <w:sz w:val="19"/>
                <w:szCs w:val="19"/>
                <w:lang w:eastAsia="en-US"/>
              </w:rPr>
              <w:t>BRCA1/2</w:t>
            </w:r>
          </w:p>
        </w:tc>
        <w:tc>
          <w:tcPr>
            <w:tcW w:w="954" w:type="pct"/>
            <w:tcBorders>
              <w:bottom w:val="nil"/>
            </w:tcBorders>
            <w:shd w:val="clear" w:color="auto" w:fill="auto"/>
            <w:vAlign w:val="center"/>
          </w:tcPr>
          <w:p w14:paraId="3518A165"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12/47 (25.5)</w:t>
            </w:r>
          </w:p>
        </w:tc>
        <w:tc>
          <w:tcPr>
            <w:tcW w:w="1045" w:type="pct"/>
            <w:tcBorders>
              <w:bottom w:val="nil"/>
            </w:tcBorders>
            <w:shd w:val="clear" w:color="auto" w:fill="auto"/>
            <w:vAlign w:val="center"/>
          </w:tcPr>
          <w:p w14:paraId="0CF4824D"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31/38 (81.6)</w:t>
            </w:r>
          </w:p>
        </w:tc>
        <w:tc>
          <w:tcPr>
            <w:tcW w:w="719" w:type="pct"/>
            <w:tcBorders>
              <w:bottom w:val="nil"/>
            </w:tcBorders>
            <w:shd w:val="clear" w:color="auto" w:fill="auto"/>
            <w:vAlign w:val="center"/>
          </w:tcPr>
          <w:p w14:paraId="1B3778F3" w14:textId="77777777" w:rsidR="000C7B10" w:rsidRPr="00940BEC" w:rsidRDefault="000C7B10" w:rsidP="001E53B4">
            <w:pPr>
              <w:keepNext/>
              <w:spacing w:before="10" w:after="10"/>
              <w:jc w:val="center"/>
              <w:rPr>
                <w:rFonts w:ascii="Arial Narrow" w:hAnsi="Arial Narrow"/>
                <w:b/>
                <w:sz w:val="19"/>
                <w:szCs w:val="19"/>
                <w:lang w:eastAsia="en-US"/>
              </w:rPr>
            </w:pPr>
            <w:r w:rsidRPr="00940BEC">
              <w:rPr>
                <w:rFonts w:ascii="Arial Narrow" w:hAnsi="Arial Narrow"/>
                <w:b/>
                <w:sz w:val="19"/>
                <w:szCs w:val="19"/>
                <w:lang w:eastAsia="en-US"/>
              </w:rPr>
              <w:t>0.18 (0.09, 0.34)</w:t>
            </w:r>
          </w:p>
        </w:tc>
        <w:tc>
          <w:tcPr>
            <w:tcW w:w="791" w:type="pct"/>
            <w:tcBorders>
              <w:bottom w:val="nil"/>
            </w:tcBorders>
            <w:shd w:val="clear" w:color="auto" w:fill="auto"/>
            <w:vAlign w:val="center"/>
          </w:tcPr>
          <w:p w14:paraId="3A27C5DD"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NE</w:t>
            </w:r>
          </w:p>
        </w:tc>
        <w:tc>
          <w:tcPr>
            <w:tcW w:w="834" w:type="pct"/>
            <w:tcBorders>
              <w:bottom w:val="nil"/>
            </w:tcBorders>
            <w:shd w:val="clear" w:color="auto" w:fill="auto"/>
            <w:vAlign w:val="center"/>
          </w:tcPr>
          <w:p w14:paraId="22DE82FB"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8.38 (NR, NR)</w:t>
            </w:r>
          </w:p>
        </w:tc>
      </w:tr>
      <w:tr w:rsidR="000C7B10" w:rsidRPr="00940BEC" w14:paraId="5E106620" w14:textId="77777777" w:rsidTr="00E4451C">
        <w:tc>
          <w:tcPr>
            <w:tcW w:w="657" w:type="pct"/>
            <w:shd w:val="clear" w:color="auto" w:fill="auto"/>
          </w:tcPr>
          <w:p w14:paraId="1E1CEBF8" w14:textId="04618805" w:rsidR="000C7B10" w:rsidRPr="00940BEC" w:rsidRDefault="00A41905" w:rsidP="001E53B4">
            <w:pPr>
              <w:keepNext/>
              <w:spacing w:before="10" w:after="10"/>
              <w:jc w:val="both"/>
              <w:rPr>
                <w:rFonts w:ascii="Arial Narrow" w:hAnsi="Arial Narrow"/>
                <w:sz w:val="19"/>
                <w:szCs w:val="19"/>
                <w:vertAlign w:val="superscript"/>
                <w:lang w:eastAsia="en-US"/>
              </w:rPr>
            </w:pPr>
            <w:r w:rsidRPr="00940BEC">
              <w:rPr>
                <w:rFonts w:ascii="Arial Narrow" w:hAnsi="Arial Narrow"/>
                <w:sz w:val="19"/>
                <w:szCs w:val="19"/>
                <w:lang w:eastAsia="en-US"/>
              </w:rPr>
              <w:t>BRCA</w:t>
            </w:r>
            <w:r w:rsidR="000C7B10" w:rsidRPr="00940BEC">
              <w:rPr>
                <w:rFonts w:ascii="Arial Narrow" w:hAnsi="Arial Narrow"/>
                <w:sz w:val="19"/>
                <w:szCs w:val="19"/>
                <w:lang w:eastAsia="en-US"/>
              </w:rPr>
              <w:t>wt</w:t>
            </w:r>
          </w:p>
        </w:tc>
        <w:tc>
          <w:tcPr>
            <w:tcW w:w="954" w:type="pct"/>
            <w:shd w:val="clear" w:color="auto" w:fill="auto"/>
            <w:vAlign w:val="center"/>
          </w:tcPr>
          <w:p w14:paraId="56953899"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141/343 (41.1)</w:t>
            </w:r>
          </w:p>
        </w:tc>
        <w:tc>
          <w:tcPr>
            <w:tcW w:w="1045" w:type="pct"/>
            <w:shd w:val="clear" w:color="auto" w:fill="auto"/>
            <w:vAlign w:val="center"/>
          </w:tcPr>
          <w:p w14:paraId="35A92591"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183/350 (52.3)</w:t>
            </w:r>
          </w:p>
        </w:tc>
        <w:tc>
          <w:tcPr>
            <w:tcW w:w="719" w:type="pct"/>
            <w:shd w:val="clear" w:color="auto" w:fill="auto"/>
            <w:vAlign w:val="center"/>
          </w:tcPr>
          <w:p w14:paraId="3512F94D"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0.72 (0.58, 0.90)</w:t>
            </w:r>
          </w:p>
        </w:tc>
        <w:tc>
          <w:tcPr>
            <w:tcW w:w="791" w:type="pct"/>
            <w:shd w:val="clear" w:color="auto" w:fill="auto"/>
            <w:vAlign w:val="center"/>
          </w:tcPr>
          <w:p w14:paraId="33F2DFB5"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27.60 (NR, NR)</w:t>
            </w:r>
          </w:p>
        </w:tc>
        <w:tc>
          <w:tcPr>
            <w:tcW w:w="834" w:type="pct"/>
            <w:shd w:val="clear" w:color="auto" w:fill="auto"/>
            <w:vAlign w:val="center"/>
          </w:tcPr>
          <w:p w14:paraId="077CE957"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16.62 (NR, NR)</w:t>
            </w:r>
          </w:p>
        </w:tc>
      </w:tr>
      <w:tr w:rsidR="000C7B10" w:rsidRPr="00940BEC" w14:paraId="22A06676" w14:textId="77777777" w:rsidTr="001E53B4">
        <w:tc>
          <w:tcPr>
            <w:tcW w:w="5000" w:type="pct"/>
            <w:gridSpan w:val="6"/>
            <w:shd w:val="clear" w:color="auto" w:fill="auto"/>
            <w:vAlign w:val="center"/>
          </w:tcPr>
          <w:p w14:paraId="362ACA51" w14:textId="77777777" w:rsidR="000C7B10" w:rsidRPr="00940BEC" w:rsidRDefault="000C7B10" w:rsidP="001E53B4">
            <w:pPr>
              <w:keepNext/>
              <w:spacing w:before="10" w:after="10"/>
              <w:rPr>
                <w:rFonts w:ascii="Arial Narrow" w:hAnsi="Arial Narrow"/>
                <w:b/>
                <w:bCs/>
                <w:sz w:val="19"/>
                <w:szCs w:val="19"/>
                <w:lang w:eastAsia="en-US"/>
              </w:rPr>
            </w:pPr>
            <w:r w:rsidRPr="00940BEC">
              <w:rPr>
                <w:rFonts w:ascii="Arial Narrow" w:hAnsi="Arial Narrow"/>
                <w:b/>
                <w:bCs/>
                <w:sz w:val="19"/>
                <w:szCs w:val="19"/>
                <w:lang w:eastAsia="en-US"/>
              </w:rPr>
              <w:t>rPFS – investigator assessed (DCO1: 30 July 2021)</w:t>
            </w:r>
          </w:p>
        </w:tc>
      </w:tr>
      <w:tr w:rsidR="000C7B10" w:rsidRPr="00940BEC" w14:paraId="60FFA9F8" w14:textId="77777777" w:rsidTr="00E4451C">
        <w:tc>
          <w:tcPr>
            <w:tcW w:w="657" w:type="pct"/>
            <w:shd w:val="clear" w:color="auto" w:fill="auto"/>
          </w:tcPr>
          <w:p w14:paraId="7E8778F5" w14:textId="77777777" w:rsidR="000C7B10" w:rsidRPr="00940BEC" w:rsidRDefault="000C7B10" w:rsidP="001E53B4">
            <w:pPr>
              <w:keepNext/>
              <w:spacing w:before="10" w:after="10"/>
              <w:jc w:val="both"/>
              <w:rPr>
                <w:rFonts w:ascii="Arial Narrow" w:hAnsi="Arial Narrow"/>
                <w:sz w:val="19"/>
                <w:szCs w:val="19"/>
                <w:lang w:eastAsia="en-US"/>
              </w:rPr>
            </w:pPr>
            <w:r w:rsidRPr="00940BEC">
              <w:rPr>
                <w:rFonts w:ascii="Arial Narrow" w:hAnsi="Arial Narrow"/>
                <w:sz w:val="19"/>
                <w:szCs w:val="19"/>
                <w:lang w:eastAsia="en-US"/>
              </w:rPr>
              <w:t>ITT</w:t>
            </w:r>
          </w:p>
        </w:tc>
        <w:tc>
          <w:tcPr>
            <w:tcW w:w="954" w:type="pct"/>
            <w:shd w:val="clear" w:color="auto" w:fill="auto"/>
            <w:vAlign w:val="center"/>
          </w:tcPr>
          <w:p w14:paraId="2E3842C5"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168/399 (42.1)</w:t>
            </w:r>
          </w:p>
        </w:tc>
        <w:tc>
          <w:tcPr>
            <w:tcW w:w="1045" w:type="pct"/>
            <w:shd w:val="clear" w:color="auto" w:fill="auto"/>
            <w:vAlign w:val="center"/>
          </w:tcPr>
          <w:p w14:paraId="3F664B78"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226/397 (56.9)</w:t>
            </w:r>
          </w:p>
        </w:tc>
        <w:tc>
          <w:tcPr>
            <w:tcW w:w="719" w:type="pct"/>
            <w:shd w:val="clear" w:color="auto" w:fill="auto"/>
            <w:vAlign w:val="center"/>
          </w:tcPr>
          <w:p w14:paraId="526A1482"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0.66 (0.54, 0.81)</w:t>
            </w:r>
          </w:p>
        </w:tc>
        <w:tc>
          <w:tcPr>
            <w:tcW w:w="791" w:type="pct"/>
            <w:shd w:val="clear" w:color="auto" w:fill="auto"/>
            <w:vAlign w:val="center"/>
          </w:tcPr>
          <w:p w14:paraId="4AA197DE"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24.8 (20.47, 27.63)</w:t>
            </w:r>
          </w:p>
        </w:tc>
        <w:tc>
          <w:tcPr>
            <w:tcW w:w="834" w:type="pct"/>
            <w:shd w:val="clear" w:color="auto" w:fill="auto"/>
            <w:vAlign w:val="center"/>
          </w:tcPr>
          <w:p w14:paraId="344BF4EB"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16.6 (13.93, 19.22)</w:t>
            </w:r>
          </w:p>
        </w:tc>
      </w:tr>
      <w:tr w:rsidR="000C7B10" w:rsidRPr="00940BEC" w14:paraId="72856CAA" w14:textId="77777777" w:rsidTr="00E4451C">
        <w:tc>
          <w:tcPr>
            <w:tcW w:w="657" w:type="pct"/>
            <w:shd w:val="clear" w:color="auto" w:fill="auto"/>
          </w:tcPr>
          <w:p w14:paraId="4B287DB0" w14:textId="2652F3A3" w:rsidR="000C7B10" w:rsidRPr="00940BEC" w:rsidRDefault="006C3ED1" w:rsidP="001E53B4">
            <w:pPr>
              <w:keepNext/>
              <w:spacing w:before="10" w:after="10"/>
              <w:jc w:val="both"/>
              <w:rPr>
                <w:rFonts w:ascii="Arial Narrow" w:hAnsi="Arial Narrow"/>
                <w:sz w:val="19"/>
                <w:szCs w:val="19"/>
                <w:lang w:eastAsia="en-US"/>
              </w:rPr>
            </w:pPr>
            <w:r w:rsidRPr="00940BEC">
              <w:rPr>
                <w:rFonts w:ascii="Arial Narrow" w:hAnsi="Arial Narrow"/>
                <w:sz w:val="19"/>
                <w:szCs w:val="19"/>
                <w:lang w:eastAsia="en-US"/>
              </w:rPr>
              <w:t>BRCA1/2</w:t>
            </w:r>
          </w:p>
        </w:tc>
        <w:tc>
          <w:tcPr>
            <w:tcW w:w="954" w:type="pct"/>
            <w:shd w:val="clear" w:color="auto" w:fill="auto"/>
            <w:vAlign w:val="center"/>
          </w:tcPr>
          <w:p w14:paraId="6B6AA6AC"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14/47 (29.8)</w:t>
            </w:r>
          </w:p>
        </w:tc>
        <w:tc>
          <w:tcPr>
            <w:tcW w:w="1045" w:type="pct"/>
            <w:shd w:val="clear" w:color="auto" w:fill="auto"/>
            <w:vAlign w:val="center"/>
          </w:tcPr>
          <w:p w14:paraId="7588F73D"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28/38 (73.7)</w:t>
            </w:r>
          </w:p>
        </w:tc>
        <w:tc>
          <w:tcPr>
            <w:tcW w:w="719" w:type="pct"/>
            <w:shd w:val="clear" w:color="auto" w:fill="auto"/>
            <w:vAlign w:val="center"/>
          </w:tcPr>
          <w:p w14:paraId="2281C896"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b/>
                <w:bCs/>
                <w:sz w:val="19"/>
                <w:szCs w:val="19"/>
                <w:lang w:eastAsia="en-US"/>
              </w:rPr>
              <w:t>0.23 (0.12, 0.43)</w:t>
            </w:r>
          </w:p>
        </w:tc>
        <w:tc>
          <w:tcPr>
            <w:tcW w:w="791" w:type="pct"/>
            <w:shd w:val="clear" w:color="auto" w:fill="auto"/>
            <w:vAlign w:val="center"/>
          </w:tcPr>
          <w:p w14:paraId="67F8EBD8"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NE</w:t>
            </w:r>
          </w:p>
        </w:tc>
        <w:tc>
          <w:tcPr>
            <w:tcW w:w="834" w:type="pct"/>
            <w:shd w:val="clear" w:color="auto" w:fill="auto"/>
            <w:vAlign w:val="center"/>
          </w:tcPr>
          <w:p w14:paraId="537CB700"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8.38 (NR, NR)</w:t>
            </w:r>
          </w:p>
        </w:tc>
      </w:tr>
      <w:tr w:rsidR="000C7B10" w:rsidRPr="00940BEC" w14:paraId="7C0749A9" w14:textId="77777777" w:rsidTr="00E4451C">
        <w:tc>
          <w:tcPr>
            <w:tcW w:w="657" w:type="pct"/>
            <w:shd w:val="clear" w:color="auto" w:fill="auto"/>
          </w:tcPr>
          <w:p w14:paraId="03A6A4A8" w14:textId="46060BEB" w:rsidR="000C7B10" w:rsidRPr="00940BEC" w:rsidRDefault="00A41905" w:rsidP="001E53B4">
            <w:pPr>
              <w:keepNext/>
              <w:spacing w:before="10" w:after="10"/>
              <w:jc w:val="both"/>
              <w:rPr>
                <w:rFonts w:ascii="Arial Narrow" w:hAnsi="Arial Narrow"/>
                <w:sz w:val="19"/>
                <w:szCs w:val="19"/>
                <w:lang w:eastAsia="en-US"/>
              </w:rPr>
            </w:pPr>
            <w:r w:rsidRPr="00940BEC">
              <w:rPr>
                <w:rFonts w:ascii="Arial Narrow" w:hAnsi="Arial Narrow"/>
                <w:sz w:val="19"/>
                <w:szCs w:val="19"/>
                <w:lang w:eastAsia="en-US"/>
              </w:rPr>
              <w:t>BRCA</w:t>
            </w:r>
            <w:r w:rsidR="000C7B10" w:rsidRPr="00940BEC">
              <w:rPr>
                <w:rFonts w:ascii="Arial Narrow" w:hAnsi="Arial Narrow"/>
                <w:sz w:val="19"/>
                <w:szCs w:val="19"/>
                <w:lang w:eastAsia="en-US"/>
              </w:rPr>
              <w:t>wt</w:t>
            </w:r>
          </w:p>
        </w:tc>
        <w:tc>
          <w:tcPr>
            <w:tcW w:w="954" w:type="pct"/>
            <w:shd w:val="clear" w:color="auto" w:fill="auto"/>
            <w:vAlign w:val="center"/>
          </w:tcPr>
          <w:p w14:paraId="2B076DEA"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148/343 (43.1)</w:t>
            </w:r>
          </w:p>
        </w:tc>
        <w:tc>
          <w:tcPr>
            <w:tcW w:w="1045" w:type="pct"/>
            <w:shd w:val="clear" w:color="auto" w:fill="auto"/>
            <w:vAlign w:val="center"/>
          </w:tcPr>
          <w:p w14:paraId="57107C47"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194/350 (55.4)</w:t>
            </w:r>
          </w:p>
        </w:tc>
        <w:tc>
          <w:tcPr>
            <w:tcW w:w="719" w:type="pct"/>
            <w:shd w:val="clear" w:color="auto" w:fill="auto"/>
            <w:vAlign w:val="center"/>
          </w:tcPr>
          <w:p w14:paraId="2E7C9A91" w14:textId="77777777" w:rsidR="000C7B10" w:rsidRPr="00940BEC" w:rsidRDefault="000C7B10"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0.76 (0.61, 0.94)</w:t>
            </w:r>
          </w:p>
        </w:tc>
        <w:tc>
          <w:tcPr>
            <w:tcW w:w="791" w:type="pct"/>
            <w:shd w:val="clear" w:color="auto" w:fill="auto"/>
            <w:vAlign w:val="center"/>
          </w:tcPr>
          <w:p w14:paraId="7D42804B"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27.60 (NR, NR)</w:t>
            </w:r>
          </w:p>
        </w:tc>
        <w:tc>
          <w:tcPr>
            <w:tcW w:w="834" w:type="pct"/>
            <w:shd w:val="clear" w:color="auto" w:fill="auto"/>
            <w:vAlign w:val="center"/>
          </w:tcPr>
          <w:p w14:paraId="7B40B25B"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16.62 (NR, NR)</w:t>
            </w:r>
          </w:p>
        </w:tc>
      </w:tr>
      <w:tr w:rsidR="00520D5F" w:rsidRPr="00940BEC" w14:paraId="414ED6C2" w14:textId="77777777" w:rsidTr="00520D5F">
        <w:tc>
          <w:tcPr>
            <w:tcW w:w="5000" w:type="pct"/>
            <w:gridSpan w:val="6"/>
            <w:shd w:val="clear" w:color="auto" w:fill="auto"/>
          </w:tcPr>
          <w:p w14:paraId="3E50EADC" w14:textId="0B3A0E52" w:rsidR="00520D5F" w:rsidRPr="00940BEC" w:rsidRDefault="00520D5F" w:rsidP="00520D5F">
            <w:pPr>
              <w:keepNext/>
              <w:spacing w:before="10" w:after="10"/>
              <w:rPr>
                <w:rFonts w:ascii="Arial Narrow" w:hAnsi="Arial Narrow"/>
                <w:b/>
                <w:bCs/>
                <w:sz w:val="19"/>
                <w:szCs w:val="19"/>
                <w:lang w:eastAsia="en-US"/>
              </w:rPr>
            </w:pPr>
            <w:r w:rsidRPr="00940BEC">
              <w:rPr>
                <w:rFonts w:ascii="Arial Narrow" w:hAnsi="Arial Narrow"/>
                <w:b/>
                <w:bCs/>
                <w:sz w:val="19"/>
                <w:szCs w:val="19"/>
                <w:lang w:eastAsia="en-US"/>
              </w:rPr>
              <w:t xml:space="preserve">rPFS </w:t>
            </w:r>
            <w:r w:rsidR="00C321C4" w:rsidRPr="00940BEC">
              <w:rPr>
                <w:rFonts w:ascii="Arial Narrow" w:hAnsi="Arial Narrow"/>
                <w:b/>
                <w:bCs/>
                <w:sz w:val="19"/>
                <w:szCs w:val="19"/>
                <w:lang w:eastAsia="en-US"/>
              </w:rPr>
              <w:t xml:space="preserve">– investigator assessed </w:t>
            </w:r>
            <w:r w:rsidRPr="00940BEC">
              <w:rPr>
                <w:rFonts w:ascii="Arial Narrow" w:hAnsi="Arial Narrow"/>
                <w:b/>
                <w:bCs/>
                <w:sz w:val="19"/>
                <w:szCs w:val="19"/>
                <w:lang w:eastAsia="en-US"/>
              </w:rPr>
              <w:t>(DCO3: 12 October 2022) – presented in PSCR</w:t>
            </w:r>
          </w:p>
        </w:tc>
      </w:tr>
      <w:tr w:rsidR="00520D5F" w:rsidRPr="00940BEC" w14:paraId="40CC768A" w14:textId="77777777" w:rsidTr="00E4451C">
        <w:tc>
          <w:tcPr>
            <w:tcW w:w="657" w:type="pct"/>
            <w:shd w:val="clear" w:color="auto" w:fill="auto"/>
          </w:tcPr>
          <w:p w14:paraId="4BFB375F" w14:textId="0971DDDD" w:rsidR="00520D5F" w:rsidRPr="00940BEC" w:rsidRDefault="00520D5F" w:rsidP="001E53B4">
            <w:pPr>
              <w:keepNext/>
              <w:spacing w:before="10" w:after="10"/>
              <w:jc w:val="both"/>
              <w:rPr>
                <w:rFonts w:ascii="Arial Narrow" w:hAnsi="Arial Narrow"/>
                <w:sz w:val="19"/>
                <w:szCs w:val="19"/>
                <w:lang w:eastAsia="en-US"/>
              </w:rPr>
            </w:pPr>
            <w:r w:rsidRPr="00940BEC">
              <w:rPr>
                <w:rFonts w:ascii="Arial Narrow" w:hAnsi="Arial Narrow"/>
                <w:sz w:val="19"/>
                <w:szCs w:val="19"/>
                <w:lang w:eastAsia="en-US"/>
              </w:rPr>
              <w:t>BRCA1/2</w:t>
            </w:r>
          </w:p>
        </w:tc>
        <w:tc>
          <w:tcPr>
            <w:tcW w:w="954" w:type="pct"/>
            <w:shd w:val="clear" w:color="auto" w:fill="auto"/>
            <w:vAlign w:val="center"/>
          </w:tcPr>
          <w:p w14:paraId="7F880954" w14:textId="463FAFA6" w:rsidR="00520D5F" w:rsidRPr="00940BEC" w:rsidRDefault="00520D5F"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18/47 (38.3)</w:t>
            </w:r>
          </w:p>
        </w:tc>
        <w:tc>
          <w:tcPr>
            <w:tcW w:w="1045" w:type="pct"/>
            <w:shd w:val="clear" w:color="auto" w:fill="auto"/>
            <w:vAlign w:val="center"/>
          </w:tcPr>
          <w:p w14:paraId="20DAE935" w14:textId="15248A3D" w:rsidR="00520D5F" w:rsidRPr="00940BEC" w:rsidRDefault="00520D5F"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31/38 (81.6)</w:t>
            </w:r>
          </w:p>
        </w:tc>
        <w:tc>
          <w:tcPr>
            <w:tcW w:w="719" w:type="pct"/>
            <w:shd w:val="clear" w:color="auto" w:fill="auto"/>
            <w:vAlign w:val="center"/>
          </w:tcPr>
          <w:p w14:paraId="09315C51" w14:textId="22DC63A3" w:rsidR="00520D5F" w:rsidRPr="00940BEC" w:rsidRDefault="00520D5F" w:rsidP="001E53B4">
            <w:pPr>
              <w:keepNext/>
              <w:spacing w:before="10" w:after="10"/>
              <w:jc w:val="center"/>
              <w:rPr>
                <w:rFonts w:ascii="Arial Narrow" w:hAnsi="Arial Narrow"/>
                <w:b/>
                <w:bCs/>
                <w:sz w:val="19"/>
                <w:szCs w:val="19"/>
                <w:lang w:eastAsia="en-US"/>
              </w:rPr>
            </w:pPr>
            <w:r w:rsidRPr="00940BEC">
              <w:rPr>
                <w:rFonts w:ascii="Arial Narrow" w:hAnsi="Arial Narrow"/>
                <w:b/>
                <w:bCs/>
                <w:sz w:val="19"/>
                <w:szCs w:val="19"/>
                <w:lang w:eastAsia="en-US"/>
              </w:rPr>
              <w:t>0.23 (0.12, 0.40)</w:t>
            </w:r>
          </w:p>
        </w:tc>
        <w:tc>
          <w:tcPr>
            <w:tcW w:w="791" w:type="pct"/>
            <w:shd w:val="clear" w:color="auto" w:fill="auto"/>
            <w:vAlign w:val="center"/>
          </w:tcPr>
          <w:p w14:paraId="45AF3C88" w14:textId="645090C8" w:rsidR="00520D5F" w:rsidRPr="00940BEC" w:rsidRDefault="00520D5F"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38.5 (</w:t>
            </w:r>
            <w:r w:rsidR="00C321C4" w:rsidRPr="00940BEC">
              <w:rPr>
                <w:rFonts w:ascii="Arial Narrow" w:hAnsi="Arial Narrow"/>
                <w:sz w:val="19"/>
                <w:szCs w:val="19"/>
                <w:lang w:eastAsia="en-US"/>
              </w:rPr>
              <w:t>23.66, NR</w:t>
            </w:r>
            <w:r w:rsidRPr="00940BEC">
              <w:rPr>
                <w:rFonts w:ascii="Arial Narrow" w:hAnsi="Arial Narrow"/>
                <w:sz w:val="19"/>
                <w:szCs w:val="19"/>
                <w:lang w:eastAsia="en-US"/>
              </w:rPr>
              <w:t>)</w:t>
            </w:r>
          </w:p>
        </w:tc>
        <w:tc>
          <w:tcPr>
            <w:tcW w:w="834" w:type="pct"/>
            <w:shd w:val="clear" w:color="auto" w:fill="auto"/>
            <w:vAlign w:val="center"/>
          </w:tcPr>
          <w:p w14:paraId="6EB21494" w14:textId="4FF2BB06" w:rsidR="00520D5F" w:rsidRPr="00940BEC" w:rsidRDefault="00520D5F"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8.38 (</w:t>
            </w:r>
            <w:r w:rsidR="00C321C4" w:rsidRPr="00940BEC">
              <w:rPr>
                <w:rFonts w:ascii="Arial Narrow" w:hAnsi="Arial Narrow"/>
                <w:sz w:val="19"/>
                <w:szCs w:val="19"/>
                <w:lang w:eastAsia="en-US"/>
              </w:rPr>
              <w:t>5.52, 14.75</w:t>
            </w:r>
            <w:r w:rsidRPr="00940BEC">
              <w:rPr>
                <w:rFonts w:ascii="Arial Narrow" w:hAnsi="Arial Narrow"/>
                <w:sz w:val="19"/>
                <w:szCs w:val="19"/>
                <w:lang w:eastAsia="en-US"/>
              </w:rPr>
              <w:t>)</w:t>
            </w:r>
          </w:p>
        </w:tc>
      </w:tr>
      <w:tr w:rsidR="000C7B10" w:rsidRPr="00940BEC" w14:paraId="6266B2AC" w14:textId="77777777" w:rsidTr="001E53B4">
        <w:tc>
          <w:tcPr>
            <w:tcW w:w="5000" w:type="pct"/>
            <w:gridSpan w:val="6"/>
            <w:shd w:val="clear" w:color="auto" w:fill="auto"/>
            <w:vAlign w:val="center"/>
          </w:tcPr>
          <w:p w14:paraId="3EA1DB4B" w14:textId="0559CCFA" w:rsidR="000C7B10" w:rsidRPr="00940BEC" w:rsidRDefault="000C7B10" w:rsidP="001E53B4">
            <w:pPr>
              <w:spacing w:before="10" w:after="10"/>
              <w:rPr>
                <w:rFonts w:ascii="Arial Narrow" w:hAnsi="Arial Narrow"/>
                <w:b/>
                <w:sz w:val="19"/>
                <w:szCs w:val="19"/>
                <w:lang w:eastAsia="en-US"/>
              </w:rPr>
            </w:pPr>
            <w:r w:rsidRPr="00940BEC">
              <w:rPr>
                <w:rFonts w:ascii="Arial Narrow" w:hAnsi="Arial Narrow"/>
                <w:b/>
                <w:sz w:val="19"/>
                <w:szCs w:val="19"/>
                <w:lang w:eastAsia="en-US"/>
              </w:rPr>
              <w:t>OS (DCO3</w:t>
            </w:r>
            <w:r w:rsidR="00520D5F" w:rsidRPr="00940BEC">
              <w:rPr>
                <w:rFonts w:ascii="Arial Narrow" w:hAnsi="Arial Narrow"/>
                <w:b/>
                <w:sz w:val="19"/>
                <w:szCs w:val="19"/>
                <w:lang w:eastAsia="en-US"/>
              </w:rPr>
              <w:t>:</w:t>
            </w:r>
            <w:r w:rsidRPr="00940BEC">
              <w:rPr>
                <w:rFonts w:ascii="Arial Narrow" w:hAnsi="Arial Narrow"/>
                <w:b/>
                <w:sz w:val="19"/>
                <w:szCs w:val="19"/>
                <w:lang w:eastAsia="en-US"/>
              </w:rPr>
              <w:t xml:space="preserve"> 12 October 2022)</w:t>
            </w:r>
          </w:p>
        </w:tc>
      </w:tr>
      <w:tr w:rsidR="000C7B10" w:rsidRPr="00940BEC" w14:paraId="6CEBD208" w14:textId="77777777" w:rsidTr="00E4451C">
        <w:trPr>
          <w:trHeight w:val="49"/>
        </w:trPr>
        <w:tc>
          <w:tcPr>
            <w:tcW w:w="657" w:type="pct"/>
            <w:tcBorders>
              <w:top w:val="nil"/>
            </w:tcBorders>
            <w:shd w:val="clear" w:color="auto" w:fill="auto"/>
          </w:tcPr>
          <w:p w14:paraId="18E155F1" w14:textId="77777777" w:rsidR="000C7B10" w:rsidRPr="00940BEC" w:rsidRDefault="000C7B10" w:rsidP="001E53B4">
            <w:pPr>
              <w:spacing w:before="10" w:after="10"/>
              <w:jc w:val="both"/>
              <w:rPr>
                <w:rFonts w:ascii="Arial Narrow" w:hAnsi="Arial Narrow"/>
                <w:sz w:val="19"/>
                <w:szCs w:val="19"/>
                <w:lang w:eastAsia="en-US"/>
              </w:rPr>
            </w:pPr>
            <w:r w:rsidRPr="00940BEC">
              <w:rPr>
                <w:rFonts w:ascii="Arial Narrow" w:hAnsi="Arial Narrow"/>
                <w:sz w:val="19"/>
                <w:szCs w:val="19"/>
                <w:lang w:eastAsia="en-US"/>
              </w:rPr>
              <w:t>ITT</w:t>
            </w:r>
          </w:p>
        </w:tc>
        <w:tc>
          <w:tcPr>
            <w:tcW w:w="954" w:type="pct"/>
            <w:tcBorders>
              <w:top w:val="nil"/>
            </w:tcBorders>
            <w:shd w:val="clear" w:color="auto" w:fill="auto"/>
            <w:vAlign w:val="center"/>
          </w:tcPr>
          <w:p w14:paraId="17AAAFC8"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176/343 (44.1)</w:t>
            </w:r>
          </w:p>
        </w:tc>
        <w:tc>
          <w:tcPr>
            <w:tcW w:w="1045" w:type="pct"/>
            <w:tcBorders>
              <w:top w:val="nil"/>
            </w:tcBorders>
            <w:shd w:val="clear" w:color="auto" w:fill="auto"/>
            <w:vAlign w:val="center"/>
          </w:tcPr>
          <w:p w14:paraId="0A264C19"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205/397 (51.6)</w:t>
            </w:r>
          </w:p>
        </w:tc>
        <w:tc>
          <w:tcPr>
            <w:tcW w:w="719" w:type="pct"/>
            <w:tcBorders>
              <w:top w:val="nil"/>
            </w:tcBorders>
            <w:shd w:val="clear" w:color="auto" w:fill="auto"/>
            <w:vAlign w:val="center"/>
          </w:tcPr>
          <w:p w14:paraId="7A4216A6"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0.81 (0.67, 1.00)</w:t>
            </w:r>
          </w:p>
        </w:tc>
        <w:tc>
          <w:tcPr>
            <w:tcW w:w="791" w:type="pct"/>
            <w:tcBorders>
              <w:top w:val="nil"/>
            </w:tcBorders>
            <w:shd w:val="clear" w:color="auto" w:fill="auto"/>
            <w:vAlign w:val="center"/>
          </w:tcPr>
          <w:p w14:paraId="546BC7A7"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42.05 (38.41, NE)</w:t>
            </w:r>
          </w:p>
        </w:tc>
        <w:tc>
          <w:tcPr>
            <w:tcW w:w="834" w:type="pct"/>
            <w:tcBorders>
              <w:top w:val="nil"/>
            </w:tcBorders>
            <w:shd w:val="clear" w:color="auto" w:fill="auto"/>
            <w:vAlign w:val="center"/>
          </w:tcPr>
          <w:p w14:paraId="45D73A7E"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34.69 (30.95, 39.29)</w:t>
            </w:r>
          </w:p>
        </w:tc>
      </w:tr>
      <w:tr w:rsidR="000C7B10" w:rsidRPr="00940BEC" w14:paraId="163E9BA8" w14:textId="77777777" w:rsidTr="00E4451C">
        <w:tc>
          <w:tcPr>
            <w:tcW w:w="657" w:type="pct"/>
            <w:tcBorders>
              <w:top w:val="nil"/>
            </w:tcBorders>
            <w:shd w:val="clear" w:color="auto" w:fill="auto"/>
          </w:tcPr>
          <w:p w14:paraId="2DE56A14" w14:textId="1F839997" w:rsidR="000C7B10" w:rsidRPr="00940BEC" w:rsidRDefault="006C3ED1" w:rsidP="001E53B4">
            <w:pPr>
              <w:spacing w:before="10" w:after="10"/>
              <w:jc w:val="both"/>
              <w:rPr>
                <w:rFonts w:ascii="Arial Narrow" w:hAnsi="Arial Narrow"/>
                <w:sz w:val="19"/>
                <w:szCs w:val="19"/>
                <w:lang w:eastAsia="en-US"/>
              </w:rPr>
            </w:pPr>
            <w:r w:rsidRPr="00940BEC">
              <w:rPr>
                <w:rFonts w:ascii="Arial Narrow" w:hAnsi="Arial Narrow"/>
                <w:sz w:val="19"/>
                <w:szCs w:val="19"/>
                <w:lang w:eastAsia="en-US"/>
              </w:rPr>
              <w:t>BRCA1/2</w:t>
            </w:r>
          </w:p>
        </w:tc>
        <w:tc>
          <w:tcPr>
            <w:tcW w:w="954" w:type="pct"/>
            <w:tcBorders>
              <w:top w:val="nil"/>
            </w:tcBorders>
            <w:shd w:val="clear" w:color="auto" w:fill="auto"/>
            <w:vAlign w:val="center"/>
          </w:tcPr>
          <w:p w14:paraId="55234DC4"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13/47 (27.7)</w:t>
            </w:r>
          </w:p>
        </w:tc>
        <w:tc>
          <w:tcPr>
            <w:tcW w:w="1045" w:type="pct"/>
            <w:tcBorders>
              <w:top w:val="nil"/>
            </w:tcBorders>
            <w:shd w:val="clear" w:color="auto" w:fill="auto"/>
            <w:vAlign w:val="center"/>
          </w:tcPr>
          <w:p w14:paraId="466B4380"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25/38 (65.8)</w:t>
            </w:r>
          </w:p>
        </w:tc>
        <w:tc>
          <w:tcPr>
            <w:tcW w:w="719" w:type="pct"/>
            <w:tcBorders>
              <w:top w:val="nil"/>
            </w:tcBorders>
            <w:shd w:val="clear" w:color="auto" w:fill="auto"/>
            <w:vAlign w:val="center"/>
          </w:tcPr>
          <w:p w14:paraId="1C09638A" w14:textId="77777777" w:rsidR="000C7B10" w:rsidRPr="00940BEC" w:rsidRDefault="000C7B10" w:rsidP="001E53B4">
            <w:pPr>
              <w:spacing w:before="10" w:after="10"/>
              <w:jc w:val="center"/>
              <w:rPr>
                <w:rFonts w:ascii="Arial Narrow" w:hAnsi="Arial Narrow"/>
                <w:b/>
                <w:bCs/>
                <w:sz w:val="19"/>
                <w:szCs w:val="19"/>
              </w:rPr>
            </w:pPr>
            <w:r w:rsidRPr="00940BEC">
              <w:rPr>
                <w:rFonts w:ascii="Arial Narrow" w:hAnsi="Arial Narrow"/>
                <w:b/>
                <w:bCs/>
                <w:sz w:val="19"/>
                <w:szCs w:val="19"/>
              </w:rPr>
              <w:t>0.29 (0.14, 0.56)</w:t>
            </w:r>
          </w:p>
        </w:tc>
        <w:tc>
          <w:tcPr>
            <w:tcW w:w="791" w:type="pct"/>
            <w:tcBorders>
              <w:top w:val="nil"/>
            </w:tcBorders>
            <w:shd w:val="clear" w:color="auto" w:fill="auto"/>
            <w:vAlign w:val="center"/>
          </w:tcPr>
          <w:p w14:paraId="2F3C5709"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NE</w:t>
            </w:r>
          </w:p>
        </w:tc>
        <w:tc>
          <w:tcPr>
            <w:tcW w:w="834" w:type="pct"/>
            <w:tcBorders>
              <w:top w:val="nil"/>
            </w:tcBorders>
            <w:shd w:val="clear" w:color="auto" w:fill="auto"/>
            <w:vAlign w:val="center"/>
          </w:tcPr>
          <w:p w14:paraId="38E3CD0F"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22.97 (NR, NR)</w:t>
            </w:r>
          </w:p>
        </w:tc>
      </w:tr>
      <w:tr w:rsidR="000C7B10" w:rsidRPr="00940BEC" w14:paraId="326C71CE" w14:textId="77777777" w:rsidTr="00E4451C">
        <w:tc>
          <w:tcPr>
            <w:tcW w:w="657" w:type="pct"/>
            <w:tcBorders>
              <w:top w:val="nil"/>
            </w:tcBorders>
            <w:shd w:val="clear" w:color="auto" w:fill="auto"/>
          </w:tcPr>
          <w:p w14:paraId="7AE64263" w14:textId="67AE7926" w:rsidR="000C7B10" w:rsidRPr="00940BEC" w:rsidRDefault="00A41905" w:rsidP="001E53B4">
            <w:pPr>
              <w:spacing w:before="10" w:after="10"/>
              <w:jc w:val="both"/>
              <w:rPr>
                <w:rFonts w:ascii="Arial Narrow" w:hAnsi="Arial Narrow"/>
                <w:sz w:val="19"/>
                <w:szCs w:val="19"/>
                <w:lang w:eastAsia="en-US"/>
              </w:rPr>
            </w:pPr>
            <w:r w:rsidRPr="00940BEC">
              <w:rPr>
                <w:rFonts w:ascii="Arial Narrow" w:hAnsi="Arial Narrow"/>
                <w:sz w:val="19"/>
                <w:szCs w:val="19"/>
                <w:lang w:eastAsia="en-US"/>
              </w:rPr>
              <w:t>BRCA</w:t>
            </w:r>
            <w:r w:rsidR="000C7B10" w:rsidRPr="00940BEC">
              <w:rPr>
                <w:rFonts w:ascii="Arial Narrow" w:hAnsi="Arial Narrow"/>
                <w:sz w:val="19"/>
                <w:szCs w:val="19"/>
                <w:lang w:eastAsia="en-US"/>
              </w:rPr>
              <w:t>wt</w:t>
            </w:r>
          </w:p>
        </w:tc>
        <w:tc>
          <w:tcPr>
            <w:tcW w:w="954" w:type="pct"/>
            <w:tcBorders>
              <w:top w:val="nil"/>
            </w:tcBorders>
            <w:shd w:val="clear" w:color="auto" w:fill="auto"/>
            <w:vAlign w:val="center"/>
          </w:tcPr>
          <w:p w14:paraId="6E8DBF4E"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158/343 (46.1)</w:t>
            </w:r>
          </w:p>
        </w:tc>
        <w:tc>
          <w:tcPr>
            <w:tcW w:w="1045" w:type="pct"/>
            <w:tcBorders>
              <w:top w:val="nil"/>
            </w:tcBorders>
            <w:shd w:val="clear" w:color="auto" w:fill="auto"/>
            <w:vAlign w:val="center"/>
          </w:tcPr>
          <w:p w14:paraId="4EF1108A"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176/350 (50.3)</w:t>
            </w:r>
          </w:p>
        </w:tc>
        <w:tc>
          <w:tcPr>
            <w:tcW w:w="719" w:type="pct"/>
            <w:tcBorders>
              <w:top w:val="nil"/>
            </w:tcBorders>
            <w:shd w:val="clear" w:color="auto" w:fill="auto"/>
            <w:vAlign w:val="center"/>
          </w:tcPr>
          <w:p w14:paraId="11146C0E"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0.91 (0.73, 1.13)</w:t>
            </w:r>
          </w:p>
        </w:tc>
        <w:tc>
          <w:tcPr>
            <w:tcW w:w="791" w:type="pct"/>
            <w:tcBorders>
              <w:top w:val="nil"/>
            </w:tcBorders>
            <w:shd w:val="clear" w:color="auto" w:fill="auto"/>
            <w:vAlign w:val="center"/>
          </w:tcPr>
          <w:p w14:paraId="57821A78"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39.62 (NR, NR)</w:t>
            </w:r>
          </w:p>
        </w:tc>
        <w:tc>
          <w:tcPr>
            <w:tcW w:w="834" w:type="pct"/>
            <w:tcBorders>
              <w:top w:val="nil"/>
            </w:tcBorders>
            <w:shd w:val="clear" w:color="auto" w:fill="auto"/>
            <w:vAlign w:val="center"/>
          </w:tcPr>
          <w:p w14:paraId="353E4F14" w14:textId="77777777" w:rsidR="000C7B10" w:rsidRPr="00940BEC" w:rsidRDefault="000C7B10" w:rsidP="001E53B4">
            <w:pPr>
              <w:keepNext/>
              <w:spacing w:before="10" w:after="10"/>
              <w:jc w:val="center"/>
              <w:rPr>
                <w:rFonts w:ascii="Arial Narrow" w:hAnsi="Arial Narrow"/>
                <w:sz w:val="19"/>
                <w:szCs w:val="19"/>
                <w:lang w:eastAsia="en-US"/>
              </w:rPr>
            </w:pPr>
            <w:r w:rsidRPr="00940BEC">
              <w:rPr>
                <w:rFonts w:ascii="Arial Narrow" w:hAnsi="Arial Narrow"/>
                <w:sz w:val="19"/>
                <w:szCs w:val="19"/>
                <w:lang w:eastAsia="en-US"/>
              </w:rPr>
              <w:t>37.95 (NR, NR)</w:t>
            </w:r>
          </w:p>
        </w:tc>
      </w:tr>
    </w:tbl>
    <w:p w14:paraId="1FD9CC1E" w14:textId="77C0A7B2" w:rsidR="00E4451C" w:rsidRDefault="00E4451C" w:rsidP="00E4451C">
      <w:pPr>
        <w:jc w:val="both"/>
        <w:rPr>
          <w:rFonts w:ascii="Arial Narrow" w:hAnsi="Arial Narrow"/>
          <w:sz w:val="18"/>
          <w:szCs w:val="18"/>
        </w:rPr>
      </w:pPr>
      <w:r>
        <w:rPr>
          <w:rFonts w:ascii="Arial Narrow" w:hAnsi="Arial Narrow"/>
          <w:sz w:val="18"/>
          <w:szCs w:val="18"/>
        </w:rPr>
        <w:t>Source: Table 2.14, p76; Table 2.26, p98; Table 2.15; Table 27, p99 of the submission; Tables 24-25, DCO1 CSR</w:t>
      </w:r>
      <w:r w:rsidR="00520D5F">
        <w:rPr>
          <w:rFonts w:ascii="Arial Narrow" w:hAnsi="Arial Narrow"/>
          <w:sz w:val="18"/>
          <w:szCs w:val="18"/>
        </w:rPr>
        <w:t>, and Table ES-1, p5 of the PSCR</w:t>
      </w:r>
    </w:p>
    <w:p w14:paraId="01785AE4" w14:textId="77777777" w:rsidR="00E4451C" w:rsidRDefault="00E4451C" w:rsidP="00E4451C">
      <w:pPr>
        <w:jc w:val="both"/>
        <w:rPr>
          <w:rFonts w:ascii="Arial Narrow" w:hAnsi="Arial Narrow"/>
          <w:sz w:val="18"/>
          <w:szCs w:val="18"/>
        </w:rPr>
      </w:pPr>
      <w:r w:rsidRPr="000F2527">
        <w:rPr>
          <w:rFonts w:ascii="Arial Narrow" w:hAnsi="Arial Narrow"/>
          <w:b/>
          <w:sz w:val="18"/>
          <w:szCs w:val="18"/>
        </w:rPr>
        <w:t>Bold</w:t>
      </w:r>
      <w:r w:rsidRPr="000F2527">
        <w:rPr>
          <w:rFonts w:ascii="Arial Narrow" w:hAnsi="Arial Narrow"/>
          <w:sz w:val="18"/>
          <w:szCs w:val="18"/>
        </w:rPr>
        <w:t xml:space="preserve"> =</w:t>
      </w:r>
      <w:r>
        <w:rPr>
          <w:rFonts w:ascii="Arial Narrow" w:hAnsi="Arial Narrow"/>
          <w:sz w:val="18"/>
          <w:szCs w:val="18"/>
        </w:rPr>
        <w:t xml:space="preserve"> statistically significant</w:t>
      </w:r>
    </w:p>
    <w:p w14:paraId="7F771E4A" w14:textId="302472FB" w:rsidR="00423B7B" w:rsidRDefault="00E4451C" w:rsidP="00E4451C">
      <w:pPr>
        <w:pStyle w:val="TableFigureFooter"/>
        <w:jc w:val="both"/>
      </w:pPr>
      <w:r w:rsidRPr="003810CC">
        <w:rPr>
          <w:lang w:val="en-US" w:eastAsia="en-GB"/>
        </w:rPr>
        <w:lastRenderedPageBreak/>
        <w:t xml:space="preserve">ABI=abiraterone; </w:t>
      </w:r>
      <w:r w:rsidRPr="000F2527">
        <w:t xml:space="preserve">BICR=blinded independent central review; </w:t>
      </w:r>
      <w:r w:rsidR="00A41905" w:rsidRPr="00A41905">
        <w:rPr>
          <w:i/>
          <w:iCs/>
        </w:rPr>
        <w:t>BRCA</w:t>
      </w:r>
      <w:r w:rsidRPr="000F2527">
        <w:t xml:space="preserve">=breast cancer gene; CI=confidence interval; </w:t>
      </w:r>
      <w:r w:rsidRPr="003810CC">
        <w:rPr>
          <w:lang w:val="en-US" w:eastAsia="en-GB"/>
        </w:rPr>
        <w:t>DCO=data cut-off;</w:t>
      </w:r>
      <w:r>
        <w:rPr>
          <w:lang w:val="en-US" w:eastAsia="en-GB"/>
        </w:rPr>
        <w:t xml:space="preserve"> </w:t>
      </w:r>
      <w:r w:rsidRPr="000F2527">
        <w:t xml:space="preserve">HR=hazard ratio; </w:t>
      </w:r>
      <w:r>
        <w:t xml:space="preserve">ITT=intention to treat; </w:t>
      </w:r>
      <w:r w:rsidRPr="000F2527">
        <w:t>N</w:t>
      </w:r>
      <w:r>
        <w:t>E</w:t>
      </w:r>
      <w:r w:rsidRPr="000F2527">
        <w:t xml:space="preserve">=not </w:t>
      </w:r>
      <w:r>
        <w:t>estimable;</w:t>
      </w:r>
      <w:r w:rsidRPr="000F2527">
        <w:t xml:space="preserve"> NR=not reported; </w:t>
      </w:r>
      <w:r w:rsidRPr="003810CC">
        <w:rPr>
          <w:lang w:val="en-US" w:eastAsia="en-GB"/>
        </w:rPr>
        <w:t>OLA=Olaparib;</w:t>
      </w:r>
      <w:r>
        <w:rPr>
          <w:lang w:val="en-US" w:eastAsia="en-GB"/>
        </w:rPr>
        <w:t xml:space="preserve"> </w:t>
      </w:r>
      <w:r w:rsidRPr="000F2527">
        <w:t xml:space="preserve">OS=overall survival; rPFS=radiological progression-free </w:t>
      </w:r>
      <w:r w:rsidRPr="003530AD">
        <w:t>survival; wt=wild type.</w:t>
      </w:r>
    </w:p>
    <w:p w14:paraId="14294DA1" w14:textId="5A4FCAB6" w:rsidR="007B2524" w:rsidRPr="00021AA5" w:rsidRDefault="00CA5DDE" w:rsidP="00FE2E26">
      <w:pPr>
        <w:pStyle w:val="3-BodyText"/>
      </w:pPr>
      <w:r w:rsidRPr="00021AA5">
        <w:t>The</w:t>
      </w:r>
      <w:r w:rsidR="007B2524" w:rsidRPr="00021AA5">
        <w:t xml:space="preserve"> </w:t>
      </w:r>
      <w:r w:rsidRPr="00021AA5">
        <w:t>median duration of follow-up in the ITT population (censored patients) at DCO1 was 19.32 and 19.35</w:t>
      </w:r>
      <w:r w:rsidR="003F6D1C" w:rsidRPr="00021AA5">
        <w:t xml:space="preserve"> months</w:t>
      </w:r>
      <w:r w:rsidRPr="00021AA5">
        <w:t xml:space="preserve"> for the olaparib combination and placebo group, respectively. At DCO3, the corresponding duration of follow up was 32.54 and 44.32 months. </w:t>
      </w:r>
      <w:r w:rsidR="00E07BE7" w:rsidRPr="00021AA5">
        <w:t>These data were not presented for the BRCA1/2 subgroup.</w:t>
      </w:r>
    </w:p>
    <w:p w14:paraId="069A1B2E" w14:textId="77777777" w:rsidR="00E3444C" w:rsidRDefault="000B3DAB" w:rsidP="00FE2E26">
      <w:pPr>
        <w:pStyle w:val="3-BodyText"/>
      </w:pPr>
      <w:r w:rsidRPr="000B3DAB">
        <w:t xml:space="preserve">For the primary outcome of </w:t>
      </w:r>
      <w:r>
        <w:t>investigator-assessed rPFS at DCO1</w:t>
      </w:r>
      <w:r w:rsidR="00E3444C">
        <w:t>:</w:t>
      </w:r>
    </w:p>
    <w:p w14:paraId="56D63FF5" w14:textId="0F815E85" w:rsidR="00172C57" w:rsidRPr="00940BEC" w:rsidRDefault="000B3DAB" w:rsidP="0075138F">
      <w:pPr>
        <w:pStyle w:val="ListParagraph"/>
        <w:ind w:left="993" w:hanging="284"/>
      </w:pPr>
      <w:r>
        <w:t xml:space="preserve"> </w:t>
      </w:r>
      <w:r w:rsidR="00E3444C" w:rsidRPr="00940BEC">
        <w:t>I</w:t>
      </w:r>
      <w:r w:rsidRPr="00940BEC">
        <w:t>n the ITT population</w:t>
      </w:r>
      <w:r w:rsidR="00172C57" w:rsidRPr="00940BEC">
        <w:t>,</w:t>
      </w:r>
      <w:r w:rsidRPr="00940BEC">
        <w:t xml:space="preserve"> there was a statistically significant benefit for olaparib plus abiraterone compared to abiraterone plus placebo (HR</w:t>
      </w:r>
      <w:r w:rsidR="00FE2E26" w:rsidRPr="00940BEC">
        <w:t xml:space="preserve"> </w:t>
      </w:r>
      <w:r w:rsidRPr="00940BEC">
        <w:t>=</w:t>
      </w:r>
      <w:r w:rsidR="00FE2E26" w:rsidRPr="00940BEC">
        <w:t xml:space="preserve"> </w:t>
      </w:r>
      <w:r w:rsidRPr="00940BEC">
        <w:t>0.66; 95%</w:t>
      </w:r>
      <w:r w:rsidR="00FE2E26" w:rsidRPr="00940BEC">
        <w:t xml:space="preserve"> </w:t>
      </w:r>
      <w:r w:rsidRPr="00940BEC">
        <w:t>CI</w:t>
      </w:r>
      <w:r w:rsidR="00FE2E26" w:rsidRPr="00940BEC">
        <w:t>:</w:t>
      </w:r>
      <w:r w:rsidRPr="00940BEC">
        <w:t xml:space="preserve"> 0.54, 0.81), which was maintained through the other data cut-offs. </w:t>
      </w:r>
    </w:p>
    <w:p w14:paraId="5B3F6789" w14:textId="39489454" w:rsidR="000B3DAB" w:rsidRPr="00940BEC" w:rsidRDefault="000B3DAB" w:rsidP="0075138F">
      <w:pPr>
        <w:pStyle w:val="ListParagraph"/>
        <w:ind w:left="993" w:hanging="284"/>
      </w:pPr>
      <w:r w:rsidRPr="00940BEC">
        <w:t xml:space="preserve">In the </w:t>
      </w:r>
      <w:r w:rsidR="006C3ED1" w:rsidRPr="00940BEC">
        <w:t>BRCA1/2</w:t>
      </w:r>
      <w:r w:rsidRPr="00940BEC">
        <w:t xml:space="preserve"> subgroup, the magnitude of the effect of the olaparib plus abiraterone versus abiraterone plus placebo was greater than in the ITT population (HR</w:t>
      </w:r>
      <w:r w:rsidR="00FE2E26" w:rsidRPr="00940BEC">
        <w:t xml:space="preserve"> </w:t>
      </w:r>
      <w:r w:rsidRPr="00940BEC">
        <w:t>=</w:t>
      </w:r>
      <w:r w:rsidR="00FE2E26" w:rsidRPr="00940BEC">
        <w:t xml:space="preserve"> </w:t>
      </w:r>
      <w:r w:rsidRPr="00940BEC">
        <w:t>0.23; 95%</w:t>
      </w:r>
      <w:r w:rsidR="00FE2E26" w:rsidRPr="00940BEC">
        <w:t xml:space="preserve"> </w:t>
      </w:r>
      <w:r w:rsidRPr="00940BEC">
        <w:t>CI</w:t>
      </w:r>
      <w:r w:rsidR="005E1B84" w:rsidRPr="00940BEC">
        <w:t>:</w:t>
      </w:r>
      <w:r w:rsidRPr="00940BEC">
        <w:t xml:space="preserve"> 0.12, 0.43). </w:t>
      </w:r>
      <w:r w:rsidR="00520D5F" w:rsidRPr="00940BEC">
        <w:t>As presented in the PSCR, the hazard ratio for rPFS remained consistent at DCO3, and the median rPFS was 38.5 months</w:t>
      </w:r>
      <w:r w:rsidR="00C321C4" w:rsidRPr="00940BEC">
        <w:t xml:space="preserve"> as compared to 8.38 months for abiraterone plus placebo</w:t>
      </w:r>
      <w:r w:rsidR="00520D5F" w:rsidRPr="00940BEC">
        <w:t>.</w:t>
      </w:r>
    </w:p>
    <w:p w14:paraId="0FFB846B" w14:textId="12A8561E" w:rsidR="006F331F" w:rsidRPr="00940BEC" w:rsidRDefault="00172C57" w:rsidP="00FA3BF9">
      <w:pPr>
        <w:pStyle w:val="3-BodyText"/>
      </w:pPr>
      <w:r w:rsidRPr="00940BEC">
        <w:t xml:space="preserve">The small sample size in the </w:t>
      </w:r>
      <w:r w:rsidR="006C3ED1" w:rsidRPr="00940BEC">
        <w:t>BRCA1/2</w:t>
      </w:r>
      <w:r w:rsidRPr="00940BEC">
        <w:t xml:space="preserve"> subgroup highlights the potential lack of power to detect </w:t>
      </w:r>
      <w:r w:rsidR="004210FA" w:rsidRPr="00940BEC">
        <w:t xml:space="preserve">robust </w:t>
      </w:r>
      <w:r w:rsidRPr="00940BEC">
        <w:t>differences in rPFS and increases the chance of spurious results between</w:t>
      </w:r>
      <w:r w:rsidR="004210FA" w:rsidRPr="00940BEC">
        <w:t xml:space="preserve"> the</w:t>
      </w:r>
      <w:r w:rsidRPr="00940BEC">
        <w:t xml:space="preserve"> treatment groups. The first DCO was planned to occur when approximately 379 progression or death events had accrued in 796 patients (47.6% of patients had an event [maturity], information fraction 83.7%), and would provide 94.1% power to show a statistically significant difference in </w:t>
      </w:r>
      <w:proofErr w:type="spellStart"/>
      <w:r w:rsidRPr="00940BEC">
        <w:t>rPFS</w:t>
      </w:r>
      <w:proofErr w:type="spellEnd"/>
      <w:r w:rsidRPr="00940BEC">
        <w:t>.</w:t>
      </w:r>
      <w:r w:rsidR="00867E05" w:rsidRPr="00940BEC">
        <w:rPr>
          <w:rFonts w:ascii="Arial Narrow" w:hAnsi="Arial Narrow"/>
          <w:b/>
          <w:bCs/>
          <w:snapToGrid/>
          <w:sz w:val="20"/>
          <w:szCs w:val="18"/>
        </w:rPr>
        <w:fldChar w:fldCharType="begin" w:fldLock="1"/>
      </w:r>
      <w:r w:rsidR="00867E05" w:rsidRPr="00940BEC">
        <w:instrText xml:space="preserve"> REF _Ref142656373 \h </w:instrText>
      </w:r>
      <w:r w:rsidR="00940BEC" w:rsidRPr="00940BEC">
        <w:instrText xml:space="preserve"> \* MERGEFORMAT </w:instrText>
      </w:r>
      <w:r w:rsidR="00867E05" w:rsidRPr="00940BEC">
        <w:rPr>
          <w:rFonts w:ascii="Arial Narrow" w:hAnsi="Arial Narrow"/>
          <w:b/>
          <w:bCs/>
          <w:snapToGrid/>
          <w:sz w:val="20"/>
          <w:szCs w:val="18"/>
        </w:rPr>
      </w:r>
      <w:r w:rsidR="00867E05" w:rsidRPr="00940BEC">
        <w:rPr>
          <w:rFonts w:ascii="Arial Narrow" w:hAnsi="Arial Narrow"/>
          <w:b/>
          <w:bCs/>
          <w:snapToGrid/>
          <w:sz w:val="20"/>
          <w:szCs w:val="18"/>
        </w:rPr>
        <w:fldChar w:fldCharType="separate"/>
      </w:r>
    </w:p>
    <w:p w14:paraId="0A33CE4E" w14:textId="5EFC789D" w:rsidR="00616238" w:rsidRPr="00940BEC" w:rsidRDefault="006F331F" w:rsidP="00616238">
      <w:pPr>
        <w:pStyle w:val="3-BodyText"/>
      </w:pPr>
      <w:r w:rsidRPr="00940BEC">
        <w:t xml:space="preserve">Figure </w:t>
      </w:r>
      <w:r w:rsidRPr="00940BEC">
        <w:rPr>
          <w:noProof/>
        </w:rPr>
        <w:t>1</w:t>
      </w:r>
      <w:r w:rsidR="00867E05" w:rsidRPr="00940BEC">
        <w:fldChar w:fldCharType="end"/>
      </w:r>
      <w:r w:rsidR="007A44E3" w:rsidRPr="00940BEC">
        <w:t xml:space="preserve">, </w:t>
      </w:r>
      <w:r w:rsidR="007A44E3" w:rsidRPr="00940BEC">
        <w:fldChar w:fldCharType="begin" w:fldLock="1"/>
      </w:r>
      <w:r w:rsidR="007A44E3" w:rsidRPr="00940BEC">
        <w:instrText xml:space="preserve"> REF _Ref142656453 \h </w:instrText>
      </w:r>
      <w:r w:rsidR="00940BEC" w:rsidRPr="00940BEC">
        <w:instrText xml:space="preserve"> \* MERGEFORMAT </w:instrText>
      </w:r>
      <w:r w:rsidR="007A44E3" w:rsidRPr="00940BEC">
        <w:fldChar w:fldCharType="separate"/>
      </w:r>
      <w:r w:rsidRPr="00940BEC">
        <w:t xml:space="preserve">Figure </w:t>
      </w:r>
      <w:r w:rsidRPr="00940BEC">
        <w:rPr>
          <w:noProof/>
        </w:rPr>
        <w:t>2</w:t>
      </w:r>
      <w:r w:rsidR="007A44E3" w:rsidRPr="00940BEC">
        <w:fldChar w:fldCharType="end"/>
      </w:r>
      <w:r w:rsidR="007A44E3" w:rsidRPr="00940BEC">
        <w:t xml:space="preserve">, and </w:t>
      </w:r>
      <w:r w:rsidR="007A44E3" w:rsidRPr="00940BEC">
        <w:fldChar w:fldCharType="begin" w:fldLock="1"/>
      </w:r>
      <w:r w:rsidR="007A44E3" w:rsidRPr="00940BEC">
        <w:instrText xml:space="preserve"> REF _Ref142656495 \h </w:instrText>
      </w:r>
      <w:r w:rsidR="00940BEC" w:rsidRPr="00940BEC">
        <w:instrText xml:space="preserve"> \* MERGEFORMAT </w:instrText>
      </w:r>
      <w:r w:rsidR="007A44E3" w:rsidRPr="00940BEC">
        <w:fldChar w:fldCharType="separate"/>
      </w:r>
      <w:r w:rsidRPr="00940BEC">
        <w:t xml:space="preserve">Figure </w:t>
      </w:r>
      <w:r w:rsidRPr="00940BEC">
        <w:rPr>
          <w:noProof/>
        </w:rPr>
        <w:t>3</w:t>
      </w:r>
      <w:r w:rsidR="007A44E3" w:rsidRPr="00940BEC">
        <w:fldChar w:fldCharType="end"/>
      </w:r>
      <w:r w:rsidR="007A44E3" w:rsidRPr="00940BEC">
        <w:t xml:space="preserve"> </w:t>
      </w:r>
      <w:r w:rsidR="00616238" w:rsidRPr="00940BEC">
        <w:t>present the Kaplan-Meier plot</w:t>
      </w:r>
      <w:r w:rsidR="00B7124E" w:rsidRPr="00940BEC">
        <w:t>s</w:t>
      </w:r>
      <w:r w:rsidR="00616238" w:rsidRPr="00940BEC">
        <w:t xml:space="preserve"> of rPFS in the ITT and </w:t>
      </w:r>
      <w:r w:rsidR="006C3ED1" w:rsidRPr="00940BEC">
        <w:t>BRCA1/2</w:t>
      </w:r>
      <w:r w:rsidR="00616238" w:rsidRPr="00940BEC">
        <w:t xml:space="preserve"> subgroup. </w:t>
      </w:r>
    </w:p>
    <w:p w14:paraId="0F6FA5D6" w14:textId="6A4C8C9B" w:rsidR="00616238" w:rsidRDefault="00616238" w:rsidP="00616238">
      <w:pPr>
        <w:pStyle w:val="Caption"/>
        <w:rPr>
          <w:lang w:val="en-US" w:eastAsia="en-GB"/>
        </w:rPr>
      </w:pPr>
      <w:bookmarkStart w:id="24" w:name="_Ref142656373"/>
      <w:r>
        <w:t xml:space="preserve">Figure </w:t>
      </w:r>
      <w:fldSimple w:instr=" SEQ Figure \* ARABIC " w:fldLock="1">
        <w:r w:rsidR="006F331F">
          <w:rPr>
            <w:noProof/>
          </w:rPr>
          <w:t>1</w:t>
        </w:r>
      </w:fldSimple>
      <w:bookmarkEnd w:id="24"/>
      <w:r>
        <w:t xml:space="preserve">: </w:t>
      </w:r>
      <w:r w:rsidRPr="00F5795B">
        <w:t xml:space="preserve">Kaplan-Meier </w:t>
      </w:r>
      <w:r>
        <w:t>plot of r</w:t>
      </w:r>
      <w:r w:rsidRPr="00F5795B">
        <w:t>PFS</w:t>
      </w:r>
      <w:r>
        <w:t>-investigator in PROpel ITT (</w:t>
      </w:r>
      <w:r w:rsidRPr="00C3179D">
        <w:t>DCO3</w:t>
      </w:r>
      <w:r>
        <w:t xml:space="preserve">: </w:t>
      </w:r>
      <w:r w:rsidRPr="00C3179D">
        <w:t>12 October 2022</w:t>
      </w:r>
      <w:r>
        <w:t>)</w:t>
      </w:r>
      <w:r w:rsidRPr="00DC4B36">
        <w:rPr>
          <w:noProof/>
          <w:lang w:val="en-US" w:eastAsia="en-GB"/>
        </w:rPr>
        <w:drawing>
          <wp:inline distT="0" distB="0" distL="0" distR="0" wp14:anchorId="20E15F2C" wp14:editId="33D661AD">
            <wp:extent cx="4197350" cy="22695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127" cy="2291602"/>
                    </a:xfrm>
                    <a:prstGeom prst="rect">
                      <a:avLst/>
                    </a:prstGeom>
                    <a:noFill/>
                    <a:ln>
                      <a:noFill/>
                    </a:ln>
                  </pic:spPr>
                </pic:pic>
              </a:graphicData>
            </a:graphic>
          </wp:inline>
        </w:drawing>
      </w:r>
    </w:p>
    <w:p w14:paraId="4939CC8C" w14:textId="77777777" w:rsidR="00616238" w:rsidRDefault="00616238" w:rsidP="00616238">
      <w:pPr>
        <w:pStyle w:val="TableFigureFooter"/>
        <w:rPr>
          <w:lang w:val="en-US" w:eastAsia="en-GB"/>
        </w:rPr>
      </w:pPr>
      <w:r>
        <w:rPr>
          <w:lang w:val="en-US" w:eastAsia="en-GB"/>
        </w:rPr>
        <w:t xml:space="preserve">Source: Figure 2.6, p77 of the submission. </w:t>
      </w:r>
    </w:p>
    <w:p w14:paraId="596B3A42" w14:textId="3BF7991D" w:rsidR="00616238" w:rsidRDefault="00616238" w:rsidP="00616238">
      <w:pPr>
        <w:pStyle w:val="TableFigureFooter"/>
      </w:pPr>
      <w:r>
        <w:rPr>
          <w:lang w:val="en-US" w:eastAsia="en-GB"/>
        </w:rPr>
        <w:t>ITT=intention to treat; rPFS=radiological progression-free survival</w:t>
      </w:r>
    </w:p>
    <w:p w14:paraId="7AFD4E60" w14:textId="4F6CC1CE" w:rsidR="00616238" w:rsidRDefault="00B7124E" w:rsidP="00B7124E">
      <w:pPr>
        <w:pStyle w:val="Caption"/>
        <w:rPr>
          <w:lang w:eastAsia="en-GB"/>
        </w:rPr>
      </w:pPr>
      <w:bookmarkStart w:id="25" w:name="_Ref142656453"/>
      <w:r>
        <w:lastRenderedPageBreak/>
        <w:t xml:space="preserve">Figure </w:t>
      </w:r>
      <w:fldSimple w:instr=" SEQ Figure \* ARABIC " w:fldLock="1">
        <w:r w:rsidR="006F331F">
          <w:rPr>
            <w:noProof/>
          </w:rPr>
          <w:t>2</w:t>
        </w:r>
      </w:fldSimple>
      <w:bookmarkEnd w:id="25"/>
      <w:r>
        <w:t xml:space="preserve">: </w:t>
      </w:r>
      <w:r w:rsidR="00616238" w:rsidRPr="00F5795B">
        <w:t xml:space="preserve">Kaplan-Meier </w:t>
      </w:r>
      <w:r w:rsidR="00616238">
        <w:t>plot of r</w:t>
      </w:r>
      <w:r w:rsidR="00616238" w:rsidRPr="00F5795B">
        <w:t>PFS</w:t>
      </w:r>
      <w:r w:rsidR="00616238">
        <w:t>-BICR in PROpel ITT (</w:t>
      </w:r>
      <w:r w:rsidR="00616238" w:rsidRPr="00C3179D">
        <w:t>DCO3</w:t>
      </w:r>
      <w:r w:rsidR="00616238">
        <w:t xml:space="preserve">: </w:t>
      </w:r>
      <w:r w:rsidR="00616238" w:rsidRPr="00C3179D">
        <w:t>12 October 2022</w:t>
      </w:r>
      <w:r w:rsidR="00616238">
        <w:t>)</w:t>
      </w:r>
      <w:r w:rsidR="00616238" w:rsidRPr="00DC4B36">
        <w:rPr>
          <w:noProof/>
          <w:lang w:eastAsia="en-GB"/>
        </w:rPr>
        <w:drawing>
          <wp:inline distT="0" distB="0" distL="0" distR="0" wp14:anchorId="63A9D2EB" wp14:editId="69EF667C">
            <wp:extent cx="4161990" cy="23177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893" cy="2332175"/>
                    </a:xfrm>
                    <a:prstGeom prst="rect">
                      <a:avLst/>
                    </a:prstGeom>
                    <a:noFill/>
                    <a:ln>
                      <a:noFill/>
                    </a:ln>
                  </pic:spPr>
                </pic:pic>
              </a:graphicData>
            </a:graphic>
          </wp:inline>
        </w:drawing>
      </w:r>
    </w:p>
    <w:p w14:paraId="62B4A8F8" w14:textId="77777777" w:rsidR="00616238" w:rsidRDefault="00616238" w:rsidP="00616238">
      <w:pPr>
        <w:pStyle w:val="TableFigureFooter"/>
        <w:rPr>
          <w:lang w:val="en-US" w:eastAsia="en-GB"/>
        </w:rPr>
      </w:pPr>
      <w:r>
        <w:rPr>
          <w:lang w:val="en-US" w:eastAsia="en-GB"/>
        </w:rPr>
        <w:t xml:space="preserve">Source: Figure 4, p101 DCO1 CSR. </w:t>
      </w:r>
    </w:p>
    <w:p w14:paraId="2FDEC99B" w14:textId="54BF760D" w:rsidR="00867E05" w:rsidRDefault="00616238" w:rsidP="00616238">
      <w:pPr>
        <w:pStyle w:val="TableFigureFooter"/>
        <w:rPr>
          <w:lang w:val="en-US" w:eastAsia="en-GB"/>
        </w:rPr>
      </w:pPr>
      <w:r>
        <w:rPr>
          <w:lang w:val="en-US" w:eastAsia="en-GB"/>
        </w:rPr>
        <w:t>BICR=</w:t>
      </w:r>
      <w:r w:rsidRPr="00DC4B36">
        <w:t xml:space="preserve"> </w:t>
      </w:r>
      <w:r w:rsidRPr="00DC4B36">
        <w:rPr>
          <w:lang w:val="en-US" w:eastAsia="en-GB"/>
        </w:rPr>
        <w:t>blinded independent central review</w:t>
      </w:r>
      <w:r>
        <w:rPr>
          <w:lang w:val="en-US" w:eastAsia="en-GB"/>
        </w:rPr>
        <w:t>; ITT=intention to treat; rPFS=radiological progression-free survival</w:t>
      </w:r>
    </w:p>
    <w:p w14:paraId="4858625C" w14:textId="7E8A5CDF" w:rsidR="00B7124E" w:rsidRDefault="00616238" w:rsidP="008C0649">
      <w:pPr>
        <w:pStyle w:val="In-tableHeading"/>
        <w:keepLines/>
        <w:jc w:val="both"/>
        <w:rPr>
          <w:lang w:eastAsia="en-GB"/>
        </w:rPr>
      </w:pPr>
      <w:bookmarkStart w:id="26" w:name="_Ref142656495"/>
      <w:r>
        <w:t xml:space="preserve">Figure </w:t>
      </w:r>
      <w:r>
        <w:rPr>
          <w:b w:val="0"/>
        </w:rPr>
        <w:fldChar w:fldCharType="begin" w:fldLock="1"/>
      </w:r>
      <w:r>
        <w:instrText xml:space="preserve"> SEQ Figure \* ARABIC </w:instrText>
      </w:r>
      <w:r>
        <w:rPr>
          <w:b w:val="0"/>
        </w:rPr>
        <w:fldChar w:fldCharType="separate"/>
      </w:r>
      <w:r w:rsidR="006F331F">
        <w:rPr>
          <w:noProof/>
        </w:rPr>
        <w:t>3</w:t>
      </w:r>
      <w:r>
        <w:rPr>
          <w:b w:val="0"/>
        </w:rPr>
        <w:fldChar w:fldCharType="end"/>
      </w:r>
      <w:bookmarkEnd w:id="26"/>
      <w:r>
        <w:t>:</w:t>
      </w:r>
      <w:r w:rsidR="00B7124E">
        <w:t xml:space="preserve"> </w:t>
      </w:r>
      <w:r w:rsidR="00B7124E" w:rsidRPr="00F5795B">
        <w:t xml:space="preserve">Kaplan-Meier </w:t>
      </w:r>
      <w:r w:rsidR="00B7124E">
        <w:t>plot of r</w:t>
      </w:r>
      <w:r w:rsidR="00B7124E" w:rsidRPr="00F5795B">
        <w:t>PFS</w:t>
      </w:r>
      <w:r w:rsidR="00B7124E">
        <w:t xml:space="preserve">-investigator and -BICR in PROpel </w:t>
      </w:r>
      <w:r w:rsidR="006C3ED1" w:rsidRPr="006C3ED1">
        <w:rPr>
          <w:i/>
          <w:iCs/>
        </w:rPr>
        <w:t>BRCA1/2</w:t>
      </w:r>
      <w:r w:rsidR="00B7124E">
        <w:t xml:space="preserve"> subgroup (</w:t>
      </w:r>
      <w:r w:rsidR="00B7124E" w:rsidRPr="00C3179D">
        <w:t>DCO3</w:t>
      </w:r>
      <w:r w:rsidR="00B7124E">
        <w:t xml:space="preserve">: </w:t>
      </w:r>
      <w:r w:rsidR="00B7124E" w:rsidRPr="00BA180C">
        <w:t>30 July 2021</w:t>
      </w:r>
      <w:r w:rsidR="00B7124E">
        <w:t>)</w:t>
      </w:r>
    </w:p>
    <w:p w14:paraId="01C23506" w14:textId="77777777" w:rsidR="00B7124E" w:rsidRDefault="00B7124E" w:rsidP="008C0649">
      <w:pPr>
        <w:keepNext/>
        <w:keepLines/>
        <w:jc w:val="both"/>
        <w:rPr>
          <w:lang w:val="en-US" w:eastAsia="en-GB"/>
        </w:rPr>
      </w:pPr>
      <w:r w:rsidRPr="00D055D8">
        <w:rPr>
          <w:noProof/>
          <w:vertAlign w:val="subscript"/>
        </w:rPr>
        <w:drawing>
          <wp:inline distT="0" distB="0" distL="0" distR="0" wp14:anchorId="72C4351A" wp14:editId="6C361CC1">
            <wp:extent cx="5732145" cy="2085048"/>
            <wp:effectExtent l="0" t="0" r="1905" b="0"/>
            <wp:docPr id="828835640" name="Picture 828835640"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835640" name="Picture 1" descr="A picture containing text, diagram, line, plot&#10;&#10;Description automatically generated"/>
                    <pic:cNvPicPr/>
                  </pic:nvPicPr>
                  <pic:blipFill>
                    <a:blip r:embed="rId10"/>
                    <a:stretch>
                      <a:fillRect/>
                    </a:stretch>
                  </pic:blipFill>
                  <pic:spPr>
                    <a:xfrm>
                      <a:off x="0" y="0"/>
                      <a:ext cx="5732145" cy="2085048"/>
                    </a:xfrm>
                    <a:prstGeom prst="rect">
                      <a:avLst/>
                    </a:prstGeom>
                  </pic:spPr>
                </pic:pic>
              </a:graphicData>
            </a:graphic>
          </wp:inline>
        </w:drawing>
      </w:r>
    </w:p>
    <w:p w14:paraId="1278D33E" w14:textId="77777777" w:rsidR="00B7124E" w:rsidRDefault="00B7124E" w:rsidP="008C0649">
      <w:pPr>
        <w:pStyle w:val="TableFigureFooter"/>
        <w:keepNext/>
        <w:keepLines/>
        <w:jc w:val="both"/>
        <w:rPr>
          <w:lang w:val="en-US" w:eastAsia="en-GB"/>
        </w:rPr>
      </w:pPr>
      <w:r>
        <w:rPr>
          <w:lang w:val="en-US" w:eastAsia="en-GB"/>
        </w:rPr>
        <w:t xml:space="preserve">Source: Figure 2.8, p98 of the submission </w:t>
      </w:r>
    </w:p>
    <w:p w14:paraId="618941F0" w14:textId="015BCFCB" w:rsidR="00112280" w:rsidRPr="00AE40F6" w:rsidRDefault="00B7124E" w:rsidP="00AE40F6">
      <w:pPr>
        <w:pStyle w:val="TableFigureFooter"/>
        <w:jc w:val="both"/>
        <w:rPr>
          <w:lang w:val="en-US" w:eastAsia="en-GB"/>
        </w:rPr>
      </w:pPr>
      <w:r>
        <w:rPr>
          <w:lang w:val="en-US" w:eastAsia="en-GB"/>
        </w:rPr>
        <w:t>BICR=</w:t>
      </w:r>
      <w:r w:rsidRPr="00DC4B36">
        <w:rPr>
          <w:lang w:val="en-US" w:eastAsia="en-GB"/>
        </w:rPr>
        <w:t xml:space="preserve"> blinded independent central review</w:t>
      </w:r>
      <w:r>
        <w:rPr>
          <w:lang w:val="en-US" w:eastAsia="en-GB"/>
        </w:rPr>
        <w:t xml:space="preserve">; </w:t>
      </w:r>
      <w:r w:rsidR="00A41905" w:rsidRPr="00A41905">
        <w:rPr>
          <w:i/>
          <w:iCs/>
          <w:lang w:val="en-US" w:eastAsia="en-GB"/>
        </w:rPr>
        <w:t>BRCA</w:t>
      </w:r>
      <w:r>
        <w:rPr>
          <w:lang w:val="en-US" w:eastAsia="en-GB"/>
        </w:rPr>
        <w:t xml:space="preserve">m=Breast cancer gene </w:t>
      </w:r>
      <w:r w:rsidR="001611B5">
        <w:rPr>
          <w:lang w:val="en-US" w:eastAsia="en-GB"/>
        </w:rPr>
        <w:t>mutation (</w:t>
      </w:r>
      <w:r>
        <w:rPr>
          <w:lang w:val="en-US" w:eastAsia="en-GB"/>
        </w:rPr>
        <w:t>pathogenic variant</w:t>
      </w:r>
      <w:r w:rsidR="001611B5">
        <w:rPr>
          <w:lang w:val="en-US" w:eastAsia="en-GB"/>
        </w:rPr>
        <w:t>)</w:t>
      </w:r>
      <w:r>
        <w:rPr>
          <w:lang w:val="en-US" w:eastAsia="en-GB"/>
        </w:rPr>
        <w:t xml:space="preserve">; </w:t>
      </w:r>
      <w:r w:rsidRPr="00DC4B36">
        <w:rPr>
          <w:lang w:val="en-US" w:eastAsia="en-GB"/>
        </w:rPr>
        <w:t>blinded independent central review; INV</w:t>
      </w:r>
      <w:r>
        <w:rPr>
          <w:lang w:val="en-US" w:eastAsia="en-GB"/>
        </w:rPr>
        <w:t>=</w:t>
      </w:r>
      <w:r w:rsidRPr="00DC4B36">
        <w:rPr>
          <w:lang w:val="en-US" w:eastAsia="en-GB"/>
        </w:rPr>
        <w:t>investigator</w:t>
      </w:r>
      <w:r>
        <w:rPr>
          <w:lang w:val="en-US" w:eastAsia="en-GB"/>
        </w:rPr>
        <w:t>; rPFS=radiological progression-free survival</w:t>
      </w:r>
    </w:p>
    <w:p w14:paraId="4D4922F0" w14:textId="1AF023CB" w:rsidR="00AE40F6" w:rsidRPr="00940BEC" w:rsidRDefault="00AE40F6" w:rsidP="00FE2E26">
      <w:pPr>
        <w:pStyle w:val="3-BodyText"/>
      </w:pPr>
      <w:r w:rsidRPr="00940BEC">
        <w:t>At the final OS analysis at DCO3</w:t>
      </w:r>
      <w:r w:rsidR="00AD796C" w:rsidRPr="00940BEC">
        <w:t>, OS data were 47.9% mature (381 events/796 patients) in the ITT. The HR suggested a trend towards improved OS for the olaparib plus abiraterone arm compared to abiraterone plus placebo but did not reach statistical significance (HR</w:t>
      </w:r>
      <w:r w:rsidR="00FE2E26" w:rsidRPr="00940BEC">
        <w:t xml:space="preserve"> </w:t>
      </w:r>
      <w:r w:rsidR="00AD796C" w:rsidRPr="00940BEC">
        <w:t>=</w:t>
      </w:r>
      <w:r w:rsidR="00FE2E26" w:rsidRPr="00940BEC">
        <w:t xml:space="preserve"> </w:t>
      </w:r>
      <w:r w:rsidR="00AD796C" w:rsidRPr="00940BEC">
        <w:t>0.81; 95% CI</w:t>
      </w:r>
      <w:r w:rsidR="00FE2E26" w:rsidRPr="00940BEC">
        <w:t>:</w:t>
      </w:r>
      <w:r w:rsidR="00AD796C" w:rsidRPr="00940BEC">
        <w:t xml:space="preserve"> 0.67, 1.00)</w:t>
      </w:r>
      <w:r w:rsidR="00490871" w:rsidRPr="00940BEC">
        <w:t>.</w:t>
      </w:r>
    </w:p>
    <w:p w14:paraId="220A4EE8" w14:textId="4F99EF17" w:rsidR="00490871" w:rsidRPr="00940BEC" w:rsidRDefault="00490871" w:rsidP="00FE2E26">
      <w:pPr>
        <w:pStyle w:val="3-BodyText"/>
        <w:rPr>
          <w:color w:val="0066FF"/>
        </w:rPr>
      </w:pPr>
      <w:r w:rsidRPr="00940BEC">
        <w:t xml:space="preserve">In the </w:t>
      </w:r>
      <w:r w:rsidR="006C3ED1" w:rsidRPr="00940BEC">
        <w:t>BRCA1/2</w:t>
      </w:r>
      <w:r w:rsidRPr="00940BEC">
        <w:t xml:space="preserve"> subgroup, patients treated with olaparib plus abiraterone had a</w:t>
      </w:r>
      <w:r w:rsidR="001316D7">
        <w:t>n</w:t>
      </w:r>
      <w:r w:rsidRPr="00940BEC">
        <w:t xml:space="preserve"> </w:t>
      </w:r>
      <w:r w:rsidR="001316D7">
        <w:t>i</w:t>
      </w:r>
      <w:r w:rsidR="005E1B84" w:rsidRPr="00940BEC">
        <w:t xml:space="preserve">mproved </w:t>
      </w:r>
      <w:r w:rsidRPr="00940BEC">
        <w:t>OS compared to those treated with abiraterone plus placebo (HR</w:t>
      </w:r>
      <w:r w:rsidR="00FE2E26" w:rsidRPr="00940BEC">
        <w:t xml:space="preserve"> </w:t>
      </w:r>
      <w:r w:rsidRPr="00940BEC">
        <w:t>=</w:t>
      </w:r>
      <w:r w:rsidR="00FE2E26" w:rsidRPr="00940BEC">
        <w:t xml:space="preserve"> </w:t>
      </w:r>
      <w:r w:rsidRPr="00940BEC">
        <w:t>0.29; 95%</w:t>
      </w:r>
      <w:r w:rsidR="00FE2E26" w:rsidRPr="00940BEC">
        <w:t xml:space="preserve"> </w:t>
      </w:r>
      <w:r w:rsidRPr="00940BEC">
        <w:t>CI</w:t>
      </w:r>
      <w:r w:rsidR="00FE2E26" w:rsidRPr="00940BEC">
        <w:t>:</w:t>
      </w:r>
      <w:r w:rsidRPr="00940BEC">
        <w:t xml:space="preserve"> 0.14, 0.56). There were only 38 events in the 85 patients in the </w:t>
      </w:r>
      <w:r w:rsidR="006C3ED1" w:rsidRPr="00940BEC">
        <w:t>BRCA1/2</w:t>
      </w:r>
      <w:r w:rsidRPr="00940BEC">
        <w:t xml:space="preserve"> subgroup. These data were immature, and with such small sample size the subgroup analysis lacked power to detect robust differences, increasing the chance of spurious findings.</w:t>
      </w:r>
      <w:r w:rsidR="00520D5F" w:rsidRPr="00940BEC">
        <w:t xml:space="preserve"> </w:t>
      </w:r>
      <w:r w:rsidR="001316D7">
        <w:t xml:space="preserve">Additionally, as the BRCA1/2 subgroup was not pre-specified, these results should be interpreted with caution, </w:t>
      </w:r>
      <w:r w:rsidR="00520D5F" w:rsidRPr="00940BEC">
        <w:t>The PSCR stated that the OS results in the BRCA1/2 subgroup were consistent with those reported for second</w:t>
      </w:r>
      <w:r w:rsidR="00C321C4" w:rsidRPr="00940BEC">
        <w:t xml:space="preserve"> </w:t>
      </w:r>
      <w:r w:rsidR="00520D5F" w:rsidRPr="00940BEC">
        <w:t xml:space="preserve">line olaparib monotherapy in the PROfound study (HR = 0.28; 95% CI: 0.10, 0.79, after adjustment for treatment </w:t>
      </w:r>
      <w:r w:rsidR="00520D5F" w:rsidRPr="00940BEC">
        <w:lastRenderedPageBreak/>
        <w:t>switching), and that therefore, the results in the BRCA1/2 subgroup in the PROpel trial were highly unlikely to be spurious findings. The PSCR state</w:t>
      </w:r>
      <w:r w:rsidR="00C321C4" w:rsidRPr="00940BEC">
        <w:t>d</w:t>
      </w:r>
      <w:r w:rsidR="00520D5F" w:rsidRPr="00940BEC">
        <w:t xml:space="preserve"> that although the </w:t>
      </w:r>
      <w:r w:rsidR="00C321C4" w:rsidRPr="00940BEC">
        <w:t xml:space="preserve">data were immature and </w:t>
      </w:r>
      <w:r w:rsidR="00520D5F" w:rsidRPr="00940BEC">
        <w:t xml:space="preserve">median OS was not reached in the olaparib plus abiraterone arm, over 70% of patients remained alive at 3 years, as compared to </w:t>
      </w:r>
      <w:r w:rsidR="00C321C4" w:rsidRPr="00940BEC">
        <w:t xml:space="preserve">a median survival of </w:t>
      </w:r>
      <w:r w:rsidR="00520D5F" w:rsidRPr="00940BEC">
        <w:t>23.6 months in the abiraterone plus placebo arm.</w:t>
      </w:r>
      <w:r w:rsidR="001079B2">
        <w:t xml:space="preserve"> The PSCR also stated that no longer term data are expected from the PROpel trial and that no further trials for olaparib and abiraterone in mCRPC are planned.</w:t>
      </w:r>
    </w:p>
    <w:p w14:paraId="50A7FDED" w14:textId="62E12838" w:rsidR="00490871" w:rsidRPr="00940BEC" w:rsidRDefault="009C3129" w:rsidP="005E1B84">
      <w:pPr>
        <w:pStyle w:val="3-BodyText"/>
      </w:pPr>
      <w:r w:rsidRPr="00940BEC">
        <w:fldChar w:fldCharType="begin" w:fldLock="1"/>
      </w:r>
      <w:r w:rsidRPr="00940BEC">
        <w:instrText xml:space="preserve"> REF _Ref142988090 \h </w:instrText>
      </w:r>
      <w:r w:rsidR="00940BEC" w:rsidRPr="00940BEC">
        <w:instrText xml:space="preserve"> \* MERGEFORMAT </w:instrText>
      </w:r>
      <w:r w:rsidRPr="00940BEC">
        <w:fldChar w:fldCharType="separate"/>
      </w:r>
      <w:r w:rsidR="006F331F" w:rsidRPr="00940BEC">
        <w:t xml:space="preserve">Figure </w:t>
      </w:r>
      <w:r w:rsidR="006F331F" w:rsidRPr="00940BEC">
        <w:rPr>
          <w:noProof/>
        </w:rPr>
        <w:t>4</w:t>
      </w:r>
      <w:r w:rsidRPr="00940BEC">
        <w:fldChar w:fldCharType="end"/>
      </w:r>
      <w:r w:rsidRPr="00940BEC">
        <w:t xml:space="preserve"> and </w:t>
      </w:r>
      <w:r w:rsidRPr="00940BEC">
        <w:fldChar w:fldCharType="begin" w:fldLock="1"/>
      </w:r>
      <w:r w:rsidRPr="00940BEC">
        <w:instrText xml:space="preserve"> REF _Ref142988094 \h </w:instrText>
      </w:r>
      <w:r w:rsidR="00940BEC" w:rsidRPr="00940BEC">
        <w:instrText xml:space="preserve"> \* MERGEFORMAT </w:instrText>
      </w:r>
      <w:r w:rsidRPr="00940BEC">
        <w:fldChar w:fldCharType="separate"/>
      </w:r>
      <w:r w:rsidR="006F331F" w:rsidRPr="00940BEC">
        <w:t xml:space="preserve">Figure </w:t>
      </w:r>
      <w:r w:rsidR="006F331F" w:rsidRPr="00940BEC">
        <w:rPr>
          <w:noProof/>
        </w:rPr>
        <w:t>5</w:t>
      </w:r>
      <w:r w:rsidRPr="00940BEC">
        <w:fldChar w:fldCharType="end"/>
      </w:r>
      <w:r w:rsidRPr="00940BEC">
        <w:t xml:space="preserve"> </w:t>
      </w:r>
      <w:r w:rsidR="00867E05" w:rsidRPr="00940BEC">
        <w:t xml:space="preserve">present the </w:t>
      </w:r>
      <w:r w:rsidR="00FB1722">
        <w:t>Kaplan-Meier</w:t>
      </w:r>
      <w:r w:rsidR="00FB1722" w:rsidRPr="00940BEC">
        <w:t xml:space="preserve"> </w:t>
      </w:r>
      <w:r w:rsidR="00867E05" w:rsidRPr="00940BEC">
        <w:t xml:space="preserve">plots of OS in the ITT and </w:t>
      </w:r>
      <w:r w:rsidR="006C3ED1" w:rsidRPr="00940BEC">
        <w:t>BRCA1/2</w:t>
      </w:r>
      <w:r w:rsidR="00867E05" w:rsidRPr="00940BEC">
        <w:t xml:space="preserve"> subgroup.</w:t>
      </w:r>
    </w:p>
    <w:p w14:paraId="5372C7E1" w14:textId="56737E89" w:rsidR="00867E05" w:rsidRDefault="00112280" w:rsidP="00112280">
      <w:pPr>
        <w:pStyle w:val="Caption"/>
        <w:rPr>
          <w:lang w:val="en-US" w:eastAsia="en-GB"/>
        </w:rPr>
      </w:pPr>
      <w:bookmarkStart w:id="27" w:name="_Ref142988090"/>
      <w:r>
        <w:t xml:space="preserve">Figure </w:t>
      </w:r>
      <w:fldSimple w:instr=" SEQ Figure \* ARABIC " w:fldLock="1">
        <w:r w:rsidR="006F331F">
          <w:rPr>
            <w:noProof/>
          </w:rPr>
          <w:t>4</w:t>
        </w:r>
      </w:fldSimple>
      <w:bookmarkEnd w:id="27"/>
      <w:r>
        <w:t xml:space="preserve">: </w:t>
      </w:r>
      <w:r w:rsidR="00867E05" w:rsidRPr="003C3CD2">
        <w:rPr>
          <w:rFonts w:eastAsiaTheme="majorEastAsia"/>
        </w:rPr>
        <w:t xml:space="preserve">Kaplan-Meier plot of </w:t>
      </w:r>
      <w:r w:rsidR="00867E05">
        <w:rPr>
          <w:rFonts w:eastAsiaTheme="majorEastAsia"/>
        </w:rPr>
        <w:t>OS</w:t>
      </w:r>
      <w:r w:rsidR="00867E05" w:rsidRPr="003C3CD2">
        <w:rPr>
          <w:rFonts w:eastAsiaTheme="majorEastAsia"/>
        </w:rPr>
        <w:t xml:space="preserve"> </w:t>
      </w:r>
      <w:r w:rsidR="00867E05">
        <w:rPr>
          <w:rFonts w:eastAsiaTheme="majorEastAsia"/>
        </w:rPr>
        <w:t xml:space="preserve">in </w:t>
      </w:r>
      <w:r w:rsidR="00867E05" w:rsidRPr="003C3CD2">
        <w:rPr>
          <w:rFonts w:eastAsiaTheme="majorEastAsia"/>
        </w:rPr>
        <w:t xml:space="preserve">PROpel </w:t>
      </w:r>
      <w:r w:rsidR="00867E05">
        <w:rPr>
          <w:rFonts w:eastAsiaTheme="majorEastAsia"/>
        </w:rPr>
        <w:t>ITT</w:t>
      </w:r>
      <w:r w:rsidR="00867E05" w:rsidRPr="003C3CD2">
        <w:rPr>
          <w:rFonts w:eastAsiaTheme="majorEastAsia"/>
        </w:rPr>
        <w:t xml:space="preserve"> (DCO3: 30 July 2021)</w:t>
      </w:r>
      <w:r w:rsidR="00867E05" w:rsidRPr="003C3CD2">
        <w:rPr>
          <w:noProof/>
          <w:lang w:val="en-US" w:eastAsia="en-GB"/>
        </w:rPr>
        <w:drawing>
          <wp:inline distT="0" distB="0" distL="0" distR="0" wp14:anchorId="2075964E" wp14:editId="5A13EF99">
            <wp:extent cx="4263940" cy="2627233"/>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3852" cy="2633340"/>
                    </a:xfrm>
                    <a:prstGeom prst="rect">
                      <a:avLst/>
                    </a:prstGeom>
                    <a:noFill/>
                    <a:ln>
                      <a:noFill/>
                    </a:ln>
                  </pic:spPr>
                </pic:pic>
              </a:graphicData>
            </a:graphic>
          </wp:inline>
        </w:drawing>
      </w:r>
    </w:p>
    <w:p w14:paraId="756AE57E" w14:textId="77777777" w:rsidR="00867E05" w:rsidRDefault="00867E05" w:rsidP="00112280">
      <w:pPr>
        <w:pStyle w:val="TableFigureFooter"/>
        <w:rPr>
          <w:lang w:val="en-US" w:eastAsia="en-GB"/>
        </w:rPr>
      </w:pPr>
      <w:r>
        <w:rPr>
          <w:lang w:val="en-US" w:eastAsia="en-GB"/>
        </w:rPr>
        <w:t>Source: Figure 2.7 of the submission</w:t>
      </w:r>
    </w:p>
    <w:p w14:paraId="3A5E9DA6" w14:textId="71EAEDB2" w:rsidR="009C3129" w:rsidRDefault="00867E05" w:rsidP="00112280">
      <w:pPr>
        <w:pStyle w:val="TableFigureFooter"/>
        <w:rPr>
          <w:lang w:val="en-US" w:eastAsia="en-GB"/>
        </w:rPr>
      </w:pPr>
      <w:r>
        <w:rPr>
          <w:lang w:val="en-US" w:eastAsia="en-GB"/>
        </w:rPr>
        <w:t>Bd=twice daily; DCO=data cut off; q</w:t>
      </w:r>
      <w:r w:rsidRPr="002F3403">
        <w:rPr>
          <w:lang w:val="en-US" w:eastAsia="en-GB"/>
        </w:rPr>
        <w:t>d</w:t>
      </w:r>
      <w:r>
        <w:rPr>
          <w:lang w:val="en-US" w:eastAsia="en-GB"/>
        </w:rPr>
        <w:t>=</w:t>
      </w:r>
      <w:r w:rsidRPr="002F3403">
        <w:rPr>
          <w:lang w:val="en-US" w:eastAsia="en-GB"/>
        </w:rPr>
        <w:t>once daily</w:t>
      </w:r>
      <w:r w:rsidR="001611B5">
        <w:rPr>
          <w:lang w:val="en-US" w:eastAsia="en-GB"/>
        </w:rPr>
        <w:t>; ITT=intention to treat, OS=overall survival</w:t>
      </w:r>
      <w:r w:rsidRPr="002F3403">
        <w:rPr>
          <w:lang w:val="en-US" w:eastAsia="en-GB"/>
        </w:rPr>
        <w:t>.</w:t>
      </w:r>
    </w:p>
    <w:p w14:paraId="640F527D" w14:textId="10136946" w:rsidR="00867E05" w:rsidRDefault="00112280" w:rsidP="00112280">
      <w:pPr>
        <w:pStyle w:val="Caption"/>
      </w:pPr>
      <w:bookmarkStart w:id="28" w:name="_Ref142988094"/>
      <w:r>
        <w:t xml:space="preserve">Figure </w:t>
      </w:r>
      <w:fldSimple w:instr=" SEQ Figure \* ARABIC " w:fldLock="1">
        <w:r w:rsidR="006F331F">
          <w:rPr>
            <w:noProof/>
          </w:rPr>
          <w:t>5</w:t>
        </w:r>
      </w:fldSimple>
      <w:bookmarkEnd w:id="28"/>
      <w:r>
        <w:t>:</w:t>
      </w:r>
      <w:r w:rsidR="00867E05">
        <w:t xml:space="preserve"> </w:t>
      </w:r>
      <w:r w:rsidR="00867E05" w:rsidRPr="00F5795B">
        <w:t xml:space="preserve">Kaplan-Meier </w:t>
      </w:r>
      <w:r w:rsidR="00867E05">
        <w:t xml:space="preserve">plot of OS in PROpel </w:t>
      </w:r>
      <w:r w:rsidR="006C3ED1" w:rsidRPr="006C3ED1">
        <w:rPr>
          <w:i/>
          <w:iCs/>
        </w:rPr>
        <w:t>BRCA1/2</w:t>
      </w:r>
      <w:r w:rsidR="00867E05">
        <w:t xml:space="preserve"> subgroup (</w:t>
      </w:r>
      <w:r w:rsidR="00867E05" w:rsidRPr="00C3179D">
        <w:t>DCO3</w:t>
      </w:r>
      <w:r w:rsidR="00867E05">
        <w:t xml:space="preserve">: </w:t>
      </w:r>
      <w:r w:rsidR="00867E05" w:rsidRPr="00BA180C">
        <w:t>30 July 2021</w:t>
      </w:r>
      <w:r w:rsidR="00867E05">
        <w:t>)</w:t>
      </w:r>
    </w:p>
    <w:p w14:paraId="793506B5" w14:textId="77777777" w:rsidR="006635E2" w:rsidRDefault="00867E05" w:rsidP="006635E2">
      <w:pPr>
        <w:pStyle w:val="TableText0"/>
        <w:rPr>
          <w:rStyle w:val="TableFigureFooterChar"/>
        </w:rPr>
      </w:pPr>
      <w:r>
        <w:rPr>
          <w:noProof/>
        </w:rPr>
        <w:drawing>
          <wp:inline distT="0" distB="0" distL="0" distR="0" wp14:anchorId="49DBA270" wp14:editId="09F38512">
            <wp:extent cx="4203907" cy="2386242"/>
            <wp:effectExtent l="0" t="0" r="6350" b="0"/>
            <wp:docPr id="1876362868" name="Picture 1876362868" descr="A picture containing text, line,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62868" name="Picture 1876362868" descr="A picture containing text, line, font, screenshot&#10;&#10;Description automatically generated"/>
                    <pic:cNvPicPr/>
                  </pic:nvPicPr>
                  <pic:blipFill>
                    <a:blip r:embed="rId12"/>
                    <a:stretch>
                      <a:fillRect/>
                    </a:stretch>
                  </pic:blipFill>
                  <pic:spPr>
                    <a:xfrm>
                      <a:off x="0" y="0"/>
                      <a:ext cx="4224848" cy="2398129"/>
                    </a:xfrm>
                    <a:prstGeom prst="rect">
                      <a:avLst/>
                    </a:prstGeom>
                  </pic:spPr>
                </pic:pic>
              </a:graphicData>
            </a:graphic>
          </wp:inline>
        </w:drawing>
      </w:r>
    </w:p>
    <w:p w14:paraId="36B44417" w14:textId="36D3DF94" w:rsidR="00867E05" w:rsidRPr="006635E2" w:rsidRDefault="00867E05" w:rsidP="006635E2">
      <w:pPr>
        <w:pStyle w:val="TableFigureFooter"/>
        <w:rPr>
          <w:snapToGrid/>
          <w:lang w:val="en-US" w:eastAsia="en-GB"/>
        </w:rPr>
      </w:pPr>
      <w:r w:rsidRPr="006635E2">
        <w:rPr>
          <w:snapToGrid/>
          <w:lang w:val="en-US" w:eastAsia="en-GB"/>
        </w:rPr>
        <w:t>Source: Figure 2.9, p99 of the submission</w:t>
      </w:r>
    </w:p>
    <w:p w14:paraId="08BBED26" w14:textId="7E255729" w:rsidR="00C20E78" w:rsidRDefault="00867E05" w:rsidP="00112280">
      <w:pPr>
        <w:pStyle w:val="TableFigureFooter"/>
        <w:rPr>
          <w:lang w:val="en-US" w:eastAsia="en-GB"/>
        </w:rPr>
      </w:pPr>
      <w:r>
        <w:rPr>
          <w:lang w:val="en-US" w:eastAsia="en-GB"/>
        </w:rPr>
        <w:t>Bd=twice daily;</w:t>
      </w:r>
      <w:r w:rsidR="001611B5">
        <w:rPr>
          <w:lang w:val="en-US" w:eastAsia="en-GB"/>
        </w:rPr>
        <w:t xml:space="preserve"> </w:t>
      </w:r>
      <w:r w:rsidR="00A41905" w:rsidRPr="00A41905">
        <w:rPr>
          <w:i/>
          <w:iCs/>
          <w:lang w:val="en-US" w:eastAsia="en-GB"/>
        </w:rPr>
        <w:t>BRCA</w:t>
      </w:r>
      <w:r w:rsidR="001611B5">
        <w:rPr>
          <w:lang w:val="en-US" w:eastAsia="en-GB"/>
        </w:rPr>
        <w:t>=breast cancer gene;</w:t>
      </w:r>
      <w:r>
        <w:rPr>
          <w:lang w:val="en-US" w:eastAsia="en-GB"/>
        </w:rPr>
        <w:t xml:space="preserve"> DCO=data cut off; q</w:t>
      </w:r>
      <w:r w:rsidRPr="002F3403">
        <w:rPr>
          <w:lang w:val="en-US" w:eastAsia="en-GB"/>
        </w:rPr>
        <w:t>d</w:t>
      </w:r>
      <w:r>
        <w:rPr>
          <w:lang w:val="en-US" w:eastAsia="en-GB"/>
        </w:rPr>
        <w:t>=</w:t>
      </w:r>
      <w:r w:rsidRPr="002F3403">
        <w:rPr>
          <w:lang w:val="en-US" w:eastAsia="en-GB"/>
        </w:rPr>
        <w:t>once daily</w:t>
      </w:r>
      <w:r w:rsidR="001611B5">
        <w:rPr>
          <w:lang w:val="en-US" w:eastAsia="en-GB"/>
        </w:rPr>
        <w:t>; OS=overall survival</w:t>
      </w:r>
      <w:r w:rsidRPr="002F3403">
        <w:rPr>
          <w:lang w:val="en-US" w:eastAsia="en-GB"/>
        </w:rPr>
        <w:t>.</w:t>
      </w:r>
    </w:p>
    <w:p w14:paraId="7D34EA78" w14:textId="69EB4F9D" w:rsidR="00956C34" w:rsidRDefault="00956C34" w:rsidP="00FE2E26">
      <w:pPr>
        <w:pStyle w:val="3-BodyText"/>
      </w:pPr>
      <w:r w:rsidRPr="00956C34">
        <w:t xml:space="preserve">Other </w:t>
      </w:r>
      <w:r>
        <w:t xml:space="preserve">secondary outcomes presented in the submission are summarised in </w:t>
      </w:r>
      <w:r>
        <w:fldChar w:fldCharType="begin" w:fldLock="1"/>
      </w:r>
      <w:r>
        <w:instrText xml:space="preserve"> REF _Ref142656977 \h </w:instrText>
      </w:r>
      <w:r>
        <w:fldChar w:fldCharType="separate"/>
      </w:r>
      <w:r w:rsidR="006F331F">
        <w:t xml:space="preserve">Table </w:t>
      </w:r>
      <w:r w:rsidR="006F331F">
        <w:rPr>
          <w:noProof/>
        </w:rPr>
        <w:t>5</w:t>
      </w:r>
      <w:r>
        <w:fldChar w:fldCharType="end"/>
      </w:r>
      <w:r>
        <w:t>.</w:t>
      </w:r>
      <w:r w:rsidR="004D028F">
        <w:t xml:space="preserve"> </w:t>
      </w:r>
    </w:p>
    <w:p w14:paraId="530D5127" w14:textId="016A06E0" w:rsidR="00956C34" w:rsidRDefault="00956C34" w:rsidP="00956C34">
      <w:pPr>
        <w:pStyle w:val="Caption"/>
      </w:pPr>
      <w:bookmarkStart w:id="29" w:name="_Ref142656977"/>
      <w:r>
        <w:lastRenderedPageBreak/>
        <w:t xml:space="preserve">Table </w:t>
      </w:r>
      <w:fldSimple w:instr=" SEQ Table \* ARABIC " w:fldLock="1">
        <w:r w:rsidR="006F331F">
          <w:rPr>
            <w:noProof/>
          </w:rPr>
          <w:t>5</w:t>
        </w:r>
      </w:fldSimple>
      <w:bookmarkEnd w:id="29"/>
      <w:r>
        <w:t>: Secondary outcomes in PROpel (</w:t>
      </w:r>
      <w:r w:rsidRPr="00864859">
        <w:t>DCO3: 12 October 2022</w:t>
      </w:r>
      <w:r>
        <w:t>)</w:t>
      </w:r>
    </w:p>
    <w:tbl>
      <w:tblPr>
        <w:tblStyle w:val="TableGrid"/>
        <w:tblW w:w="5000" w:type="pct"/>
        <w:tblCellMar>
          <w:left w:w="28" w:type="dxa"/>
          <w:right w:w="28" w:type="dxa"/>
        </w:tblCellMar>
        <w:tblLook w:val="04A0" w:firstRow="1" w:lastRow="0" w:firstColumn="1" w:lastColumn="0" w:noHBand="0" w:noVBand="1"/>
      </w:tblPr>
      <w:tblGrid>
        <w:gridCol w:w="2353"/>
        <w:gridCol w:w="1111"/>
        <w:gridCol w:w="1111"/>
        <w:gridCol w:w="1389"/>
        <w:gridCol w:w="1526"/>
        <w:gridCol w:w="1527"/>
      </w:tblGrid>
      <w:tr w:rsidR="00956C34" w:rsidRPr="006E5D78" w14:paraId="5F14C2A8" w14:textId="77777777" w:rsidTr="001E53B4">
        <w:trPr>
          <w:tblHeader/>
        </w:trPr>
        <w:tc>
          <w:tcPr>
            <w:tcW w:w="1305" w:type="pct"/>
            <w:vMerge w:val="restart"/>
            <w:shd w:val="clear" w:color="auto" w:fill="auto"/>
          </w:tcPr>
          <w:p w14:paraId="40EF1D6F" w14:textId="77777777" w:rsidR="00956C34" w:rsidRPr="00937DAB" w:rsidRDefault="00956C34" w:rsidP="001E53B4">
            <w:pPr>
              <w:keepNext/>
              <w:spacing w:before="10" w:after="10"/>
              <w:rPr>
                <w:rFonts w:ascii="Arial Narrow" w:hAnsi="Arial Narrow"/>
                <w:sz w:val="20"/>
                <w:szCs w:val="20"/>
                <w:lang w:eastAsia="en-US"/>
              </w:rPr>
            </w:pPr>
          </w:p>
        </w:tc>
        <w:tc>
          <w:tcPr>
            <w:tcW w:w="1232" w:type="pct"/>
            <w:gridSpan w:val="2"/>
            <w:shd w:val="clear" w:color="auto" w:fill="auto"/>
            <w:vAlign w:val="center"/>
          </w:tcPr>
          <w:p w14:paraId="3049041E" w14:textId="77777777" w:rsidR="00956C34" w:rsidRPr="00937DAB" w:rsidRDefault="00956C34" w:rsidP="001E53B4">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Number of events/total number of patients (%)</w:t>
            </w:r>
          </w:p>
        </w:tc>
        <w:tc>
          <w:tcPr>
            <w:tcW w:w="770" w:type="pct"/>
            <w:shd w:val="clear" w:color="auto" w:fill="auto"/>
            <w:vAlign w:val="center"/>
          </w:tcPr>
          <w:p w14:paraId="7C2FAFBD" w14:textId="77777777" w:rsidR="00956C34" w:rsidRPr="00937DAB" w:rsidRDefault="00956C34" w:rsidP="001E53B4">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HR (95% CI)</w:t>
            </w:r>
          </w:p>
        </w:tc>
        <w:tc>
          <w:tcPr>
            <w:tcW w:w="1693" w:type="pct"/>
            <w:gridSpan w:val="2"/>
            <w:shd w:val="clear" w:color="auto" w:fill="auto"/>
            <w:vAlign w:val="center"/>
          </w:tcPr>
          <w:p w14:paraId="4C75D261" w14:textId="77777777" w:rsidR="00956C34" w:rsidRPr="00937DAB" w:rsidRDefault="00956C34" w:rsidP="001E53B4">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Median duration (95% CI), months</w:t>
            </w:r>
          </w:p>
        </w:tc>
      </w:tr>
      <w:tr w:rsidR="00956C34" w:rsidRPr="006E5D78" w14:paraId="37AE15E7" w14:textId="77777777" w:rsidTr="001E53B4">
        <w:trPr>
          <w:tblHeader/>
        </w:trPr>
        <w:tc>
          <w:tcPr>
            <w:tcW w:w="1305" w:type="pct"/>
            <w:vMerge/>
            <w:shd w:val="clear" w:color="auto" w:fill="auto"/>
          </w:tcPr>
          <w:p w14:paraId="3A7C84B1" w14:textId="77777777" w:rsidR="00956C34" w:rsidRPr="00937DAB" w:rsidRDefault="00956C34" w:rsidP="001E53B4">
            <w:pPr>
              <w:keepNext/>
              <w:spacing w:before="10" w:after="10"/>
              <w:rPr>
                <w:rFonts w:ascii="Arial Narrow" w:hAnsi="Arial Narrow"/>
                <w:sz w:val="20"/>
                <w:szCs w:val="20"/>
                <w:lang w:eastAsia="en-US"/>
              </w:rPr>
            </w:pPr>
          </w:p>
        </w:tc>
        <w:tc>
          <w:tcPr>
            <w:tcW w:w="616" w:type="pct"/>
            <w:shd w:val="clear" w:color="auto" w:fill="auto"/>
            <w:vAlign w:val="center"/>
          </w:tcPr>
          <w:p w14:paraId="55FB5616" w14:textId="77777777" w:rsidR="00956C34" w:rsidRPr="00937DAB" w:rsidRDefault="00956C34" w:rsidP="001E53B4">
            <w:pPr>
              <w:keepNext/>
              <w:spacing w:before="10" w:after="10"/>
              <w:jc w:val="center"/>
              <w:rPr>
                <w:rFonts w:ascii="Arial Narrow" w:hAnsi="Arial Narrow"/>
                <w:b/>
                <w:sz w:val="20"/>
                <w:szCs w:val="20"/>
                <w:lang w:eastAsia="en-US"/>
              </w:rPr>
            </w:pPr>
            <w:r w:rsidRPr="00937DAB">
              <w:rPr>
                <w:rFonts w:ascii="Arial Narrow" w:hAnsi="Arial Narrow"/>
                <w:b/>
                <w:sz w:val="20"/>
                <w:szCs w:val="20"/>
                <w:lang w:eastAsia="en-US"/>
              </w:rPr>
              <w:t>OLA+ABI</w:t>
            </w:r>
          </w:p>
        </w:tc>
        <w:tc>
          <w:tcPr>
            <w:tcW w:w="616" w:type="pct"/>
            <w:shd w:val="clear" w:color="auto" w:fill="auto"/>
            <w:vAlign w:val="center"/>
          </w:tcPr>
          <w:p w14:paraId="26227764" w14:textId="77777777" w:rsidR="00956C34" w:rsidRPr="00937DAB" w:rsidRDefault="00956C34" w:rsidP="001E53B4">
            <w:pPr>
              <w:keepNext/>
              <w:spacing w:before="10" w:after="10"/>
              <w:jc w:val="center"/>
              <w:rPr>
                <w:rFonts w:ascii="Arial Narrow" w:hAnsi="Arial Narrow"/>
                <w:b/>
                <w:sz w:val="20"/>
                <w:szCs w:val="20"/>
                <w:lang w:eastAsia="en-US"/>
              </w:rPr>
            </w:pPr>
            <w:r w:rsidRPr="00937DAB">
              <w:rPr>
                <w:rFonts w:ascii="Arial Narrow" w:hAnsi="Arial Narrow"/>
                <w:b/>
                <w:sz w:val="20"/>
                <w:szCs w:val="20"/>
                <w:lang w:eastAsia="en-US"/>
              </w:rPr>
              <w:t>ABI</w:t>
            </w:r>
          </w:p>
        </w:tc>
        <w:tc>
          <w:tcPr>
            <w:tcW w:w="770" w:type="pct"/>
            <w:shd w:val="clear" w:color="auto" w:fill="auto"/>
            <w:vAlign w:val="center"/>
          </w:tcPr>
          <w:p w14:paraId="134AF24D" w14:textId="77777777" w:rsidR="00956C34" w:rsidRPr="00937DAB" w:rsidRDefault="00956C34" w:rsidP="001E53B4">
            <w:pPr>
              <w:keepNext/>
              <w:spacing w:before="10" w:after="10"/>
              <w:jc w:val="center"/>
              <w:rPr>
                <w:rFonts w:ascii="Arial Narrow" w:hAnsi="Arial Narrow"/>
                <w:b/>
                <w:sz w:val="20"/>
                <w:szCs w:val="20"/>
                <w:lang w:eastAsia="en-US"/>
              </w:rPr>
            </w:pPr>
            <w:r w:rsidRPr="00937DAB">
              <w:rPr>
                <w:rFonts w:ascii="Arial Narrow" w:hAnsi="Arial Narrow"/>
                <w:b/>
                <w:sz w:val="20"/>
                <w:szCs w:val="20"/>
                <w:lang w:eastAsia="en-US"/>
              </w:rPr>
              <w:t>HR</w:t>
            </w:r>
          </w:p>
        </w:tc>
        <w:tc>
          <w:tcPr>
            <w:tcW w:w="846" w:type="pct"/>
            <w:shd w:val="clear" w:color="auto" w:fill="auto"/>
            <w:vAlign w:val="center"/>
          </w:tcPr>
          <w:p w14:paraId="3D3E2593" w14:textId="77777777" w:rsidR="00956C34" w:rsidRPr="00937DAB" w:rsidRDefault="00956C34" w:rsidP="001E53B4">
            <w:pPr>
              <w:keepNext/>
              <w:spacing w:before="10" w:after="10"/>
              <w:jc w:val="center"/>
              <w:rPr>
                <w:rFonts w:ascii="Arial Narrow" w:hAnsi="Arial Narrow"/>
                <w:b/>
                <w:sz w:val="20"/>
                <w:szCs w:val="20"/>
                <w:lang w:eastAsia="en-US"/>
              </w:rPr>
            </w:pPr>
            <w:r w:rsidRPr="00937DAB">
              <w:rPr>
                <w:rFonts w:ascii="Arial Narrow" w:hAnsi="Arial Narrow"/>
                <w:b/>
                <w:sz w:val="20"/>
                <w:szCs w:val="20"/>
                <w:lang w:eastAsia="en-US"/>
              </w:rPr>
              <w:t>OLA+ABI</w:t>
            </w:r>
          </w:p>
        </w:tc>
        <w:tc>
          <w:tcPr>
            <w:tcW w:w="847" w:type="pct"/>
            <w:shd w:val="clear" w:color="auto" w:fill="auto"/>
            <w:vAlign w:val="center"/>
          </w:tcPr>
          <w:p w14:paraId="14345BAF" w14:textId="77777777" w:rsidR="00956C34" w:rsidRPr="00937DAB" w:rsidRDefault="00956C34" w:rsidP="001E53B4">
            <w:pPr>
              <w:keepNext/>
              <w:spacing w:before="10" w:after="10"/>
              <w:jc w:val="center"/>
              <w:rPr>
                <w:rFonts w:ascii="Arial Narrow" w:hAnsi="Arial Narrow"/>
                <w:b/>
                <w:sz w:val="20"/>
                <w:szCs w:val="20"/>
                <w:lang w:eastAsia="en-US"/>
              </w:rPr>
            </w:pPr>
            <w:r w:rsidRPr="00937DAB">
              <w:rPr>
                <w:rFonts w:ascii="Arial Narrow" w:hAnsi="Arial Narrow"/>
                <w:b/>
                <w:sz w:val="20"/>
                <w:szCs w:val="20"/>
                <w:lang w:eastAsia="en-US"/>
              </w:rPr>
              <w:t>ABI</w:t>
            </w:r>
          </w:p>
        </w:tc>
      </w:tr>
      <w:tr w:rsidR="00956C34" w:rsidRPr="006E5D78" w14:paraId="6C1CC05B" w14:textId="77777777" w:rsidTr="001E53B4">
        <w:tc>
          <w:tcPr>
            <w:tcW w:w="5000" w:type="pct"/>
            <w:gridSpan w:val="6"/>
            <w:shd w:val="clear" w:color="auto" w:fill="auto"/>
            <w:vAlign w:val="center"/>
          </w:tcPr>
          <w:p w14:paraId="2C8B03C7" w14:textId="77777777" w:rsidR="00956C34" w:rsidRPr="00937DAB" w:rsidRDefault="00956C34" w:rsidP="001E53B4">
            <w:pPr>
              <w:keepNext/>
              <w:spacing w:before="10" w:after="10"/>
              <w:rPr>
                <w:rFonts w:ascii="Arial Narrow" w:hAnsi="Arial Narrow"/>
                <w:sz w:val="20"/>
                <w:szCs w:val="20"/>
                <w:lang w:eastAsia="en-US"/>
              </w:rPr>
            </w:pPr>
            <w:r w:rsidRPr="00937DAB">
              <w:rPr>
                <w:rFonts w:ascii="Arial Narrow" w:hAnsi="Arial Narrow"/>
                <w:b/>
                <w:sz w:val="20"/>
                <w:szCs w:val="20"/>
              </w:rPr>
              <w:t xml:space="preserve">Time to first subsequent therapy or death (TFST) </w:t>
            </w:r>
          </w:p>
        </w:tc>
      </w:tr>
      <w:tr w:rsidR="002608B9" w:rsidRPr="006E5D78" w14:paraId="0AA5F1F3" w14:textId="77777777" w:rsidTr="007C6AE3">
        <w:tc>
          <w:tcPr>
            <w:tcW w:w="1305" w:type="pct"/>
            <w:shd w:val="clear" w:color="auto" w:fill="auto"/>
          </w:tcPr>
          <w:p w14:paraId="260C65CF" w14:textId="77777777" w:rsidR="002608B9" w:rsidRPr="00937DAB" w:rsidRDefault="002608B9" w:rsidP="002608B9">
            <w:pPr>
              <w:keepNext/>
              <w:spacing w:before="10" w:after="10"/>
              <w:rPr>
                <w:rFonts w:ascii="Arial Narrow" w:hAnsi="Arial Narrow"/>
                <w:sz w:val="20"/>
                <w:szCs w:val="20"/>
                <w:lang w:eastAsia="en-US"/>
              </w:rPr>
            </w:pPr>
            <w:r w:rsidRPr="00937DAB">
              <w:rPr>
                <w:rFonts w:ascii="Arial Narrow" w:hAnsi="Arial Narrow"/>
                <w:sz w:val="20"/>
                <w:szCs w:val="20"/>
                <w:lang w:eastAsia="en-US"/>
              </w:rPr>
              <w:t>ITT</w:t>
            </w:r>
          </w:p>
        </w:tc>
        <w:tc>
          <w:tcPr>
            <w:tcW w:w="616" w:type="pct"/>
            <w:shd w:val="clear" w:color="auto" w:fill="auto"/>
          </w:tcPr>
          <w:p w14:paraId="44AA8EB1" w14:textId="56D82064" w:rsidR="002608B9" w:rsidRPr="00937DAB" w:rsidRDefault="002608B9" w:rsidP="002608B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225 (63.9)</w:t>
            </w:r>
          </w:p>
        </w:tc>
        <w:tc>
          <w:tcPr>
            <w:tcW w:w="616" w:type="pct"/>
            <w:shd w:val="clear" w:color="auto" w:fill="auto"/>
          </w:tcPr>
          <w:p w14:paraId="5E30E3A2" w14:textId="3C5F70C6" w:rsidR="002608B9" w:rsidRPr="00937DAB" w:rsidRDefault="002608B9" w:rsidP="002608B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285 (71.8)</w:t>
            </w:r>
          </w:p>
        </w:tc>
        <w:tc>
          <w:tcPr>
            <w:tcW w:w="770" w:type="pct"/>
            <w:shd w:val="clear" w:color="auto" w:fill="auto"/>
            <w:vAlign w:val="center"/>
          </w:tcPr>
          <w:p w14:paraId="149994B2" w14:textId="34762A9B" w:rsidR="002608B9" w:rsidRPr="00937DAB" w:rsidRDefault="002608B9" w:rsidP="002608B9">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0.76 (0.64, 0.90)</w:t>
            </w:r>
          </w:p>
        </w:tc>
        <w:tc>
          <w:tcPr>
            <w:tcW w:w="846" w:type="pct"/>
            <w:shd w:val="clear" w:color="auto" w:fill="auto"/>
            <w:vAlign w:val="center"/>
          </w:tcPr>
          <w:p w14:paraId="62EA3825" w14:textId="344D4B82" w:rsidR="002608B9" w:rsidRPr="00937DAB" w:rsidRDefault="002608B9" w:rsidP="002608B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24.6 (21.1, 28.5)</w:t>
            </w:r>
          </w:p>
        </w:tc>
        <w:tc>
          <w:tcPr>
            <w:tcW w:w="847" w:type="pct"/>
            <w:shd w:val="clear" w:color="auto" w:fill="auto"/>
            <w:vAlign w:val="center"/>
          </w:tcPr>
          <w:p w14:paraId="4E78C838" w14:textId="145693D8" w:rsidR="002608B9" w:rsidRPr="00937DAB" w:rsidRDefault="002608B9" w:rsidP="002608B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19.4 (17.0, 21.1)</w:t>
            </w:r>
          </w:p>
        </w:tc>
      </w:tr>
      <w:tr w:rsidR="00956C34" w:rsidRPr="006E5D78" w14:paraId="15FDED65" w14:textId="77777777" w:rsidTr="001E53B4">
        <w:tc>
          <w:tcPr>
            <w:tcW w:w="1305" w:type="pct"/>
            <w:tcBorders>
              <w:bottom w:val="nil"/>
            </w:tcBorders>
            <w:shd w:val="clear" w:color="auto" w:fill="auto"/>
          </w:tcPr>
          <w:p w14:paraId="1B3FB672" w14:textId="53E0D630" w:rsidR="00956C34" w:rsidRPr="00937DAB" w:rsidRDefault="006C3ED1" w:rsidP="001E53B4">
            <w:pPr>
              <w:keepNext/>
              <w:spacing w:before="10" w:after="10"/>
              <w:rPr>
                <w:rFonts w:ascii="Arial Narrow" w:hAnsi="Arial Narrow"/>
                <w:sz w:val="20"/>
                <w:szCs w:val="20"/>
                <w:lang w:eastAsia="en-US"/>
              </w:rPr>
            </w:pPr>
            <w:r w:rsidRPr="00937DAB">
              <w:rPr>
                <w:rFonts w:ascii="Arial Narrow" w:hAnsi="Arial Narrow"/>
                <w:i/>
                <w:iCs/>
                <w:sz w:val="20"/>
                <w:szCs w:val="20"/>
                <w:lang w:eastAsia="en-US"/>
              </w:rPr>
              <w:t>BRCA1/2</w:t>
            </w:r>
          </w:p>
        </w:tc>
        <w:tc>
          <w:tcPr>
            <w:tcW w:w="616" w:type="pct"/>
            <w:tcBorders>
              <w:bottom w:val="nil"/>
            </w:tcBorders>
            <w:shd w:val="clear" w:color="auto" w:fill="auto"/>
            <w:vAlign w:val="center"/>
          </w:tcPr>
          <w:p w14:paraId="7646EB9B"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24 (51.1)</w:t>
            </w:r>
          </w:p>
        </w:tc>
        <w:tc>
          <w:tcPr>
            <w:tcW w:w="616" w:type="pct"/>
            <w:tcBorders>
              <w:bottom w:val="nil"/>
            </w:tcBorders>
            <w:shd w:val="clear" w:color="auto" w:fill="auto"/>
            <w:vAlign w:val="center"/>
          </w:tcPr>
          <w:p w14:paraId="19C9A25B"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30 (78.9)</w:t>
            </w:r>
          </w:p>
        </w:tc>
        <w:tc>
          <w:tcPr>
            <w:tcW w:w="770" w:type="pct"/>
            <w:tcBorders>
              <w:bottom w:val="nil"/>
            </w:tcBorders>
            <w:shd w:val="clear" w:color="auto" w:fill="auto"/>
            <w:vAlign w:val="center"/>
          </w:tcPr>
          <w:p w14:paraId="67663913" w14:textId="77777777" w:rsidR="00956C34" w:rsidRPr="00937DAB" w:rsidRDefault="00956C34" w:rsidP="001E53B4">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0.35 (0.21, 0.61)</w:t>
            </w:r>
          </w:p>
        </w:tc>
        <w:tc>
          <w:tcPr>
            <w:tcW w:w="846" w:type="pct"/>
            <w:tcBorders>
              <w:bottom w:val="nil"/>
            </w:tcBorders>
            <w:shd w:val="clear" w:color="auto" w:fill="auto"/>
            <w:vAlign w:val="center"/>
          </w:tcPr>
          <w:p w14:paraId="57A87AB2"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37.39</w:t>
            </w:r>
          </w:p>
        </w:tc>
        <w:tc>
          <w:tcPr>
            <w:tcW w:w="847" w:type="pct"/>
            <w:tcBorders>
              <w:bottom w:val="nil"/>
            </w:tcBorders>
            <w:shd w:val="clear" w:color="auto" w:fill="auto"/>
            <w:vAlign w:val="center"/>
          </w:tcPr>
          <w:p w14:paraId="7577F4F9"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14.75</w:t>
            </w:r>
          </w:p>
        </w:tc>
      </w:tr>
      <w:tr w:rsidR="00956C34" w:rsidRPr="00F42F4E" w14:paraId="70FE6109" w14:textId="77777777" w:rsidTr="001E53B4">
        <w:tc>
          <w:tcPr>
            <w:tcW w:w="1305" w:type="pct"/>
            <w:shd w:val="clear" w:color="auto" w:fill="auto"/>
          </w:tcPr>
          <w:p w14:paraId="4988F5C3" w14:textId="596E8B64" w:rsidR="00956C34" w:rsidRPr="00937DAB" w:rsidRDefault="00A41905" w:rsidP="001E53B4">
            <w:pPr>
              <w:keepNext/>
              <w:spacing w:before="10" w:after="10"/>
              <w:rPr>
                <w:rFonts w:ascii="Arial Narrow" w:hAnsi="Arial Narrow"/>
                <w:sz w:val="20"/>
                <w:szCs w:val="20"/>
                <w:vertAlign w:val="superscript"/>
                <w:lang w:eastAsia="en-US"/>
              </w:rPr>
            </w:pPr>
            <w:r w:rsidRPr="00937DAB">
              <w:rPr>
                <w:rFonts w:ascii="Arial Narrow" w:hAnsi="Arial Narrow"/>
                <w:i/>
                <w:iCs/>
                <w:sz w:val="20"/>
                <w:szCs w:val="20"/>
                <w:lang w:eastAsia="en-US"/>
              </w:rPr>
              <w:t>BRCA</w:t>
            </w:r>
            <w:r w:rsidR="00956C34" w:rsidRPr="00937DAB">
              <w:rPr>
                <w:rFonts w:ascii="Arial Narrow" w:hAnsi="Arial Narrow"/>
                <w:sz w:val="20"/>
                <w:szCs w:val="20"/>
                <w:lang w:eastAsia="en-US"/>
              </w:rPr>
              <w:t>wt</w:t>
            </w:r>
          </w:p>
        </w:tc>
        <w:tc>
          <w:tcPr>
            <w:tcW w:w="616" w:type="pct"/>
            <w:shd w:val="clear" w:color="auto" w:fill="auto"/>
            <w:vAlign w:val="center"/>
          </w:tcPr>
          <w:p w14:paraId="26490AEA"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224 (65.3)</w:t>
            </w:r>
          </w:p>
        </w:tc>
        <w:tc>
          <w:tcPr>
            <w:tcW w:w="616" w:type="pct"/>
            <w:shd w:val="clear" w:color="auto" w:fill="auto"/>
            <w:vAlign w:val="center"/>
          </w:tcPr>
          <w:p w14:paraId="5B347B03"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250 (71.4)</w:t>
            </w:r>
          </w:p>
        </w:tc>
        <w:tc>
          <w:tcPr>
            <w:tcW w:w="770" w:type="pct"/>
            <w:shd w:val="clear" w:color="auto" w:fill="auto"/>
            <w:vAlign w:val="center"/>
          </w:tcPr>
          <w:p w14:paraId="0760114A"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0.84 (0.70, 1.01)</w:t>
            </w:r>
          </w:p>
        </w:tc>
        <w:tc>
          <w:tcPr>
            <w:tcW w:w="846" w:type="pct"/>
            <w:shd w:val="clear" w:color="auto" w:fill="auto"/>
            <w:vAlign w:val="center"/>
          </w:tcPr>
          <w:p w14:paraId="0B83E647"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23.95</w:t>
            </w:r>
          </w:p>
        </w:tc>
        <w:tc>
          <w:tcPr>
            <w:tcW w:w="847" w:type="pct"/>
            <w:shd w:val="clear" w:color="auto" w:fill="auto"/>
            <w:vAlign w:val="center"/>
          </w:tcPr>
          <w:p w14:paraId="5E25F394"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19.91</w:t>
            </w:r>
          </w:p>
        </w:tc>
      </w:tr>
      <w:tr w:rsidR="00956C34" w:rsidRPr="006E5D78" w14:paraId="71D774AC" w14:textId="77777777" w:rsidTr="001E53B4">
        <w:tc>
          <w:tcPr>
            <w:tcW w:w="5000" w:type="pct"/>
            <w:gridSpan w:val="6"/>
            <w:shd w:val="clear" w:color="auto" w:fill="auto"/>
          </w:tcPr>
          <w:p w14:paraId="69DD822A" w14:textId="77777777" w:rsidR="00956C34" w:rsidRPr="00937DAB" w:rsidRDefault="00956C34" w:rsidP="001E53B4">
            <w:pPr>
              <w:keepNext/>
              <w:spacing w:before="10" w:after="10"/>
              <w:rPr>
                <w:rFonts w:ascii="Arial Narrow" w:hAnsi="Arial Narrow"/>
                <w:b/>
                <w:bCs/>
                <w:sz w:val="20"/>
                <w:szCs w:val="20"/>
                <w:lang w:eastAsia="en-US"/>
              </w:rPr>
            </w:pPr>
            <w:bookmarkStart w:id="30" w:name="_Hlk141106914"/>
            <w:r w:rsidRPr="00937DAB">
              <w:rPr>
                <w:rFonts w:ascii="Arial Narrow" w:hAnsi="Arial Narrow"/>
                <w:b/>
                <w:bCs/>
                <w:sz w:val="20"/>
                <w:szCs w:val="20"/>
                <w:lang w:eastAsia="en-US"/>
              </w:rPr>
              <w:t>Time from randomisation to second progression or death (PFS2)</w:t>
            </w:r>
          </w:p>
        </w:tc>
      </w:tr>
      <w:bookmarkEnd w:id="30"/>
      <w:tr w:rsidR="00A176F9" w:rsidRPr="006E5D78" w14:paraId="3D83987E" w14:textId="77777777" w:rsidTr="00A176F9">
        <w:tc>
          <w:tcPr>
            <w:tcW w:w="1305" w:type="pct"/>
            <w:shd w:val="clear" w:color="auto" w:fill="auto"/>
          </w:tcPr>
          <w:p w14:paraId="71A3EE81" w14:textId="77777777" w:rsidR="00A176F9" w:rsidRPr="00937DAB" w:rsidRDefault="00A176F9" w:rsidP="00A176F9">
            <w:pPr>
              <w:keepNext/>
              <w:spacing w:before="10" w:after="10"/>
              <w:rPr>
                <w:rFonts w:ascii="Arial Narrow" w:hAnsi="Arial Narrow"/>
                <w:sz w:val="20"/>
                <w:szCs w:val="20"/>
                <w:lang w:eastAsia="en-US"/>
              </w:rPr>
            </w:pPr>
            <w:r w:rsidRPr="00937DAB">
              <w:rPr>
                <w:rFonts w:ascii="Arial Narrow" w:hAnsi="Arial Narrow"/>
                <w:sz w:val="20"/>
                <w:szCs w:val="20"/>
                <w:lang w:eastAsia="en-US"/>
              </w:rPr>
              <w:t>ITT</w:t>
            </w:r>
          </w:p>
        </w:tc>
        <w:tc>
          <w:tcPr>
            <w:tcW w:w="616" w:type="pct"/>
            <w:shd w:val="clear" w:color="auto" w:fill="auto"/>
          </w:tcPr>
          <w:p w14:paraId="3901CD2A" w14:textId="5872823C" w:rsidR="00A176F9" w:rsidRPr="00937DAB" w:rsidRDefault="00A176F9" w:rsidP="00A176F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103 (25.8)</w:t>
            </w:r>
          </w:p>
        </w:tc>
        <w:tc>
          <w:tcPr>
            <w:tcW w:w="616" w:type="pct"/>
            <w:shd w:val="clear" w:color="auto" w:fill="auto"/>
          </w:tcPr>
          <w:p w14:paraId="1528994E" w14:textId="3BFB1D8D" w:rsidR="00A176F9" w:rsidRPr="00937DAB" w:rsidRDefault="00A176F9" w:rsidP="00A176F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126 (31.7)</w:t>
            </w:r>
          </w:p>
        </w:tc>
        <w:tc>
          <w:tcPr>
            <w:tcW w:w="770" w:type="pct"/>
            <w:shd w:val="clear" w:color="auto" w:fill="auto"/>
          </w:tcPr>
          <w:p w14:paraId="518DFF08" w14:textId="2BA97753" w:rsidR="00A176F9" w:rsidRPr="00937DAB" w:rsidRDefault="00A176F9" w:rsidP="00A176F9">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0.76 (0.59, 0.99)</w:t>
            </w:r>
          </w:p>
        </w:tc>
        <w:tc>
          <w:tcPr>
            <w:tcW w:w="846" w:type="pct"/>
            <w:shd w:val="clear" w:color="auto" w:fill="auto"/>
          </w:tcPr>
          <w:p w14:paraId="4F7DAA80" w14:textId="1F538179" w:rsidR="00A176F9" w:rsidRPr="00937DAB" w:rsidRDefault="00A176F9" w:rsidP="00A176F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c>
          <w:tcPr>
            <w:tcW w:w="847" w:type="pct"/>
            <w:shd w:val="clear" w:color="auto" w:fill="auto"/>
          </w:tcPr>
          <w:p w14:paraId="2302CD1D" w14:textId="619ABC06" w:rsidR="00A176F9" w:rsidRPr="00937DAB" w:rsidRDefault="00A176F9" w:rsidP="00A176F9">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r>
      <w:tr w:rsidR="00956C34" w:rsidRPr="006E5D78" w14:paraId="3AD27B07" w14:textId="77777777" w:rsidTr="001E53B4">
        <w:tc>
          <w:tcPr>
            <w:tcW w:w="1305" w:type="pct"/>
            <w:shd w:val="clear" w:color="auto" w:fill="auto"/>
          </w:tcPr>
          <w:p w14:paraId="7C7DF422" w14:textId="71E2F3CB" w:rsidR="00956C34" w:rsidRPr="00937DAB" w:rsidRDefault="006C3ED1" w:rsidP="001E53B4">
            <w:pPr>
              <w:keepNext/>
              <w:spacing w:before="10" w:after="10"/>
              <w:rPr>
                <w:rFonts w:ascii="Arial Narrow" w:hAnsi="Arial Narrow"/>
                <w:sz w:val="20"/>
                <w:szCs w:val="20"/>
                <w:lang w:eastAsia="en-US"/>
              </w:rPr>
            </w:pPr>
            <w:r w:rsidRPr="00937DAB">
              <w:rPr>
                <w:rFonts w:ascii="Arial Narrow" w:hAnsi="Arial Narrow"/>
                <w:i/>
                <w:iCs/>
                <w:sz w:val="20"/>
                <w:szCs w:val="20"/>
                <w:lang w:eastAsia="en-US"/>
              </w:rPr>
              <w:t>BRCA1/2</w:t>
            </w:r>
          </w:p>
        </w:tc>
        <w:tc>
          <w:tcPr>
            <w:tcW w:w="616" w:type="pct"/>
            <w:shd w:val="clear" w:color="auto" w:fill="auto"/>
            <w:vAlign w:val="center"/>
          </w:tcPr>
          <w:p w14:paraId="070BBECE"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9 (19.1)</w:t>
            </w:r>
          </w:p>
        </w:tc>
        <w:tc>
          <w:tcPr>
            <w:tcW w:w="616" w:type="pct"/>
            <w:shd w:val="clear" w:color="auto" w:fill="auto"/>
            <w:vAlign w:val="center"/>
          </w:tcPr>
          <w:p w14:paraId="68A3A173"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15 (39.5)</w:t>
            </w:r>
          </w:p>
        </w:tc>
        <w:tc>
          <w:tcPr>
            <w:tcW w:w="770" w:type="pct"/>
            <w:shd w:val="clear" w:color="auto" w:fill="auto"/>
            <w:vAlign w:val="center"/>
          </w:tcPr>
          <w:p w14:paraId="6875B6F4" w14:textId="77777777" w:rsidR="00956C34" w:rsidRPr="00937DAB" w:rsidRDefault="00956C34" w:rsidP="001E53B4">
            <w:pPr>
              <w:keepNext/>
              <w:spacing w:before="10" w:after="10"/>
              <w:jc w:val="center"/>
              <w:rPr>
                <w:rFonts w:ascii="Arial Narrow" w:hAnsi="Arial Narrow"/>
                <w:b/>
                <w:bCs/>
                <w:sz w:val="20"/>
                <w:szCs w:val="20"/>
                <w:lang w:eastAsia="en-US"/>
              </w:rPr>
            </w:pPr>
            <w:r w:rsidRPr="00937DAB">
              <w:rPr>
                <w:rFonts w:ascii="Arial Narrow" w:hAnsi="Arial Narrow"/>
                <w:b/>
                <w:bCs/>
                <w:sz w:val="20"/>
                <w:szCs w:val="20"/>
                <w:lang w:eastAsia="en-US"/>
              </w:rPr>
              <w:t>0.31 (0.13, 0.69)</w:t>
            </w:r>
          </w:p>
        </w:tc>
        <w:tc>
          <w:tcPr>
            <w:tcW w:w="846" w:type="pct"/>
            <w:shd w:val="clear" w:color="auto" w:fill="auto"/>
            <w:vAlign w:val="center"/>
          </w:tcPr>
          <w:p w14:paraId="06F8AA5A"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c>
          <w:tcPr>
            <w:tcW w:w="847" w:type="pct"/>
            <w:shd w:val="clear" w:color="auto" w:fill="auto"/>
            <w:vAlign w:val="center"/>
          </w:tcPr>
          <w:p w14:paraId="0CABEDE7"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22.97</w:t>
            </w:r>
          </w:p>
        </w:tc>
      </w:tr>
      <w:tr w:rsidR="00956C34" w:rsidRPr="006E5D78" w14:paraId="1320079F" w14:textId="77777777" w:rsidTr="001E53B4">
        <w:tc>
          <w:tcPr>
            <w:tcW w:w="1305" w:type="pct"/>
            <w:shd w:val="clear" w:color="auto" w:fill="auto"/>
          </w:tcPr>
          <w:p w14:paraId="37C699A7" w14:textId="0E0178CC" w:rsidR="00956C34" w:rsidRPr="00937DAB" w:rsidRDefault="00A41905" w:rsidP="001E53B4">
            <w:pPr>
              <w:keepNext/>
              <w:spacing w:before="10" w:after="10"/>
              <w:rPr>
                <w:rFonts w:ascii="Arial Narrow" w:hAnsi="Arial Narrow"/>
                <w:sz w:val="20"/>
                <w:szCs w:val="20"/>
                <w:lang w:eastAsia="en-US"/>
              </w:rPr>
            </w:pPr>
            <w:r w:rsidRPr="00937DAB">
              <w:rPr>
                <w:rFonts w:ascii="Arial Narrow" w:hAnsi="Arial Narrow"/>
                <w:i/>
                <w:iCs/>
                <w:sz w:val="20"/>
                <w:szCs w:val="20"/>
                <w:lang w:eastAsia="en-US"/>
              </w:rPr>
              <w:t>BRCA</w:t>
            </w:r>
            <w:r w:rsidR="00956C34" w:rsidRPr="00937DAB">
              <w:rPr>
                <w:rFonts w:ascii="Arial Narrow" w:hAnsi="Arial Narrow"/>
                <w:sz w:val="20"/>
                <w:szCs w:val="20"/>
                <w:lang w:eastAsia="en-US"/>
              </w:rPr>
              <w:t>wt</w:t>
            </w:r>
          </w:p>
        </w:tc>
        <w:tc>
          <w:tcPr>
            <w:tcW w:w="616" w:type="pct"/>
            <w:shd w:val="clear" w:color="auto" w:fill="auto"/>
            <w:vAlign w:val="center"/>
          </w:tcPr>
          <w:p w14:paraId="59017AE7"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92 (26.8)</w:t>
            </w:r>
          </w:p>
        </w:tc>
        <w:tc>
          <w:tcPr>
            <w:tcW w:w="616" w:type="pct"/>
            <w:shd w:val="clear" w:color="auto" w:fill="auto"/>
            <w:vAlign w:val="center"/>
          </w:tcPr>
          <w:p w14:paraId="28D4C497"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108 (30.9)</w:t>
            </w:r>
          </w:p>
        </w:tc>
        <w:tc>
          <w:tcPr>
            <w:tcW w:w="770" w:type="pct"/>
            <w:shd w:val="clear" w:color="auto" w:fill="auto"/>
            <w:vAlign w:val="center"/>
          </w:tcPr>
          <w:p w14:paraId="05869213"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0.86 (0.65, 1.14)</w:t>
            </w:r>
          </w:p>
        </w:tc>
        <w:tc>
          <w:tcPr>
            <w:tcW w:w="846" w:type="pct"/>
            <w:shd w:val="clear" w:color="auto" w:fill="auto"/>
          </w:tcPr>
          <w:p w14:paraId="169EA5BE"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c>
          <w:tcPr>
            <w:tcW w:w="847" w:type="pct"/>
            <w:shd w:val="clear" w:color="auto" w:fill="auto"/>
          </w:tcPr>
          <w:p w14:paraId="5F491E66"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r>
      <w:tr w:rsidR="00956C34" w:rsidRPr="006E5D78" w14:paraId="49BA9188" w14:textId="77777777" w:rsidTr="001E53B4">
        <w:tc>
          <w:tcPr>
            <w:tcW w:w="5000" w:type="pct"/>
            <w:gridSpan w:val="6"/>
            <w:shd w:val="clear" w:color="auto" w:fill="auto"/>
          </w:tcPr>
          <w:p w14:paraId="4ED12D10" w14:textId="77777777" w:rsidR="00956C34" w:rsidRPr="00937DAB" w:rsidRDefault="00956C34" w:rsidP="001E53B4">
            <w:pPr>
              <w:keepNext/>
              <w:spacing w:before="10" w:after="10"/>
              <w:rPr>
                <w:rFonts w:ascii="Arial Narrow" w:hAnsi="Arial Narrow"/>
                <w:b/>
                <w:bCs/>
                <w:sz w:val="20"/>
                <w:szCs w:val="20"/>
                <w:lang w:eastAsia="en-US"/>
              </w:rPr>
            </w:pPr>
            <w:r w:rsidRPr="00937DAB">
              <w:rPr>
                <w:rFonts w:ascii="Arial Narrow" w:hAnsi="Arial Narrow"/>
                <w:b/>
                <w:bCs/>
                <w:sz w:val="20"/>
                <w:szCs w:val="20"/>
                <w:lang w:eastAsia="en-US"/>
              </w:rPr>
              <w:t xml:space="preserve">Time to first symptomatic skeletal-related event (SSRE) </w:t>
            </w:r>
          </w:p>
        </w:tc>
      </w:tr>
      <w:tr w:rsidR="00956C34" w:rsidRPr="006E5D78" w14:paraId="330BF05B" w14:textId="77777777" w:rsidTr="001E53B4">
        <w:tc>
          <w:tcPr>
            <w:tcW w:w="1305" w:type="pct"/>
            <w:shd w:val="clear" w:color="auto" w:fill="auto"/>
          </w:tcPr>
          <w:p w14:paraId="156DFCA1" w14:textId="77777777" w:rsidR="00956C34" w:rsidRPr="00937DAB" w:rsidRDefault="00956C34" w:rsidP="001E53B4">
            <w:pPr>
              <w:keepNext/>
              <w:spacing w:before="10" w:after="10"/>
              <w:rPr>
                <w:rFonts w:ascii="Arial Narrow" w:hAnsi="Arial Narrow"/>
                <w:sz w:val="20"/>
                <w:szCs w:val="20"/>
                <w:lang w:eastAsia="en-US"/>
              </w:rPr>
            </w:pPr>
            <w:r w:rsidRPr="00937DAB">
              <w:rPr>
                <w:rFonts w:ascii="Arial Narrow" w:hAnsi="Arial Narrow"/>
                <w:sz w:val="20"/>
                <w:szCs w:val="20"/>
                <w:lang w:eastAsia="en-US"/>
              </w:rPr>
              <w:t>ITT</w:t>
            </w:r>
          </w:p>
        </w:tc>
        <w:tc>
          <w:tcPr>
            <w:tcW w:w="616" w:type="pct"/>
            <w:shd w:val="clear" w:color="auto" w:fill="auto"/>
          </w:tcPr>
          <w:p w14:paraId="37816762"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46 (11.5)</w:t>
            </w:r>
          </w:p>
        </w:tc>
        <w:tc>
          <w:tcPr>
            <w:tcW w:w="616" w:type="pct"/>
            <w:shd w:val="clear" w:color="auto" w:fill="auto"/>
          </w:tcPr>
          <w:p w14:paraId="7A67EB99"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51 (12.8)</w:t>
            </w:r>
          </w:p>
        </w:tc>
        <w:tc>
          <w:tcPr>
            <w:tcW w:w="770" w:type="pct"/>
            <w:shd w:val="clear" w:color="auto" w:fill="auto"/>
            <w:vAlign w:val="center"/>
          </w:tcPr>
          <w:p w14:paraId="7FC633FB"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0.82 (0.55, 1.22)</w:t>
            </w:r>
          </w:p>
        </w:tc>
        <w:tc>
          <w:tcPr>
            <w:tcW w:w="846" w:type="pct"/>
            <w:shd w:val="clear" w:color="auto" w:fill="auto"/>
          </w:tcPr>
          <w:p w14:paraId="71C5177F"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c>
          <w:tcPr>
            <w:tcW w:w="847" w:type="pct"/>
            <w:shd w:val="clear" w:color="auto" w:fill="auto"/>
          </w:tcPr>
          <w:p w14:paraId="312351F5"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NE</w:t>
            </w:r>
          </w:p>
        </w:tc>
      </w:tr>
      <w:tr w:rsidR="00956C34" w:rsidRPr="006E5D78" w14:paraId="00DCE957" w14:textId="77777777" w:rsidTr="001E53B4">
        <w:tc>
          <w:tcPr>
            <w:tcW w:w="1305" w:type="pct"/>
            <w:shd w:val="clear" w:color="auto" w:fill="auto"/>
          </w:tcPr>
          <w:p w14:paraId="6C10B06B" w14:textId="30B32E90" w:rsidR="00956C34" w:rsidRPr="00937DAB" w:rsidRDefault="006C3ED1" w:rsidP="001E53B4">
            <w:pPr>
              <w:keepNext/>
              <w:spacing w:before="10" w:after="10"/>
              <w:rPr>
                <w:rFonts w:ascii="Arial Narrow" w:hAnsi="Arial Narrow"/>
                <w:sz w:val="20"/>
                <w:szCs w:val="20"/>
                <w:lang w:eastAsia="en-US"/>
              </w:rPr>
            </w:pPr>
            <w:r w:rsidRPr="00937DAB">
              <w:rPr>
                <w:rFonts w:ascii="Arial Narrow" w:hAnsi="Arial Narrow"/>
                <w:i/>
                <w:iCs/>
                <w:sz w:val="20"/>
                <w:szCs w:val="20"/>
                <w:lang w:eastAsia="en-US"/>
              </w:rPr>
              <w:t>BRCA1/2</w:t>
            </w:r>
          </w:p>
        </w:tc>
        <w:tc>
          <w:tcPr>
            <w:tcW w:w="616" w:type="pct"/>
            <w:shd w:val="clear" w:color="auto" w:fill="auto"/>
            <w:vAlign w:val="center"/>
          </w:tcPr>
          <w:p w14:paraId="574CDF26"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616" w:type="pct"/>
            <w:shd w:val="clear" w:color="auto" w:fill="auto"/>
          </w:tcPr>
          <w:p w14:paraId="3B198C66"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770" w:type="pct"/>
            <w:shd w:val="clear" w:color="auto" w:fill="auto"/>
          </w:tcPr>
          <w:p w14:paraId="5E2BE57E"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846" w:type="pct"/>
            <w:shd w:val="clear" w:color="auto" w:fill="auto"/>
          </w:tcPr>
          <w:p w14:paraId="550FF4B4"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847" w:type="pct"/>
            <w:shd w:val="clear" w:color="auto" w:fill="auto"/>
          </w:tcPr>
          <w:p w14:paraId="602B86BD"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r>
      <w:tr w:rsidR="00956C34" w:rsidRPr="006E5D78" w14:paraId="57BC1023" w14:textId="77777777" w:rsidTr="001E53B4">
        <w:tc>
          <w:tcPr>
            <w:tcW w:w="1305" w:type="pct"/>
            <w:shd w:val="clear" w:color="auto" w:fill="auto"/>
          </w:tcPr>
          <w:p w14:paraId="35F05891" w14:textId="25808BFE" w:rsidR="00956C34" w:rsidRPr="00937DAB" w:rsidRDefault="00A41905" w:rsidP="001E53B4">
            <w:pPr>
              <w:keepNext/>
              <w:spacing w:before="10" w:after="10"/>
              <w:rPr>
                <w:rFonts w:ascii="Arial Narrow" w:hAnsi="Arial Narrow"/>
                <w:sz w:val="20"/>
                <w:szCs w:val="20"/>
                <w:lang w:eastAsia="en-US"/>
              </w:rPr>
            </w:pPr>
            <w:r w:rsidRPr="00937DAB">
              <w:rPr>
                <w:rFonts w:ascii="Arial Narrow" w:hAnsi="Arial Narrow"/>
                <w:i/>
                <w:iCs/>
                <w:sz w:val="20"/>
                <w:szCs w:val="20"/>
                <w:lang w:eastAsia="en-US"/>
              </w:rPr>
              <w:t>BRCA</w:t>
            </w:r>
            <w:r w:rsidR="00956C34" w:rsidRPr="00937DAB">
              <w:rPr>
                <w:rFonts w:ascii="Arial Narrow" w:hAnsi="Arial Narrow"/>
                <w:sz w:val="20"/>
                <w:szCs w:val="20"/>
                <w:lang w:eastAsia="en-US"/>
              </w:rPr>
              <w:t>wt</w:t>
            </w:r>
          </w:p>
        </w:tc>
        <w:tc>
          <w:tcPr>
            <w:tcW w:w="616" w:type="pct"/>
            <w:shd w:val="clear" w:color="auto" w:fill="auto"/>
            <w:vAlign w:val="center"/>
          </w:tcPr>
          <w:p w14:paraId="608281BA"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616" w:type="pct"/>
            <w:shd w:val="clear" w:color="auto" w:fill="auto"/>
          </w:tcPr>
          <w:p w14:paraId="09B793B7"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770" w:type="pct"/>
            <w:shd w:val="clear" w:color="auto" w:fill="auto"/>
          </w:tcPr>
          <w:p w14:paraId="62AA9078"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846" w:type="pct"/>
            <w:shd w:val="clear" w:color="auto" w:fill="auto"/>
          </w:tcPr>
          <w:p w14:paraId="44754640"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c>
          <w:tcPr>
            <w:tcW w:w="847" w:type="pct"/>
            <w:shd w:val="clear" w:color="auto" w:fill="auto"/>
          </w:tcPr>
          <w:p w14:paraId="6214EC59" w14:textId="77777777" w:rsidR="00956C34" w:rsidRPr="00937DAB" w:rsidRDefault="00956C34" w:rsidP="001E53B4">
            <w:pPr>
              <w:keepNext/>
              <w:spacing w:before="10" w:after="10"/>
              <w:jc w:val="center"/>
              <w:rPr>
                <w:rFonts w:ascii="Arial Narrow" w:hAnsi="Arial Narrow"/>
                <w:sz w:val="20"/>
                <w:szCs w:val="20"/>
                <w:lang w:eastAsia="en-US"/>
              </w:rPr>
            </w:pPr>
            <w:r w:rsidRPr="00937DAB">
              <w:rPr>
                <w:rFonts w:ascii="Arial Narrow" w:hAnsi="Arial Narrow"/>
                <w:sz w:val="20"/>
                <w:szCs w:val="20"/>
                <w:lang w:eastAsia="en-US"/>
              </w:rPr>
              <w:t>NR</w:t>
            </w:r>
          </w:p>
        </w:tc>
      </w:tr>
    </w:tbl>
    <w:p w14:paraId="64C3E794" w14:textId="77777777" w:rsidR="00956C34" w:rsidRDefault="00956C34" w:rsidP="00956C34">
      <w:pPr>
        <w:pStyle w:val="TableFooter"/>
        <w:rPr>
          <w:lang w:val="en-US" w:eastAsia="en-GB"/>
        </w:rPr>
      </w:pPr>
      <w:r>
        <w:rPr>
          <w:lang w:val="en-US" w:eastAsia="en-GB"/>
        </w:rPr>
        <w:t xml:space="preserve">Source: Table 2.16, p79; Tables 2.28-2.29, </w:t>
      </w:r>
      <w:proofErr w:type="gramStart"/>
      <w:r>
        <w:rPr>
          <w:lang w:val="en-US" w:eastAsia="en-GB"/>
        </w:rPr>
        <w:t>p100;</w:t>
      </w:r>
      <w:proofErr w:type="gramEnd"/>
      <w:r>
        <w:rPr>
          <w:lang w:val="en-US" w:eastAsia="en-GB"/>
        </w:rPr>
        <w:t xml:space="preserve"> </w:t>
      </w:r>
    </w:p>
    <w:p w14:paraId="632D11B6" w14:textId="6E274D8B" w:rsidR="00956C34" w:rsidRDefault="00956C34" w:rsidP="004613B7">
      <w:pPr>
        <w:pStyle w:val="TableFooter"/>
        <w:spacing w:after="120"/>
        <w:rPr>
          <w:lang w:val="en-US" w:eastAsia="en-GB"/>
        </w:rPr>
      </w:pPr>
      <w:r w:rsidRPr="003810CC">
        <w:rPr>
          <w:lang w:val="en-US" w:eastAsia="en-GB"/>
        </w:rPr>
        <w:t xml:space="preserve">ABI=abiraterone; </w:t>
      </w:r>
      <w:r w:rsidR="00A41905" w:rsidRPr="00A41905">
        <w:rPr>
          <w:i/>
          <w:iCs/>
          <w:lang w:val="en-US" w:eastAsia="en-GB"/>
        </w:rPr>
        <w:t>BRCA</w:t>
      </w:r>
      <w:r w:rsidRPr="003810CC">
        <w:rPr>
          <w:lang w:val="en-US" w:eastAsia="en-GB"/>
        </w:rPr>
        <w:t>=breast cancer gene; CI=confidence interval; DCO=data cut-off;</w:t>
      </w:r>
      <w:r>
        <w:rPr>
          <w:lang w:val="en-US" w:eastAsia="en-GB"/>
        </w:rPr>
        <w:t xml:space="preserve"> HR=hazard ratio;</w:t>
      </w:r>
      <w:r w:rsidRPr="003810CC">
        <w:rPr>
          <w:lang w:val="en-US" w:eastAsia="en-GB"/>
        </w:rPr>
        <w:t xml:space="preserve"> ITT=intention to treat; OLA=Olaparib;</w:t>
      </w:r>
      <w:r>
        <w:rPr>
          <w:lang w:val="en-US" w:eastAsia="en-GB"/>
        </w:rPr>
        <w:t xml:space="preserve"> NE=not estimable; NR=not reported</w:t>
      </w:r>
    </w:p>
    <w:p w14:paraId="1B9B9386" w14:textId="664C4EDA" w:rsidR="004D028F" w:rsidRPr="00121D69" w:rsidRDefault="004D028F" w:rsidP="00FE2E26">
      <w:pPr>
        <w:pStyle w:val="3-BodyText"/>
        <w:rPr>
          <w:lang w:val="en-US" w:eastAsia="en-GB"/>
        </w:rPr>
      </w:pPr>
      <w:r w:rsidRPr="00C56799">
        <w:rPr>
          <w:lang w:val="en-US" w:eastAsia="en-GB"/>
        </w:rPr>
        <w:t xml:space="preserve">Time to first symptomatic skeletal-related event (SSRE) </w:t>
      </w:r>
      <w:r>
        <w:rPr>
          <w:lang w:val="en-US" w:eastAsia="en-GB"/>
        </w:rPr>
        <w:t xml:space="preserve">was only presented for the ITT population. </w:t>
      </w:r>
      <w:r w:rsidRPr="00021AA5">
        <w:rPr>
          <w:lang w:val="en-US" w:eastAsia="en-GB"/>
        </w:rPr>
        <w:t xml:space="preserve">This was not appropriate, as this outcome was included in the economic model and potential differences in SSREs between the ITT and </w:t>
      </w:r>
      <w:r w:rsidR="006C3ED1" w:rsidRPr="00021AA5">
        <w:rPr>
          <w:lang w:val="en-US" w:eastAsia="en-GB"/>
        </w:rPr>
        <w:t>BRCA1/2</w:t>
      </w:r>
      <w:r w:rsidRPr="00021AA5">
        <w:rPr>
          <w:lang w:val="en-US" w:eastAsia="en-GB"/>
        </w:rPr>
        <w:t xml:space="preserve"> subgroup could not be evaluated.</w:t>
      </w:r>
    </w:p>
    <w:p w14:paraId="41261059" w14:textId="264C906A" w:rsidR="004D028F" w:rsidRPr="00822DBF" w:rsidRDefault="004D028F" w:rsidP="00FE2E26">
      <w:pPr>
        <w:pStyle w:val="3-BodyText"/>
        <w:rPr>
          <w:color w:val="0066FF"/>
        </w:rPr>
      </w:pPr>
      <w:r w:rsidRPr="00021AA5">
        <w:rPr>
          <w:lang w:val="en-US" w:eastAsia="en-GB"/>
        </w:rPr>
        <w:t>The submission did not present EQ-5D-5L for any of the trial populations</w:t>
      </w:r>
      <w:r w:rsidR="000540B8" w:rsidRPr="00021AA5">
        <w:rPr>
          <w:lang w:val="en-US" w:eastAsia="en-GB"/>
        </w:rPr>
        <w:t xml:space="preserve">, even though EQ-5D-5L data for the ITT </w:t>
      </w:r>
      <w:r w:rsidR="007C6AE3" w:rsidRPr="00021AA5">
        <w:rPr>
          <w:lang w:val="en-US" w:eastAsia="en-GB"/>
        </w:rPr>
        <w:t xml:space="preserve">population </w:t>
      </w:r>
      <w:r w:rsidR="000540B8" w:rsidRPr="00021AA5">
        <w:rPr>
          <w:lang w:val="en-US" w:eastAsia="en-GB"/>
        </w:rPr>
        <w:t xml:space="preserve">were included in the CSR. However, no </w:t>
      </w:r>
      <w:r w:rsidRPr="00021AA5">
        <w:rPr>
          <w:lang w:val="en-US" w:eastAsia="en-GB"/>
        </w:rPr>
        <w:t>statistical analyses comparing the two treatment groups</w:t>
      </w:r>
      <w:r w:rsidR="000540B8" w:rsidRPr="00021AA5">
        <w:rPr>
          <w:lang w:val="en-US" w:eastAsia="en-GB"/>
        </w:rPr>
        <w:t xml:space="preserve"> were conducted. This was </w:t>
      </w:r>
      <w:r w:rsidRPr="00021AA5">
        <w:rPr>
          <w:lang w:val="en-US" w:eastAsia="en-GB"/>
        </w:rPr>
        <w:t>inappropriate, given utility values in the economic model were derived from EQ-5D-5L data in PROpel and the submission assumed the same health state utilities for both treatment groups.</w:t>
      </w:r>
      <w:r w:rsidR="001B4F98" w:rsidRPr="00021AA5">
        <w:rPr>
          <w:lang w:val="en-US" w:eastAsia="en-GB"/>
        </w:rPr>
        <w:t xml:space="preserve"> </w:t>
      </w:r>
    </w:p>
    <w:p w14:paraId="1452C351" w14:textId="0D19F1B0" w:rsidR="00B60939" w:rsidRPr="00C9624D" w:rsidRDefault="00B60939" w:rsidP="00D86231">
      <w:pPr>
        <w:pStyle w:val="4-SubsectionHeading"/>
      </w:pPr>
      <w:bookmarkStart w:id="31" w:name="_Toc22897642"/>
      <w:bookmarkStart w:id="32" w:name="_Toc145075506"/>
      <w:r w:rsidRPr="00C9624D">
        <w:t>Comparative harms</w:t>
      </w:r>
      <w:bookmarkEnd w:id="31"/>
      <w:bookmarkEnd w:id="32"/>
    </w:p>
    <w:p w14:paraId="53350208" w14:textId="02029604" w:rsidR="00D57224" w:rsidRPr="00940BEC" w:rsidRDefault="00D57224" w:rsidP="00FE2E26">
      <w:pPr>
        <w:pStyle w:val="3-BodyText"/>
        <w:rPr>
          <w:snapToGrid/>
          <w:lang w:val="en-US" w:eastAsia="en-GB"/>
        </w:rPr>
      </w:pPr>
      <w:r w:rsidRPr="00940BEC">
        <w:rPr>
          <w:snapToGrid/>
          <w:lang w:val="en-US" w:eastAsia="en-GB"/>
        </w:rPr>
        <w:fldChar w:fldCharType="begin" w:fldLock="1"/>
      </w:r>
      <w:r w:rsidRPr="00940BEC">
        <w:rPr>
          <w:snapToGrid/>
          <w:lang w:val="en-US" w:eastAsia="en-GB"/>
        </w:rPr>
        <w:instrText xml:space="preserve"> REF _Ref142658278 \h </w:instrText>
      </w:r>
      <w:r w:rsidR="00940BEC" w:rsidRPr="00940BEC">
        <w:rPr>
          <w:snapToGrid/>
          <w:lang w:val="en-US" w:eastAsia="en-GB"/>
        </w:rPr>
        <w:instrText xml:space="preserve"> \* MERGEFORMAT </w:instrText>
      </w:r>
      <w:r w:rsidRPr="00940BEC">
        <w:rPr>
          <w:snapToGrid/>
          <w:lang w:val="en-US" w:eastAsia="en-GB"/>
        </w:rPr>
      </w:r>
      <w:r w:rsidRPr="00940BEC">
        <w:rPr>
          <w:snapToGrid/>
          <w:lang w:val="en-US" w:eastAsia="en-GB"/>
        </w:rPr>
        <w:fldChar w:fldCharType="separate"/>
      </w:r>
      <w:r w:rsidR="006F331F" w:rsidRPr="00940BEC">
        <w:t xml:space="preserve">Table </w:t>
      </w:r>
      <w:r w:rsidR="006F331F" w:rsidRPr="00940BEC">
        <w:rPr>
          <w:noProof/>
        </w:rPr>
        <w:t>6</w:t>
      </w:r>
      <w:r w:rsidRPr="00940BEC">
        <w:rPr>
          <w:snapToGrid/>
          <w:lang w:val="en-US" w:eastAsia="en-GB"/>
        </w:rPr>
        <w:fldChar w:fldCharType="end"/>
      </w:r>
      <w:r w:rsidRPr="00940BEC">
        <w:rPr>
          <w:snapToGrid/>
          <w:lang w:val="en-US" w:eastAsia="en-GB"/>
        </w:rPr>
        <w:t xml:space="preserve"> presents a</w:t>
      </w:r>
      <w:r w:rsidR="00757164" w:rsidRPr="00940BEC">
        <w:rPr>
          <w:snapToGrid/>
          <w:lang w:val="en-US" w:eastAsia="en-GB"/>
        </w:rPr>
        <w:t xml:space="preserve"> summary of key </w:t>
      </w:r>
      <w:r w:rsidR="004221E7" w:rsidRPr="00940BEC">
        <w:rPr>
          <w:snapToGrid/>
          <w:lang w:val="en-US" w:eastAsia="en-GB"/>
        </w:rPr>
        <w:t>AEs</w:t>
      </w:r>
      <w:r w:rsidR="00757164" w:rsidRPr="00940BEC">
        <w:rPr>
          <w:snapToGrid/>
          <w:lang w:val="en-US" w:eastAsia="en-GB"/>
        </w:rPr>
        <w:t xml:space="preserve"> in the ITT and </w:t>
      </w:r>
      <w:r w:rsidR="006C3ED1" w:rsidRPr="00940BEC">
        <w:rPr>
          <w:snapToGrid/>
          <w:lang w:val="en-US" w:eastAsia="en-GB"/>
        </w:rPr>
        <w:t>BRCA1/2</w:t>
      </w:r>
      <w:r w:rsidR="00757164" w:rsidRPr="00940BEC">
        <w:rPr>
          <w:snapToGrid/>
          <w:lang w:val="en-US" w:eastAsia="en-GB"/>
        </w:rPr>
        <w:t xml:space="preserve"> subgroups of </w:t>
      </w:r>
      <w:proofErr w:type="spellStart"/>
      <w:r w:rsidR="00757164" w:rsidRPr="00940BEC">
        <w:rPr>
          <w:snapToGrid/>
          <w:lang w:val="en-US" w:eastAsia="en-GB"/>
        </w:rPr>
        <w:t>PROpel</w:t>
      </w:r>
      <w:proofErr w:type="spellEnd"/>
      <w:r w:rsidRPr="00940BEC">
        <w:rPr>
          <w:snapToGrid/>
          <w:lang w:val="en-US" w:eastAsia="en-GB"/>
        </w:rPr>
        <w:t xml:space="preserve">. </w:t>
      </w:r>
    </w:p>
    <w:p w14:paraId="55CEB177" w14:textId="67A671AA" w:rsidR="00757164" w:rsidRPr="00940BEC" w:rsidRDefault="00757164" w:rsidP="00FE2E26">
      <w:pPr>
        <w:pStyle w:val="3-BodyText"/>
        <w:rPr>
          <w:snapToGrid/>
          <w:lang w:val="en-US" w:eastAsia="en-GB"/>
        </w:rPr>
      </w:pPr>
      <w:r w:rsidRPr="00940BEC">
        <w:rPr>
          <w:snapToGrid/>
          <w:lang w:val="en-US" w:eastAsia="en-GB"/>
        </w:rPr>
        <w:t>The submission used safety data from the ITT population to inform the economic model, explaining</w:t>
      </w:r>
      <w:r w:rsidR="00D57224" w:rsidRPr="00940BEC">
        <w:rPr>
          <w:snapToGrid/>
          <w:lang w:val="en-US" w:eastAsia="en-GB"/>
        </w:rPr>
        <w:t xml:space="preserve"> </w:t>
      </w:r>
      <w:r w:rsidRPr="00940BEC">
        <w:rPr>
          <w:snapToGrid/>
          <w:lang w:val="en-US" w:eastAsia="en-GB"/>
        </w:rPr>
        <w:t xml:space="preserve">this was due to the small sample size in the </w:t>
      </w:r>
      <w:r w:rsidR="006C3ED1" w:rsidRPr="00940BEC">
        <w:rPr>
          <w:snapToGrid/>
          <w:lang w:val="en-US" w:eastAsia="en-GB"/>
        </w:rPr>
        <w:t>BRCA1/2</w:t>
      </w:r>
      <w:r w:rsidRPr="00940BEC">
        <w:rPr>
          <w:snapToGrid/>
          <w:lang w:val="en-US" w:eastAsia="en-GB"/>
        </w:rPr>
        <w:t xml:space="preserve"> subgroup. </w:t>
      </w:r>
      <w:r w:rsidR="005E1B84" w:rsidRPr="00940BEC">
        <w:rPr>
          <w:snapToGrid/>
          <w:lang w:val="en-US" w:eastAsia="en-GB"/>
        </w:rPr>
        <w:t>T</w:t>
      </w:r>
      <w:r w:rsidRPr="00940BEC">
        <w:rPr>
          <w:snapToGrid/>
          <w:lang w:val="en-US" w:eastAsia="en-GB"/>
        </w:rPr>
        <w:t xml:space="preserve">his was appropriate given the lack of power to detect differences in the </w:t>
      </w:r>
      <w:r w:rsidR="006C3ED1" w:rsidRPr="00940BEC">
        <w:rPr>
          <w:snapToGrid/>
          <w:lang w:val="en-US" w:eastAsia="en-GB"/>
        </w:rPr>
        <w:t>BRCA1/2</w:t>
      </w:r>
      <w:r w:rsidRPr="00940BEC">
        <w:rPr>
          <w:snapToGrid/>
          <w:lang w:val="en-US" w:eastAsia="en-GB"/>
        </w:rPr>
        <w:t xml:space="preserve"> subgroup, </w:t>
      </w:r>
      <w:r w:rsidR="005E1B84" w:rsidRPr="00940BEC">
        <w:rPr>
          <w:snapToGrid/>
          <w:lang w:val="en-US" w:eastAsia="en-GB"/>
        </w:rPr>
        <w:t xml:space="preserve">and as </w:t>
      </w:r>
      <w:r w:rsidRPr="00940BEC">
        <w:rPr>
          <w:snapToGrid/>
          <w:lang w:val="en-US" w:eastAsia="en-GB"/>
        </w:rPr>
        <w:t xml:space="preserve">many of the key events presented for the ITT population were missing in the </w:t>
      </w:r>
      <w:r w:rsidR="006C3ED1" w:rsidRPr="00940BEC">
        <w:rPr>
          <w:snapToGrid/>
          <w:lang w:val="en-US" w:eastAsia="en-GB"/>
        </w:rPr>
        <w:t>BRCA1/2</w:t>
      </w:r>
      <w:r w:rsidRPr="00940BEC">
        <w:rPr>
          <w:snapToGrid/>
          <w:lang w:val="en-US" w:eastAsia="en-GB"/>
        </w:rPr>
        <w:t xml:space="preserve"> subgroup</w:t>
      </w:r>
      <w:r w:rsidR="00C70570" w:rsidRPr="00940BEC">
        <w:rPr>
          <w:snapToGrid/>
          <w:lang w:val="en-US" w:eastAsia="en-GB"/>
        </w:rPr>
        <w:t>,</w:t>
      </w:r>
      <w:r w:rsidRPr="00940BEC">
        <w:rPr>
          <w:snapToGrid/>
          <w:lang w:val="en-US" w:eastAsia="en-GB"/>
        </w:rPr>
        <w:t xml:space="preserve"> particularly regarding treatment interruptions, dose reductions, and discontinuation due to AEs.</w:t>
      </w:r>
      <w:r w:rsidR="00BF6064" w:rsidRPr="00940BEC">
        <w:rPr>
          <w:snapToGrid/>
          <w:lang w:val="en-US" w:eastAsia="en-GB"/>
        </w:rPr>
        <w:t xml:space="preserve"> These results were provided in the PSCR.</w:t>
      </w:r>
    </w:p>
    <w:p w14:paraId="0D528B9D" w14:textId="07907C32" w:rsidR="00757164" w:rsidRDefault="00D57224" w:rsidP="00D57224">
      <w:pPr>
        <w:pStyle w:val="Caption"/>
      </w:pPr>
      <w:bookmarkStart w:id="33" w:name="_Ref142658278"/>
      <w:r>
        <w:lastRenderedPageBreak/>
        <w:t xml:space="preserve">Table </w:t>
      </w:r>
      <w:fldSimple w:instr=" SEQ Table \* ARABIC " w:fldLock="1">
        <w:r w:rsidR="006F331F">
          <w:rPr>
            <w:noProof/>
          </w:rPr>
          <w:t>6</w:t>
        </w:r>
      </w:fldSimple>
      <w:bookmarkEnd w:id="33"/>
      <w:r w:rsidR="00757164" w:rsidRPr="00080909">
        <w:t>:</w:t>
      </w:r>
      <w:r w:rsidR="00757164">
        <w:t xml:space="preserve"> </w:t>
      </w:r>
      <w:r w:rsidR="00757164" w:rsidRPr="00080909">
        <w:t xml:space="preserve">Summary of key adverse events in </w:t>
      </w:r>
      <w:r w:rsidR="00757164">
        <w:t>PROpel (DCO3: 12 October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199"/>
        <w:gridCol w:w="1201"/>
        <w:gridCol w:w="1199"/>
        <w:gridCol w:w="1802"/>
        <w:gridCol w:w="1701"/>
      </w:tblGrid>
      <w:tr w:rsidR="00757164" w:rsidRPr="00940BEC" w14:paraId="63E8D078" w14:textId="77777777" w:rsidTr="00C321C4">
        <w:trPr>
          <w:tblHeader/>
        </w:trPr>
        <w:tc>
          <w:tcPr>
            <w:tcW w:w="1062" w:type="pct"/>
            <w:tcMar>
              <w:left w:w="20" w:type="dxa"/>
              <w:right w:w="20" w:type="dxa"/>
            </w:tcMar>
            <w:vAlign w:val="center"/>
          </w:tcPr>
          <w:p w14:paraId="32C2D024" w14:textId="77777777" w:rsidR="00757164" w:rsidRPr="00940BEC" w:rsidRDefault="00757164" w:rsidP="001E53B4">
            <w:pPr>
              <w:pStyle w:val="In-tableHeading"/>
            </w:pPr>
          </w:p>
        </w:tc>
        <w:tc>
          <w:tcPr>
            <w:tcW w:w="1996" w:type="pct"/>
            <w:gridSpan w:val="3"/>
            <w:tcMar>
              <w:left w:w="20" w:type="dxa"/>
              <w:right w:w="20" w:type="dxa"/>
            </w:tcMar>
            <w:vAlign w:val="center"/>
          </w:tcPr>
          <w:p w14:paraId="76B7C134" w14:textId="77777777" w:rsidR="00757164" w:rsidRPr="00940BEC" w:rsidRDefault="00757164" w:rsidP="001E53B4">
            <w:pPr>
              <w:pStyle w:val="In-tableHeading"/>
              <w:jc w:val="center"/>
            </w:pPr>
            <w:r w:rsidRPr="00940BEC">
              <w:t>ITT</w:t>
            </w:r>
          </w:p>
        </w:tc>
        <w:tc>
          <w:tcPr>
            <w:tcW w:w="1942" w:type="pct"/>
            <w:gridSpan w:val="2"/>
            <w:tcMar>
              <w:left w:w="20" w:type="dxa"/>
              <w:right w:w="20" w:type="dxa"/>
            </w:tcMar>
            <w:vAlign w:val="center"/>
          </w:tcPr>
          <w:p w14:paraId="027BD6B7" w14:textId="760A5EBD" w:rsidR="00757164" w:rsidRPr="00940BEC" w:rsidRDefault="006C3ED1" w:rsidP="001E53B4">
            <w:pPr>
              <w:pStyle w:val="In-tableHeading"/>
              <w:jc w:val="center"/>
            </w:pPr>
            <w:r w:rsidRPr="00940BEC">
              <w:t>BRCA1/2</w:t>
            </w:r>
          </w:p>
        </w:tc>
      </w:tr>
      <w:tr w:rsidR="00B11F2D" w:rsidRPr="00940BEC" w14:paraId="05433445" w14:textId="77777777" w:rsidTr="00C321C4">
        <w:trPr>
          <w:tblHeader/>
        </w:trPr>
        <w:tc>
          <w:tcPr>
            <w:tcW w:w="1062" w:type="pct"/>
            <w:tcMar>
              <w:left w:w="20" w:type="dxa"/>
              <w:right w:w="20" w:type="dxa"/>
            </w:tcMar>
            <w:vAlign w:val="center"/>
          </w:tcPr>
          <w:p w14:paraId="759268F4" w14:textId="77777777" w:rsidR="00757164" w:rsidRPr="00940BEC" w:rsidRDefault="00757164" w:rsidP="001E53B4">
            <w:pPr>
              <w:pStyle w:val="In-tableHeading"/>
            </w:pPr>
            <w:r w:rsidRPr="00940BEC">
              <w:t>AE category</w:t>
            </w:r>
          </w:p>
        </w:tc>
        <w:tc>
          <w:tcPr>
            <w:tcW w:w="665" w:type="pct"/>
            <w:tcMar>
              <w:left w:w="20" w:type="dxa"/>
              <w:right w:w="20" w:type="dxa"/>
            </w:tcMar>
            <w:vAlign w:val="center"/>
          </w:tcPr>
          <w:p w14:paraId="0CD155ED" w14:textId="77777777" w:rsidR="00757164" w:rsidRPr="00940BEC" w:rsidRDefault="00757164" w:rsidP="001E53B4">
            <w:pPr>
              <w:pStyle w:val="In-tableHeading"/>
              <w:jc w:val="center"/>
            </w:pPr>
            <w:r w:rsidRPr="00940BEC">
              <w:t>OLA + ABI</w:t>
            </w:r>
          </w:p>
          <w:p w14:paraId="55DA0D2F" w14:textId="77777777" w:rsidR="00757164" w:rsidRPr="00940BEC" w:rsidRDefault="00757164" w:rsidP="001E53B4">
            <w:pPr>
              <w:pStyle w:val="In-tableHeading"/>
              <w:jc w:val="center"/>
            </w:pPr>
            <w:r w:rsidRPr="00940BEC">
              <w:t>n/N (%)</w:t>
            </w:r>
          </w:p>
        </w:tc>
        <w:tc>
          <w:tcPr>
            <w:tcW w:w="666" w:type="pct"/>
            <w:tcMar>
              <w:left w:w="20" w:type="dxa"/>
              <w:right w:w="20" w:type="dxa"/>
            </w:tcMar>
            <w:vAlign w:val="center"/>
          </w:tcPr>
          <w:p w14:paraId="2938A4BC" w14:textId="77777777" w:rsidR="00757164" w:rsidRPr="00940BEC" w:rsidRDefault="00757164" w:rsidP="001E53B4">
            <w:pPr>
              <w:pStyle w:val="In-tableHeading"/>
              <w:jc w:val="center"/>
            </w:pPr>
            <w:r w:rsidRPr="00940BEC">
              <w:t>ABI</w:t>
            </w:r>
          </w:p>
          <w:p w14:paraId="7D147FE8" w14:textId="77777777" w:rsidR="00757164" w:rsidRPr="00940BEC" w:rsidRDefault="00757164" w:rsidP="001E53B4">
            <w:pPr>
              <w:pStyle w:val="In-tableHeading"/>
              <w:jc w:val="center"/>
            </w:pPr>
            <w:r w:rsidRPr="00940BEC">
              <w:t>n/N (%)</w:t>
            </w:r>
          </w:p>
        </w:tc>
        <w:tc>
          <w:tcPr>
            <w:tcW w:w="665" w:type="pct"/>
            <w:tcMar>
              <w:left w:w="20" w:type="dxa"/>
              <w:right w:w="20" w:type="dxa"/>
            </w:tcMar>
            <w:vAlign w:val="center"/>
          </w:tcPr>
          <w:p w14:paraId="167BEFA7" w14:textId="77777777" w:rsidR="00757164" w:rsidRPr="00940BEC" w:rsidRDefault="00757164" w:rsidP="001E53B4">
            <w:pPr>
              <w:pStyle w:val="In-tableHeading"/>
              <w:jc w:val="center"/>
            </w:pPr>
            <w:r w:rsidRPr="00940BEC">
              <w:t xml:space="preserve">RD </w:t>
            </w:r>
          </w:p>
          <w:p w14:paraId="2BA5A3A0" w14:textId="77777777" w:rsidR="00757164" w:rsidRPr="00940BEC" w:rsidRDefault="00757164" w:rsidP="001E53B4">
            <w:pPr>
              <w:pStyle w:val="In-tableHeading"/>
              <w:jc w:val="center"/>
            </w:pPr>
            <w:r w:rsidRPr="00940BEC">
              <w:t>(95%CI)</w:t>
            </w:r>
          </w:p>
        </w:tc>
        <w:tc>
          <w:tcPr>
            <w:tcW w:w="999" w:type="pct"/>
            <w:tcMar>
              <w:left w:w="20" w:type="dxa"/>
              <w:right w:w="20" w:type="dxa"/>
            </w:tcMar>
            <w:vAlign w:val="center"/>
          </w:tcPr>
          <w:p w14:paraId="0C82EF52" w14:textId="77777777" w:rsidR="00757164" w:rsidRPr="00940BEC" w:rsidRDefault="00757164" w:rsidP="001E53B4">
            <w:pPr>
              <w:pStyle w:val="In-tableHeading"/>
              <w:jc w:val="center"/>
            </w:pPr>
            <w:r w:rsidRPr="00940BEC">
              <w:t>OLA + ABI</w:t>
            </w:r>
          </w:p>
          <w:p w14:paraId="1623C720" w14:textId="77777777" w:rsidR="00757164" w:rsidRPr="00940BEC" w:rsidRDefault="00757164" w:rsidP="001E53B4">
            <w:pPr>
              <w:pStyle w:val="In-tableHeading"/>
              <w:jc w:val="center"/>
            </w:pPr>
            <w:r w:rsidRPr="00940BEC">
              <w:t>n/N (%)</w:t>
            </w:r>
          </w:p>
        </w:tc>
        <w:tc>
          <w:tcPr>
            <w:tcW w:w="944" w:type="pct"/>
            <w:tcMar>
              <w:left w:w="20" w:type="dxa"/>
              <w:right w:w="20" w:type="dxa"/>
            </w:tcMar>
            <w:vAlign w:val="center"/>
          </w:tcPr>
          <w:p w14:paraId="759AE226" w14:textId="77777777" w:rsidR="00757164" w:rsidRPr="00940BEC" w:rsidRDefault="00757164" w:rsidP="001E53B4">
            <w:pPr>
              <w:pStyle w:val="In-tableHeading"/>
              <w:jc w:val="center"/>
            </w:pPr>
            <w:r w:rsidRPr="00940BEC">
              <w:t>ABI</w:t>
            </w:r>
          </w:p>
          <w:p w14:paraId="51E2CF9A" w14:textId="77777777" w:rsidR="00757164" w:rsidRPr="00940BEC" w:rsidRDefault="00757164" w:rsidP="001E53B4">
            <w:pPr>
              <w:pStyle w:val="In-tableHeading"/>
              <w:jc w:val="center"/>
            </w:pPr>
            <w:r w:rsidRPr="00940BEC">
              <w:t>n/N (%)</w:t>
            </w:r>
          </w:p>
        </w:tc>
      </w:tr>
      <w:tr w:rsidR="00B11F2D" w:rsidRPr="00940BEC" w14:paraId="12D30B38" w14:textId="77777777" w:rsidTr="00C321C4">
        <w:tc>
          <w:tcPr>
            <w:tcW w:w="1062" w:type="pct"/>
            <w:tcMar>
              <w:left w:w="20" w:type="dxa"/>
              <w:right w:w="20" w:type="dxa"/>
            </w:tcMar>
            <w:vAlign w:val="center"/>
          </w:tcPr>
          <w:p w14:paraId="7E38EF10" w14:textId="77777777" w:rsidR="00757164" w:rsidRPr="00940BEC" w:rsidRDefault="00757164" w:rsidP="001E53B4">
            <w:pPr>
              <w:pStyle w:val="TableText0"/>
            </w:pPr>
            <w:r w:rsidRPr="00940BEC">
              <w:t>Any AE</w:t>
            </w:r>
          </w:p>
        </w:tc>
        <w:tc>
          <w:tcPr>
            <w:tcW w:w="665" w:type="pct"/>
            <w:tcMar>
              <w:left w:w="20" w:type="dxa"/>
              <w:right w:w="20" w:type="dxa"/>
            </w:tcMar>
            <w:vAlign w:val="center"/>
          </w:tcPr>
          <w:p w14:paraId="69383B43" w14:textId="77777777" w:rsidR="00757164" w:rsidRPr="00940BEC" w:rsidRDefault="00757164" w:rsidP="001E53B4">
            <w:pPr>
              <w:pStyle w:val="TableText0"/>
              <w:jc w:val="center"/>
            </w:pPr>
            <w:r w:rsidRPr="00940BEC">
              <w:t>389/398 (97.7)</w:t>
            </w:r>
          </w:p>
        </w:tc>
        <w:tc>
          <w:tcPr>
            <w:tcW w:w="666" w:type="pct"/>
            <w:tcMar>
              <w:left w:w="20" w:type="dxa"/>
              <w:right w:w="20" w:type="dxa"/>
            </w:tcMar>
            <w:vAlign w:val="center"/>
          </w:tcPr>
          <w:p w14:paraId="2D465C52" w14:textId="77777777" w:rsidR="00757164" w:rsidRPr="00940BEC" w:rsidRDefault="00757164" w:rsidP="001E53B4">
            <w:pPr>
              <w:pStyle w:val="TableText0"/>
              <w:jc w:val="center"/>
            </w:pPr>
            <w:r w:rsidRPr="00940BEC">
              <w:t>380/396 (96.0)</w:t>
            </w:r>
          </w:p>
        </w:tc>
        <w:tc>
          <w:tcPr>
            <w:tcW w:w="665" w:type="pct"/>
            <w:tcMar>
              <w:left w:w="20" w:type="dxa"/>
              <w:right w:w="20" w:type="dxa"/>
            </w:tcMar>
            <w:vAlign w:val="center"/>
          </w:tcPr>
          <w:p w14:paraId="7F508D9A" w14:textId="77777777" w:rsidR="00757164" w:rsidRPr="00940BEC" w:rsidRDefault="00757164" w:rsidP="001E53B4">
            <w:pPr>
              <w:pStyle w:val="TableText0"/>
              <w:jc w:val="center"/>
              <w:rPr>
                <w:rFonts w:cs="Calibri"/>
                <w:color w:val="000000"/>
              </w:rPr>
            </w:pPr>
            <w:r w:rsidRPr="00940BEC">
              <w:rPr>
                <w:rFonts w:cs="Calibri"/>
                <w:color w:val="000000"/>
              </w:rPr>
              <w:t>0.02</w:t>
            </w:r>
          </w:p>
          <w:p w14:paraId="505548A7" w14:textId="77777777" w:rsidR="00757164" w:rsidRPr="00940BEC" w:rsidRDefault="00757164" w:rsidP="001E53B4">
            <w:pPr>
              <w:pStyle w:val="TableText0"/>
              <w:jc w:val="center"/>
              <w:rPr>
                <w:rFonts w:cs="Calibri"/>
                <w:b/>
                <w:bCs w:val="0"/>
                <w:color w:val="000000"/>
              </w:rPr>
            </w:pPr>
            <w:r w:rsidRPr="00940BEC">
              <w:rPr>
                <w:rFonts w:cs="Calibri"/>
                <w:color w:val="000000"/>
              </w:rPr>
              <w:t>(-0.01, 0.04)</w:t>
            </w:r>
          </w:p>
        </w:tc>
        <w:tc>
          <w:tcPr>
            <w:tcW w:w="999" w:type="pct"/>
            <w:tcMar>
              <w:left w:w="20" w:type="dxa"/>
              <w:right w:w="20" w:type="dxa"/>
            </w:tcMar>
            <w:vAlign w:val="center"/>
          </w:tcPr>
          <w:p w14:paraId="72D1044F" w14:textId="77777777" w:rsidR="00757164" w:rsidRPr="00940BEC" w:rsidRDefault="00757164" w:rsidP="001E53B4">
            <w:pPr>
              <w:pStyle w:val="TableText0"/>
              <w:jc w:val="center"/>
            </w:pPr>
            <w:r w:rsidRPr="00940BEC">
              <w:rPr>
                <w:rFonts w:cs="Calibri"/>
                <w:color w:val="000000"/>
              </w:rPr>
              <w:t>47/47 (100)</w:t>
            </w:r>
          </w:p>
        </w:tc>
        <w:tc>
          <w:tcPr>
            <w:tcW w:w="944" w:type="pct"/>
            <w:tcMar>
              <w:left w:w="20" w:type="dxa"/>
              <w:right w:w="20" w:type="dxa"/>
            </w:tcMar>
            <w:vAlign w:val="center"/>
          </w:tcPr>
          <w:p w14:paraId="579F3C24" w14:textId="77777777" w:rsidR="00757164" w:rsidRPr="00940BEC" w:rsidRDefault="00757164" w:rsidP="001E53B4">
            <w:pPr>
              <w:pStyle w:val="TableText0"/>
              <w:jc w:val="center"/>
            </w:pPr>
            <w:r w:rsidRPr="00940BEC">
              <w:rPr>
                <w:rFonts w:cs="Calibri"/>
                <w:color w:val="000000"/>
              </w:rPr>
              <w:t>34/38 (89.5)</w:t>
            </w:r>
          </w:p>
        </w:tc>
      </w:tr>
      <w:tr w:rsidR="00B11F2D" w:rsidRPr="00940BEC" w14:paraId="78246147" w14:textId="77777777" w:rsidTr="00C321C4">
        <w:tc>
          <w:tcPr>
            <w:tcW w:w="1062" w:type="pct"/>
            <w:tcMar>
              <w:left w:w="20" w:type="dxa"/>
              <w:right w:w="20" w:type="dxa"/>
            </w:tcMar>
            <w:vAlign w:val="center"/>
          </w:tcPr>
          <w:p w14:paraId="45622A87" w14:textId="77777777" w:rsidR="00757164" w:rsidRPr="00940BEC" w:rsidRDefault="00757164" w:rsidP="001E53B4">
            <w:pPr>
              <w:pStyle w:val="TableText0"/>
            </w:pPr>
            <w:r w:rsidRPr="00940BEC">
              <w:t>Any AE causally related to olaparib/placebo *</w:t>
            </w:r>
          </w:p>
        </w:tc>
        <w:tc>
          <w:tcPr>
            <w:tcW w:w="665" w:type="pct"/>
            <w:tcMar>
              <w:left w:w="20" w:type="dxa"/>
              <w:right w:w="20" w:type="dxa"/>
            </w:tcMar>
            <w:vAlign w:val="center"/>
          </w:tcPr>
          <w:p w14:paraId="620645F2" w14:textId="77777777" w:rsidR="00757164" w:rsidRPr="00940BEC" w:rsidRDefault="00757164" w:rsidP="001E53B4">
            <w:pPr>
              <w:pStyle w:val="TableText0"/>
              <w:jc w:val="center"/>
            </w:pPr>
            <w:r w:rsidRPr="00940BEC">
              <w:t>316/398 (79.4)</w:t>
            </w:r>
          </w:p>
        </w:tc>
        <w:tc>
          <w:tcPr>
            <w:tcW w:w="666" w:type="pct"/>
            <w:tcMar>
              <w:left w:w="20" w:type="dxa"/>
              <w:right w:w="20" w:type="dxa"/>
            </w:tcMar>
            <w:vAlign w:val="center"/>
          </w:tcPr>
          <w:p w14:paraId="25B64B01" w14:textId="77777777" w:rsidR="00757164" w:rsidRPr="00940BEC" w:rsidRDefault="00757164" w:rsidP="001E53B4">
            <w:pPr>
              <w:pStyle w:val="TableText0"/>
              <w:jc w:val="center"/>
            </w:pPr>
            <w:r w:rsidRPr="00940BEC">
              <w:t>227/396 (57.3)</w:t>
            </w:r>
          </w:p>
        </w:tc>
        <w:tc>
          <w:tcPr>
            <w:tcW w:w="665" w:type="pct"/>
            <w:tcMar>
              <w:left w:w="20" w:type="dxa"/>
              <w:right w:w="20" w:type="dxa"/>
            </w:tcMar>
            <w:vAlign w:val="center"/>
          </w:tcPr>
          <w:p w14:paraId="5D682307" w14:textId="77777777" w:rsidR="00757164" w:rsidRPr="00940BEC" w:rsidRDefault="00757164" w:rsidP="001E53B4">
            <w:pPr>
              <w:pStyle w:val="TableText0"/>
              <w:jc w:val="center"/>
              <w:rPr>
                <w:b/>
                <w:bCs w:val="0"/>
              </w:rPr>
            </w:pPr>
            <w:r w:rsidRPr="00940BEC">
              <w:rPr>
                <w:b/>
                <w:bCs w:val="0"/>
              </w:rPr>
              <w:t xml:space="preserve">0.22 </w:t>
            </w:r>
          </w:p>
          <w:p w14:paraId="7F14B02F" w14:textId="77777777" w:rsidR="00757164" w:rsidRPr="00940BEC" w:rsidRDefault="00757164" w:rsidP="001E53B4">
            <w:pPr>
              <w:pStyle w:val="TableText0"/>
              <w:jc w:val="center"/>
              <w:rPr>
                <w:b/>
                <w:bCs w:val="0"/>
              </w:rPr>
            </w:pPr>
            <w:r w:rsidRPr="00940BEC">
              <w:rPr>
                <w:b/>
                <w:bCs w:val="0"/>
              </w:rPr>
              <w:t>(0.16, 0.28)</w:t>
            </w:r>
          </w:p>
        </w:tc>
        <w:tc>
          <w:tcPr>
            <w:tcW w:w="999" w:type="pct"/>
            <w:tcMar>
              <w:left w:w="20" w:type="dxa"/>
              <w:right w:w="20" w:type="dxa"/>
            </w:tcMar>
            <w:vAlign w:val="center"/>
          </w:tcPr>
          <w:p w14:paraId="57B809D0" w14:textId="77777777" w:rsidR="00757164" w:rsidRPr="00940BEC" w:rsidRDefault="00757164" w:rsidP="001E53B4">
            <w:pPr>
              <w:pStyle w:val="TableText0"/>
              <w:jc w:val="center"/>
            </w:pPr>
            <w:r w:rsidRPr="00940BEC">
              <w:t>NR</w:t>
            </w:r>
          </w:p>
        </w:tc>
        <w:tc>
          <w:tcPr>
            <w:tcW w:w="944" w:type="pct"/>
            <w:tcMar>
              <w:left w:w="20" w:type="dxa"/>
              <w:right w:w="20" w:type="dxa"/>
            </w:tcMar>
            <w:vAlign w:val="center"/>
          </w:tcPr>
          <w:p w14:paraId="4A5D4B73" w14:textId="77777777" w:rsidR="00757164" w:rsidRPr="00940BEC" w:rsidRDefault="00757164" w:rsidP="001E53B4">
            <w:pPr>
              <w:pStyle w:val="TableText0"/>
              <w:jc w:val="center"/>
            </w:pPr>
            <w:r w:rsidRPr="00940BEC">
              <w:t>NR</w:t>
            </w:r>
          </w:p>
        </w:tc>
      </w:tr>
      <w:tr w:rsidR="00B11F2D" w:rsidRPr="00940BEC" w14:paraId="3A3BAECE" w14:textId="77777777" w:rsidTr="00C321C4">
        <w:tc>
          <w:tcPr>
            <w:tcW w:w="1062" w:type="pct"/>
            <w:tcMar>
              <w:left w:w="20" w:type="dxa"/>
              <w:right w:w="20" w:type="dxa"/>
            </w:tcMar>
            <w:vAlign w:val="center"/>
          </w:tcPr>
          <w:p w14:paraId="26B4CD37" w14:textId="77777777" w:rsidR="00757164" w:rsidRPr="00940BEC" w:rsidRDefault="00757164" w:rsidP="001E53B4">
            <w:pPr>
              <w:pStyle w:val="TableText0"/>
            </w:pPr>
            <w:r w:rsidRPr="00940BEC">
              <w:t>Any AE of Grade ≥3</w:t>
            </w:r>
          </w:p>
        </w:tc>
        <w:tc>
          <w:tcPr>
            <w:tcW w:w="665" w:type="pct"/>
            <w:tcMar>
              <w:left w:w="20" w:type="dxa"/>
              <w:right w:w="20" w:type="dxa"/>
            </w:tcMar>
            <w:vAlign w:val="center"/>
          </w:tcPr>
          <w:p w14:paraId="01318A88" w14:textId="77777777" w:rsidR="00757164" w:rsidRPr="00940BEC" w:rsidRDefault="00757164" w:rsidP="001E53B4">
            <w:pPr>
              <w:pStyle w:val="TableText0"/>
              <w:jc w:val="center"/>
            </w:pPr>
            <w:r w:rsidRPr="00940BEC">
              <w:t>222/398 (55.8)</w:t>
            </w:r>
          </w:p>
        </w:tc>
        <w:tc>
          <w:tcPr>
            <w:tcW w:w="666" w:type="pct"/>
            <w:tcMar>
              <w:left w:w="20" w:type="dxa"/>
              <w:right w:w="20" w:type="dxa"/>
            </w:tcMar>
            <w:vAlign w:val="center"/>
          </w:tcPr>
          <w:p w14:paraId="649C24D3" w14:textId="77777777" w:rsidR="00757164" w:rsidRPr="00940BEC" w:rsidRDefault="00757164" w:rsidP="001E53B4">
            <w:pPr>
              <w:pStyle w:val="TableText0"/>
              <w:jc w:val="center"/>
            </w:pPr>
            <w:r w:rsidRPr="00940BEC">
              <w:t>171/396 (43.2)</w:t>
            </w:r>
          </w:p>
        </w:tc>
        <w:tc>
          <w:tcPr>
            <w:tcW w:w="665" w:type="pct"/>
            <w:tcMar>
              <w:left w:w="20" w:type="dxa"/>
              <w:right w:w="20" w:type="dxa"/>
            </w:tcMar>
            <w:vAlign w:val="center"/>
          </w:tcPr>
          <w:p w14:paraId="553D8CF1" w14:textId="77777777" w:rsidR="00757164" w:rsidRPr="00940BEC" w:rsidRDefault="00757164" w:rsidP="001E53B4">
            <w:pPr>
              <w:pStyle w:val="TableText0"/>
              <w:jc w:val="center"/>
              <w:rPr>
                <w:rFonts w:cs="Calibri"/>
                <w:b/>
                <w:bCs w:val="0"/>
                <w:color w:val="000000"/>
              </w:rPr>
            </w:pPr>
            <w:r w:rsidRPr="00940BEC">
              <w:rPr>
                <w:rFonts w:cs="Calibri"/>
                <w:b/>
                <w:bCs w:val="0"/>
                <w:color w:val="000000"/>
              </w:rPr>
              <w:t xml:space="preserve">0.13 </w:t>
            </w:r>
          </w:p>
          <w:p w14:paraId="3554DA22" w14:textId="77777777" w:rsidR="00757164" w:rsidRPr="00940BEC" w:rsidRDefault="00757164" w:rsidP="001E53B4">
            <w:pPr>
              <w:pStyle w:val="TableText0"/>
              <w:jc w:val="center"/>
              <w:rPr>
                <w:rFonts w:cs="Calibri"/>
                <w:b/>
                <w:bCs w:val="0"/>
                <w:color w:val="000000"/>
              </w:rPr>
            </w:pPr>
            <w:r w:rsidRPr="00940BEC">
              <w:rPr>
                <w:rFonts w:cs="Calibri"/>
                <w:b/>
                <w:bCs w:val="0"/>
                <w:color w:val="000000"/>
              </w:rPr>
              <w:t>(0.06, 0.19)</w:t>
            </w:r>
          </w:p>
        </w:tc>
        <w:tc>
          <w:tcPr>
            <w:tcW w:w="999" w:type="pct"/>
            <w:tcMar>
              <w:left w:w="20" w:type="dxa"/>
              <w:right w:w="20" w:type="dxa"/>
            </w:tcMar>
            <w:vAlign w:val="center"/>
          </w:tcPr>
          <w:p w14:paraId="1341295D" w14:textId="77777777" w:rsidR="00757164" w:rsidRPr="00940BEC" w:rsidRDefault="00757164" w:rsidP="001E53B4">
            <w:pPr>
              <w:pStyle w:val="TableText0"/>
              <w:jc w:val="center"/>
            </w:pPr>
            <w:r w:rsidRPr="00940BEC">
              <w:rPr>
                <w:rFonts w:cs="Calibri"/>
                <w:color w:val="000000"/>
              </w:rPr>
              <w:t>23/47 (48.9)</w:t>
            </w:r>
          </w:p>
        </w:tc>
        <w:tc>
          <w:tcPr>
            <w:tcW w:w="944" w:type="pct"/>
            <w:tcMar>
              <w:left w:w="20" w:type="dxa"/>
              <w:right w:w="20" w:type="dxa"/>
            </w:tcMar>
            <w:vAlign w:val="center"/>
          </w:tcPr>
          <w:p w14:paraId="45DC948D" w14:textId="77777777" w:rsidR="00757164" w:rsidRPr="00940BEC" w:rsidRDefault="00757164" w:rsidP="001E53B4">
            <w:pPr>
              <w:pStyle w:val="TableText0"/>
              <w:jc w:val="center"/>
            </w:pPr>
            <w:r w:rsidRPr="00940BEC">
              <w:rPr>
                <w:rFonts w:cs="Calibri"/>
                <w:color w:val="000000"/>
              </w:rPr>
              <w:t>15/38 (39.5)</w:t>
            </w:r>
          </w:p>
        </w:tc>
      </w:tr>
      <w:tr w:rsidR="00B11F2D" w:rsidRPr="00940BEC" w14:paraId="2E5DDF82" w14:textId="77777777" w:rsidTr="00C321C4">
        <w:tc>
          <w:tcPr>
            <w:tcW w:w="1062" w:type="pct"/>
            <w:tcMar>
              <w:left w:w="20" w:type="dxa"/>
              <w:right w:w="20" w:type="dxa"/>
            </w:tcMar>
            <w:vAlign w:val="center"/>
          </w:tcPr>
          <w:p w14:paraId="1EADD68D" w14:textId="6C3AC17A" w:rsidR="00757164" w:rsidRPr="00940BEC" w:rsidRDefault="00757164" w:rsidP="001E53B4">
            <w:pPr>
              <w:pStyle w:val="TableText0"/>
            </w:pPr>
            <w:r w:rsidRPr="00940BEC">
              <w:t>Any AE leading to death</w:t>
            </w:r>
          </w:p>
        </w:tc>
        <w:tc>
          <w:tcPr>
            <w:tcW w:w="665" w:type="pct"/>
            <w:tcMar>
              <w:left w:w="20" w:type="dxa"/>
              <w:right w:w="20" w:type="dxa"/>
            </w:tcMar>
            <w:vAlign w:val="center"/>
          </w:tcPr>
          <w:p w14:paraId="0E0C9E2A" w14:textId="77777777" w:rsidR="00757164" w:rsidRPr="00940BEC" w:rsidRDefault="00757164" w:rsidP="001E53B4">
            <w:pPr>
              <w:pStyle w:val="TableText0"/>
              <w:jc w:val="center"/>
            </w:pPr>
            <w:r w:rsidRPr="00940BEC">
              <w:t>26/398 (6.5)</w:t>
            </w:r>
          </w:p>
        </w:tc>
        <w:tc>
          <w:tcPr>
            <w:tcW w:w="666" w:type="pct"/>
            <w:tcMar>
              <w:left w:w="20" w:type="dxa"/>
              <w:right w:w="20" w:type="dxa"/>
            </w:tcMar>
            <w:vAlign w:val="center"/>
          </w:tcPr>
          <w:p w14:paraId="151C7AEA" w14:textId="77777777" w:rsidR="00757164" w:rsidRPr="00940BEC" w:rsidRDefault="00757164" w:rsidP="001E53B4">
            <w:pPr>
              <w:pStyle w:val="TableText0"/>
              <w:jc w:val="center"/>
            </w:pPr>
            <w:r w:rsidRPr="00940BEC">
              <w:t>20/396 (5.1)</w:t>
            </w:r>
          </w:p>
        </w:tc>
        <w:tc>
          <w:tcPr>
            <w:tcW w:w="665" w:type="pct"/>
            <w:tcMar>
              <w:left w:w="20" w:type="dxa"/>
              <w:right w:w="20" w:type="dxa"/>
            </w:tcMar>
            <w:vAlign w:val="center"/>
          </w:tcPr>
          <w:p w14:paraId="00A42BB1" w14:textId="77777777" w:rsidR="00757164" w:rsidRPr="00940BEC" w:rsidRDefault="00757164" w:rsidP="001E53B4">
            <w:pPr>
              <w:pStyle w:val="TableText0"/>
              <w:jc w:val="center"/>
            </w:pPr>
            <w:r w:rsidRPr="00940BEC">
              <w:t xml:space="preserve">0.01 </w:t>
            </w:r>
          </w:p>
          <w:p w14:paraId="352CE01F" w14:textId="77777777" w:rsidR="00757164" w:rsidRPr="00940BEC" w:rsidRDefault="00757164" w:rsidP="001E53B4">
            <w:pPr>
              <w:pStyle w:val="TableText0"/>
              <w:jc w:val="center"/>
            </w:pPr>
            <w:r w:rsidRPr="00940BEC">
              <w:t>(-0.02, 0.05)</w:t>
            </w:r>
          </w:p>
        </w:tc>
        <w:tc>
          <w:tcPr>
            <w:tcW w:w="999" w:type="pct"/>
            <w:tcMar>
              <w:left w:w="20" w:type="dxa"/>
              <w:right w:w="20" w:type="dxa"/>
            </w:tcMar>
            <w:vAlign w:val="center"/>
          </w:tcPr>
          <w:p w14:paraId="159ECF4C" w14:textId="77777777" w:rsidR="00757164" w:rsidRPr="00940BEC" w:rsidRDefault="00757164" w:rsidP="001E53B4">
            <w:pPr>
              <w:pStyle w:val="TableText0"/>
              <w:jc w:val="center"/>
            </w:pPr>
            <w:r w:rsidRPr="00940BEC">
              <w:t>1</w:t>
            </w:r>
            <w:r w:rsidRPr="00940BEC">
              <w:rPr>
                <w:rFonts w:cs="Calibri"/>
                <w:color w:val="000000"/>
              </w:rPr>
              <w:t>/47</w:t>
            </w:r>
            <w:r w:rsidRPr="00940BEC">
              <w:t xml:space="preserve"> (2.1)</w:t>
            </w:r>
          </w:p>
        </w:tc>
        <w:tc>
          <w:tcPr>
            <w:tcW w:w="944" w:type="pct"/>
            <w:tcMar>
              <w:left w:w="20" w:type="dxa"/>
              <w:right w:w="20" w:type="dxa"/>
            </w:tcMar>
            <w:vAlign w:val="center"/>
          </w:tcPr>
          <w:p w14:paraId="088340E9" w14:textId="77777777" w:rsidR="00757164" w:rsidRPr="00940BEC" w:rsidRDefault="00757164" w:rsidP="001E53B4">
            <w:pPr>
              <w:pStyle w:val="TableText0"/>
              <w:jc w:val="center"/>
            </w:pPr>
            <w:r w:rsidRPr="00940BEC">
              <w:t>2</w:t>
            </w:r>
            <w:r w:rsidRPr="00940BEC">
              <w:rPr>
                <w:rFonts w:cs="Calibri"/>
                <w:color w:val="000000"/>
              </w:rPr>
              <w:t>/38</w:t>
            </w:r>
            <w:r w:rsidRPr="00940BEC">
              <w:t xml:space="preserve"> (5.3)</w:t>
            </w:r>
          </w:p>
        </w:tc>
      </w:tr>
      <w:tr w:rsidR="00B11F2D" w:rsidRPr="00940BEC" w14:paraId="3F54EB82" w14:textId="77777777" w:rsidTr="00C321C4">
        <w:tc>
          <w:tcPr>
            <w:tcW w:w="1062" w:type="pct"/>
            <w:tcMar>
              <w:left w:w="20" w:type="dxa"/>
              <w:right w:w="20" w:type="dxa"/>
            </w:tcMar>
            <w:vAlign w:val="center"/>
          </w:tcPr>
          <w:p w14:paraId="62544A8A" w14:textId="77777777" w:rsidR="00757164" w:rsidRPr="00940BEC" w:rsidRDefault="00757164" w:rsidP="001E53B4">
            <w:pPr>
              <w:pStyle w:val="TableText0"/>
            </w:pPr>
            <w:r w:rsidRPr="00940BEC">
              <w:t>Any SAE</w:t>
            </w:r>
          </w:p>
        </w:tc>
        <w:tc>
          <w:tcPr>
            <w:tcW w:w="665" w:type="pct"/>
            <w:tcMar>
              <w:left w:w="20" w:type="dxa"/>
              <w:right w:w="20" w:type="dxa"/>
            </w:tcMar>
            <w:vAlign w:val="center"/>
          </w:tcPr>
          <w:p w14:paraId="56BC7D31" w14:textId="77777777" w:rsidR="00757164" w:rsidRPr="00940BEC" w:rsidRDefault="00757164" w:rsidP="001E53B4">
            <w:pPr>
              <w:pStyle w:val="TableText0"/>
              <w:jc w:val="center"/>
            </w:pPr>
            <w:r w:rsidRPr="00940BEC">
              <w:t>161/398 (40.5)</w:t>
            </w:r>
          </w:p>
        </w:tc>
        <w:tc>
          <w:tcPr>
            <w:tcW w:w="666" w:type="pct"/>
            <w:tcMar>
              <w:left w:w="20" w:type="dxa"/>
              <w:right w:w="20" w:type="dxa"/>
            </w:tcMar>
            <w:vAlign w:val="center"/>
          </w:tcPr>
          <w:p w14:paraId="181B95EC" w14:textId="77777777" w:rsidR="00757164" w:rsidRPr="00940BEC" w:rsidRDefault="00757164" w:rsidP="001E53B4">
            <w:pPr>
              <w:pStyle w:val="TableText0"/>
              <w:jc w:val="center"/>
            </w:pPr>
            <w:r w:rsidRPr="00940BEC">
              <w:t>126/396 (31.8)</w:t>
            </w:r>
          </w:p>
        </w:tc>
        <w:tc>
          <w:tcPr>
            <w:tcW w:w="665" w:type="pct"/>
            <w:tcMar>
              <w:left w:w="20" w:type="dxa"/>
              <w:right w:w="20" w:type="dxa"/>
            </w:tcMar>
            <w:vAlign w:val="center"/>
          </w:tcPr>
          <w:p w14:paraId="75533F65" w14:textId="77777777" w:rsidR="00757164" w:rsidRPr="00940BEC" w:rsidRDefault="00757164" w:rsidP="001E53B4">
            <w:pPr>
              <w:pStyle w:val="TableText0"/>
              <w:jc w:val="center"/>
              <w:rPr>
                <w:rFonts w:cs="Calibri"/>
                <w:b/>
                <w:bCs w:val="0"/>
                <w:color w:val="000000"/>
              </w:rPr>
            </w:pPr>
            <w:r w:rsidRPr="00940BEC">
              <w:rPr>
                <w:rFonts w:cs="Calibri"/>
                <w:b/>
                <w:bCs w:val="0"/>
                <w:color w:val="000000"/>
              </w:rPr>
              <w:t xml:space="preserve">0.09 </w:t>
            </w:r>
          </w:p>
          <w:p w14:paraId="15B3FC88" w14:textId="77777777" w:rsidR="00757164" w:rsidRPr="00940BEC" w:rsidRDefault="00757164" w:rsidP="001E53B4">
            <w:pPr>
              <w:pStyle w:val="TableText0"/>
              <w:jc w:val="center"/>
              <w:rPr>
                <w:rFonts w:cs="Calibri"/>
                <w:b/>
                <w:bCs w:val="0"/>
                <w:color w:val="000000"/>
              </w:rPr>
            </w:pPr>
            <w:r w:rsidRPr="00940BEC">
              <w:rPr>
                <w:rFonts w:cs="Calibri"/>
                <w:b/>
                <w:bCs w:val="0"/>
                <w:color w:val="000000"/>
              </w:rPr>
              <w:t>(0.02, 0.15)</w:t>
            </w:r>
          </w:p>
        </w:tc>
        <w:tc>
          <w:tcPr>
            <w:tcW w:w="999" w:type="pct"/>
            <w:tcMar>
              <w:left w:w="20" w:type="dxa"/>
              <w:right w:w="20" w:type="dxa"/>
            </w:tcMar>
            <w:vAlign w:val="center"/>
          </w:tcPr>
          <w:p w14:paraId="34EBA42E" w14:textId="77777777" w:rsidR="00757164" w:rsidRPr="00940BEC" w:rsidRDefault="00757164" w:rsidP="001E53B4">
            <w:pPr>
              <w:pStyle w:val="TableText0"/>
              <w:jc w:val="center"/>
            </w:pPr>
            <w:r w:rsidRPr="00940BEC">
              <w:rPr>
                <w:rFonts w:cs="Calibri"/>
                <w:color w:val="000000"/>
              </w:rPr>
              <w:t>14/47 (29.8)</w:t>
            </w:r>
          </w:p>
        </w:tc>
        <w:tc>
          <w:tcPr>
            <w:tcW w:w="944" w:type="pct"/>
            <w:tcMar>
              <w:left w:w="20" w:type="dxa"/>
              <w:right w:w="20" w:type="dxa"/>
            </w:tcMar>
            <w:vAlign w:val="center"/>
          </w:tcPr>
          <w:p w14:paraId="4F064A15" w14:textId="77777777" w:rsidR="00757164" w:rsidRPr="00940BEC" w:rsidRDefault="00757164" w:rsidP="001E53B4">
            <w:pPr>
              <w:pStyle w:val="TableText0"/>
              <w:jc w:val="center"/>
            </w:pPr>
            <w:r w:rsidRPr="00940BEC">
              <w:rPr>
                <w:rFonts w:cs="Calibri"/>
                <w:color w:val="000000"/>
              </w:rPr>
              <w:t>12/38 (31.6)</w:t>
            </w:r>
          </w:p>
        </w:tc>
      </w:tr>
      <w:tr w:rsidR="00B11F2D" w:rsidRPr="00940BEC" w14:paraId="008C07CC" w14:textId="77777777" w:rsidTr="00C321C4">
        <w:tc>
          <w:tcPr>
            <w:tcW w:w="1062" w:type="pct"/>
            <w:tcMar>
              <w:left w:w="20" w:type="dxa"/>
              <w:right w:w="20" w:type="dxa"/>
            </w:tcMar>
            <w:vAlign w:val="center"/>
          </w:tcPr>
          <w:p w14:paraId="37DBB8F0" w14:textId="77777777" w:rsidR="00757164" w:rsidRPr="00940BEC" w:rsidRDefault="00757164" w:rsidP="001E53B4">
            <w:pPr>
              <w:pStyle w:val="TableText0"/>
            </w:pPr>
            <w:r w:rsidRPr="00940BEC">
              <w:t xml:space="preserve">Any AE leading to discontinuation of study treatment </w:t>
            </w:r>
            <w:r w:rsidRPr="00940BEC">
              <w:rPr>
                <w:vertAlign w:val="superscript"/>
              </w:rPr>
              <w:t>a</w:t>
            </w:r>
          </w:p>
        </w:tc>
        <w:tc>
          <w:tcPr>
            <w:tcW w:w="665" w:type="pct"/>
            <w:tcMar>
              <w:left w:w="20" w:type="dxa"/>
              <w:right w:w="20" w:type="dxa"/>
            </w:tcMar>
            <w:vAlign w:val="center"/>
          </w:tcPr>
          <w:p w14:paraId="03529972" w14:textId="77777777" w:rsidR="00757164" w:rsidRPr="00940BEC" w:rsidRDefault="00757164" w:rsidP="001E53B4">
            <w:pPr>
              <w:pStyle w:val="TableText0"/>
              <w:jc w:val="center"/>
            </w:pPr>
            <w:r w:rsidRPr="00940BEC">
              <w:t>71/398 (17.8)</w:t>
            </w:r>
          </w:p>
        </w:tc>
        <w:tc>
          <w:tcPr>
            <w:tcW w:w="666" w:type="pct"/>
            <w:tcMar>
              <w:left w:w="20" w:type="dxa"/>
              <w:right w:w="20" w:type="dxa"/>
            </w:tcMar>
            <w:vAlign w:val="center"/>
          </w:tcPr>
          <w:p w14:paraId="12D55E1E" w14:textId="77777777" w:rsidR="00757164" w:rsidRPr="00940BEC" w:rsidRDefault="00757164" w:rsidP="001E53B4">
            <w:pPr>
              <w:pStyle w:val="TableText0"/>
              <w:jc w:val="center"/>
            </w:pPr>
            <w:r w:rsidRPr="00940BEC">
              <w:t>43/396 (10.9)</w:t>
            </w:r>
          </w:p>
        </w:tc>
        <w:tc>
          <w:tcPr>
            <w:tcW w:w="665" w:type="pct"/>
            <w:tcMar>
              <w:left w:w="20" w:type="dxa"/>
              <w:right w:w="20" w:type="dxa"/>
            </w:tcMar>
            <w:vAlign w:val="center"/>
          </w:tcPr>
          <w:p w14:paraId="1E88651E" w14:textId="77777777" w:rsidR="00757164" w:rsidRPr="00940BEC" w:rsidRDefault="00757164" w:rsidP="001E53B4">
            <w:pPr>
              <w:pStyle w:val="TableText0"/>
              <w:jc w:val="center"/>
              <w:rPr>
                <w:b/>
                <w:bCs w:val="0"/>
              </w:rPr>
            </w:pPr>
            <w:r w:rsidRPr="00940BEC">
              <w:rPr>
                <w:b/>
                <w:bCs w:val="0"/>
              </w:rPr>
              <w:t xml:space="preserve">0.07 </w:t>
            </w:r>
          </w:p>
          <w:p w14:paraId="719BED90" w14:textId="77777777" w:rsidR="00757164" w:rsidRPr="00940BEC" w:rsidRDefault="00757164" w:rsidP="001E53B4">
            <w:pPr>
              <w:pStyle w:val="TableText0"/>
              <w:jc w:val="center"/>
              <w:rPr>
                <w:b/>
                <w:bCs w:val="0"/>
              </w:rPr>
            </w:pPr>
            <w:r w:rsidRPr="00940BEC">
              <w:rPr>
                <w:b/>
                <w:bCs w:val="0"/>
              </w:rPr>
              <w:t>(0.02, 0.12)</w:t>
            </w:r>
          </w:p>
        </w:tc>
        <w:tc>
          <w:tcPr>
            <w:tcW w:w="999" w:type="pct"/>
            <w:tcMar>
              <w:left w:w="20" w:type="dxa"/>
              <w:right w:w="20" w:type="dxa"/>
            </w:tcMar>
            <w:vAlign w:val="center"/>
          </w:tcPr>
          <w:p w14:paraId="05F599F6" w14:textId="73FC2E54" w:rsidR="00757164" w:rsidRPr="00940BEC" w:rsidRDefault="00757164" w:rsidP="001E53B4">
            <w:pPr>
              <w:pStyle w:val="TableText0"/>
              <w:jc w:val="center"/>
            </w:pPr>
            <w:r w:rsidRPr="00940BEC">
              <w:t>NR</w:t>
            </w:r>
          </w:p>
        </w:tc>
        <w:tc>
          <w:tcPr>
            <w:tcW w:w="944" w:type="pct"/>
            <w:tcMar>
              <w:left w:w="20" w:type="dxa"/>
              <w:right w:w="20" w:type="dxa"/>
            </w:tcMar>
            <w:vAlign w:val="center"/>
          </w:tcPr>
          <w:p w14:paraId="3A203488" w14:textId="77777777" w:rsidR="00757164" w:rsidRPr="00940BEC" w:rsidRDefault="00757164" w:rsidP="001E53B4">
            <w:pPr>
              <w:pStyle w:val="TableText0"/>
              <w:jc w:val="center"/>
            </w:pPr>
            <w:r w:rsidRPr="00940BEC">
              <w:t>NR</w:t>
            </w:r>
          </w:p>
        </w:tc>
      </w:tr>
      <w:tr w:rsidR="00B11F2D" w:rsidRPr="00940BEC" w14:paraId="2B684DB9" w14:textId="77777777" w:rsidTr="00C321C4">
        <w:tc>
          <w:tcPr>
            <w:tcW w:w="1062" w:type="pct"/>
            <w:tcMar>
              <w:left w:w="20" w:type="dxa"/>
              <w:right w:w="20" w:type="dxa"/>
            </w:tcMar>
            <w:vAlign w:val="center"/>
          </w:tcPr>
          <w:p w14:paraId="1713CE0A" w14:textId="77777777" w:rsidR="00757164" w:rsidRPr="00940BEC" w:rsidRDefault="00757164" w:rsidP="001E53B4">
            <w:pPr>
              <w:pStyle w:val="TableText0"/>
            </w:pPr>
            <w:r w:rsidRPr="00940BEC">
              <w:t xml:space="preserve">Any AE leading to dose reduction of study treatment </w:t>
            </w:r>
            <w:r w:rsidRPr="00940BEC">
              <w:rPr>
                <w:vertAlign w:val="superscript"/>
              </w:rPr>
              <w:t>a</w:t>
            </w:r>
          </w:p>
        </w:tc>
        <w:tc>
          <w:tcPr>
            <w:tcW w:w="665" w:type="pct"/>
            <w:tcMar>
              <w:left w:w="20" w:type="dxa"/>
              <w:right w:w="20" w:type="dxa"/>
            </w:tcMar>
            <w:vAlign w:val="center"/>
          </w:tcPr>
          <w:p w14:paraId="6DD4208F" w14:textId="77777777" w:rsidR="00757164" w:rsidRPr="00940BEC" w:rsidRDefault="00757164" w:rsidP="001E53B4">
            <w:pPr>
              <w:pStyle w:val="TableText0"/>
              <w:jc w:val="center"/>
            </w:pPr>
            <w:r w:rsidRPr="00940BEC">
              <w:t>112/398 (28.1)</w:t>
            </w:r>
          </w:p>
        </w:tc>
        <w:tc>
          <w:tcPr>
            <w:tcW w:w="666" w:type="pct"/>
            <w:tcMar>
              <w:left w:w="20" w:type="dxa"/>
              <w:right w:w="20" w:type="dxa"/>
            </w:tcMar>
            <w:vAlign w:val="center"/>
          </w:tcPr>
          <w:p w14:paraId="7DF20BDD" w14:textId="77777777" w:rsidR="00757164" w:rsidRPr="00940BEC" w:rsidRDefault="00757164" w:rsidP="001E53B4">
            <w:pPr>
              <w:pStyle w:val="TableText0"/>
              <w:jc w:val="center"/>
            </w:pPr>
            <w:r w:rsidRPr="00940BEC">
              <w:t>56/396 (14.1)</w:t>
            </w:r>
          </w:p>
        </w:tc>
        <w:tc>
          <w:tcPr>
            <w:tcW w:w="665" w:type="pct"/>
            <w:tcMar>
              <w:left w:w="20" w:type="dxa"/>
              <w:right w:w="20" w:type="dxa"/>
            </w:tcMar>
            <w:vAlign w:val="center"/>
          </w:tcPr>
          <w:p w14:paraId="49BE13E5" w14:textId="77777777" w:rsidR="00757164" w:rsidRPr="00940BEC" w:rsidRDefault="00757164" w:rsidP="001E53B4">
            <w:pPr>
              <w:pStyle w:val="TableText0"/>
              <w:jc w:val="center"/>
              <w:rPr>
                <w:b/>
                <w:bCs w:val="0"/>
              </w:rPr>
            </w:pPr>
            <w:r w:rsidRPr="00940BEC">
              <w:rPr>
                <w:b/>
                <w:bCs w:val="0"/>
              </w:rPr>
              <w:t xml:space="preserve">0.14 </w:t>
            </w:r>
          </w:p>
          <w:p w14:paraId="1C0E26B7" w14:textId="77777777" w:rsidR="00757164" w:rsidRPr="00940BEC" w:rsidRDefault="00757164" w:rsidP="001E53B4">
            <w:pPr>
              <w:pStyle w:val="TableText0"/>
              <w:jc w:val="center"/>
            </w:pPr>
            <w:r w:rsidRPr="00940BEC">
              <w:rPr>
                <w:b/>
                <w:bCs w:val="0"/>
              </w:rPr>
              <w:t>(0.08, 0.20)</w:t>
            </w:r>
          </w:p>
        </w:tc>
        <w:tc>
          <w:tcPr>
            <w:tcW w:w="999" w:type="pct"/>
            <w:tcMar>
              <w:left w:w="20" w:type="dxa"/>
              <w:right w:w="20" w:type="dxa"/>
            </w:tcMar>
            <w:vAlign w:val="center"/>
          </w:tcPr>
          <w:p w14:paraId="7FD3E7F4" w14:textId="54C9503C" w:rsidR="00757164" w:rsidRPr="00940BEC" w:rsidRDefault="00C321C4" w:rsidP="001E53B4">
            <w:pPr>
              <w:pStyle w:val="TableText0"/>
              <w:jc w:val="center"/>
            </w:pPr>
            <w:r w:rsidRPr="00940BEC">
              <w:t>ABI: 0</w:t>
            </w:r>
          </w:p>
          <w:p w14:paraId="65EFEAE2" w14:textId="517B92C2" w:rsidR="00C321C4" w:rsidRPr="00940BEC" w:rsidRDefault="00C321C4" w:rsidP="001E53B4">
            <w:pPr>
              <w:pStyle w:val="TableText0"/>
              <w:jc w:val="center"/>
            </w:pPr>
            <w:r w:rsidRPr="00940BEC">
              <w:t>OLA/PBO: 10/47 (21.3)</w:t>
            </w:r>
          </w:p>
        </w:tc>
        <w:tc>
          <w:tcPr>
            <w:tcW w:w="944" w:type="pct"/>
            <w:tcMar>
              <w:left w:w="20" w:type="dxa"/>
              <w:right w:w="20" w:type="dxa"/>
            </w:tcMar>
            <w:vAlign w:val="center"/>
          </w:tcPr>
          <w:p w14:paraId="1BF81536" w14:textId="4AE474AE" w:rsidR="00757164" w:rsidRPr="00940BEC" w:rsidRDefault="00C321C4" w:rsidP="001E53B4">
            <w:pPr>
              <w:pStyle w:val="TableText0"/>
              <w:jc w:val="center"/>
            </w:pPr>
            <w:r w:rsidRPr="00940BEC">
              <w:t>ABI: 2/38 (5.3)</w:t>
            </w:r>
          </w:p>
          <w:p w14:paraId="4012C6FA" w14:textId="4EED7429" w:rsidR="00C321C4" w:rsidRPr="00940BEC" w:rsidRDefault="00C321C4" w:rsidP="001E53B4">
            <w:pPr>
              <w:pStyle w:val="TableText0"/>
              <w:jc w:val="center"/>
            </w:pPr>
            <w:r w:rsidRPr="00940BEC">
              <w:t>OLA/PBO: 1/38 (2.6)</w:t>
            </w:r>
          </w:p>
        </w:tc>
      </w:tr>
      <w:tr w:rsidR="00B11F2D" w:rsidRPr="00940BEC" w14:paraId="04B14046" w14:textId="77777777" w:rsidTr="00C321C4">
        <w:tc>
          <w:tcPr>
            <w:tcW w:w="1062" w:type="pct"/>
            <w:tcMar>
              <w:left w:w="20" w:type="dxa"/>
              <w:right w:w="20" w:type="dxa"/>
            </w:tcMar>
            <w:vAlign w:val="center"/>
          </w:tcPr>
          <w:p w14:paraId="5B7A7112" w14:textId="77777777" w:rsidR="00757164" w:rsidRPr="00940BEC" w:rsidRDefault="00757164" w:rsidP="001E53B4">
            <w:pPr>
              <w:pStyle w:val="TableText0"/>
            </w:pPr>
            <w:r w:rsidRPr="00940BEC">
              <w:t>Any AE leading to dose interruption of study treatment</w:t>
            </w:r>
            <w:r w:rsidRPr="00940BEC">
              <w:rPr>
                <w:vertAlign w:val="superscript"/>
              </w:rPr>
              <w:t xml:space="preserve"> a</w:t>
            </w:r>
          </w:p>
        </w:tc>
        <w:tc>
          <w:tcPr>
            <w:tcW w:w="665" w:type="pct"/>
            <w:tcMar>
              <w:left w:w="20" w:type="dxa"/>
              <w:right w:w="20" w:type="dxa"/>
            </w:tcMar>
            <w:vAlign w:val="center"/>
          </w:tcPr>
          <w:p w14:paraId="0350A898" w14:textId="77777777" w:rsidR="00757164" w:rsidRPr="00940BEC" w:rsidRDefault="00757164" w:rsidP="001E53B4">
            <w:pPr>
              <w:pStyle w:val="TableText0"/>
              <w:jc w:val="center"/>
            </w:pPr>
            <w:r w:rsidRPr="00940BEC">
              <w:t>206/398 (51.8)</w:t>
            </w:r>
          </w:p>
        </w:tc>
        <w:tc>
          <w:tcPr>
            <w:tcW w:w="666" w:type="pct"/>
            <w:tcMar>
              <w:left w:w="20" w:type="dxa"/>
              <w:right w:w="20" w:type="dxa"/>
            </w:tcMar>
            <w:vAlign w:val="center"/>
          </w:tcPr>
          <w:p w14:paraId="486075A8" w14:textId="77777777" w:rsidR="00757164" w:rsidRPr="00940BEC" w:rsidRDefault="00757164" w:rsidP="001E53B4">
            <w:pPr>
              <w:pStyle w:val="TableText0"/>
              <w:jc w:val="center"/>
            </w:pPr>
            <w:r w:rsidRPr="00940BEC">
              <w:t>128/396 (32.3)</w:t>
            </w:r>
          </w:p>
        </w:tc>
        <w:tc>
          <w:tcPr>
            <w:tcW w:w="665" w:type="pct"/>
            <w:tcMar>
              <w:left w:w="20" w:type="dxa"/>
              <w:right w:w="20" w:type="dxa"/>
            </w:tcMar>
            <w:vAlign w:val="center"/>
          </w:tcPr>
          <w:p w14:paraId="378E8ED7" w14:textId="77777777" w:rsidR="00757164" w:rsidRPr="00940BEC" w:rsidRDefault="00757164" w:rsidP="001E53B4">
            <w:pPr>
              <w:pStyle w:val="TableText0"/>
              <w:jc w:val="center"/>
              <w:rPr>
                <w:b/>
                <w:bCs w:val="0"/>
              </w:rPr>
            </w:pPr>
            <w:r w:rsidRPr="00940BEC">
              <w:rPr>
                <w:b/>
                <w:bCs w:val="0"/>
              </w:rPr>
              <w:t xml:space="preserve">0.19 </w:t>
            </w:r>
          </w:p>
          <w:p w14:paraId="730AB2A8" w14:textId="77777777" w:rsidR="00757164" w:rsidRPr="00940BEC" w:rsidRDefault="00757164" w:rsidP="001E53B4">
            <w:pPr>
              <w:pStyle w:val="TableText0"/>
              <w:jc w:val="center"/>
            </w:pPr>
            <w:r w:rsidRPr="00940BEC">
              <w:rPr>
                <w:b/>
                <w:bCs w:val="0"/>
              </w:rPr>
              <w:t>(0.13, 0.26)</w:t>
            </w:r>
          </w:p>
        </w:tc>
        <w:tc>
          <w:tcPr>
            <w:tcW w:w="999" w:type="pct"/>
            <w:tcMar>
              <w:left w:w="20" w:type="dxa"/>
              <w:right w:w="20" w:type="dxa"/>
            </w:tcMar>
            <w:vAlign w:val="center"/>
          </w:tcPr>
          <w:p w14:paraId="368CEEE0" w14:textId="56387E4D" w:rsidR="00757164" w:rsidRPr="00940BEC" w:rsidRDefault="00C321C4" w:rsidP="001E53B4">
            <w:pPr>
              <w:pStyle w:val="TableText0"/>
              <w:jc w:val="center"/>
            </w:pPr>
            <w:r w:rsidRPr="00940BEC">
              <w:t>ABI: 16/47 (34.0)</w:t>
            </w:r>
          </w:p>
          <w:p w14:paraId="7C74CE17" w14:textId="78078A19" w:rsidR="00C321C4" w:rsidRPr="00940BEC" w:rsidRDefault="00C321C4" w:rsidP="001E53B4">
            <w:pPr>
              <w:pStyle w:val="TableText0"/>
              <w:jc w:val="center"/>
            </w:pPr>
            <w:r w:rsidRPr="00940BEC">
              <w:t>OLA/PBO: 26/47 (55.3)</w:t>
            </w:r>
          </w:p>
        </w:tc>
        <w:tc>
          <w:tcPr>
            <w:tcW w:w="944" w:type="pct"/>
            <w:tcMar>
              <w:left w:w="20" w:type="dxa"/>
              <w:right w:w="20" w:type="dxa"/>
            </w:tcMar>
            <w:vAlign w:val="center"/>
          </w:tcPr>
          <w:p w14:paraId="28B16729" w14:textId="7CBDF49B" w:rsidR="00757164" w:rsidRPr="00940BEC" w:rsidRDefault="00C321C4" w:rsidP="001E53B4">
            <w:pPr>
              <w:pStyle w:val="TableText0"/>
              <w:jc w:val="center"/>
            </w:pPr>
            <w:r w:rsidRPr="00940BEC">
              <w:t>ABI: 10/38 (26.3)</w:t>
            </w:r>
          </w:p>
          <w:p w14:paraId="28133A53" w14:textId="2845E997" w:rsidR="00C321C4" w:rsidRPr="00940BEC" w:rsidRDefault="00C321C4" w:rsidP="001E53B4">
            <w:pPr>
              <w:pStyle w:val="TableText0"/>
              <w:jc w:val="center"/>
            </w:pPr>
            <w:r w:rsidRPr="00940BEC">
              <w:t>OLA/PBO: 10/38 (263)</w:t>
            </w:r>
          </w:p>
        </w:tc>
      </w:tr>
      <w:tr w:rsidR="00B11F2D" w:rsidRPr="00940BEC" w14:paraId="118A1E2D" w14:textId="77777777" w:rsidTr="00C321C4">
        <w:tc>
          <w:tcPr>
            <w:tcW w:w="1062" w:type="pct"/>
            <w:tcMar>
              <w:left w:w="20" w:type="dxa"/>
              <w:right w:w="20" w:type="dxa"/>
            </w:tcMar>
            <w:vAlign w:val="center"/>
          </w:tcPr>
          <w:p w14:paraId="1EFB60CC" w14:textId="77777777" w:rsidR="00757164" w:rsidRPr="00940BEC" w:rsidRDefault="00757164" w:rsidP="001E53B4">
            <w:pPr>
              <w:pStyle w:val="TableText0"/>
            </w:pPr>
            <w:r w:rsidRPr="00940BEC">
              <w:t>Any AE leading to discontinuation of olaparib/placebo</w:t>
            </w:r>
          </w:p>
        </w:tc>
        <w:tc>
          <w:tcPr>
            <w:tcW w:w="665" w:type="pct"/>
            <w:tcMar>
              <w:left w:w="20" w:type="dxa"/>
              <w:right w:w="20" w:type="dxa"/>
            </w:tcMar>
            <w:vAlign w:val="center"/>
          </w:tcPr>
          <w:p w14:paraId="2CBD41C2" w14:textId="77777777" w:rsidR="00757164" w:rsidRPr="00940BEC" w:rsidRDefault="00757164" w:rsidP="001E53B4">
            <w:pPr>
              <w:pStyle w:val="TableText0"/>
              <w:jc w:val="center"/>
            </w:pPr>
            <w:r w:rsidRPr="00940BEC">
              <w:t>69/398 (17.3)</w:t>
            </w:r>
          </w:p>
        </w:tc>
        <w:tc>
          <w:tcPr>
            <w:tcW w:w="666" w:type="pct"/>
            <w:tcMar>
              <w:left w:w="20" w:type="dxa"/>
              <w:right w:w="20" w:type="dxa"/>
            </w:tcMar>
            <w:vAlign w:val="center"/>
          </w:tcPr>
          <w:p w14:paraId="73908C89" w14:textId="77777777" w:rsidR="00757164" w:rsidRPr="00940BEC" w:rsidRDefault="00757164" w:rsidP="001E53B4">
            <w:pPr>
              <w:pStyle w:val="TableText0"/>
              <w:jc w:val="center"/>
            </w:pPr>
            <w:r w:rsidRPr="00940BEC">
              <w:t>34/396 (8.6)</w:t>
            </w:r>
          </w:p>
        </w:tc>
        <w:tc>
          <w:tcPr>
            <w:tcW w:w="665" w:type="pct"/>
            <w:tcMar>
              <w:left w:w="20" w:type="dxa"/>
              <w:right w:w="20" w:type="dxa"/>
            </w:tcMar>
            <w:vAlign w:val="center"/>
          </w:tcPr>
          <w:p w14:paraId="0B6C548A" w14:textId="77777777" w:rsidR="00757164" w:rsidRPr="00940BEC" w:rsidRDefault="00757164" w:rsidP="001E53B4">
            <w:pPr>
              <w:pStyle w:val="TableText0"/>
              <w:jc w:val="center"/>
              <w:rPr>
                <w:b/>
                <w:bCs w:val="0"/>
              </w:rPr>
            </w:pPr>
            <w:r w:rsidRPr="00940BEC">
              <w:rPr>
                <w:b/>
                <w:bCs w:val="0"/>
              </w:rPr>
              <w:t xml:space="preserve">0.09 </w:t>
            </w:r>
          </w:p>
          <w:p w14:paraId="55F3F3D8" w14:textId="77777777" w:rsidR="00757164" w:rsidRPr="00940BEC" w:rsidRDefault="00757164" w:rsidP="001E53B4">
            <w:pPr>
              <w:pStyle w:val="TableText0"/>
              <w:jc w:val="center"/>
              <w:rPr>
                <w:b/>
                <w:bCs w:val="0"/>
              </w:rPr>
            </w:pPr>
            <w:r w:rsidRPr="00940BEC">
              <w:rPr>
                <w:b/>
                <w:bCs w:val="0"/>
              </w:rPr>
              <w:t>(0.04, 0.13)</w:t>
            </w:r>
          </w:p>
        </w:tc>
        <w:tc>
          <w:tcPr>
            <w:tcW w:w="999" w:type="pct"/>
            <w:tcMar>
              <w:left w:w="20" w:type="dxa"/>
              <w:right w:w="20" w:type="dxa"/>
            </w:tcMar>
            <w:vAlign w:val="center"/>
          </w:tcPr>
          <w:p w14:paraId="0ADE8AC6" w14:textId="77777777" w:rsidR="00757164" w:rsidRPr="00940BEC" w:rsidRDefault="00757164" w:rsidP="001E53B4">
            <w:pPr>
              <w:pStyle w:val="TableText0"/>
              <w:jc w:val="center"/>
            </w:pPr>
            <w:r w:rsidRPr="00940BEC">
              <w:t>6</w:t>
            </w:r>
            <w:r w:rsidRPr="00940BEC">
              <w:rPr>
                <w:rFonts w:cs="Calibri"/>
                <w:color w:val="000000"/>
              </w:rPr>
              <w:t>/47</w:t>
            </w:r>
            <w:r w:rsidRPr="00940BEC">
              <w:t xml:space="preserve"> (12.8)</w:t>
            </w:r>
          </w:p>
        </w:tc>
        <w:tc>
          <w:tcPr>
            <w:tcW w:w="944" w:type="pct"/>
            <w:tcMar>
              <w:left w:w="20" w:type="dxa"/>
              <w:right w:w="20" w:type="dxa"/>
            </w:tcMar>
            <w:vAlign w:val="center"/>
          </w:tcPr>
          <w:p w14:paraId="167E9796" w14:textId="77777777" w:rsidR="00757164" w:rsidRPr="00940BEC" w:rsidRDefault="00757164" w:rsidP="001E53B4">
            <w:pPr>
              <w:pStyle w:val="TableText0"/>
              <w:jc w:val="center"/>
            </w:pPr>
            <w:r w:rsidRPr="00940BEC">
              <w:t>4</w:t>
            </w:r>
            <w:r w:rsidRPr="00940BEC">
              <w:rPr>
                <w:rFonts w:cs="Calibri"/>
                <w:color w:val="000000"/>
              </w:rPr>
              <w:t>/38</w:t>
            </w:r>
            <w:r w:rsidRPr="00940BEC">
              <w:t xml:space="preserve"> (10.5)</w:t>
            </w:r>
          </w:p>
        </w:tc>
      </w:tr>
      <w:tr w:rsidR="00B11F2D" w:rsidRPr="00940BEC" w14:paraId="08F6888D" w14:textId="77777777" w:rsidTr="00C321C4">
        <w:tc>
          <w:tcPr>
            <w:tcW w:w="1062" w:type="pct"/>
            <w:tcMar>
              <w:left w:w="20" w:type="dxa"/>
              <w:right w:w="20" w:type="dxa"/>
            </w:tcMar>
            <w:vAlign w:val="center"/>
          </w:tcPr>
          <w:p w14:paraId="7AB45F2A" w14:textId="77777777" w:rsidR="00757164" w:rsidRPr="00940BEC" w:rsidRDefault="00757164" w:rsidP="001E53B4">
            <w:pPr>
              <w:pStyle w:val="TableText0"/>
            </w:pPr>
            <w:r w:rsidRPr="00940BEC">
              <w:t>Any AE leading to discontinuation of abiraterone</w:t>
            </w:r>
          </w:p>
        </w:tc>
        <w:tc>
          <w:tcPr>
            <w:tcW w:w="665" w:type="pct"/>
            <w:tcMar>
              <w:left w:w="20" w:type="dxa"/>
              <w:right w:w="20" w:type="dxa"/>
            </w:tcMar>
            <w:vAlign w:val="center"/>
          </w:tcPr>
          <w:p w14:paraId="74B3BEA6" w14:textId="77777777" w:rsidR="00757164" w:rsidRPr="00940BEC" w:rsidRDefault="00757164" w:rsidP="001E53B4">
            <w:pPr>
              <w:pStyle w:val="TableText0"/>
              <w:jc w:val="center"/>
            </w:pPr>
            <w:r w:rsidRPr="00940BEC">
              <w:t>45/398 (11.3)</w:t>
            </w:r>
          </w:p>
        </w:tc>
        <w:tc>
          <w:tcPr>
            <w:tcW w:w="666" w:type="pct"/>
            <w:tcMar>
              <w:left w:w="20" w:type="dxa"/>
              <w:right w:w="20" w:type="dxa"/>
            </w:tcMar>
            <w:vAlign w:val="center"/>
          </w:tcPr>
          <w:p w14:paraId="2EA5D1D4" w14:textId="77777777" w:rsidR="00757164" w:rsidRPr="00940BEC" w:rsidRDefault="00757164" w:rsidP="001E53B4">
            <w:pPr>
              <w:pStyle w:val="TableText0"/>
              <w:jc w:val="center"/>
            </w:pPr>
            <w:r w:rsidRPr="00940BEC">
              <w:t>37/396 (9.3)</w:t>
            </w:r>
          </w:p>
        </w:tc>
        <w:tc>
          <w:tcPr>
            <w:tcW w:w="665" w:type="pct"/>
            <w:tcMar>
              <w:left w:w="20" w:type="dxa"/>
              <w:right w:w="20" w:type="dxa"/>
            </w:tcMar>
            <w:vAlign w:val="center"/>
          </w:tcPr>
          <w:p w14:paraId="2A6F7EAB" w14:textId="77777777" w:rsidR="00757164" w:rsidRPr="00940BEC" w:rsidRDefault="00757164" w:rsidP="001E53B4">
            <w:pPr>
              <w:pStyle w:val="TableText0"/>
              <w:jc w:val="center"/>
            </w:pPr>
            <w:r w:rsidRPr="00940BEC">
              <w:t xml:space="preserve">0.02 </w:t>
            </w:r>
          </w:p>
          <w:p w14:paraId="125B38FF" w14:textId="77777777" w:rsidR="00757164" w:rsidRPr="00940BEC" w:rsidRDefault="00757164" w:rsidP="001E53B4">
            <w:pPr>
              <w:pStyle w:val="TableText0"/>
              <w:jc w:val="center"/>
              <w:rPr>
                <w:b/>
                <w:bCs w:val="0"/>
              </w:rPr>
            </w:pPr>
            <w:r w:rsidRPr="00940BEC">
              <w:t>(-0.02, 0.06)</w:t>
            </w:r>
          </w:p>
        </w:tc>
        <w:tc>
          <w:tcPr>
            <w:tcW w:w="999" w:type="pct"/>
            <w:tcMar>
              <w:left w:w="20" w:type="dxa"/>
              <w:right w:w="20" w:type="dxa"/>
            </w:tcMar>
            <w:vAlign w:val="center"/>
          </w:tcPr>
          <w:p w14:paraId="50A63E11" w14:textId="77777777" w:rsidR="00757164" w:rsidRPr="00940BEC" w:rsidRDefault="00757164" w:rsidP="001E53B4">
            <w:pPr>
              <w:pStyle w:val="TableText0"/>
              <w:jc w:val="center"/>
            </w:pPr>
            <w:r w:rsidRPr="00940BEC">
              <w:t>3</w:t>
            </w:r>
            <w:r w:rsidRPr="00940BEC">
              <w:rPr>
                <w:rFonts w:cs="Calibri"/>
                <w:color w:val="000000"/>
              </w:rPr>
              <w:t>/47</w:t>
            </w:r>
            <w:r w:rsidRPr="00940BEC">
              <w:t xml:space="preserve"> (6.4)</w:t>
            </w:r>
          </w:p>
        </w:tc>
        <w:tc>
          <w:tcPr>
            <w:tcW w:w="944" w:type="pct"/>
            <w:tcMar>
              <w:left w:w="20" w:type="dxa"/>
              <w:right w:w="20" w:type="dxa"/>
            </w:tcMar>
            <w:vAlign w:val="center"/>
          </w:tcPr>
          <w:p w14:paraId="14A7EB32" w14:textId="77777777" w:rsidR="00757164" w:rsidRPr="00940BEC" w:rsidRDefault="00757164" w:rsidP="001E53B4">
            <w:pPr>
              <w:pStyle w:val="TableText0"/>
              <w:jc w:val="center"/>
            </w:pPr>
            <w:r w:rsidRPr="00940BEC">
              <w:t>4</w:t>
            </w:r>
            <w:r w:rsidRPr="00940BEC">
              <w:rPr>
                <w:rFonts w:cs="Calibri"/>
                <w:color w:val="000000"/>
              </w:rPr>
              <w:t>/38</w:t>
            </w:r>
            <w:r w:rsidRPr="00940BEC">
              <w:t xml:space="preserve"> (10.5)</w:t>
            </w:r>
          </w:p>
        </w:tc>
      </w:tr>
    </w:tbl>
    <w:p w14:paraId="74E14337" w14:textId="77777777" w:rsidR="00757164" w:rsidRPr="00BF7033" w:rsidRDefault="00757164" w:rsidP="004613B7">
      <w:pPr>
        <w:pStyle w:val="FooterTableFigure"/>
        <w:jc w:val="both"/>
        <w:rPr>
          <w:rFonts w:eastAsia="Calibri"/>
          <w:bCs/>
        </w:rPr>
      </w:pPr>
      <w:r>
        <w:rPr>
          <w:rFonts w:eastAsia="Calibri"/>
          <w:b/>
          <w:bCs/>
        </w:rPr>
        <w:t xml:space="preserve">Bold </w:t>
      </w:r>
      <w:r w:rsidRPr="00BF7033">
        <w:rPr>
          <w:rFonts w:eastAsia="Calibri"/>
          <w:bCs/>
        </w:rPr>
        <w:t>=</w:t>
      </w:r>
      <w:r>
        <w:rPr>
          <w:rFonts w:eastAsia="Calibri"/>
          <w:bCs/>
        </w:rPr>
        <w:t>statistically significant difference</w:t>
      </w:r>
    </w:p>
    <w:p w14:paraId="00DC8574" w14:textId="163CBFDA" w:rsidR="00757164" w:rsidRPr="00B1011F" w:rsidRDefault="00757164" w:rsidP="004613B7">
      <w:pPr>
        <w:pStyle w:val="FooterTableFigure"/>
        <w:jc w:val="both"/>
        <w:rPr>
          <w:sz w:val="20"/>
        </w:rPr>
      </w:pPr>
      <w:r>
        <w:t xml:space="preserve">Source: Table 2.19, p82; Table 2.31, p102 </w:t>
      </w:r>
      <w:r w:rsidRPr="00D13A3E">
        <w:t xml:space="preserve">of the </w:t>
      </w:r>
      <w:r>
        <w:t>submission</w:t>
      </w:r>
      <w:r w:rsidR="00C321C4">
        <w:t>, and Table ES-2, p5 of the PSCR</w:t>
      </w:r>
      <w:r>
        <w:t xml:space="preserve">. </w:t>
      </w:r>
    </w:p>
    <w:p w14:paraId="26F858FB" w14:textId="17574CC8" w:rsidR="00757164" w:rsidRDefault="00757164" w:rsidP="004613B7">
      <w:pPr>
        <w:pStyle w:val="FooterTableFigure"/>
        <w:jc w:val="both"/>
        <w:rPr>
          <w:rFonts w:eastAsia="Calibri"/>
        </w:rPr>
      </w:pPr>
      <w:r>
        <w:t xml:space="preserve">ABI=abiraterone; </w:t>
      </w:r>
      <w:r w:rsidRPr="00066DC6">
        <w:t>AE</w:t>
      </w:r>
      <w:r>
        <w:t>=</w:t>
      </w:r>
      <w:r w:rsidRPr="00066DC6">
        <w:t>adverse event</w:t>
      </w:r>
      <w:r w:rsidRPr="00B40358">
        <w:rPr>
          <w:rFonts w:eastAsia="Calibri"/>
        </w:rPr>
        <w:t xml:space="preserve">; </w:t>
      </w:r>
      <w:r w:rsidR="00A41905" w:rsidRPr="00A41905">
        <w:rPr>
          <w:rFonts w:eastAsia="Calibri"/>
          <w:i/>
          <w:iCs/>
        </w:rPr>
        <w:t>BRCA</w:t>
      </w:r>
      <w:r w:rsidR="001611B5">
        <w:rPr>
          <w:rFonts w:eastAsia="Calibri"/>
        </w:rPr>
        <w:t xml:space="preserve">=breast cancer gene; </w:t>
      </w:r>
      <w:r>
        <w:rPr>
          <w:rFonts w:eastAsia="Calibri"/>
        </w:rPr>
        <w:t xml:space="preserve">CI=confidence interval; </w:t>
      </w:r>
      <w:r w:rsidRPr="00B40358">
        <w:rPr>
          <w:rFonts w:eastAsia="Calibri"/>
        </w:rPr>
        <w:t xml:space="preserve">n=number of participants reporting </w:t>
      </w:r>
      <w:r>
        <w:rPr>
          <w:rFonts w:eastAsia="Calibri"/>
        </w:rPr>
        <w:t>events</w:t>
      </w:r>
      <w:r w:rsidRPr="00B40358">
        <w:rPr>
          <w:rFonts w:eastAsia="Calibri"/>
        </w:rPr>
        <w:t>; N</w:t>
      </w:r>
      <w:r>
        <w:rPr>
          <w:rFonts w:eastAsia="Calibri"/>
        </w:rPr>
        <w:t>=</w:t>
      </w:r>
      <w:r w:rsidRPr="00B40358">
        <w:rPr>
          <w:rFonts w:eastAsia="Calibri"/>
        </w:rPr>
        <w:t>total participants in group</w:t>
      </w:r>
      <w:r>
        <w:rPr>
          <w:rFonts w:eastAsia="Calibri"/>
        </w:rPr>
        <w:t xml:space="preserve">; NR=not reported; </w:t>
      </w:r>
      <w:r w:rsidRPr="003810CC">
        <w:rPr>
          <w:lang w:val="en-US" w:eastAsia="en-GB"/>
        </w:rPr>
        <w:t>OLA=Olaparib;</w:t>
      </w:r>
      <w:r>
        <w:rPr>
          <w:rFonts w:eastAsia="Calibri"/>
        </w:rPr>
        <w:t xml:space="preserve"> </w:t>
      </w:r>
      <w:r w:rsidR="00C321C4">
        <w:rPr>
          <w:rFonts w:eastAsia="Calibri"/>
        </w:rPr>
        <w:t xml:space="preserve">PBO = placebo; </w:t>
      </w:r>
      <w:r>
        <w:rPr>
          <w:rFonts w:eastAsia="Calibri"/>
        </w:rPr>
        <w:t>RD=risk difference; SAE=serious adverse event</w:t>
      </w:r>
    </w:p>
    <w:p w14:paraId="207A649C" w14:textId="77777777" w:rsidR="00757164" w:rsidRPr="00075D83" w:rsidRDefault="00757164" w:rsidP="004613B7">
      <w:pPr>
        <w:pStyle w:val="FooterTableFigure"/>
        <w:jc w:val="both"/>
        <w:rPr>
          <w:rFonts w:eastAsia="Calibri"/>
        </w:rPr>
      </w:pPr>
      <w:r w:rsidRPr="00566B6C">
        <w:rPr>
          <w:rFonts w:eastAsia="Calibri"/>
          <w:vertAlign w:val="superscript"/>
        </w:rPr>
        <w:t>a</w:t>
      </w:r>
      <w:r w:rsidRPr="00075D83">
        <w:rPr>
          <w:rFonts w:eastAsia="Calibri"/>
        </w:rPr>
        <w:tab/>
        <w:t xml:space="preserve">Study treatment’ refers to olaparib/placebo, and/or abiraterone, and/or prednisone/prednisolone. </w:t>
      </w:r>
    </w:p>
    <w:p w14:paraId="12728855" w14:textId="77777777" w:rsidR="00757164" w:rsidRDefault="00757164" w:rsidP="004613B7">
      <w:pPr>
        <w:pStyle w:val="FooterTableFigure"/>
        <w:ind w:left="165" w:hanging="165"/>
        <w:jc w:val="both"/>
        <w:rPr>
          <w:rFonts w:eastAsia="Calibri"/>
        </w:rPr>
      </w:pPr>
      <w:r w:rsidRPr="00566B6C">
        <w:rPr>
          <w:rFonts w:eastAsia="Calibri"/>
          <w:vertAlign w:val="superscript"/>
        </w:rPr>
        <w:t>b</w:t>
      </w:r>
      <w:r w:rsidRPr="00075D83">
        <w:rPr>
          <w:rFonts w:eastAsia="Calibri"/>
        </w:rPr>
        <w:tab/>
        <w:t>Patients with multiple events in the same category are counted only once in that category. Patients with events in &gt; 1 category are counted in each of those categories.</w:t>
      </w:r>
    </w:p>
    <w:p w14:paraId="0AA4E6EF" w14:textId="35994E43" w:rsidR="00757164" w:rsidRPr="00940BEC" w:rsidRDefault="00D57224" w:rsidP="00FE2E26">
      <w:pPr>
        <w:pStyle w:val="3-BodyText"/>
      </w:pPr>
      <w:r w:rsidRPr="00940BEC">
        <w:t>Overall, safety results in the ITT population showed that olaparib plus abiraterone ha</w:t>
      </w:r>
      <w:r w:rsidR="0054469C" w:rsidRPr="00940BEC">
        <w:t xml:space="preserve">s a </w:t>
      </w:r>
      <w:r w:rsidRPr="00940BEC">
        <w:t xml:space="preserve">worse safety profile </w:t>
      </w:r>
      <w:r w:rsidR="0054469C" w:rsidRPr="00940BEC">
        <w:t>compared to</w:t>
      </w:r>
      <w:r w:rsidRPr="00940BEC">
        <w:t xml:space="preserve"> abiraterone monotherapy. In particular, patients treated with olaparib plus abiraterone experienced significantly higher number of serious </w:t>
      </w:r>
      <w:r w:rsidR="004221E7" w:rsidRPr="00940BEC">
        <w:t>AEs</w:t>
      </w:r>
      <w:r w:rsidRPr="00940BEC">
        <w:t xml:space="preserve"> and grade ≥3 AEs than patients in the abiraterone monotherapy arm. Patients in the olaparib plus abiraterone group also had significantly more AEs leading to treatment discontinuation, interruption, and dose reductions.</w:t>
      </w:r>
    </w:p>
    <w:p w14:paraId="60C96A5A" w14:textId="16441F88" w:rsidR="00D57224" w:rsidRPr="00940BEC" w:rsidRDefault="00D57224" w:rsidP="00FE2E26">
      <w:pPr>
        <w:pStyle w:val="3-BodyText"/>
      </w:pPr>
      <w:r w:rsidRPr="00940BEC">
        <w:rPr>
          <w:rFonts w:eastAsia="Calibri"/>
        </w:rPr>
        <w:t xml:space="preserve">In the </w:t>
      </w:r>
      <w:r w:rsidR="006C3ED1" w:rsidRPr="00940BEC">
        <w:rPr>
          <w:rFonts w:eastAsia="Calibri"/>
        </w:rPr>
        <w:t>BRCA1/2</w:t>
      </w:r>
      <w:r w:rsidRPr="00940BEC">
        <w:rPr>
          <w:rFonts w:eastAsia="Calibri"/>
        </w:rPr>
        <w:t xml:space="preserve"> subgroup, the numbers of events in both treatment arms </w:t>
      </w:r>
      <w:r w:rsidR="005E1B84" w:rsidRPr="00940BEC">
        <w:rPr>
          <w:rFonts w:eastAsia="Calibri"/>
        </w:rPr>
        <w:t xml:space="preserve">were too small </w:t>
      </w:r>
      <w:r w:rsidRPr="00940BEC">
        <w:rPr>
          <w:rFonts w:eastAsia="Calibri"/>
        </w:rPr>
        <w:t>to confidently establish any differences in safety between treatments; the confidence intervals around the risk difference</w:t>
      </w:r>
      <w:r w:rsidR="0054469C" w:rsidRPr="00940BEC">
        <w:rPr>
          <w:rFonts w:eastAsia="Calibri"/>
        </w:rPr>
        <w:t>s</w:t>
      </w:r>
      <w:r w:rsidRPr="00940BEC">
        <w:rPr>
          <w:rFonts w:eastAsia="Calibri"/>
        </w:rPr>
        <w:t xml:space="preserve"> for all outcomes were large and crossed zero (therefore, not presented in the table above).</w:t>
      </w:r>
    </w:p>
    <w:p w14:paraId="65EBEF10" w14:textId="554A82E3" w:rsidR="00D57224" w:rsidRPr="00940BEC" w:rsidRDefault="00D57224" w:rsidP="00FE2E26">
      <w:pPr>
        <w:pStyle w:val="3-BodyText"/>
      </w:pPr>
      <w:r w:rsidRPr="00940BEC">
        <w:t xml:space="preserve">The submission identified venous thromboembolism (VTE) as an adverse drug reaction associated with olaparib in PROpel. A cumulative review of VTE and pulmonary embolism was performed by the sponsor using all available sources including non-clinical, clinical, post-marketing data and literature and concluded that there was </w:t>
      </w:r>
      <w:r w:rsidRPr="00940BEC">
        <w:lastRenderedPageBreak/>
        <w:t>sufficient evidence to suggest a causal relationship between olaparib and VTE/pulmonary embolism</w:t>
      </w:r>
      <w:r w:rsidR="0054469C" w:rsidRPr="00940BEC">
        <w:t>.</w:t>
      </w:r>
      <w:r w:rsidRPr="00940BEC">
        <w:t xml:space="preserve"> The TGA delegate recommended (TGA delegate overview) P</w:t>
      </w:r>
      <w:r w:rsidR="005E1B84" w:rsidRPr="00940BEC">
        <w:t xml:space="preserve">roduct </w:t>
      </w:r>
      <w:r w:rsidRPr="00940BEC">
        <w:t>I</w:t>
      </w:r>
      <w:r w:rsidR="005E1B84" w:rsidRPr="00940BEC">
        <w:t>nformation</w:t>
      </w:r>
      <w:r w:rsidRPr="00940BEC">
        <w:t xml:space="preserve"> revision discussions will need to include consideration of this issue, and “The Warnings and Precautions” section will require revision for consistency and clinical utility.</w:t>
      </w:r>
    </w:p>
    <w:p w14:paraId="04908C7F" w14:textId="415B9B7D" w:rsidR="007F1017" w:rsidRPr="00C9624D" w:rsidRDefault="007F1017" w:rsidP="00D86231">
      <w:pPr>
        <w:pStyle w:val="4-SubsectionHeading"/>
      </w:pPr>
      <w:bookmarkStart w:id="34" w:name="_Toc22897643"/>
      <w:bookmarkStart w:id="35" w:name="_Toc145075507"/>
      <w:r w:rsidRPr="00C9624D">
        <w:t>Benefits/harms</w:t>
      </w:r>
      <w:bookmarkEnd w:id="34"/>
      <w:bookmarkEnd w:id="35"/>
    </w:p>
    <w:p w14:paraId="1CB772FF" w14:textId="7CA625D6" w:rsidR="00E723BA" w:rsidRPr="00BC44DC" w:rsidRDefault="00EC00C9" w:rsidP="00FE2E26">
      <w:pPr>
        <w:pStyle w:val="3-BodyText"/>
      </w:pPr>
      <w:r w:rsidRPr="00ED5BD4">
        <w:rPr>
          <w:lang w:val="en-US"/>
        </w:rPr>
        <w:t xml:space="preserve">A summary of the comparative benefits and harms for </w:t>
      </w:r>
      <w:r w:rsidR="00BC44DC" w:rsidRPr="00CA4838">
        <w:t xml:space="preserve">olaparib </w:t>
      </w:r>
      <w:r w:rsidR="00BC44DC">
        <w:t xml:space="preserve">plus abiraterone </w:t>
      </w:r>
      <w:r w:rsidR="00BC44DC" w:rsidRPr="00CA4838">
        <w:t xml:space="preserve">versus </w:t>
      </w:r>
      <w:r w:rsidR="00BC44DC">
        <w:t xml:space="preserve">abiraterone </w:t>
      </w:r>
      <w:r w:rsidR="00BC44DC" w:rsidRPr="00BC44DC">
        <w:t xml:space="preserve">monotherapy </w:t>
      </w:r>
      <w:r w:rsidRPr="00BC44DC">
        <w:t>is presented in</w:t>
      </w:r>
      <w:r w:rsidR="00E16AD8" w:rsidRPr="00BC44DC">
        <w:t xml:space="preserve"> </w:t>
      </w:r>
      <w:r w:rsidR="00E16AD8" w:rsidRPr="00BC44DC">
        <w:fldChar w:fldCharType="begin" w:fldLock="1"/>
      </w:r>
      <w:r w:rsidR="00E16AD8" w:rsidRPr="00BC44DC">
        <w:instrText xml:space="preserve"> REF _Ref104805037 \h </w:instrText>
      </w:r>
      <w:r w:rsidR="00BC44DC" w:rsidRPr="00BC44DC">
        <w:instrText xml:space="preserve"> \* MERGEFORMAT </w:instrText>
      </w:r>
      <w:r w:rsidR="00E16AD8" w:rsidRPr="00BC44DC">
        <w:fldChar w:fldCharType="separate"/>
      </w:r>
      <w:r w:rsidR="006F331F">
        <w:t>Table 7</w:t>
      </w:r>
      <w:r w:rsidR="00E16AD8" w:rsidRPr="00BC44DC">
        <w:fldChar w:fldCharType="end"/>
      </w:r>
      <w:r w:rsidRPr="00BC44DC">
        <w:t>.</w:t>
      </w:r>
    </w:p>
    <w:p w14:paraId="04AC1B54" w14:textId="45BA1937" w:rsidR="00B62715" w:rsidRDefault="00D6076E" w:rsidP="00D6076E">
      <w:pPr>
        <w:pStyle w:val="Caption"/>
        <w:rPr>
          <w:rStyle w:val="CommentReference"/>
          <w:b/>
          <w:szCs w:val="24"/>
        </w:rPr>
      </w:pPr>
      <w:bookmarkStart w:id="36" w:name="_Ref104805037"/>
      <w:r>
        <w:t xml:space="preserve">Table </w:t>
      </w:r>
      <w:fldSimple w:instr=" SEQ Table \* ARABIC " w:fldLock="1">
        <w:r w:rsidR="006F331F">
          <w:rPr>
            <w:noProof/>
          </w:rPr>
          <w:t>7</w:t>
        </w:r>
      </w:fldSimple>
      <w:bookmarkEnd w:id="36"/>
      <w:r>
        <w:t xml:space="preserve">: </w:t>
      </w:r>
      <w:r w:rsidR="00B62715" w:rsidRPr="00D2155B">
        <w:rPr>
          <w:rStyle w:val="CommentReference"/>
          <w:b/>
          <w:szCs w:val="24"/>
        </w:rPr>
        <w:t xml:space="preserve">Summary of comparative benefits and harms for </w:t>
      </w:r>
      <w:r w:rsidR="00BC44DC">
        <w:rPr>
          <w:rStyle w:val="CommentReference"/>
          <w:b/>
          <w:szCs w:val="24"/>
        </w:rPr>
        <w:t>olaparib plus abiraterone</w:t>
      </w:r>
      <w:r w:rsidR="00B62715" w:rsidRPr="00D2155B">
        <w:rPr>
          <w:rStyle w:val="CommentReference"/>
          <w:b/>
          <w:szCs w:val="24"/>
        </w:rPr>
        <w:t xml:space="preserve"> and </w:t>
      </w:r>
      <w:r w:rsidR="00BC44DC">
        <w:rPr>
          <w:rStyle w:val="CommentReference"/>
          <w:b/>
          <w:szCs w:val="24"/>
        </w:rPr>
        <w:t>abiraterone</w:t>
      </w:r>
    </w:p>
    <w:tbl>
      <w:tblPr>
        <w:tblStyle w:val="TableGrid"/>
        <w:tblW w:w="5013" w:type="pct"/>
        <w:tblInd w:w="28" w:type="dxa"/>
        <w:tblLayout w:type="fixed"/>
        <w:tblCellMar>
          <w:left w:w="28" w:type="dxa"/>
          <w:right w:w="28" w:type="dxa"/>
        </w:tblCellMar>
        <w:tblLook w:val="04A0" w:firstRow="1" w:lastRow="0" w:firstColumn="1" w:lastColumn="0" w:noHBand="0" w:noVBand="1"/>
      </w:tblPr>
      <w:tblGrid>
        <w:gridCol w:w="1249"/>
        <w:gridCol w:w="1128"/>
        <w:gridCol w:w="1134"/>
        <w:gridCol w:w="1566"/>
        <w:gridCol w:w="418"/>
        <w:gridCol w:w="993"/>
        <w:gridCol w:w="1285"/>
        <w:gridCol w:w="18"/>
        <w:gridCol w:w="1249"/>
      </w:tblGrid>
      <w:tr w:rsidR="00BC44DC" w:rsidRPr="00CA4838" w14:paraId="29481AA4" w14:textId="77777777" w:rsidTr="00BC44DC">
        <w:trPr>
          <w:trHeight w:val="150"/>
        </w:trPr>
        <w:tc>
          <w:tcPr>
            <w:tcW w:w="5000" w:type="pct"/>
            <w:gridSpan w:val="9"/>
            <w:shd w:val="clear" w:color="auto" w:fill="auto"/>
            <w:vAlign w:val="center"/>
          </w:tcPr>
          <w:p w14:paraId="72CFCF14" w14:textId="6F889D18" w:rsidR="00BC44DC" w:rsidRPr="00AB1523" w:rsidRDefault="00BC44DC" w:rsidP="001E53B4">
            <w:pPr>
              <w:pStyle w:val="TableText0"/>
              <w:keepLines/>
              <w:rPr>
                <w:b/>
                <w:bCs w:val="0"/>
                <w:szCs w:val="20"/>
              </w:rPr>
            </w:pPr>
            <w:r w:rsidRPr="00AB1523">
              <w:rPr>
                <w:b/>
                <w:bCs w:val="0"/>
                <w:szCs w:val="20"/>
              </w:rPr>
              <w:t xml:space="preserve">Benefits – PROpel </w:t>
            </w:r>
            <w:r w:rsidR="006C3ED1" w:rsidRPr="00AB1523">
              <w:rPr>
                <w:b/>
                <w:bCs w:val="0"/>
                <w:i/>
                <w:iCs/>
                <w:szCs w:val="20"/>
              </w:rPr>
              <w:t>BRCA1/2</w:t>
            </w:r>
            <w:r w:rsidR="00400C3E" w:rsidRPr="00AB1523">
              <w:rPr>
                <w:b/>
                <w:bCs w:val="0"/>
                <w:szCs w:val="20"/>
              </w:rPr>
              <w:t xml:space="preserve"> subgroup</w:t>
            </w:r>
          </w:p>
        </w:tc>
      </w:tr>
      <w:tr w:rsidR="00864ABF" w:rsidRPr="00CA4838" w14:paraId="58B344DE" w14:textId="77777777" w:rsidTr="00F87EB3">
        <w:tc>
          <w:tcPr>
            <w:tcW w:w="1942" w:type="pct"/>
            <w:gridSpan w:val="3"/>
            <w:shd w:val="clear" w:color="auto" w:fill="auto"/>
            <w:vAlign w:val="center"/>
          </w:tcPr>
          <w:p w14:paraId="4E32E077" w14:textId="0A21B3DD" w:rsidR="00BC44DC" w:rsidRPr="00AB1523" w:rsidRDefault="00BC44DC" w:rsidP="00822089">
            <w:pPr>
              <w:pStyle w:val="TableText0"/>
              <w:keepLines/>
              <w:rPr>
                <w:b/>
                <w:szCs w:val="20"/>
              </w:rPr>
            </w:pPr>
          </w:p>
        </w:tc>
        <w:tc>
          <w:tcPr>
            <w:tcW w:w="866" w:type="pct"/>
            <w:shd w:val="clear" w:color="auto" w:fill="auto"/>
            <w:vAlign w:val="center"/>
          </w:tcPr>
          <w:p w14:paraId="10DA1BBC" w14:textId="7600B676" w:rsidR="00BC44DC" w:rsidRPr="00AB1523" w:rsidRDefault="00BC44DC" w:rsidP="001E53B4">
            <w:pPr>
              <w:pStyle w:val="TableText0"/>
              <w:keepLines/>
              <w:jc w:val="center"/>
              <w:rPr>
                <w:b/>
                <w:szCs w:val="20"/>
              </w:rPr>
            </w:pPr>
            <w:r w:rsidRPr="00AB1523">
              <w:rPr>
                <w:b/>
                <w:szCs w:val="20"/>
              </w:rPr>
              <w:t>OLA + ABI</w:t>
            </w:r>
          </w:p>
          <w:p w14:paraId="1A66C15C" w14:textId="042E4538" w:rsidR="00BC44DC" w:rsidRPr="00AB1523" w:rsidRDefault="00BC44DC" w:rsidP="001E53B4">
            <w:pPr>
              <w:pStyle w:val="TableText0"/>
              <w:keepLines/>
              <w:jc w:val="center"/>
              <w:rPr>
                <w:b/>
                <w:szCs w:val="20"/>
              </w:rPr>
            </w:pPr>
            <w:r w:rsidRPr="00AB1523">
              <w:rPr>
                <w:b/>
                <w:szCs w:val="20"/>
              </w:rPr>
              <w:t>N=47</w:t>
            </w:r>
          </w:p>
        </w:tc>
        <w:tc>
          <w:tcPr>
            <w:tcW w:w="780" w:type="pct"/>
            <w:gridSpan w:val="2"/>
            <w:shd w:val="clear" w:color="auto" w:fill="auto"/>
            <w:vAlign w:val="center"/>
          </w:tcPr>
          <w:p w14:paraId="73149387" w14:textId="4233006E" w:rsidR="00BC44DC" w:rsidRPr="00AB1523" w:rsidRDefault="00BC44DC" w:rsidP="001E53B4">
            <w:pPr>
              <w:pStyle w:val="TableText0"/>
              <w:keepLines/>
              <w:jc w:val="center"/>
              <w:rPr>
                <w:b/>
                <w:szCs w:val="20"/>
              </w:rPr>
            </w:pPr>
            <w:r w:rsidRPr="00AB1523">
              <w:rPr>
                <w:b/>
                <w:szCs w:val="20"/>
              </w:rPr>
              <w:t>ABI</w:t>
            </w:r>
          </w:p>
          <w:p w14:paraId="776C8937" w14:textId="39EA93FB" w:rsidR="00BC44DC" w:rsidRPr="00AB1523" w:rsidRDefault="00BC44DC" w:rsidP="001E53B4">
            <w:pPr>
              <w:pStyle w:val="TableText0"/>
              <w:keepLines/>
              <w:jc w:val="center"/>
              <w:rPr>
                <w:b/>
                <w:szCs w:val="20"/>
              </w:rPr>
            </w:pPr>
            <w:r w:rsidRPr="00AB1523">
              <w:rPr>
                <w:b/>
                <w:szCs w:val="20"/>
              </w:rPr>
              <w:t>N=38</w:t>
            </w:r>
          </w:p>
        </w:tc>
        <w:tc>
          <w:tcPr>
            <w:tcW w:w="721" w:type="pct"/>
            <w:gridSpan w:val="2"/>
            <w:shd w:val="clear" w:color="auto" w:fill="auto"/>
            <w:vAlign w:val="center"/>
          </w:tcPr>
          <w:p w14:paraId="19D907D5" w14:textId="77777777" w:rsidR="00BC44DC" w:rsidRPr="00AB1523" w:rsidRDefault="00BC44DC" w:rsidP="001E53B4">
            <w:pPr>
              <w:pStyle w:val="TableText0"/>
              <w:keepLines/>
              <w:jc w:val="center"/>
              <w:rPr>
                <w:b/>
                <w:szCs w:val="20"/>
              </w:rPr>
            </w:pPr>
            <w:r w:rsidRPr="00AB1523">
              <w:rPr>
                <w:b/>
                <w:szCs w:val="20"/>
              </w:rPr>
              <w:t>Absolute difference</w:t>
            </w:r>
          </w:p>
        </w:tc>
        <w:tc>
          <w:tcPr>
            <w:tcW w:w="691" w:type="pct"/>
            <w:shd w:val="clear" w:color="auto" w:fill="auto"/>
            <w:vAlign w:val="center"/>
          </w:tcPr>
          <w:p w14:paraId="360E2BCE" w14:textId="77777777" w:rsidR="00BC44DC" w:rsidRPr="00AB1523" w:rsidRDefault="00BC44DC" w:rsidP="001E53B4">
            <w:pPr>
              <w:pStyle w:val="TableText0"/>
              <w:keepLines/>
              <w:jc w:val="center"/>
              <w:rPr>
                <w:b/>
                <w:szCs w:val="20"/>
              </w:rPr>
            </w:pPr>
            <w:r w:rsidRPr="00AB1523">
              <w:rPr>
                <w:b/>
                <w:szCs w:val="20"/>
              </w:rPr>
              <w:t>HR (95% CI)</w:t>
            </w:r>
          </w:p>
        </w:tc>
      </w:tr>
      <w:tr w:rsidR="00255D29" w:rsidRPr="00CA4838" w14:paraId="51AA1089" w14:textId="77777777" w:rsidTr="00255D29">
        <w:tc>
          <w:tcPr>
            <w:tcW w:w="5000" w:type="pct"/>
            <w:gridSpan w:val="9"/>
            <w:shd w:val="clear" w:color="auto" w:fill="auto"/>
            <w:vAlign w:val="center"/>
          </w:tcPr>
          <w:p w14:paraId="55EF1FF6" w14:textId="7400C7B6" w:rsidR="00255D29" w:rsidRPr="00AB1523" w:rsidRDefault="00255D29" w:rsidP="00255D29">
            <w:pPr>
              <w:pStyle w:val="TableText0"/>
              <w:keepLines/>
              <w:rPr>
                <w:b/>
                <w:szCs w:val="20"/>
              </w:rPr>
            </w:pPr>
            <w:r w:rsidRPr="00AB1523">
              <w:rPr>
                <w:b/>
                <w:szCs w:val="20"/>
              </w:rPr>
              <w:t>rPFS DCO1</w:t>
            </w:r>
            <w:r w:rsidR="004001D6" w:rsidRPr="00AB1523">
              <w:rPr>
                <w:b/>
                <w:szCs w:val="20"/>
                <w:vertAlign w:val="superscript"/>
              </w:rPr>
              <w:t>a</w:t>
            </w:r>
            <w:r w:rsidRPr="00AB1523">
              <w:rPr>
                <w:b/>
                <w:szCs w:val="20"/>
              </w:rPr>
              <w:t xml:space="preserve"> (BICR-assessed)</w:t>
            </w:r>
          </w:p>
        </w:tc>
      </w:tr>
      <w:tr w:rsidR="00255D29" w:rsidRPr="00CA4838" w14:paraId="266DF230" w14:textId="77777777" w:rsidTr="00F87EB3">
        <w:tc>
          <w:tcPr>
            <w:tcW w:w="1942" w:type="pct"/>
            <w:gridSpan w:val="3"/>
            <w:shd w:val="clear" w:color="auto" w:fill="auto"/>
            <w:vAlign w:val="center"/>
          </w:tcPr>
          <w:p w14:paraId="12CA2EA9" w14:textId="251D1579" w:rsidR="00255D29" w:rsidRPr="00AB1523" w:rsidRDefault="00255D29" w:rsidP="00255D29">
            <w:pPr>
              <w:pStyle w:val="TableText0"/>
              <w:keepLines/>
              <w:rPr>
                <w:szCs w:val="20"/>
              </w:rPr>
            </w:pPr>
            <w:r w:rsidRPr="00AB1523">
              <w:rPr>
                <w:szCs w:val="20"/>
              </w:rPr>
              <w:t>Event n/N (%)</w:t>
            </w:r>
          </w:p>
        </w:tc>
        <w:tc>
          <w:tcPr>
            <w:tcW w:w="866" w:type="pct"/>
            <w:shd w:val="clear" w:color="auto" w:fill="auto"/>
            <w:vAlign w:val="center"/>
          </w:tcPr>
          <w:p w14:paraId="716CCF13" w14:textId="6FA2359D" w:rsidR="00255D29" w:rsidRPr="00AB1523" w:rsidRDefault="00255D29" w:rsidP="00255D29">
            <w:pPr>
              <w:pStyle w:val="TableText0"/>
              <w:keepLines/>
              <w:jc w:val="center"/>
              <w:rPr>
                <w:szCs w:val="20"/>
              </w:rPr>
            </w:pPr>
            <w:r w:rsidRPr="00AB1523">
              <w:rPr>
                <w:szCs w:val="20"/>
                <w:lang w:eastAsia="en-US"/>
              </w:rPr>
              <w:t>12/47 (25.5)</w:t>
            </w:r>
          </w:p>
        </w:tc>
        <w:tc>
          <w:tcPr>
            <w:tcW w:w="780" w:type="pct"/>
            <w:gridSpan w:val="2"/>
            <w:shd w:val="clear" w:color="auto" w:fill="auto"/>
            <w:vAlign w:val="center"/>
          </w:tcPr>
          <w:p w14:paraId="76510941" w14:textId="3CEFCAC9" w:rsidR="00255D29" w:rsidRPr="00AB1523" w:rsidRDefault="00255D29" w:rsidP="00255D29">
            <w:pPr>
              <w:pStyle w:val="TableText0"/>
              <w:keepLines/>
              <w:jc w:val="center"/>
              <w:rPr>
                <w:szCs w:val="20"/>
              </w:rPr>
            </w:pPr>
            <w:r w:rsidRPr="00AB1523">
              <w:rPr>
                <w:szCs w:val="20"/>
                <w:lang w:eastAsia="en-US"/>
              </w:rPr>
              <w:t>31/38 (81.6)</w:t>
            </w:r>
          </w:p>
        </w:tc>
        <w:tc>
          <w:tcPr>
            <w:tcW w:w="721" w:type="pct"/>
            <w:gridSpan w:val="2"/>
            <w:shd w:val="clear" w:color="auto" w:fill="auto"/>
            <w:vAlign w:val="center"/>
          </w:tcPr>
          <w:p w14:paraId="1DDCFE79" w14:textId="3F229175" w:rsidR="00255D29" w:rsidRPr="00AB1523" w:rsidRDefault="00255D29" w:rsidP="00255D29">
            <w:pPr>
              <w:pStyle w:val="TableText0"/>
              <w:keepLines/>
              <w:jc w:val="center"/>
              <w:rPr>
                <w:iCs/>
                <w:szCs w:val="20"/>
              </w:rPr>
            </w:pPr>
            <w:r w:rsidRPr="00AB1523">
              <w:rPr>
                <w:iCs/>
                <w:szCs w:val="20"/>
              </w:rPr>
              <w:t>-</w:t>
            </w:r>
          </w:p>
        </w:tc>
        <w:tc>
          <w:tcPr>
            <w:tcW w:w="691" w:type="pct"/>
            <w:vMerge w:val="restart"/>
            <w:shd w:val="clear" w:color="auto" w:fill="auto"/>
            <w:vAlign w:val="center"/>
          </w:tcPr>
          <w:p w14:paraId="1F1B3352" w14:textId="77777777" w:rsidR="004001D6" w:rsidRPr="00AB1523" w:rsidRDefault="00255D29" w:rsidP="00255D29">
            <w:pPr>
              <w:pStyle w:val="TableText0"/>
              <w:keepLines/>
              <w:jc w:val="center"/>
              <w:rPr>
                <w:b/>
                <w:szCs w:val="20"/>
                <w:lang w:eastAsia="en-US"/>
              </w:rPr>
            </w:pPr>
            <w:r w:rsidRPr="00AB1523">
              <w:rPr>
                <w:b/>
                <w:szCs w:val="20"/>
                <w:lang w:eastAsia="en-US"/>
              </w:rPr>
              <w:t xml:space="preserve">0.18 </w:t>
            </w:r>
          </w:p>
          <w:p w14:paraId="421B252C" w14:textId="68A50E1C" w:rsidR="00255D29" w:rsidRPr="00AB1523" w:rsidRDefault="00255D29" w:rsidP="00255D29">
            <w:pPr>
              <w:pStyle w:val="TableText0"/>
              <w:keepLines/>
              <w:jc w:val="center"/>
              <w:rPr>
                <w:b/>
                <w:szCs w:val="20"/>
              </w:rPr>
            </w:pPr>
            <w:r w:rsidRPr="00AB1523">
              <w:rPr>
                <w:b/>
                <w:szCs w:val="20"/>
                <w:lang w:eastAsia="en-US"/>
              </w:rPr>
              <w:t>(0.09, 0.34)</w:t>
            </w:r>
          </w:p>
        </w:tc>
      </w:tr>
      <w:tr w:rsidR="00255D29" w:rsidRPr="00CA4838" w14:paraId="06111246" w14:textId="77777777" w:rsidTr="00F87EB3">
        <w:tc>
          <w:tcPr>
            <w:tcW w:w="1942" w:type="pct"/>
            <w:gridSpan w:val="3"/>
            <w:shd w:val="clear" w:color="auto" w:fill="auto"/>
            <w:vAlign w:val="center"/>
          </w:tcPr>
          <w:p w14:paraId="34B4BF19" w14:textId="67CD8C3C" w:rsidR="00255D29" w:rsidRPr="00AB1523" w:rsidRDefault="00255D29" w:rsidP="00255D29">
            <w:pPr>
              <w:pStyle w:val="TableText0"/>
              <w:keepLines/>
              <w:rPr>
                <w:szCs w:val="20"/>
              </w:rPr>
            </w:pPr>
            <w:r w:rsidRPr="00AB1523">
              <w:rPr>
                <w:szCs w:val="20"/>
              </w:rPr>
              <w:t>% progression-free (95% CI)</w:t>
            </w:r>
          </w:p>
        </w:tc>
        <w:tc>
          <w:tcPr>
            <w:tcW w:w="866" w:type="pct"/>
            <w:shd w:val="clear" w:color="auto" w:fill="auto"/>
            <w:vAlign w:val="center"/>
          </w:tcPr>
          <w:p w14:paraId="1513EF1C" w14:textId="41A49D4D" w:rsidR="00255D29" w:rsidRPr="00AB1523" w:rsidRDefault="00255D29" w:rsidP="00255D29">
            <w:pPr>
              <w:pStyle w:val="TableText0"/>
              <w:keepLines/>
              <w:jc w:val="center"/>
              <w:rPr>
                <w:szCs w:val="20"/>
              </w:rPr>
            </w:pPr>
            <w:r w:rsidRPr="00AB1523">
              <w:rPr>
                <w:szCs w:val="20"/>
              </w:rPr>
              <w:t>NR</w:t>
            </w:r>
          </w:p>
        </w:tc>
        <w:tc>
          <w:tcPr>
            <w:tcW w:w="780" w:type="pct"/>
            <w:gridSpan w:val="2"/>
            <w:shd w:val="clear" w:color="auto" w:fill="auto"/>
            <w:vAlign w:val="center"/>
          </w:tcPr>
          <w:p w14:paraId="38C8D486" w14:textId="63335E20" w:rsidR="00255D29" w:rsidRPr="00AB1523" w:rsidRDefault="00255D29" w:rsidP="00255D29">
            <w:pPr>
              <w:pStyle w:val="TableText0"/>
              <w:keepLines/>
              <w:jc w:val="center"/>
              <w:rPr>
                <w:szCs w:val="20"/>
              </w:rPr>
            </w:pPr>
            <w:r w:rsidRPr="00AB1523">
              <w:rPr>
                <w:szCs w:val="20"/>
              </w:rPr>
              <w:t>NR</w:t>
            </w:r>
          </w:p>
        </w:tc>
        <w:tc>
          <w:tcPr>
            <w:tcW w:w="721" w:type="pct"/>
            <w:gridSpan w:val="2"/>
            <w:shd w:val="clear" w:color="auto" w:fill="auto"/>
            <w:vAlign w:val="center"/>
          </w:tcPr>
          <w:p w14:paraId="0B8DD9DF" w14:textId="2C331843" w:rsidR="00255D29" w:rsidRPr="00AB1523" w:rsidRDefault="00255D29" w:rsidP="00255D29">
            <w:pPr>
              <w:pStyle w:val="TableText0"/>
              <w:keepLines/>
              <w:jc w:val="center"/>
              <w:rPr>
                <w:iCs/>
                <w:szCs w:val="20"/>
              </w:rPr>
            </w:pPr>
            <w:r w:rsidRPr="00AB1523">
              <w:rPr>
                <w:iCs/>
                <w:szCs w:val="20"/>
              </w:rPr>
              <w:t>-</w:t>
            </w:r>
          </w:p>
        </w:tc>
        <w:tc>
          <w:tcPr>
            <w:tcW w:w="691" w:type="pct"/>
            <w:vMerge/>
            <w:shd w:val="clear" w:color="auto" w:fill="auto"/>
            <w:vAlign w:val="center"/>
          </w:tcPr>
          <w:p w14:paraId="5BEBF489" w14:textId="77777777" w:rsidR="00255D29" w:rsidRPr="00AB1523" w:rsidRDefault="00255D29" w:rsidP="00255D29">
            <w:pPr>
              <w:pStyle w:val="TableText0"/>
              <w:keepLines/>
              <w:jc w:val="center"/>
              <w:rPr>
                <w:b/>
                <w:szCs w:val="20"/>
              </w:rPr>
            </w:pPr>
          </w:p>
        </w:tc>
      </w:tr>
      <w:tr w:rsidR="00255D29" w:rsidRPr="00CA4838" w14:paraId="175A2F32" w14:textId="77777777" w:rsidTr="00F87EB3">
        <w:tc>
          <w:tcPr>
            <w:tcW w:w="1942" w:type="pct"/>
            <w:gridSpan w:val="3"/>
            <w:shd w:val="clear" w:color="auto" w:fill="auto"/>
            <w:vAlign w:val="center"/>
          </w:tcPr>
          <w:p w14:paraId="56A102F0" w14:textId="5389CC5D" w:rsidR="00255D29" w:rsidRPr="00AB1523" w:rsidRDefault="00255D29" w:rsidP="00255D29">
            <w:pPr>
              <w:pStyle w:val="TableText0"/>
              <w:keepLines/>
              <w:rPr>
                <w:szCs w:val="20"/>
              </w:rPr>
            </w:pPr>
            <w:r w:rsidRPr="00AB1523">
              <w:rPr>
                <w:szCs w:val="20"/>
              </w:rPr>
              <w:t xml:space="preserve">Median months to rPFS (95% CI) </w:t>
            </w:r>
          </w:p>
        </w:tc>
        <w:tc>
          <w:tcPr>
            <w:tcW w:w="866" w:type="pct"/>
            <w:shd w:val="clear" w:color="auto" w:fill="auto"/>
            <w:vAlign w:val="center"/>
          </w:tcPr>
          <w:p w14:paraId="79FA9118" w14:textId="4F6AA354" w:rsidR="00255D29" w:rsidRPr="00AB1523" w:rsidRDefault="00255D29" w:rsidP="00255D29">
            <w:pPr>
              <w:pStyle w:val="TableText0"/>
              <w:keepLines/>
              <w:jc w:val="center"/>
              <w:rPr>
                <w:szCs w:val="20"/>
              </w:rPr>
            </w:pPr>
            <w:r w:rsidRPr="00AB1523">
              <w:rPr>
                <w:szCs w:val="20"/>
                <w:lang w:eastAsia="en-US"/>
              </w:rPr>
              <w:t>NE</w:t>
            </w:r>
          </w:p>
        </w:tc>
        <w:tc>
          <w:tcPr>
            <w:tcW w:w="780" w:type="pct"/>
            <w:gridSpan w:val="2"/>
            <w:shd w:val="clear" w:color="auto" w:fill="auto"/>
            <w:vAlign w:val="center"/>
          </w:tcPr>
          <w:p w14:paraId="1C9D32BE" w14:textId="4908B1B2" w:rsidR="00255D29" w:rsidRPr="00AB1523" w:rsidRDefault="00255D29" w:rsidP="00255D29">
            <w:pPr>
              <w:pStyle w:val="TableText0"/>
              <w:keepLines/>
              <w:jc w:val="center"/>
              <w:rPr>
                <w:szCs w:val="20"/>
              </w:rPr>
            </w:pPr>
            <w:r w:rsidRPr="00AB1523">
              <w:rPr>
                <w:szCs w:val="20"/>
                <w:lang w:eastAsia="en-US"/>
              </w:rPr>
              <w:t>8.38 (NR, NR)</w:t>
            </w:r>
          </w:p>
        </w:tc>
        <w:tc>
          <w:tcPr>
            <w:tcW w:w="721" w:type="pct"/>
            <w:gridSpan w:val="2"/>
            <w:shd w:val="clear" w:color="auto" w:fill="auto"/>
            <w:vAlign w:val="center"/>
          </w:tcPr>
          <w:p w14:paraId="55B06196" w14:textId="3F368540" w:rsidR="00255D29" w:rsidRPr="00AB1523" w:rsidRDefault="00255D29" w:rsidP="00255D29">
            <w:pPr>
              <w:pStyle w:val="TableText0"/>
              <w:keepLines/>
              <w:jc w:val="center"/>
              <w:rPr>
                <w:iCs/>
                <w:szCs w:val="20"/>
              </w:rPr>
            </w:pPr>
            <w:r w:rsidRPr="00AB1523">
              <w:rPr>
                <w:iCs/>
                <w:szCs w:val="20"/>
              </w:rPr>
              <w:t>-</w:t>
            </w:r>
          </w:p>
        </w:tc>
        <w:tc>
          <w:tcPr>
            <w:tcW w:w="691" w:type="pct"/>
            <w:vMerge/>
            <w:shd w:val="clear" w:color="auto" w:fill="auto"/>
            <w:vAlign w:val="center"/>
          </w:tcPr>
          <w:p w14:paraId="6A9CAB08" w14:textId="77777777" w:rsidR="00255D29" w:rsidRPr="00AB1523" w:rsidRDefault="00255D29" w:rsidP="00255D29">
            <w:pPr>
              <w:pStyle w:val="TableText0"/>
              <w:keepLines/>
              <w:jc w:val="center"/>
              <w:rPr>
                <w:b/>
                <w:szCs w:val="20"/>
              </w:rPr>
            </w:pPr>
          </w:p>
        </w:tc>
      </w:tr>
      <w:tr w:rsidR="001C5D85" w:rsidRPr="00CA4838" w14:paraId="74C7A1F4" w14:textId="77777777" w:rsidTr="001C5D85">
        <w:tc>
          <w:tcPr>
            <w:tcW w:w="5000" w:type="pct"/>
            <w:gridSpan w:val="9"/>
            <w:shd w:val="clear" w:color="auto" w:fill="auto"/>
            <w:vAlign w:val="center"/>
          </w:tcPr>
          <w:p w14:paraId="63BD6B3B" w14:textId="26A09A25" w:rsidR="001C5D85" w:rsidRPr="00AB1523" w:rsidRDefault="001C5D85" w:rsidP="001C5D85">
            <w:pPr>
              <w:pStyle w:val="TableText0"/>
              <w:keepLines/>
              <w:rPr>
                <w:b/>
                <w:szCs w:val="20"/>
              </w:rPr>
            </w:pPr>
            <w:r w:rsidRPr="00AB1523">
              <w:rPr>
                <w:b/>
                <w:szCs w:val="20"/>
              </w:rPr>
              <w:t>rPFS DCO1</w:t>
            </w:r>
            <w:r w:rsidRPr="00AB1523">
              <w:rPr>
                <w:b/>
                <w:szCs w:val="20"/>
                <w:vertAlign w:val="superscript"/>
              </w:rPr>
              <w:t>a</w:t>
            </w:r>
            <w:r w:rsidRPr="00AB1523">
              <w:rPr>
                <w:b/>
                <w:szCs w:val="20"/>
              </w:rPr>
              <w:t xml:space="preserve"> (investigator-assessed)</w:t>
            </w:r>
          </w:p>
        </w:tc>
      </w:tr>
      <w:tr w:rsidR="001C5D85" w:rsidRPr="00CA4838" w14:paraId="4242F4C9" w14:textId="77777777" w:rsidTr="00F87EB3">
        <w:tc>
          <w:tcPr>
            <w:tcW w:w="1942" w:type="pct"/>
            <w:gridSpan w:val="3"/>
            <w:shd w:val="clear" w:color="auto" w:fill="auto"/>
            <w:vAlign w:val="center"/>
          </w:tcPr>
          <w:p w14:paraId="0BB979E5" w14:textId="22823C23" w:rsidR="001C5D85" w:rsidRPr="00AB1523" w:rsidRDefault="001C5D85" w:rsidP="001C5D85">
            <w:pPr>
              <w:pStyle w:val="TableText0"/>
              <w:keepLines/>
              <w:rPr>
                <w:szCs w:val="20"/>
              </w:rPr>
            </w:pPr>
            <w:r w:rsidRPr="00AB1523">
              <w:rPr>
                <w:szCs w:val="20"/>
              </w:rPr>
              <w:t>Event n/N (%)</w:t>
            </w:r>
          </w:p>
        </w:tc>
        <w:tc>
          <w:tcPr>
            <w:tcW w:w="866" w:type="pct"/>
            <w:shd w:val="clear" w:color="auto" w:fill="auto"/>
            <w:vAlign w:val="center"/>
          </w:tcPr>
          <w:p w14:paraId="658601AF" w14:textId="7949D245" w:rsidR="001C5D85" w:rsidRPr="00AB1523" w:rsidRDefault="001C5D85" w:rsidP="001C5D85">
            <w:pPr>
              <w:pStyle w:val="TableText0"/>
              <w:keepLines/>
              <w:jc w:val="center"/>
              <w:rPr>
                <w:szCs w:val="20"/>
                <w:lang w:eastAsia="en-US"/>
              </w:rPr>
            </w:pPr>
            <w:r w:rsidRPr="00AB1523">
              <w:rPr>
                <w:szCs w:val="20"/>
                <w:lang w:eastAsia="en-US"/>
              </w:rPr>
              <w:t>14/47 (29.8)</w:t>
            </w:r>
          </w:p>
        </w:tc>
        <w:tc>
          <w:tcPr>
            <w:tcW w:w="780" w:type="pct"/>
            <w:gridSpan w:val="2"/>
            <w:shd w:val="clear" w:color="auto" w:fill="auto"/>
            <w:vAlign w:val="center"/>
          </w:tcPr>
          <w:p w14:paraId="60FB78F4" w14:textId="20148CD1" w:rsidR="001C5D85" w:rsidRPr="00AB1523" w:rsidRDefault="001C5D85" w:rsidP="001C5D85">
            <w:pPr>
              <w:pStyle w:val="TableText0"/>
              <w:keepLines/>
              <w:jc w:val="center"/>
              <w:rPr>
                <w:szCs w:val="20"/>
                <w:lang w:eastAsia="en-US"/>
              </w:rPr>
            </w:pPr>
            <w:r w:rsidRPr="00AB1523">
              <w:rPr>
                <w:szCs w:val="20"/>
                <w:lang w:eastAsia="en-US"/>
              </w:rPr>
              <w:t>28/38 (73.7)</w:t>
            </w:r>
          </w:p>
        </w:tc>
        <w:tc>
          <w:tcPr>
            <w:tcW w:w="721" w:type="pct"/>
            <w:gridSpan w:val="2"/>
            <w:shd w:val="clear" w:color="auto" w:fill="auto"/>
            <w:vAlign w:val="center"/>
          </w:tcPr>
          <w:p w14:paraId="2A5C1570" w14:textId="7A4633B0" w:rsidR="001C5D85" w:rsidRPr="00AB1523" w:rsidRDefault="001C5D85" w:rsidP="001C5D85">
            <w:pPr>
              <w:pStyle w:val="TableText0"/>
              <w:keepLines/>
              <w:jc w:val="center"/>
              <w:rPr>
                <w:iCs/>
                <w:szCs w:val="20"/>
              </w:rPr>
            </w:pPr>
            <w:r w:rsidRPr="00AB1523">
              <w:rPr>
                <w:iCs/>
                <w:szCs w:val="20"/>
              </w:rPr>
              <w:t>-</w:t>
            </w:r>
          </w:p>
        </w:tc>
        <w:tc>
          <w:tcPr>
            <w:tcW w:w="691" w:type="pct"/>
            <w:vMerge w:val="restart"/>
            <w:shd w:val="clear" w:color="auto" w:fill="auto"/>
            <w:vAlign w:val="center"/>
          </w:tcPr>
          <w:p w14:paraId="2048CF3E" w14:textId="77777777" w:rsidR="001C5D85" w:rsidRPr="00AB1523" w:rsidRDefault="001C5D85" w:rsidP="001C5D85">
            <w:pPr>
              <w:pStyle w:val="TableText0"/>
              <w:keepLines/>
              <w:jc w:val="center"/>
              <w:rPr>
                <w:b/>
                <w:szCs w:val="20"/>
                <w:lang w:eastAsia="en-US"/>
              </w:rPr>
            </w:pPr>
            <w:r w:rsidRPr="00AB1523">
              <w:rPr>
                <w:b/>
                <w:szCs w:val="20"/>
                <w:lang w:eastAsia="en-US"/>
              </w:rPr>
              <w:t xml:space="preserve">0.23 </w:t>
            </w:r>
          </w:p>
          <w:p w14:paraId="29AF39A3" w14:textId="244341B6" w:rsidR="001C5D85" w:rsidRPr="00AB1523" w:rsidRDefault="001C5D85" w:rsidP="001C5D85">
            <w:pPr>
              <w:pStyle w:val="TableText0"/>
              <w:keepLines/>
              <w:jc w:val="center"/>
              <w:rPr>
                <w:b/>
                <w:szCs w:val="20"/>
              </w:rPr>
            </w:pPr>
            <w:r w:rsidRPr="00AB1523">
              <w:rPr>
                <w:b/>
                <w:szCs w:val="20"/>
                <w:lang w:eastAsia="en-US"/>
              </w:rPr>
              <w:t>(0.12, 0.43)</w:t>
            </w:r>
          </w:p>
        </w:tc>
      </w:tr>
      <w:tr w:rsidR="001C5D85" w:rsidRPr="00CA4838" w14:paraId="7A2C6426" w14:textId="77777777" w:rsidTr="00F87EB3">
        <w:tc>
          <w:tcPr>
            <w:tcW w:w="1942" w:type="pct"/>
            <w:gridSpan w:val="3"/>
            <w:shd w:val="clear" w:color="auto" w:fill="auto"/>
            <w:vAlign w:val="center"/>
          </w:tcPr>
          <w:p w14:paraId="1A6AD3E5" w14:textId="4F6AE932" w:rsidR="001C5D85" w:rsidRPr="00AB1523" w:rsidRDefault="001C5D85" w:rsidP="001C5D85">
            <w:pPr>
              <w:pStyle w:val="TableText0"/>
              <w:keepLines/>
              <w:rPr>
                <w:szCs w:val="20"/>
              </w:rPr>
            </w:pPr>
            <w:r w:rsidRPr="00AB1523">
              <w:rPr>
                <w:szCs w:val="20"/>
              </w:rPr>
              <w:t>% progression-free (95% CI)</w:t>
            </w:r>
          </w:p>
        </w:tc>
        <w:tc>
          <w:tcPr>
            <w:tcW w:w="866" w:type="pct"/>
            <w:shd w:val="clear" w:color="auto" w:fill="auto"/>
            <w:vAlign w:val="center"/>
          </w:tcPr>
          <w:p w14:paraId="0F4FC5D0" w14:textId="5380F0A4" w:rsidR="001C5D85" w:rsidRPr="00AB1523" w:rsidRDefault="001C5D85" w:rsidP="001C5D85">
            <w:pPr>
              <w:pStyle w:val="TableText0"/>
              <w:keepLines/>
              <w:jc w:val="center"/>
              <w:rPr>
                <w:szCs w:val="20"/>
                <w:lang w:eastAsia="en-US"/>
              </w:rPr>
            </w:pPr>
            <w:r w:rsidRPr="00AB1523">
              <w:rPr>
                <w:szCs w:val="20"/>
              </w:rPr>
              <w:t>NR</w:t>
            </w:r>
          </w:p>
        </w:tc>
        <w:tc>
          <w:tcPr>
            <w:tcW w:w="780" w:type="pct"/>
            <w:gridSpan w:val="2"/>
            <w:shd w:val="clear" w:color="auto" w:fill="auto"/>
            <w:vAlign w:val="center"/>
          </w:tcPr>
          <w:p w14:paraId="026467B0" w14:textId="149C9660" w:rsidR="001C5D85" w:rsidRPr="00AB1523" w:rsidRDefault="001C5D85" w:rsidP="001C5D85">
            <w:pPr>
              <w:pStyle w:val="TableText0"/>
              <w:keepLines/>
              <w:jc w:val="center"/>
              <w:rPr>
                <w:szCs w:val="20"/>
                <w:lang w:eastAsia="en-US"/>
              </w:rPr>
            </w:pPr>
            <w:r w:rsidRPr="00AB1523">
              <w:rPr>
                <w:szCs w:val="20"/>
              </w:rPr>
              <w:t>NR</w:t>
            </w:r>
          </w:p>
        </w:tc>
        <w:tc>
          <w:tcPr>
            <w:tcW w:w="721" w:type="pct"/>
            <w:gridSpan w:val="2"/>
            <w:shd w:val="clear" w:color="auto" w:fill="auto"/>
            <w:vAlign w:val="center"/>
          </w:tcPr>
          <w:p w14:paraId="60EA7FB9" w14:textId="7239D441" w:rsidR="001C5D85" w:rsidRPr="00AB1523" w:rsidRDefault="001C5D85" w:rsidP="001C5D85">
            <w:pPr>
              <w:pStyle w:val="TableText0"/>
              <w:keepLines/>
              <w:jc w:val="center"/>
              <w:rPr>
                <w:iCs/>
                <w:szCs w:val="20"/>
              </w:rPr>
            </w:pPr>
            <w:r w:rsidRPr="00AB1523">
              <w:rPr>
                <w:iCs/>
                <w:szCs w:val="20"/>
              </w:rPr>
              <w:t>-</w:t>
            </w:r>
          </w:p>
        </w:tc>
        <w:tc>
          <w:tcPr>
            <w:tcW w:w="691" w:type="pct"/>
            <w:vMerge/>
            <w:shd w:val="clear" w:color="auto" w:fill="auto"/>
            <w:vAlign w:val="center"/>
          </w:tcPr>
          <w:p w14:paraId="1F32C7EC" w14:textId="77777777" w:rsidR="001C5D85" w:rsidRPr="00AB1523" w:rsidRDefault="001C5D85" w:rsidP="001C5D85">
            <w:pPr>
              <w:pStyle w:val="TableText0"/>
              <w:keepLines/>
              <w:jc w:val="center"/>
              <w:rPr>
                <w:b/>
                <w:szCs w:val="20"/>
              </w:rPr>
            </w:pPr>
          </w:p>
        </w:tc>
      </w:tr>
      <w:tr w:rsidR="001C5D85" w:rsidRPr="00CA4838" w14:paraId="354C2D82" w14:textId="77777777" w:rsidTr="00F87EB3">
        <w:tc>
          <w:tcPr>
            <w:tcW w:w="1942" w:type="pct"/>
            <w:gridSpan w:val="3"/>
            <w:shd w:val="clear" w:color="auto" w:fill="auto"/>
            <w:vAlign w:val="center"/>
          </w:tcPr>
          <w:p w14:paraId="5A3D8D5F" w14:textId="5641AFB3" w:rsidR="001C5D85" w:rsidRPr="00AB1523" w:rsidRDefault="001C5D85" w:rsidP="001C5D85">
            <w:pPr>
              <w:pStyle w:val="TableText0"/>
              <w:keepLines/>
              <w:rPr>
                <w:szCs w:val="20"/>
              </w:rPr>
            </w:pPr>
            <w:r w:rsidRPr="00AB1523">
              <w:rPr>
                <w:szCs w:val="20"/>
              </w:rPr>
              <w:t xml:space="preserve">Median months to rPFS (95% CI) </w:t>
            </w:r>
          </w:p>
        </w:tc>
        <w:tc>
          <w:tcPr>
            <w:tcW w:w="866" w:type="pct"/>
            <w:shd w:val="clear" w:color="auto" w:fill="auto"/>
            <w:vAlign w:val="center"/>
          </w:tcPr>
          <w:p w14:paraId="06655F77" w14:textId="30FE432A" w:rsidR="001C5D85" w:rsidRPr="00AB1523" w:rsidRDefault="001C5D85" w:rsidP="001C5D85">
            <w:pPr>
              <w:pStyle w:val="TableText0"/>
              <w:keepLines/>
              <w:jc w:val="center"/>
              <w:rPr>
                <w:szCs w:val="20"/>
                <w:lang w:eastAsia="en-US"/>
              </w:rPr>
            </w:pPr>
            <w:r w:rsidRPr="00AB1523">
              <w:rPr>
                <w:szCs w:val="20"/>
                <w:lang w:eastAsia="en-US"/>
              </w:rPr>
              <w:t>NE</w:t>
            </w:r>
          </w:p>
        </w:tc>
        <w:tc>
          <w:tcPr>
            <w:tcW w:w="780" w:type="pct"/>
            <w:gridSpan w:val="2"/>
            <w:shd w:val="clear" w:color="auto" w:fill="auto"/>
            <w:vAlign w:val="center"/>
          </w:tcPr>
          <w:p w14:paraId="7A0C058F" w14:textId="256373A2" w:rsidR="001C5D85" w:rsidRPr="00AB1523" w:rsidRDefault="001C5D85" w:rsidP="001C5D85">
            <w:pPr>
              <w:pStyle w:val="TableText0"/>
              <w:keepLines/>
              <w:jc w:val="center"/>
              <w:rPr>
                <w:szCs w:val="20"/>
                <w:lang w:eastAsia="en-US"/>
              </w:rPr>
            </w:pPr>
            <w:r w:rsidRPr="00AB1523">
              <w:rPr>
                <w:szCs w:val="20"/>
                <w:lang w:eastAsia="en-US"/>
              </w:rPr>
              <w:t>8.38 (NR, NR)</w:t>
            </w:r>
          </w:p>
        </w:tc>
        <w:tc>
          <w:tcPr>
            <w:tcW w:w="721" w:type="pct"/>
            <w:gridSpan w:val="2"/>
            <w:shd w:val="clear" w:color="auto" w:fill="auto"/>
            <w:vAlign w:val="center"/>
          </w:tcPr>
          <w:p w14:paraId="3A3E3B08" w14:textId="2F90C26B" w:rsidR="001C5D85" w:rsidRPr="00AB1523" w:rsidRDefault="001C5D85" w:rsidP="001C5D85">
            <w:pPr>
              <w:pStyle w:val="TableText0"/>
              <w:keepLines/>
              <w:jc w:val="center"/>
              <w:rPr>
                <w:iCs/>
                <w:szCs w:val="20"/>
              </w:rPr>
            </w:pPr>
            <w:r w:rsidRPr="00AB1523">
              <w:rPr>
                <w:iCs/>
                <w:szCs w:val="20"/>
              </w:rPr>
              <w:t>-</w:t>
            </w:r>
          </w:p>
        </w:tc>
        <w:tc>
          <w:tcPr>
            <w:tcW w:w="691" w:type="pct"/>
            <w:vMerge/>
            <w:shd w:val="clear" w:color="auto" w:fill="auto"/>
            <w:vAlign w:val="center"/>
          </w:tcPr>
          <w:p w14:paraId="006B73F5" w14:textId="77777777" w:rsidR="001C5D85" w:rsidRPr="00AB1523" w:rsidRDefault="001C5D85" w:rsidP="001C5D85">
            <w:pPr>
              <w:pStyle w:val="TableText0"/>
              <w:keepLines/>
              <w:jc w:val="center"/>
              <w:rPr>
                <w:b/>
                <w:szCs w:val="20"/>
              </w:rPr>
            </w:pPr>
          </w:p>
        </w:tc>
      </w:tr>
      <w:tr w:rsidR="00255D29" w:rsidRPr="00CA4838" w14:paraId="68A88197" w14:textId="77777777" w:rsidTr="00BC44DC">
        <w:tc>
          <w:tcPr>
            <w:tcW w:w="5000" w:type="pct"/>
            <w:gridSpan w:val="9"/>
            <w:shd w:val="clear" w:color="auto" w:fill="auto"/>
            <w:vAlign w:val="center"/>
          </w:tcPr>
          <w:p w14:paraId="51814E5F" w14:textId="566CE4AD" w:rsidR="00255D29" w:rsidRPr="00AB1523" w:rsidRDefault="00255D29" w:rsidP="00255D29">
            <w:pPr>
              <w:pStyle w:val="TableText0"/>
              <w:keepLines/>
              <w:rPr>
                <w:b/>
                <w:szCs w:val="20"/>
              </w:rPr>
            </w:pPr>
            <w:r w:rsidRPr="00AB1523">
              <w:rPr>
                <w:b/>
                <w:szCs w:val="20"/>
              </w:rPr>
              <w:t>OS DCO3</w:t>
            </w:r>
            <w:r w:rsidR="004001D6" w:rsidRPr="00AB1523">
              <w:rPr>
                <w:b/>
                <w:szCs w:val="20"/>
                <w:vertAlign w:val="superscript"/>
              </w:rPr>
              <w:t>a</w:t>
            </w:r>
            <w:r w:rsidRPr="00AB1523">
              <w:rPr>
                <w:b/>
                <w:szCs w:val="20"/>
              </w:rPr>
              <w:t xml:space="preserve"> </w:t>
            </w:r>
          </w:p>
        </w:tc>
      </w:tr>
      <w:tr w:rsidR="00255D29" w:rsidRPr="00CA4838" w14:paraId="1D973691" w14:textId="77777777" w:rsidTr="00F87EB3">
        <w:tc>
          <w:tcPr>
            <w:tcW w:w="1942" w:type="pct"/>
            <w:gridSpan w:val="3"/>
            <w:shd w:val="clear" w:color="auto" w:fill="auto"/>
            <w:vAlign w:val="center"/>
          </w:tcPr>
          <w:p w14:paraId="238075BE" w14:textId="77777777" w:rsidR="00255D29" w:rsidRPr="00AB1523" w:rsidRDefault="00255D29" w:rsidP="00255D29">
            <w:pPr>
              <w:pStyle w:val="TableText0"/>
              <w:keepLines/>
              <w:rPr>
                <w:szCs w:val="20"/>
              </w:rPr>
            </w:pPr>
            <w:r w:rsidRPr="00AB1523">
              <w:rPr>
                <w:szCs w:val="20"/>
              </w:rPr>
              <w:t>Died n (%)</w:t>
            </w:r>
          </w:p>
        </w:tc>
        <w:tc>
          <w:tcPr>
            <w:tcW w:w="866" w:type="pct"/>
            <w:shd w:val="clear" w:color="auto" w:fill="auto"/>
            <w:vAlign w:val="center"/>
          </w:tcPr>
          <w:p w14:paraId="1231C57B" w14:textId="048FA8FE" w:rsidR="00255D29" w:rsidRPr="00AB1523" w:rsidRDefault="00255D29" w:rsidP="00255D29">
            <w:pPr>
              <w:pStyle w:val="TableText0"/>
              <w:keepLines/>
              <w:jc w:val="center"/>
              <w:rPr>
                <w:szCs w:val="20"/>
              </w:rPr>
            </w:pPr>
            <w:r w:rsidRPr="00AB1523">
              <w:rPr>
                <w:szCs w:val="20"/>
                <w:lang w:eastAsia="en-US"/>
              </w:rPr>
              <w:t>13/47 (27.7)</w:t>
            </w:r>
          </w:p>
        </w:tc>
        <w:tc>
          <w:tcPr>
            <w:tcW w:w="780" w:type="pct"/>
            <w:gridSpan w:val="2"/>
            <w:shd w:val="clear" w:color="auto" w:fill="auto"/>
            <w:vAlign w:val="center"/>
          </w:tcPr>
          <w:p w14:paraId="1A71AFCA" w14:textId="7F00D1B5" w:rsidR="00255D29" w:rsidRPr="00AB1523" w:rsidRDefault="00255D29" w:rsidP="00255D29">
            <w:pPr>
              <w:pStyle w:val="TableText0"/>
              <w:keepLines/>
              <w:jc w:val="center"/>
              <w:rPr>
                <w:szCs w:val="20"/>
              </w:rPr>
            </w:pPr>
            <w:r w:rsidRPr="00AB1523">
              <w:rPr>
                <w:szCs w:val="20"/>
                <w:lang w:eastAsia="en-US"/>
              </w:rPr>
              <w:t>25/38 (65.8)</w:t>
            </w:r>
          </w:p>
        </w:tc>
        <w:tc>
          <w:tcPr>
            <w:tcW w:w="721" w:type="pct"/>
            <w:gridSpan w:val="2"/>
            <w:shd w:val="clear" w:color="auto" w:fill="auto"/>
            <w:vAlign w:val="center"/>
          </w:tcPr>
          <w:p w14:paraId="1671A364" w14:textId="77777777" w:rsidR="00255D29" w:rsidRPr="00AB1523" w:rsidRDefault="00255D29" w:rsidP="00255D29">
            <w:pPr>
              <w:pStyle w:val="TableText0"/>
              <w:keepLines/>
              <w:jc w:val="center"/>
              <w:rPr>
                <w:szCs w:val="20"/>
              </w:rPr>
            </w:pPr>
            <w:r w:rsidRPr="00AB1523">
              <w:rPr>
                <w:szCs w:val="20"/>
              </w:rPr>
              <w:t>-</w:t>
            </w:r>
          </w:p>
        </w:tc>
        <w:tc>
          <w:tcPr>
            <w:tcW w:w="691" w:type="pct"/>
            <w:vMerge w:val="restart"/>
            <w:shd w:val="clear" w:color="auto" w:fill="auto"/>
            <w:vAlign w:val="center"/>
          </w:tcPr>
          <w:p w14:paraId="2B22946E" w14:textId="77777777" w:rsidR="004001D6" w:rsidRPr="00AB1523" w:rsidRDefault="004001D6" w:rsidP="004001D6">
            <w:pPr>
              <w:pStyle w:val="TableText0"/>
              <w:keepLines/>
              <w:jc w:val="center"/>
              <w:rPr>
                <w:b/>
                <w:szCs w:val="20"/>
              </w:rPr>
            </w:pPr>
            <w:r w:rsidRPr="00AB1523">
              <w:rPr>
                <w:b/>
                <w:szCs w:val="20"/>
              </w:rPr>
              <w:t>0.29</w:t>
            </w:r>
          </w:p>
          <w:p w14:paraId="30BEAA47" w14:textId="718CA0E2" w:rsidR="00255D29" w:rsidRPr="00AB1523" w:rsidRDefault="004001D6" w:rsidP="004001D6">
            <w:pPr>
              <w:pStyle w:val="TableText0"/>
              <w:keepLines/>
              <w:jc w:val="center"/>
              <w:rPr>
                <w:b/>
                <w:szCs w:val="20"/>
              </w:rPr>
            </w:pPr>
            <w:r w:rsidRPr="00AB1523">
              <w:rPr>
                <w:b/>
                <w:szCs w:val="20"/>
              </w:rPr>
              <w:t>(0.14, 0.56)</w:t>
            </w:r>
          </w:p>
        </w:tc>
      </w:tr>
      <w:tr w:rsidR="00255D29" w:rsidRPr="00CA4838" w14:paraId="6DA70C73" w14:textId="77777777" w:rsidTr="00F87EB3">
        <w:tc>
          <w:tcPr>
            <w:tcW w:w="1942" w:type="pct"/>
            <w:gridSpan w:val="3"/>
            <w:shd w:val="clear" w:color="auto" w:fill="auto"/>
            <w:vAlign w:val="center"/>
          </w:tcPr>
          <w:p w14:paraId="4D152B2C" w14:textId="77777777" w:rsidR="00255D29" w:rsidRPr="00AB1523" w:rsidRDefault="00255D29" w:rsidP="00255D29">
            <w:pPr>
              <w:pStyle w:val="TableText0"/>
              <w:keepLines/>
              <w:rPr>
                <w:szCs w:val="20"/>
              </w:rPr>
            </w:pPr>
            <w:r w:rsidRPr="00AB1523">
              <w:rPr>
                <w:szCs w:val="20"/>
              </w:rPr>
              <w:t>% alive (95% CI)</w:t>
            </w:r>
          </w:p>
        </w:tc>
        <w:tc>
          <w:tcPr>
            <w:tcW w:w="866" w:type="pct"/>
            <w:shd w:val="clear" w:color="auto" w:fill="auto"/>
            <w:vAlign w:val="center"/>
          </w:tcPr>
          <w:p w14:paraId="4026104D" w14:textId="51CEB8CF" w:rsidR="00255D29" w:rsidRPr="00AB1523" w:rsidRDefault="00255D29" w:rsidP="00255D29">
            <w:pPr>
              <w:pStyle w:val="TableText0"/>
              <w:keepLines/>
              <w:jc w:val="center"/>
              <w:rPr>
                <w:szCs w:val="20"/>
              </w:rPr>
            </w:pPr>
            <w:r w:rsidRPr="00AB1523">
              <w:rPr>
                <w:szCs w:val="20"/>
              </w:rPr>
              <w:t>NR</w:t>
            </w:r>
          </w:p>
        </w:tc>
        <w:tc>
          <w:tcPr>
            <w:tcW w:w="780" w:type="pct"/>
            <w:gridSpan w:val="2"/>
            <w:shd w:val="clear" w:color="auto" w:fill="auto"/>
            <w:vAlign w:val="center"/>
          </w:tcPr>
          <w:p w14:paraId="0F4C213C" w14:textId="4AAA5EBE" w:rsidR="00255D29" w:rsidRPr="00AB1523" w:rsidRDefault="00255D29" w:rsidP="00255D29">
            <w:pPr>
              <w:pStyle w:val="TableText0"/>
              <w:keepLines/>
              <w:jc w:val="center"/>
              <w:rPr>
                <w:szCs w:val="20"/>
              </w:rPr>
            </w:pPr>
            <w:r w:rsidRPr="00AB1523">
              <w:rPr>
                <w:szCs w:val="20"/>
              </w:rPr>
              <w:t>NR</w:t>
            </w:r>
          </w:p>
        </w:tc>
        <w:tc>
          <w:tcPr>
            <w:tcW w:w="721" w:type="pct"/>
            <w:gridSpan w:val="2"/>
            <w:shd w:val="clear" w:color="auto" w:fill="auto"/>
            <w:vAlign w:val="center"/>
          </w:tcPr>
          <w:p w14:paraId="76A3A44E" w14:textId="26BCCE7B" w:rsidR="00255D29" w:rsidRPr="00AB1523" w:rsidRDefault="00255D29" w:rsidP="00255D29">
            <w:pPr>
              <w:pStyle w:val="TableText0"/>
              <w:keepLines/>
              <w:jc w:val="center"/>
              <w:rPr>
                <w:szCs w:val="20"/>
              </w:rPr>
            </w:pPr>
            <w:r w:rsidRPr="00AB1523">
              <w:rPr>
                <w:szCs w:val="20"/>
              </w:rPr>
              <w:t>-</w:t>
            </w:r>
          </w:p>
        </w:tc>
        <w:tc>
          <w:tcPr>
            <w:tcW w:w="691" w:type="pct"/>
            <w:vMerge/>
            <w:shd w:val="clear" w:color="auto" w:fill="auto"/>
            <w:vAlign w:val="bottom"/>
          </w:tcPr>
          <w:p w14:paraId="7EE3364C" w14:textId="77777777" w:rsidR="00255D29" w:rsidRPr="00AB1523" w:rsidRDefault="00255D29" w:rsidP="00255D29">
            <w:pPr>
              <w:pStyle w:val="TableText0"/>
              <w:keepLines/>
              <w:jc w:val="center"/>
              <w:rPr>
                <w:b/>
                <w:szCs w:val="20"/>
              </w:rPr>
            </w:pPr>
          </w:p>
        </w:tc>
      </w:tr>
      <w:tr w:rsidR="00255D29" w:rsidRPr="00CA4838" w14:paraId="5837C5A3" w14:textId="77777777" w:rsidTr="00F87EB3">
        <w:tc>
          <w:tcPr>
            <w:tcW w:w="1942" w:type="pct"/>
            <w:gridSpan w:val="3"/>
            <w:shd w:val="clear" w:color="auto" w:fill="auto"/>
            <w:vAlign w:val="center"/>
          </w:tcPr>
          <w:p w14:paraId="3C9587F2" w14:textId="77777777" w:rsidR="00255D29" w:rsidRPr="00AB1523" w:rsidDel="003450F0" w:rsidRDefault="00255D29" w:rsidP="00255D29">
            <w:pPr>
              <w:pStyle w:val="TableText0"/>
              <w:keepLines/>
              <w:rPr>
                <w:szCs w:val="20"/>
              </w:rPr>
            </w:pPr>
            <w:r w:rsidRPr="00AB1523">
              <w:rPr>
                <w:szCs w:val="20"/>
              </w:rPr>
              <w:t xml:space="preserve">Median months to death (95% CI) </w:t>
            </w:r>
          </w:p>
        </w:tc>
        <w:tc>
          <w:tcPr>
            <w:tcW w:w="866" w:type="pct"/>
            <w:shd w:val="clear" w:color="auto" w:fill="auto"/>
            <w:vAlign w:val="center"/>
          </w:tcPr>
          <w:p w14:paraId="4F8D259B" w14:textId="1C602086" w:rsidR="00255D29" w:rsidRPr="00AB1523" w:rsidDel="003450F0" w:rsidRDefault="00255D29" w:rsidP="00255D29">
            <w:pPr>
              <w:pStyle w:val="TableText0"/>
              <w:keepLines/>
              <w:jc w:val="center"/>
              <w:rPr>
                <w:szCs w:val="20"/>
              </w:rPr>
            </w:pPr>
            <w:r w:rsidRPr="00AB1523">
              <w:rPr>
                <w:szCs w:val="20"/>
                <w:lang w:eastAsia="en-US"/>
              </w:rPr>
              <w:t>NE</w:t>
            </w:r>
          </w:p>
        </w:tc>
        <w:tc>
          <w:tcPr>
            <w:tcW w:w="780" w:type="pct"/>
            <w:gridSpan w:val="2"/>
            <w:shd w:val="clear" w:color="auto" w:fill="auto"/>
            <w:vAlign w:val="center"/>
          </w:tcPr>
          <w:p w14:paraId="74E88B37" w14:textId="763FB01C" w:rsidR="00255D29" w:rsidRPr="00AB1523" w:rsidDel="003450F0" w:rsidRDefault="00255D29" w:rsidP="00255D29">
            <w:pPr>
              <w:pStyle w:val="TableText0"/>
              <w:keepLines/>
              <w:jc w:val="center"/>
              <w:rPr>
                <w:szCs w:val="20"/>
              </w:rPr>
            </w:pPr>
            <w:r w:rsidRPr="00AB1523">
              <w:rPr>
                <w:szCs w:val="20"/>
                <w:lang w:eastAsia="en-US"/>
              </w:rPr>
              <w:t>22.97 (NR, NR)</w:t>
            </w:r>
          </w:p>
        </w:tc>
        <w:tc>
          <w:tcPr>
            <w:tcW w:w="721" w:type="pct"/>
            <w:gridSpan w:val="2"/>
            <w:shd w:val="clear" w:color="auto" w:fill="auto"/>
            <w:vAlign w:val="center"/>
          </w:tcPr>
          <w:p w14:paraId="1831AA01" w14:textId="28EBA351" w:rsidR="00255D29" w:rsidRPr="00AB1523" w:rsidDel="003450F0" w:rsidRDefault="00255D29" w:rsidP="00255D29">
            <w:pPr>
              <w:pStyle w:val="TableText0"/>
              <w:keepLines/>
              <w:jc w:val="center"/>
              <w:rPr>
                <w:iCs/>
                <w:szCs w:val="20"/>
              </w:rPr>
            </w:pPr>
            <w:r w:rsidRPr="00AB1523">
              <w:rPr>
                <w:iCs/>
                <w:szCs w:val="20"/>
              </w:rPr>
              <w:t>-</w:t>
            </w:r>
          </w:p>
        </w:tc>
        <w:tc>
          <w:tcPr>
            <w:tcW w:w="691" w:type="pct"/>
            <w:vMerge/>
            <w:shd w:val="clear" w:color="auto" w:fill="auto"/>
            <w:vAlign w:val="center"/>
          </w:tcPr>
          <w:p w14:paraId="4453A6EE" w14:textId="77777777" w:rsidR="00255D29" w:rsidRPr="00AB1523" w:rsidRDefault="00255D29" w:rsidP="00255D29">
            <w:pPr>
              <w:pStyle w:val="TableText0"/>
              <w:keepLines/>
              <w:jc w:val="center"/>
              <w:rPr>
                <w:szCs w:val="20"/>
              </w:rPr>
            </w:pPr>
          </w:p>
        </w:tc>
      </w:tr>
      <w:tr w:rsidR="00255D29" w:rsidRPr="00CA4838" w14:paraId="3D57DF40" w14:textId="77777777" w:rsidTr="00BC44DC">
        <w:tc>
          <w:tcPr>
            <w:tcW w:w="5000" w:type="pct"/>
            <w:gridSpan w:val="9"/>
            <w:shd w:val="clear" w:color="auto" w:fill="auto"/>
          </w:tcPr>
          <w:p w14:paraId="11928729" w14:textId="7334B0F7" w:rsidR="00255D29" w:rsidRPr="00AB1523" w:rsidRDefault="00255D29" w:rsidP="00255D29">
            <w:pPr>
              <w:pStyle w:val="TableText0"/>
              <w:keepLines/>
              <w:rPr>
                <w:b/>
                <w:szCs w:val="20"/>
                <w:u w:val="single"/>
              </w:rPr>
            </w:pPr>
            <w:r w:rsidRPr="00AB1523">
              <w:rPr>
                <w:b/>
                <w:szCs w:val="20"/>
                <w:u w:val="single"/>
              </w:rPr>
              <w:t xml:space="preserve">Harms – PROpel ITT </w:t>
            </w:r>
          </w:p>
        </w:tc>
      </w:tr>
      <w:tr w:rsidR="00255D29" w:rsidRPr="00CA4838" w14:paraId="1752B06F" w14:textId="77777777" w:rsidTr="00436237">
        <w:trPr>
          <w:trHeight w:val="70"/>
        </w:trPr>
        <w:tc>
          <w:tcPr>
            <w:tcW w:w="691" w:type="pct"/>
            <w:vMerge w:val="restart"/>
            <w:shd w:val="clear" w:color="auto" w:fill="auto"/>
            <w:vAlign w:val="center"/>
          </w:tcPr>
          <w:p w14:paraId="6F1C6C4B" w14:textId="3952D798" w:rsidR="00255D29" w:rsidRPr="00AB1523" w:rsidRDefault="00255D29" w:rsidP="00255D29">
            <w:pPr>
              <w:pStyle w:val="TableText0"/>
              <w:keepLines/>
              <w:rPr>
                <w:szCs w:val="20"/>
              </w:rPr>
            </w:pPr>
            <w:r w:rsidRPr="00AB1523">
              <w:rPr>
                <w:b/>
                <w:szCs w:val="20"/>
              </w:rPr>
              <w:t xml:space="preserve">AE </w:t>
            </w:r>
            <w:r w:rsidR="000E4A6F" w:rsidRPr="00AB1523">
              <w:rPr>
                <w:b/>
                <w:szCs w:val="20"/>
              </w:rPr>
              <w:t>Grade≥3</w:t>
            </w:r>
          </w:p>
        </w:tc>
        <w:tc>
          <w:tcPr>
            <w:tcW w:w="624" w:type="pct"/>
            <w:vMerge w:val="restart"/>
            <w:shd w:val="clear" w:color="auto" w:fill="auto"/>
            <w:vAlign w:val="center"/>
          </w:tcPr>
          <w:p w14:paraId="145AB5B3" w14:textId="77777777" w:rsidR="00255D29" w:rsidRPr="00AB1523" w:rsidRDefault="00255D29" w:rsidP="00255D29">
            <w:pPr>
              <w:pStyle w:val="TableText0"/>
              <w:keepLines/>
              <w:jc w:val="center"/>
              <w:rPr>
                <w:b/>
                <w:szCs w:val="20"/>
              </w:rPr>
            </w:pPr>
            <w:r w:rsidRPr="00AB1523">
              <w:rPr>
                <w:b/>
                <w:szCs w:val="20"/>
              </w:rPr>
              <w:t>OLA + ABI</w:t>
            </w:r>
          </w:p>
          <w:p w14:paraId="586EA974" w14:textId="387AC75D" w:rsidR="00255D29" w:rsidRPr="00AB1523" w:rsidRDefault="00255D29" w:rsidP="00255D29">
            <w:pPr>
              <w:pStyle w:val="TableText0"/>
              <w:keepLines/>
              <w:jc w:val="center"/>
              <w:rPr>
                <w:b/>
                <w:szCs w:val="20"/>
              </w:rPr>
            </w:pPr>
            <w:r w:rsidRPr="00AB1523">
              <w:rPr>
                <w:b/>
                <w:szCs w:val="20"/>
              </w:rPr>
              <w:t>N=398</w:t>
            </w:r>
          </w:p>
        </w:tc>
        <w:tc>
          <w:tcPr>
            <w:tcW w:w="627" w:type="pct"/>
            <w:vMerge w:val="restart"/>
            <w:shd w:val="clear" w:color="auto" w:fill="auto"/>
            <w:vAlign w:val="center"/>
          </w:tcPr>
          <w:p w14:paraId="375FA60D" w14:textId="77777777" w:rsidR="00255D29" w:rsidRPr="00AB1523" w:rsidRDefault="00255D29" w:rsidP="00255D29">
            <w:pPr>
              <w:pStyle w:val="TableText0"/>
              <w:keepLines/>
              <w:jc w:val="center"/>
              <w:rPr>
                <w:b/>
                <w:szCs w:val="20"/>
              </w:rPr>
            </w:pPr>
            <w:r w:rsidRPr="00AB1523">
              <w:rPr>
                <w:b/>
                <w:szCs w:val="20"/>
              </w:rPr>
              <w:t>ABI</w:t>
            </w:r>
          </w:p>
          <w:p w14:paraId="2AD9ABE2" w14:textId="69D12B56" w:rsidR="00255D29" w:rsidRPr="00AB1523" w:rsidRDefault="00255D29" w:rsidP="00255D29">
            <w:pPr>
              <w:pStyle w:val="TableText0"/>
              <w:keepLines/>
              <w:jc w:val="center"/>
              <w:rPr>
                <w:b/>
                <w:szCs w:val="20"/>
              </w:rPr>
            </w:pPr>
            <w:r w:rsidRPr="00AB1523">
              <w:rPr>
                <w:b/>
                <w:szCs w:val="20"/>
              </w:rPr>
              <w:t>N=396</w:t>
            </w:r>
          </w:p>
        </w:tc>
        <w:tc>
          <w:tcPr>
            <w:tcW w:w="1097" w:type="pct"/>
            <w:gridSpan w:val="2"/>
            <w:vMerge w:val="restart"/>
            <w:shd w:val="clear" w:color="auto" w:fill="auto"/>
            <w:vAlign w:val="center"/>
          </w:tcPr>
          <w:p w14:paraId="7BA3C46E" w14:textId="77777777" w:rsidR="00255D29" w:rsidRPr="00AB1523" w:rsidRDefault="00255D29" w:rsidP="00255D29">
            <w:pPr>
              <w:pStyle w:val="TableText0"/>
              <w:keepLines/>
              <w:jc w:val="center"/>
              <w:rPr>
                <w:b/>
                <w:szCs w:val="20"/>
              </w:rPr>
            </w:pPr>
            <w:r w:rsidRPr="00AB1523">
              <w:rPr>
                <w:b/>
                <w:szCs w:val="20"/>
              </w:rPr>
              <w:t>RR</w:t>
            </w:r>
          </w:p>
          <w:p w14:paraId="54B3AD2A" w14:textId="77777777" w:rsidR="00255D29" w:rsidRPr="00AB1523" w:rsidRDefault="00255D29" w:rsidP="00255D29">
            <w:pPr>
              <w:pStyle w:val="TableText0"/>
              <w:keepLines/>
              <w:jc w:val="center"/>
              <w:rPr>
                <w:b/>
                <w:szCs w:val="20"/>
              </w:rPr>
            </w:pPr>
            <w:r w:rsidRPr="00AB1523">
              <w:rPr>
                <w:b/>
                <w:szCs w:val="20"/>
              </w:rPr>
              <w:t>(95% CI)</w:t>
            </w:r>
          </w:p>
        </w:tc>
        <w:tc>
          <w:tcPr>
            <w:tcW w:w="1260" w:type="pct"/>
            <w:gridSpan w:val="2"/>
            <w:shd w:val="clear" w:color="auto" w:fill="auto"/>
            <w:vAlign w:val="center"/>
          </w:tcPr>
          <w:p w14:paraId="0C07122E" w14:textId="77777777" w:rsidR="00255D29" w:rsidRPr="00AB1523" w:rsidRDefault="00255D29" w:rsidP="00255D29">
            <w:pPr>
              <w:pStyle w:val="TableText0"/>
              <w:keepLines/>
              <w:jc w:val="center"/>
              <w:rPr>
                <w:b/>
                <w:szCs w:val="20"/>
              </w:rPr>
            </w:pPr>
            <w:r w:rsidRPr="00AB1523">
              <w:rPr>
                <w:b/>
                <w:szCs w:val="20"/>
              </w:rPr>
              <w:t>Events/100 patients</w:t>
            </w:r>
          </w:p>
        </w:tc>
        <w:tc>
          <w:tcPr>
            <w:tcW w:w="701" w:type="pct"/>
            <w:gridSpan w:val="2"/>
            <w:vMerge w:val="restart"/>
            <w:shd w:val="clear" w:color="auto" w:fill="auto"/>
            <w:vAlign w:val="center"/>
          </w:tcPr>
          <w:p w14:paraId="06513419" w14:textId="77777777" w:rsidR="00255D29" w:rsidRPr="00AB1523" w:rsidRDefault="00255D29" w:rsidP="00255D29">
            <w:pPr>
              <w:pStyle w:val="TableText0"/>
              <w:keepLines/>
              <w:jc w:val="center"/>
              <w:rPr>
                <w:b/>
                <w:szCs w:val="20"/>
              </w:rPr>
            </w:pPr>
            <w:r w:rsidRPr="00AB1523">
              <w:rPr>
                <w:b/>
                <w:szCs w:val="20"/>
              </w:rPr>
              <w:t>RD</w:t>
            </w:r>
          </w:p>
          <w:p w14:paraId="74485E33" w14:textId="77777777" w:rsidR="00255D29" w:rsidRPr="00AB1523" w:rsidRDefault="00255D29" w:rsidP="00255D29">
            <w:pPr>
              <w:pStyle w:val="TableText0"/>
              <w:keepLines/>
              <w:jc w:val="center"/>
              <w:rPr>
                <w:b/>
                <w:szCs w:val="20"/>
              </w:rPr>
            </w:pPr>
            <w:r w:rsidRPr="00AB1523">
              <w:rPr>
                <w:b/>
                <w:szCs w:val="20"/>
              </w:rPr>
              <w:t>(95% CI)</w:t>
            </w:r>
          </w:p>
        </w:tc>
      </w:tr>
      <w:tr w:rsidR="00255D29" w:rsidRPr="00CA4838" w14:paraId="336ED05D" w14:textId="77777777" w:rsidTr="00436237">
        <w:trPr>
          <w:trHeight w:val="70"/>
        </w:trPr>
        <w:tc>
          <w:tcPr>
            <w:tcW w:w="691" w:type="pct"/>
            <w:vMerge/>
            <w:shd w:val="clear" w:color="auto" w:fill="auto"/>
            <w:vAlign w:val="center"/>
          </w:tcPr>
          <w:p w14:paraId="5A4746FF" w14:textId="77777777" w:rsidR="00255D29" w:rsidRPr="00AB1523" w:rsidRDefault="00255D29" w:rsidP="00255D29">
            <w:pPr>
              <w:pStyle w:val="TableText0"/>
              <w:keepLines/>
              <w:rPr>
                <w:szCs w:val="20"/>
              </w:rPr>
            </w:pPr>
          </w:p>
        </w:tc>
        <w:tc>
          <w:tcPr>
            <w:tcW w:w="624" w:type="pct"/>
            <w:vMerge/>
            <w:shd w:val="clear" w:color="auto" w:fill="auto"/>
            <w:vAlign w:val="center"/>
          </w:tcPr>
          <w:p w14:paraId="7B7B9912" w14:textId="77777777" w:rsidR="00255D29" w:rsidRPr="00AB1523" w:rsidRDefault="00255D29" w:rsidP="00255D29">
            <w:pPr>
              <w:pStyle w:val="TableText0"/>
              <w:keepLines/>
              <w:rPr>
                <w:szCs w:val="20"/>
              </w:rPr>
            </w:pPr>
          </w:p>
        </w:tc>
        <w:tc>
          <w:tcPr>
            <w:tcW w:w="627" w:type="pct"/>
            <w:vMerge/>
            <w:shd w:val="clear" w:color="auto" w:fill="auto"/>
            <w:vAlign w:val="center"/>
          </w:tcPr>
          <w:p w14:paraId="4FAC5215" w14:textId="77777777" w:rsidR="00255D29" w:rsidRPr="00AB1523" w:rsidRDefault="00255D29" w:rsidP="00255D29">
            <w:pPr>
              <w:pStyle w:val="TableText0"/>
              <w:keepLines/>
              <w:rPr>
                <w:szCs w:val="20"/>
              </w:rPr>
            </w:pPr>
          </w:p>
        </w:tc>
        <w:tc>
          <w:tcPr>
            <w:tcW w:w="1097" w:type="pct"/>
            <w:gridSpan w:val="2"/>
            <w:vMerge/>
            <w:shd w:val="clear" w:color="auto" w:fill="auto"/>
            <w:vAlign w:val="center"/>
          </w:tcPr>
          <w:p w14:paraId="20D5C3ED" w14:textId="77777777" w:rsidR="00255D29" w:rsidRPr="00AB1523" w:rsidRDefault="00255D29" w:rsidP="00255D29">
            <w:pPr>
              <w:pStyle w:val="TableText0"/>
              <w:keepLines/>
              <w:rPr>
                <w:szCs w:val="20"/>
              </w:rPr>
            </w:pPr>
          </w:p>
        </w:tc>
        <w:tc>
          <w:tcPr>
            <w:tcW w:w="549" w:type="pct"/>
            <w:shd w:val="clear" w:color="auto" w:fill="auto"/>
            <w:vAlign w:val="center"/>
          </w:tcPr>
          <w:p w14:paraId="43CA1BD6" w14:textId="089C04B1" w:rsidR="00255D29" w:rsidRPr="00AB1523" w:rsidRDefault="00255D29" w:rsidP="00255D29">
            <w:pPr>
              <w:pStyle w:val="TableText0"/>
              <w:keepLines/>
              <w:jc w:val="center"/>
              <w:rPr>
                <w:b/>
                <w:szCs w:val="20"/>
              </w:rPr>
            </w:pPr>
            <w:r w:rsidRPr="00AB1523">
              <w:rPr>
                <w:b/>
                <w:szCs w:val="20"/>
              </w:rPr>
              <w:t>OLA + ABI</w:t>
            </w:r>
          </w:p>
        </w:tc>
        <w:tc>
          <w:tcPr>
            <w:tcW w:w="711" w:type="pct"/>
            <w:shd w:val="clear" w:color="auto" w:fill="auto"/>
            <w:vAlign w:val="center"/>
          </w:tcPr>
          <w:p w14:paraId="3B9AB82F" w14:textId="588D3CAD" w:rsidR="00255D29" w:rsidRPr="00AB1523" w:rsidRDefault="00255D29" w:rsidP="00255D29">
            <w:pPr>
              <w:pStyle w:val="TableText0"/>
              <w:keepLines/>
              <w:jc w:val="center"/>
              <w:rPr>
                <w:b/>
                <w:szCs w:val="20"/>
              </w:rPr>
            </w:pPr>
            <w:r w:rsidRPr="00AB1523">
              <w:rPr>
                <w:b/>
                <w:szCs w:val="20"/>
              </w:rPr>
              <w:t>ABI</w:t>
            </w:r>
          </w:p>
        </w:tc>
        <w:tc>
          <w:tcPr>
            <w:tcW w:w="701" w:type="pct"/>
            <w:gridSpan w:val="2"/>
            <w:vMerge/>
            <w:shd w:val="clear" w:color="auto" w:fill="auto"/>
            <w:vAlign w:val="center"/>
          </w:tcPr>
          <w:p w14:paraId="3998BBF1" w14:textId="77777777" w:rsidR="00255D29" w:rsidRPr="00AB1523" w:rsidRDefault="00255D29" w:rsidP="00255D29">
            <w:pPr>
              <w:pStyle w:val="TableText0"/>
              <w:keepLines/>
              <w:rPr>
                <w:szCs w:val="20"/>
              </w:rPr>
            </w:pPr>
          </w:p>
        </w:tc>
      </w:tr>
      <w:tr w:rsidR="00255D29" w:rsidRPr="00021AA5" w14:paraId="134220C2" w14:textId="77777777" w:rsidTr="00436237">
        <w:trPr>
          <w:trHeight w:val="94"/>
        </w:trPr>
        <w:tc>
          <w:tcPr>
            <w:tcW w:w="691" w:type="pct"/>
            <w:shd w:val="clear" w:color="auto" w:fill="auto"/>
            <w:vAlign w:val="center"/>
          </w:tcPr>
          <w:p w14:paraId="3D3C4206" w14:textId="2615F012" w:rsidR="00255D29" w:rsidRPr="00AB1523" w:rsidRDefault="00255D29" w:rsidP="00255D29">
            <w:pPr>
              <w:pStyle w:val="TableText0"/>
              <w:keepLines/>
              <w:rPr>
                <w:szCs w:val="20"/>
              </w:rPr>
            </w:pPr>
            <w:r w:rsidRPr="00AB1523">
              <w:rPr>
                <w:szCs w:val="20"/>
              </w:rPr>
              <w:t>Any Grade≥3</w:t>
            </w:r>
          </w:p>
        </w:tc>
        <w:tc>
          <w:tcPr>
            <w:tcW w:w="624" w:type="pct"/>
            <w:shd w:val="clear" w:color="auto" w:fill="auto"/>
            <w:vAlign w:val="center"/>
          </w:tcPr>
          <w:p w14:paraId="4BBDA989" w14:textId="246DD8CB" w:rsidR="00255D29" w:rsidRPr="00AB1523" w:rsidRDefault="00255D29" w:rsidP="00255D29">
            <w:pPr>
              <w:pStyle w:val="TableText0"/>
              <w:keepLines/>
              <w:jc w:val="center"/>
              <w:rPr>
                <w:szCs w:val="20"/>
              </w:rPr>
            </w:pPr>
            <w:r w:rsidRPr="00AB1523">
              <w:rPr>
                <w:szCs w:val="20"/>
              </w:rPr>
              <w:t xml:space="preserve">389/398 </w:t>
            </w:r>
          </w:p>
        </w:tc>
        <w:tc>
          <w:tcPr>
            <w:tcW w:w="627" w:type="pct"/>
            <w:shd w:val="clear" w:color="auto" w:fill="auto"/>
            <w:vAlign w:val="center"/>
          </w:tcPr>
          <w:p w14:paraId="461DBFF1" w14:textId="2522B6FE" w:rsidR="00255D29" w:rsidRPr="00AB1523" w:rsidRDefault="00255D29" w:rsidP="00255D29">
            <w:pPr>
              <w:pStyle w:val="TableText0"/>
              <w:keepLines/>
              <w:jc w:val="center"/>
              <w:rPr>
                <w:szCs w:val="20"/>
              </w:rPr>
            </w:pPr>
            <w:r w:rsidRPr="00AB1523">
              <w:rPr>
                <w:szCs w:val="20"/>
              </w:rPr>
              <w:t xml:space="preserve">380/396 </w:t>
            </w:r>
          </w:p>
        </w:tc>
        <w:tc>
          <w:tcPr>
            <w:tcW w:w="1097" w:type="pct"/>
            <w:gridSpan w:val="2"/>
            <w:shd w:val="clear" w:color="auto" w:fill="auto"/>
            <w:vAlign w:val="center"/>
          </w:tcPr>
          <w:p w14:paraId="7E594BDA" w14:textId="1FB02A7A" w:rsidR="00255D29" w:rsidRPr="00AB1523" w:rsidRDefault="00255D29" w:rsidP="00255D29">
            <w:pPr>
              <w:keepNext/>
              <w:keepLines/>
              <w:jc w:val="center"/>
              <w:rPr>
                <w:rFonts w:ascii="Arial Narrow" w:hAnsi="Arial Narrow"/>
                <w:b/>
                <w:bCs/>
                <w:sz w:val="20"/>
                <w:szCs w:val="20"/>
              </w:rPr>
            </w:pPr>
            <w:r w:rsidRPr="00AB1523">
              <w:rPr>
                <w:rFonts w:ascii="Arial Narrow" w:hAnsi="Arial Narrow"/>
                <w:b/>
                <w:bCs/>
                <w:sz w:val="20"/>
                <w:szCs w:val="20"/>
              </w:rPr>
              <w:t>1.29 (1.12, 1.49)</w:t>
            </w:r>
          </w:p>
        </w:tc>
        <w:tc>
          <w:tcPr>
            <w:tcW w:w="549" w:type="pct"/>
            <w:shd w:val="clear" w:color="auto" w:fill="auto"/>
            <w:vAlign w:val="center"/>
          </w:tcPr>
          <w:p w14:paraId="42BFD917" w14:textId="189E2B66" w:rsidR="00255D29" w:rsidRPr="00AB1523" w:rsidRDefault="00255D29" w:rsidP="00255D29">
            <w:pPr>
              <w:pStyle w:val="TableText0"/>
              <w:keepLines/>
              <w:jc w:val="center"/>
              <w:rPr>
                <w:szCs w:val="20"/>
              </w:rPr>
            </w:pPr>
            <w:r w:rsidRPr="00AB1523">
              <w:rPr>
                <w:szCs w:val="20"/>
              </w:rPr>
              <w:t>98</w:t>
            </w:r>
          </w:p>
        </w:tc>
        <w:tc>
          <w:tcPr>
            <w:tcW w:w="711" w:type="pct"/>
            <w:shd w:val="clear" w:color="auto" w:fill="auto"/>
            <w:vAlign w:val="center"/>
          </w:tcPr>
          <w:p w14:paraId="54F81A9A" w14:textId="48D1671E" w:rsidR="00255D29" w:rsidRPr="00AB1523" w:rsidRDefault="00255D29" w:rsidP="00255D29">
            <w:pPr>
              <w:pStyle w:val="TableText0"/>
              <w:keepLines/>
              <w:jc w:val="center"/>
              <w:rPr>
                <w:szCs w:val="20"/>
              </w:rPr>
            </w:pPr>
            <w:r w:rsidRPr="00AB1523">
              <w:rPr>
                <w:szCs w:val="20"/>
              </w:rPr>
              <w:t>96</w:t>
            </w:r>
          </w:p>
        </w:tc>
        <w:tc>
          <w:tcPr>
            <w:tcW w:w="701" w:type="pct"/>
            <w:gridSpan w:val="2"/>
            <w:shd w:val="clear" w:color="auto" w:fill="auto"/>
            <w:vAlign w:val="center"/>
          </w:tcPr>
          <w:p w14:paraId="4D215837" w14:textId="16663BE0" w:rsidR="00255D29" w:rsidRPr="00AB1523" w:rsidRDefault="00255D29" w:rsidP="00255D29">
            <w:pPr>
              <w:keepNext/>
              <w:keepLines/>
              <w:jc w:val="center"/>
              <w:rPr>
                <w:rFonts w:ascii="Arial Narrow" w:hAnsi="Arial Narrow"/>
                <w:b/>
                <w:bCs/>
                <w:sz w:val="20"/>
                <w:szCs w:val="20"/>
              </w:rPr>
            </w:pPr>
            <w:r w:rsidRPr="00AB1523">
              <w:rPr>
                <w:rFonts w:ascii="Arial Narrow" w:hAnsi="Arial Narrow"/>
                <w:b/>
                <w:bCs/>
                <w:sz w:val="20"/>
                <w:szCs w:val="20"/>
              </w:rPr>
              <w:t>0.13 (0.06, 0.19)</w:t>
            </w:r>
          </w:p>
        </w:tc>
      </w:tr>
      <w:tr w:rsidR="00255D29" w:rsidRPr="00021AA5" w14:paraId="06FBE015" w14:textId="77777777" w:rsidTr="00436237">
        <w:tc>
          <w:tcPr>
            <w:tcW w:w="691" w:type="pct"/>
            <w:shd w:val="clear" w:color="auto" w:fill="auto"/>
            <w:vAlign w:val="center"/>
          </w:tcPr>
          <w:p w14:paraId="6AEF5FBB" w14:textId="3A25BB4F" w:rsidR="00255D29" w:rsidRPr="00AB1523" w:rsidRDefault="00255D29" w:rsidP="00255D29">
            <w:pPr>
              <w:pStyle w:val="TableText0"/>
              <w:keepLines/>
              <w:rPr>
                <w:szCs w:val="20"/>
              </w:rPr>
            </w:pPr>
            <w:r w:rsidRPr="00AB1523">
              <w:rPr>
                <w:szCs w:val="20"/>
              </w:rPr>
              <w:t>Anaemia</w:t>
            </w:r>
            <w:r w:rsidR="000E4A6F" w:rsidRPr="00AB1523">
              <w:rPr>
                <w:szCs w:val="20"/>
              </w:rPr>
              <w:t xml:space="preserve"> </w:t>
            </w:r>
          </w:p>
        </w:tc>
        <w:tc>
          <w:tcPr>
            <w:tcW w:w="624" w:type="pct"/>
            <w:shd w:val="clear" w:color="auto" w:fill="auto"/>
            <w:vAlign w:val="center"/>
          </w:tcPr>
          <w:p w14:paraId="7C387E0B" w14:textId="4BE0A8C8" w:rsidR="00255D29" w:rsidRPr="00AB1523" w:rsidRDefault="00255D29" w:rsidP="00255D29">
            <w:pPr>
              <w:pStyle w:val="TableText0"/>
              <w:keepLines/>
              <w:jc w:val="center"/>
              <w:rPr>
                <w:szCs w:val="20"/>
              </w:rPr>
            </w:pPr>
            <w:r w:rsidRPr="00AB1523">
              <w:rPr>
                <w:szCs w:val="20"/>
              </w:rPr>
              <w:t>64/398</w:t>
            </w:r>
          </w:p>
        </w:tc>
        <w:tc>
          <w:tcPr>
            <w:tcW w:w="627" w:type="pct"/>
            <w:shd w:val="clear" w:color="auto" w:fill="auto"/>
            <w:vAlign w:val="center"/>
          </w:tcPr>
          <w:p w14:paraId="1E48689B" w14:textId="3B0A810C" w:rsidR="00255D29" w:rsidRPr="00AB1523" w:rsidRDefault="00255D29" w:rsidP="00255D29">
            <w:pPr>
              <w:pStyle w:val="TableText0"/>
              <w:keepLines/>
              <w:jc w:val="center"/>
              <w:rPr>
                <w:szCs w:val="20"/>
              </w:rPr>
            </w:pPr>
            <w:r w:rsidRPr="00AB1523">
              <w:rPr>
                <w:szCs w:val="20"/>
              </w:rPr>
              <w:t>13/396</w:t>
            </w:r>
          </w:p>
        </w:tc>
        <w:tc>
          <w:tcPr>
            <w:tcW w:w="1097" w:type="pct"/>
            <w:gridSpan w:val="2"/>
            <w:shd w:val="clear" w:color="auto" w:fill="auto"/>
            <w:vAlign w:val="center"/>
          </w:tcPr>
          <w:p w14:paraId="5AE1B87B" w14:textId="178EE734" w:rsidR="00255D29" w:rsidRPr="00AB1523" w:rsidRDefault="00255D29" w:rsidP="00255D29">
            <w:pPr>
              <w:keepNext/>
              <w:keepLines/>
              <w:jc w:val="center"/>
              <w:rPr>
                <w:rFonts w:ascii="Arial Narrow" w:hAnsi="Arial Narrow"/>
                <w:b/>
                <w:bCs/>
                <w:sz w:val="20"/>
                <w:szCs w:val="20"/>
              </w:rPr>
            </w:pPr>
            <w:r w:rsidRPr="00AB1523">
              <w:rPr>
                <w:rFonts w:ascii="Arial Narrow" w:hAnsi="Arial Narrow"/>
                <w:b/>
                <w:bCs/>
                <w:sz w:val="20"/>
                <w:szCs w:val="20"/>
              </w:rPr>
              <w:t>4.90 (2.74, 8.75)</w:t>
            </w:r>
          </w:p>
        </w:tc>
        <w:tc>
          <w:tcPr>
            <w:tcW w:w="549" w:type="pct"/>
            <w:shd w:val="clear" w:color="auto" w:fill="auto"/>
            <w:vAlign w:val="center"/>
          </w:tcPr>
          <w:p w14:paraId="206F2D0A" w14:textId="5A9F7674" w:rsidR="00255D29" w:rsidRPr="00AB1523" w:rsidRDefault="00255D29" w:rsidP="00255D29">
            <w:pPr>
              <w:pStyle w:val="TableText0"/>
              <w:keepLines/>
              <w:jc w:val="center"/>
              <w:rPr>
                <w:szCs w:val="20"/>
              </w:rPr>
            </w:pPr>
            <w:r w:rsidRPr="00AB1523">
              <w:rPr>
                <w:szCs w:val="20"/>
              </w:rPr>
              <w:t>16</w:t>
            </w:r>
          </w:p>
        </w:tc>
        <w:tc>
          <w:tcPr>
            <w:tcW w:w="711" w:type="pct"/>
            <w:shd w:val="clear" w:color="auto" w:fill="auto"/>
            <w:vAlign w:val="center"/>
          </w:tcPr>
          <w:p w14:paraId="641F90C1" w14:textId="32902BAA" w:rsidR="00255D29" w:rsidRPr="00AB1523" w:rsidRDefault="00255D29" w:rsidP="00255D29">
            <w:pPr>
              <w:pStyle w:val="TableText0"/>
              <w:keepLines/>
              <w:jc w:val="center"/>
              <w:rPr>
                <w:szCs w:val="20"/>
              </w:rPr>
            </w:pPr>
            <w:r w:rsidRPr="00AB1523">
              <w:rPr>
                <w:szCs w:val="20"/>
              </w:rPr>
              <w:t>3</w:t>
            </w:r>
          </w:p>
        </w:tc>
        <w:tc>
          <w:tcPr>
            <w:tcW w:w="701" w:type="pct"/>
            <w:gridSpan w:val="2"/>
            <w:shd w:val="clear" w:color="auto" w:fill="auto"/>
            <w:vAlign w:val="center"/>
          </w:tcPr>
          <w:p w14:paraId="2A0117D4" w14:textId="22330C27" w:rsidR="00255D29" w:rsidRPr="00AB1523" w:rsidRDefault="00255D29" w:rsidP="00255D29">
            <w:pPr>
              <w:keepNext/>
              <w:keepLines/>
              <w:jc w:val="center"/>
              <w:rPr>
                <w:rFonts w:ascii="Arial Narrow" w:hAnsi="Arial Narrow"/>
                <w:b/>
                <w:bCs/>
                <w:sz w:val="20"/>
                <w:szCs w:val="20"/>
              </w:rPr>
            </w:pPr>
            <w:r w:rsidRPr="00AB1523">
              <w:rPr>
                <w:rFonts w:ascii="Arial Narrow" w:hAnsi="Arial Narrow"/>
                <w:b/>
                <w:bCs/>
                <w:sz w:val="20"/>
                <w:szCs w:val="20"/>
              </w:rPr>
              <w:t>0.13 (0.09, 0.17)</w:t>
            </w:r>
          </w:p>
        </w:tc>
      </w:tr>
      <w:tr w:rsidR="00255D29" w:rsidRPr="00021AA5" w14:paraId="0541DB32" w14:textId="77777777" w:rsidTr="00436237">
        <w:tc>
          <w:tcPr>
            <w:tcW w:w="691" w:type="pct"/>
            <w:tcBorders>
              <w:bottom w:val="single" w:sz="4" w:space="0" w:color="auto"/>
            </w:tcBorders>
            <w:shd w:val="clear" w:color="auto" w:fill="auto"/>
            <w:vAlign w:val="center"/>
          </w:tcPr>
          <w:p w14:paraId="23E6F542" w14:textId="3C7B6ED0" w:rsidR="00255D29" w:rsidRPr="00AB1523" w:rsidRDefault="00255D29" w:rsidP="00255D29">
            <w:pPr>
              <w:pStyle w:val="TableText0"/>
              <w:keepLines/>
              <w:rPr>
                <w:szCs w:val="20"/>
              </w:rPr>
            </w:pPr>
            <w:r w:rsidRPr="00AB1523">
              <w:rPr>
                <w:szCs w:val="20"/>
              </w:rPr>
              <w:t>PE</w:t>
            </w:r>
          </w:p>
        </w:tc>
        <w:tc>
          <w:tcPr>
            <w:tcW w:w="624" w:type="pct"/>
            <w:tcBorders>
              <w:bottom w:val="single" w:sz="4" w:space="0" w:color="auto"/>
            </w:tcBorders>
            <w:shd w:val="clear" w:color="auto" w:fill="auto"/>
            <w:vAlign w:val="center"/>
          </w:tcPr>
          <w:p w14:paraId="6E5BA437" w14:textId="368F9E2C" w:rsidR="00255D29" w:rsidRPr="00AB1523" w:rsidRDefault="00255D29" w:rsidP="00255D29">
            <w:pPr>
              <w:pStyle w:val="TableText0"/>
              <w:keepLines/>
              <w:jc w:val="center"/>
              <w:rPr>
                <w:szCs w:val="20"/>
              </w:rPr>
            </w:pPr>
            <w:r w:rsidRPr="00AB1523">
              <w:rPr>
                <w:szCs w:val="20"/>
              </w:rPr>
              <w:t>29/398</w:t>
            </w:r>
          </w:p>
        </w:tc>
        <w:tc>
          <w:tcPr>
            <w:tcW w:w="627" w:type="pct"/>
            <w:tcBorders>
              <w:bottom w:val="single" w:sz="4" w:space="0" w:color="auto"/>
            </w:tcBorders>
            <w:shd w:val="clear" w:color="auto" w:fill="auto"/>
            <w:vAlign w:val="center"/>
          </w:tcPr>
          <w:p w14:paraId="4CB7B782" w14:textId="7C1DF4DB" w:rsidR="00255D29" w:rsidRPr="00AB1523" w:rsidRDefault="00255D29" w:rsidP="00255D29">
            <w:pPr>
              <w:pStyle w:val="TableText0"/>
              <w:keepLines/>
              <w:jc w:val="center"/>
              <w:rPr>
                <w:szCs w:val="20"/>
              </w:rPr>
            </w:pPr>
            <w:r w:rsidRPr="00AB1523">
              <w:rPr>
                <w:szCs w:val="20"/>
              </w:rPr>
              <w:t>9/396</w:t>
            </w:r>
          </w:p>
        </w:tc>
        <w:tc>
          <w:tcPr>
            <w:tcW w:w="1097" w:type="pct"/>
            <w:gridSpan w:val="2"/>
            <w:tcBorders>
              <w:bottom w:val="single" w:sz="4" w:space="0" w:color="auto"/>
            </w:tcBorders>
            <w:shd w:val="clear" w:color="auto" w:fill="auto"/>
            <w:vAlign w:val="center"/>
          </w:tcPr>
          <w:p w14:paraId="3F07D4DD" w14:textId="06E184EE" w:rsidR="00255D29" w:rsidRPr="00AB1523" w:rsidRDefault="00255D29" w:rsidP="00255D29">
            <w:pPr>
              <w:keepNext/>
              <w:keepLines/>
              <w:jc w:val="center"/>
              <w:rPr>
                <w:rFonts w:ascii="Arial Narrow" w:hAnsi="Arial Narrow"/>
                <w:b/>
                <w:bCs/>
                <w:sz w:val="20"/>
                <w:szCs w:val="20"/>
              </w:rPr>
            </w:pPr>
            <w:r w:rsidRPr="00AB1523">
              <w:rPr>
                <w:rFonts w:ascii="Arial Narrow" w:hAnsi="Arial Narrow"/>
                <w:b/>
                <w:bCs/>
                <w:sz w:val="20"/>
                <w:szCs w:val="20"/>
              </w:rPr>
              <w:t>3.21 (1.54, 6.68)</w:t>
            </w:r>
          </w:p>
        </w:tc>
        <w:tc>
          <w:tcPr>
            <w:tcW w:w="549" w:type="pct"/>
            <w:tcBorders>
              <w:bottom w:val="single" w:sz="4" w:space="0" w:color="auto"/>
            </w:tcBorders>
            <w:shd w:val="clear" w:color="auto" w:fill="auto"/>
            <w:vAlign w:val="center"/>
          </w:tcPr>
          <w:p w14:paraId="2A7DE593" w14:textId="24477769" w:rsidR="00255D29" w:rsidRPr="00AB1523" w:rsidRDefault="00255D29" w:rsidP="00255D29">
            <w:pPr>
              <w:pStyle w:val="TableText0"/>
              <w:keepLines/>
              <w:jc w:val="center"/>
              <w:rPr>
                <w:szCs w:val="20"/>
              </w:rPr>
            </w:pPr>
            <w:r w:rsidRPr="00AB1523">
              <w:rPr>
                <w:szCs w:val="20"/>
              </w:rPr>
              <w:t>7</w:t>
            </w:r>
          </w:p>
        </w:tc>
        <w:tc>
          <w:tcPr>
            <w:tcW w:w="711" w:type="pct"/>
            <w:tcBorders>
              <w:bottom w:val="single" w:sz="4" w:space="0" w:color="auto"/>
            </w:tcBorders>
            <w:shd w:val="clear" w:color="auto" w:fill="auto"/>
            <w:vAlign w:val="center"/>
          </w:tcPr>
          <w:p w14:paraId="3ADCF039" w14:textId="64BCC8BD" w:rsidR="00255D29" w:rsidRPr="00AB1523" w:rsidRDefault="00255D29" w:rsidP="00255D29">
            <w:pPr>
              <w:pStyle w:val="TableText0"/>
              <w:keepLines/>
              <w:jc w:val="center"/>
              <w:rPr>
                <w:szCs w:val="20"/>
              </w:rPr>
            </w:pPr>
            <w:r w:rsidRPr="00AB1523">
              <w:rPr>
                <w:szCs w:val="20"/>
              </w:rPr>
              <w:t>2</w:t>
            </w:r>
          </w:p>
        </w:tc>
        <w:tc>
          <w:tcPr>
            <w:tcW w:w="701" w:type="pct"/>
            <w:gridSpan w:val="2"/>
            <w:tcBorders>
              <w:bottom w:val="single" w:sz="4" w:space="0" w:color="auto"/>
            </w:tcBorders>
            <w:shd w:val="clear" w:color="auto" w:fill="auto"/>
            <w:vAlign w:val="center"/>
          </w:tcPr>
          <w:p w14:paraId="48F8A0E9" w14:textId="13F8036C" w:rsidR="00255D29" w:rsidRPr="00AB1523" w:rsidRDefault="00255D29" w:rsidP="00255D29">
            <w:pPr>
              <w:keepNext/>
              <w:keepLines/>
              <w:jc w:val="center"/>
              <w:rPr>
                <w:rFonts w:ascii="Arial Narrow" w:hAnsi="Arial Narrow"/>
                <w:b/>
                <w:bCs/>
                <w:sz w:val="20"/>
                <w:szCs w:val="20"/>
              </w:rPr>
            </w:pPr>
            <w:r w:rsidRPr="00AB1523">
              <w:rPr>
                <w:rFonts w:ascii="Arial Narrow" w:hAnsi="Arial Narrow"/>
                <w:b/>
                <w:bCs/>
                <w:sz w:val="20"/>
                <w:szCs w:val="20"/>
              </w:rPr>
              <w:t>0.05 (0.02, 0.08)</w:t>
            </w:r>
          </w:p>
        </w:tc>
      </w:tr>
    </w:tbl>
    <w:p w14:paraId="54FFA704" w14:textId="1FDE545A" w:rsidR="004001D6" w:rsidRDefault="004001D6" w:rsidP="004613B7">
      <w:pPr>
        <w:pStyle w:val="TableFooter"/>
        <w:jc w:val="both"/>
      </w:pPr>
      <w:r w:rsidRPr="004001D6">
        <w:rPr>
          <w:b/>
          <w:bCs/>
        </w:rPr>
        <w:t>BOLD</w:t>
      </w:r>
      <w:r>
        <w:t>=statistically significant</w:t>
      </w:r>
      <w:r>
        <w:rPr>
          <w:rStyle w:val="CommentReference"/>
          <w:b w:val="0"/>
          <w:bCs/>
          <w:sz w:val="18"/>
          <w:szCs w:val="18"/>
        </w:rPr>
        <w:t>.</w:t>
      </w:r>
    </w:p>
    <w:p w14:paraId="2AE9AD2C" w14:textId="25E4C8FF" w:rsidR="00BC44DC" w:rsidRDefault="00EB5B42" w:rsidP="004613B7">
      <w:pPr>
        <w:pStyle w:val="TableFooter"/>
        <w:jc w:val="both"/>
      </w:pPr>
      <w:r>
        <w:t>Source: compiled during the evaluation</w:t>
      </w:r>
    </w:p>
    <w:p w14:paraId="340B4A3B" w14:textId="623D5B2F" w:rsidR="00864ABF" w:rsidRDefault="00545667" w:rsidP="004613B7">
      <w:pPr>
        <w:pStyle w:val="TableFooter"/>
        <w:jc w:val="both"/>
      </w:pPr>
      <w:r>
        <w:t xml:space="preserve">ABI=abiraterone; </w:t>
      </w:r>
      <w:r w:rsidR="00A41905" w:rsidRPr="00A41905">
        <w:rPr>
          <w:i/>
          <w:iCs/>
        </w:rPr>
        <w:t>BRCA</w:t>
      </w:r>
      <w:r w:rsidR="001611B5">
        <w:t xml:space="preserve">=breast cancer gene, </w:t>
      </w:r>
      <w:r w:rsidR="00255D29">
        <w:t xml:space="preserve">BICR=blinded independent central review; </w:t>
      </w:r>
      <w:r>
        <w:t xml:space="preserve">CI=confidence interval; </w:t>
      </w:r>
      <w:r w:rsidR="004001D6">
        <w:t xml:space="preserve">DCO=data cut-off; </w:t>
      </w:r>
      <w:r>
        <w:t xml:space="preserve">HR=hazard ratio; OLA=olaparib; </w:t>
      </w:r>
      <w:r w:rsidR="00864ABF">
        <w:t>PE=pulmonary embolism</w:t>
      </w:r>
      <w:r>
        <w:t xml:space="preserve">; </w:t>
      </w:r>
      <w:r w:rsidRPr="0072416F">
        <w:t>RD=</w:t>
      </w:r>
      <w:r>
        <w:t>r</w:t>
      </w:r>
      <w:r w:rsidRPr="0072416F">
        <w:t>isk difference; RR=risk ratio</w:t>
      </w:r>
    </w:p>
    <w:p w14:paraId="63E6583D" w14:textId="1449A118" w:rsidR="004001D6" w:rsidRDefault="00864ABF" w:rsidP="004613B7">
      <w:pPr>
        <w:pStyle w:val="FooterTableFigure"/>
        <w:jc w:val="both"/>
      </w:pPr>
      <w:r w:rsidRPr="00F87EB3">
        <w:rPr>
          <w:vertAlign w:val="superscript"/>
        </w:rPr>
        <w:t>a</w:t>
      </w:r>
      <w:r w:rsidR="004001D6">
        <w:rPr>
          <w:vertAlign w:val="superscript"/>
        </w:rPr>
        <w:tab/>
      </w:r>
      <w:r w:rsidR="004001D6">
        <w:t>D</w:t>
      </w:r>
      <w:r w:rsidR="004001D6" w:rsidRPr="0072416F">
        <w:t xml:space="preserve">uration of follow-up: </w:t>
      </w:r>
      <w:r w:rsidR="004001D6">
        <w:t>DCO1=minimum 13</w:t>
      </w:r>
      <w:r w:rsidR="004001D6" w:rsidRPr="0072416F">
        <w:t xml:space="preserve"> months; </w:t>
      </w:r>
      <w:r w:rsidR="004001D6">
        <w:t xml:space="preserve">DCO3: expected 48 months. </w:t>
      </w:r>
    </w:p>
    <w:p w14:paraId="2285DFD3" w14:textId="395A8F54" w:rsidR="001A4670" w:rsidRPr="0072416F" w:rsidRDefault="00620C25" w:rsidP="004613B7">
      <w:pPr>
        <w:pStyle w:val="FooterTableFigure"/>
        <w:jc w:val="both"/>
      </w:pPr>
      <w:r w:rsidRPr="0072416F">
        <w:t>* {Median/Maximum} duration of follow-up: Trial I = 7.5 months; Trial II = 8 months; Trial III = 8.5 months; Trial IV = 12 months; Trial V = 13.5 months; Trial VI = 12.5 months, etc</w:t>
      </w:r>
    </w:p>
    <w:p w14:paraId="1F64AC50" w14:textId="54BE7CF9" w:rsidR="004001D6" w:rsidRPr="004001D6" w:rsidRDefault="00C70570" w:rsidP="00E9094A">
      <w:pPr>
        <w:pStyle w:val="3-BodyText"/>
      </w:pPr>
      <w:r>
        <w:t xml:space="preserve">As no rPFS or OS data were presented at specific time points for the BRCA1/2 subgroup, </w:t>
      </w:r>
      <w:r w:rsidR="004001D6" w:rsidRPr="00021AA5">
        <w:t xml:space="preserve">no statements regarding the number of patients progression-free or number of patients alive when treated with olaparib plus abiraterone compared to abiraterone monotherapy can </w:t>
      </w:r>
      <w:r w:rsidR="00A43B9D" w:rsidRPr="00021AA5">
        <w:t>b</w:t>
      </w:r>
      <w:r w:rsidR="004001D6" w:rsidRPr="00021AA5">
        <w:t xml:space="preserve">e made. </w:t>
      </w:r>
      <w:r w:rsidR="005E1B84" w:rsidRPr="00021AA5">
        <w:t>In regard to</w:t>
      </w:r>
      <w:r w:rsidR="004001D6" w:rsidRPr="00021AA5">
        <w:t xml:space="preserve"> harms, safety data in the </w:t>
      </w:r>
      <w:r w:rsidR="006C3ED1" w:rsidRPr="00021AA5">
        <w:t>BRCA1/2</w:t>
      </w:r>
      <w:r w:rsidR="004001D6" w:rsidRPr="00021AA5">
        <w:t xml:space="preserve"> subgroup were unreliable and only ITT safety results were applied to the economic model. </w:t>
      </w:r>
    </w:p>
    <w:p w14:paraId="56A22B9E" w14:textId="1C0F3509" w:rsidR="002441D2" w:rsidRDefault="002441D2" w:rsidP="00E9094A">
      <w:pPr>
        <w:pStyle w:val="3-BodyText"/>
      </w:pPr>
      <w:r>
        <w:t xml:space="preserve">On the basis of </w:t>
      </w:r>
      <w:r w:rsidR="004001D6">
        <w:t xml:space="preserve">the </w:t>
      </w:r>
      <w:r>
        <w:t>direct</w:t>
      </w:r>
      <w:r w:rsidR="004001D6">
        <w:t xml:space="preserve"> </w:t>
      </w:r>
      <w:r>
        <w:t>evidence presented by the submission</w:t>
      </w:r>
      <w:r w:rsidR="004001D6">
        <w:t xml:space="preserve"> for the ITT population</w:t>
      </w:r>
      <w:r>
        <w:t xml:space="preserve">, for every 100 patients treated with </w:t>
      </w:r>
      <w:r w:rsidR="004001D6">
        <w:t>olaparib plus abiraterone</w:t>
      </w:r>
      <w:r>
        <w:t xml:space="preserve"> in comparison </w:t>
      </w:r>
      <w:r w:rsidR="006D68FB">
        <w:t>with</w:t>
      </w:r>
      <w:r>
        <w:t xml:space="preserve"> </w:t>
      </w:r>
      <w:r w:rsidR="004001D6">
        <w:t>abiraterone monothe</w:t>
      </w:r>
      <w:r w:rsidR="00A43B9D">
        <w:t>r</w:t>
      </w:r>
      <w:r w:rsidR="004001D6">
        <w:t>apy</w:t>
      </w:r>
      <w:r>
        <w:t>:</w:t>
      </w:r>
    </w:p>
    <w:p w14:paraId="3DC754A2" w14:textId="52658E13" w:rsidR="00184B0E" w:rsidRDefault="002441D2" w:rsidP="00181C10">
      <w:pPr>
        <w:pStyle w:val="ListParagraph"/>
        <w:ind w:left="1134"/>
      </w:pPr>
      <w:r w:rsidRPr="00184B0E">
        <w:lastRenderedPageBreak/>
        <w:t>Approximately</w:t>
      </w:r>
      <w:r>
        <w:t xml:space="preserve"> </w:t>
      </w:r>
      <w:r w:rsidR="004001D6">
        <w:t xml:space="preserve">13 more additional patients would experience grade </w:t>
      </w:r>
      <w:r w:rsidR="004001D6">
        <w:rPr>
          <w:rFonts w:cstheme="minorHAnsi"/>
        </w:rPr>
        <w:t>≥</w:t>
      </w:r>
      <w:r w:rsidR="004001D6">
        <w:t xml:space="preserve">3 anaemia, 5 additional patients would experience grade </w:t>
      </w:r>
      <w:r w:rsidR="004001D6">
        <w:rPr>
          <w:rFonts w:cstheme="minorHAnsi"/>
        </w:rPr>
        <w:t>≥</w:t>
      </w:r>
      <w:r w:rsidR="004001D6">
        <w:t>3 pulmonary embolism, and approximately 2</w:t>
      </w:r>
      <w:r>
        <w:t xml:space="preserve"> patients </w:t>
      </w:r>
      <w:r w:rsidR="00C41768">
        <w:t xml:space="preserve">will </w:t>
      </w:r>
      <w:r w:rsidR="004001D6">
        <w:t xml:space="preserve">experience an additional </w:t>
      </w:r>
      <w:r w:rsidR="009C088F">
        <w:t xml:space="preserve">grade </w:t>
      </w:r>
      <w:r w:rsidR="009C088F">
        <w:rPr>
          <w:rFonts w:cstheme="minorHAnsi"/>
        </w:rPr>
        <w:t>≥</w:t>
      </w:r>
      <w:r w:rsidR="009C088F">
        <w:t>3 AE.</w:t>
      </w:r>
    </w:p>
    <w:p w14:paraId="53B25983" w14:textId="77777777" w:rsidR="00914EFD" w:rsidRDefault="00914EFD" w:rsidP="00914EFD">
      <w:pPr>
        <w:pStyle w:val="4-SubsectionHeading"/>
      </w:pPr>
      <w:bookmarkStart w:id="37" w:name="_Toc145075508"/>
      <w:r>
        <w:t>Summary of other trials of PARP inhibitor in combination</w:t>
      </w:r>
      <w:bookmarkEnd w:id="37"/>
      <w:r>
        <w:t xml:space="preserve"> </w:t>
      </w:r>
    </w:p>
    <w:p w14:paraId="7C20EA5A" w14:textId="1797773E" w:rsidR="00914EFD" w:rsidRPr="00940BEC" w:rsidRDefault="00914EFD" w:rsidP="004221E7">
      <w:pPr>
        <w:pStyle w:val="3-BodyText"/>
      </w:pPr>
      <w:bookmarkStart w:id="38" w:name="_Ref150780128"/>
      <w:r w:rsidRPr="00940BEC">
        <w:rPr>
          <w:rStyle w:val="3-BodyTextChar"/>
        </w:rPr>
        <w:t xml:space="preserve">Key results for the genetically unselected/ITT population and the </w:t>
      </w:r>
      <w:r w:rsidR="006C3ED1" w:rsidRPr="00940BEC">
        <w:rPr>
          <w:rStyle w:val="3-BodyTextChar"/>
        </w:rPr>
        <w:t>BRCA1/2</w:t>
      </w:r>
      <w:r w:rsidRPr="00940BEC">
        <w:rPr>
          <w:rStyle w:val="3-BodyTextChar"/>
        </w:rPr>
        <w:t xml:space="preserve"> subgroups</w:t>
      </w:r>
      <w:r w:rsidRPr="00940BEC">
        <w:t xml:space="preserve"> across PROpel, TALAPRO-2 and MAGNITUDE are presented in </w:t>
      </w:r>
      <w:r w:rsidRPr="00940BEC">
        <w:fldChar w:fldCharType="begin" w:fldLock="1"/>
      </w:r>
      <w:r w:rsidRPr="00940BEC">
        <w:instrText xml:space="preserve"> REF _Ref142657439 \h </w:instrText>
      </w:r>
      <w:r w:rsidR="004221E7" w:rsidRPr="00940BEC">
        <w:instrText xml:space="preserve"> \* MERGEFORMAT </w:instrText>
      </w:r>
      <w:r w:rsidRPr="00940BEC">
        <w:fldChar w:fldCharType="separate"/>
      </w:r>
      <w:r w:rsidR="006F331F" w:rsidRPr="00940BEC">
        <w:t xml:space="preserve">Table </w:t>
      </w:r>
      <w:r w:rsidR="006F331F" w:rsidRPr="00940BEC">
        <w:rPr>
          <w:noProof/>
        </w:rPr>
        <w:t>8</w:t>
      </w:r>
      <w:r w:rsidRPr="00940BEC">
        <w:fldChar w:fldCharType="end"/>
      </w:r>
      <w:r w:rsidRPr="00940BEC">
        <w:t>.</w:t>
      </w:r>
      <w:bookmarkEnd w:id="38"/>
    </w:p>
    <w:p w14:paraId="0EE44077" w14:textId="0A5D4D30" w:rsidR="003920E1" w:rsidRPr="00940BEC" w:rsidRDefault="00914EFD" w:rsidP="004221E7">
      <w:pPr>
        <w:pStyle w:val="3-BodyText"/>
      </w:pPr>
      <w:r w:rsidRPr="00940BEC">
        <w:t xml:space="preserve">MAGNITUDE was the only trial that stratified patients by </w:t>
      </w:r>
      <w:r w:rsidR="00A41905" w:rsidRPr="00940BEC">
        <w:t>BRCA</w:t>
      </w:r>
      <w:r w:rsidRPr="00940BEC">
        <w:t xml:space="preserve"> status and had enough power to detect rPFS differences between treatment arms. TALAPRO 2 conducted a </w:t>
      </w:r>
      <w:r w:rsidRPr="00EF584A">
        <w:rPr>
          <w:i/>
          <w:iCs/>
        </w:rPr>
        <w:t>post-hoc</w:t>
      </w:r>
      <w:r w:rsidRPr="00940BEC">
        <w:t xml:space="preserve"> subgroup analysis of rPFS by </w:t>
      </w:r>
      <w:r w:rsidR="00A41905" w:rsidRPr="00940BEC">
        <w:t>BRCA</w:t>
      </w:r>
      <w:r w:rsidRPr="00940BEC">
        <w:t xml:space="preserve"> status using an unstratified Cox model with treatment as the only covariate due to the small number of patients. As with PROpel, </w:t>
      </w:r>
      <w:r w:rsidR="005E1B84" w:rsidRPr="00940BEC">
        <w:t xml:space="preserve">both </w:t>
      </w:r>
      <w:r w:rsidRPr="00940BEC">
        <w:t>TALAPRO-2 and MAGNITUDE are still ongoing.</w:t>
      </w:r>
    </w:p>
    <w:p w14:paraId="38B68769" w14:textId="7D256E51" w:rsidR="00914EFD" w:rsidRDefault="00914EFD" w:rsidP="004613B7">
      <w:pPr>
        <w:pStyle w:val="Caption"/>
        <w:jc w:val="both"/>
      </w:pPr>
      <w:bookmarkStart w:id="39" w:name="_Ref142657439"/>
      <w:r>
        <w:t xml:space="preserve">Table </w:t>
      </w:r>
      <w:fldSimple w:instr=" SEQ Table \* ARABIC " w:fldLock="1">
        <w:r w:rsidR="006F331F">
          <w:rPr>
            <w:noProof/>
          </w:rPr>
          <w:t>8</w:t>
        </w:r>
      </w:fldSimple>
      <w:bookmarkEnd w:id="39"/>
      <w:r>
        <w:t xml:space="preserve">: Key results for the genetically unselected/ITT population and the </w:t>
      </w:r>
      <w:r w:rsidR="006C3ED1" w:rsidRPr="006C3ED1">
        <w:rPr>
          <w:i/>
          <w:iCs/>
        </w:rPr>
        <w:t>BRCA1/2</w:t>
      </w:r>
      <w:r>
        <w:t xml:space="preserve"> subgroup in PROPel, TALAPRO-2, and MAGNITUDE.</w:t>
      </w:r>
    </w:p>
    <w:tbl>
      <w:tblPr>
        <w:tblStyle w:val="TableGrid"/>
        <w:tblW w:w="5001" w:type="pct"/>
        <w:tblLayout w:type="fixed"/>
        <w:tblCellMar>
          <w:left w:w="28" w:type="dxa"/>
          <w:right w:w="28" w:type="dxa"/>
        </w:tblCellMar>
        <w:tblLook w:val="04A0" w:firstRow="1" w:lastRow="0" w:firstColumn="1" w:lastColumn="0" w:noHBand="0" w:noVBand="1"/>
      </w:tblPr>
      <w:tblGrid>
        <w:gridCol w:w="1834"/>
        <w:gridCol w:w="1135"/>
        <w:gridCol w:w="1135"/>
        <w:gridCol w:w="1277"/>
        <w:gridCol w:w="1277"/>
        <w:gridCol w:w="1133"/>
        <w:gridCol w:w="1228"/>
      </w:tblGrid>
      <w:tr w:rsidR="00914EFD" w:rsidRPr="00594510" w14:paraId="7122EFD2" w14:textId="77777777" w:rsidTr="001E53B4">
        <w:trPr>
          <w:trHeight w:val="20"/>
        </w:trPr>
        <w:tc>
          <w:tcPr>
            <w:tcW w:w="1017" w:type="pct"/>
            <w:tcBorders>
              <w:top w:val="single" w:sz="4" w:space="0" w:color="auto"/>
            </w:tcBorders>
          </w:tcPr>
          <w:p w14:paraId="4D75A3E8" w14:textId="77777777" w:rsidR="00914EFD" w:rsidRPr="00594510" w:rsidRDefault="00914EFD" w:rsidP="004613B7">
            <w:pPr>
              <w:pStyle w:val="TableText0"/>
              <w:keepLines/>
              <w:rPr>
                <w:b/>
                <w:bCs w:val="0"/>
              </w:rPr>
            </w:pPr>
            <w:r w:rsidRPr="00594510">
              <w:rPr>
                <w:b/>
                <w:bCs w:val="0"/>
              </w:rPr>
              <w:t>Trial</w:t>
            </w:r>
          </w:p>
        </w:tc>
        <w:tc>
          <w:tcPr>
            <w:tcW w:w="1258" w:type="pct"/>
            <w:gridSpan w:val="2"/>
            <w:tcBorders>
              <w:top w:val="single" w:sz="4" w:space="0" w:color="auto"/>
            </w:tcBorders>
          </w:tcPr>
          <w:p w14:paraId="351DD02D" w14:textId="77777777" w:rsidR="00914EFD" w:rsidRPr="00594510" w:rsidRDefault="00914EFD" w:rsidP="004613B7">
            <w:pPr>
              <w:pStyle w:val="TableText0"/>
              <w:keepLines/>
              <w:jc w:val="center"/>
              <w:rPr>
                <w:b/>
                <w:bCs w:val="0"/>
              </w:rPr>
            </w:pPr>
            <w:r w:rsidRPr="00594510">
              <w:rPr>
                <w:b/>
                <w:bCs w:val="0"/>
              </w:rPr>
              <w:t>PROPel</w:t>
            </w:r>
          </w:p>
        </w:tc>
        <w:tc>
          <w:tcPr>
            <w:tcW w:w="1416" w:type="pct"/>
            <w:gridSpan w:val="2"/>
            <w:tcBorders>
              <w:top w:val="single" w:sz="4" w:space="0" w:color="auto"/>
            </w:tcBorders>
          </w:tcPr>
          <w:p w14:paraId="53C82078" w14:textId="77777777" w:rsidR="00914EFD" w:rsidRPr="00594510" w:rsidRDefault="00914EFD" w:rsidP="004613B7">
            <w:pPr>
              <w:pStyle w:val="TableText0"/>
              <w:keepLines/>
              <w:jc w:val="center"/>
              <w:rPr>
                <w:b/>
                <w:bCs w:val="0"/>
              </w:rPr>
            </w:pPr>
            <w:r w:rsidRPr="00594510">
              <w:rPr>
                <w:b/>
                <w:bCs w:val="0"/>
              </w:rPr>
              <w:t>TALAPRO-2</w:t>
            </w:r>
          </w:p>
        </w:tc>
        <w:tc>
          <w:tcPr>
            <w:tcW w:w="1309" w:type="pct"/>
            <w:gridSpan w:val="2"/>
            <w:tcBorders>
              <w:top w:val="single" w:sz="4" w:space="0" w:color="auto"/>
            </w:tcBorders>
          </w:tcPr>
          <w:p w14:paraId="3F92786E" w14:textId="77777777" w:rsidR="00914EFD" w:rsidRPr="00594510" w:rsidRDefault="00914EFD" w:rsidP="004613B7">
            <w:pPr>
              <w:pStyle w:val="TableText0"/>
              <w:keepLines/>
              <w:jc w:val="center"/>
              <w:rPr>
                <w:b/>
                <w:bCs w:val="0"/>
              </w:rPr>
            </w:pPr>
            <w:r w:rsidRPr="00594510">
              <w:rPr>
                <w:b/>
                <w:bCs w:val="0"/>
              </w:rPr>
              <w:t>MAGNITUDE</w:t>
            </w:r>
          </w:p>
        </w:tc>
      </w:tr>
      <w:tr w:rsidR="00914EFD" w:rsidRPr="00594510" w14:paraId="09924BAC" w14:textId="77777777" w:rsidTr="005E1B84">
        <w:trPr>
          <w:trHeight w:val="122"/>
        </w:trPr>
        <w:tc>
          <w:tcPr>
            <w:tcW w:w="1017" w:type="pct"/>
          </w:tcPr>
          <w:p w14:paraId="64573FA7" w14:textId="77777777" w:rsidR="00914EFD" w:rsidRPr="00594510" w:rsidRDefault="00914EFD" w:rsidP="004613B7">
            <w:pPr>
              <w:pStyle w:val="TableText0"/>
              <w:keepLines/>
              <w:rPr>
                <w:b/>
                <w:bCs w:val="0"/>
              </w:rPr>
            </w:pPr>
            <w:r w:rsidRPr="00594510">
              <w:rPr>
                <w:b/>
                <w:bCs w:val="0"/>
              </w:rPr>
              <w:t>Treatment arm</w:t>
            </w:r>
          </w:p>
        </w:tc>
        <w:tc>
          <w:tcPr>
            <w:tcW w:w="629" w:type="pct"/>
          </w:tcPr>
          <w:p w14:paraId="4AAA5DF3" w14:textId="2AC9F64D" w:rsidR="00914EFD" w:rsidRPr="00594510" w:rsidRDefault="00914EFD" w:rsidP="004613B7">
            <w:pPr>
              <w:pStyle w:val="TableText0"/>
              <w:keepLines/>
              <w:jc w:val="center"/>
              <w:rPr>
                <w:b/>
                <w:bCs w:val="0"/>
              </w:rPr>
            </w:pPr>
            <w:r w:rsidRPr="00594510">
              <w:rPr>
                <w:b/>
                <w:bCs w:val="0"/>
              </w:rPr>
              <w:t>OLA+ABI</w:t>
            </w:r>
          </w:p>
        </w:tc>
        <w:tc>
          <w:tcPr>
            <w:tcW w:w="629" w:type="pct"/>
          </w:tcPr>
          <w:p w14:paraId="15C01D79" w14:textId="20FAB560" w:rsidR="00914EFD" w:rsidRPr="00594510" w:rsidRDefault="00914EFD" w:rsidP="004613B7">
            <w:pPr>
              <w:pStyle w:val="TableText0"/>
              <w:keepLines/>
              <w:jc w:val="center"/>
              <w:rPr>
                <w:b/>
                <w:bCs w:val="0"/>
              </w:rPr>
            </w:pPr>
            <w:r w:rsidRPr="00594510">
              <w:rPr>
                <w:b/>
                <w:bCs w:val="0"/>
              </w:rPr>
              <w:t>PBO+ABI</w:t>
            </w:r>
          </w:p>
        </w:tc>
        <w:tc>
          <w:tcPr>
            <w:tcW w:w="708" w:type="pct"/>
          </w:tcPr>
          <w:p w14:paraId="162E6E7D" w14:textId="4D0CEFB4" w:rsidR="00914EFD" w:rsidRPr="00594510" w:rsidRDefault="00914EFD" w:rsidP="004613B7">
            <w:pPr>
              <w:pStyle w:val="TableText0"/>
              <w:keepLines/>
              <w:jc w:val="center"/>
              <w:rPr>
                <w:b/>
                <w:bCs w:val="0"/>
              </w:rPr>
            </w:pPr>
            <w:r w:rsidRPr="00594510">
              <w:rPr>
                <w:b/>
                <w:bCs w:val="0"/>
              </w:rPr>
              <w:t>TALA+ENZA</w:t>
            </w:r>
          </w:p>
        </w:tc>
        <w:tc>
          <w:tcPr>
            <w:tcW w:w="708" w:type="pct"/>
          </w:tcPr>
          <w:p w14:paraId="660DADD0" w14:textId="04549F57" w:rsidR="00914EFD" w:rsidRPr="00594510" w:rsidRDefault="00914EFD" w:rsidP="004613B7">
            <w:pPr>
              <w:pStyle w:val="TableText0"/>
              <w:keepLines/>
              <w:jc w:val="center"/>
              <w:rPr>
                <w:b/>
                <w:bCs w:val="0"/>
              </w:rPr>
            </w:pPr>
            <w:r w:rsidRPr="00594510">
              <w:rPr>
                <w:b/>
                <w:bCs w:val="0"/>
              </w:rPr>
              <w:t>PBO+ENZA</w:t>
            </w:r>
          </w:p>
        </w:tc>
        <w:tc>
          <w:tcPr>
            <w:tcW w:w="628" w:type="pct"/>
          </w:tcPr>
          <w:p w14:paraId="51F72870" w14:textId="3D718301" w:rsidR="00914EFD" w:rsidRPr="00594510" w:rsidRDefault="00914EFD" w:rsidP="004613B7">
            <w:pPr>
              <w:pStyle w:val="TableText0"/>
              <w:keepLines/>
              <w:jc w:val="center"/>
              <w:rPr>
                <w:b/>
                <w:bCs w:val="0"/>
              </w:rPr>
            </w:pPr>
            <w:r w:rsidRPr="00594510">
              <w:rPr>
                <w:b/>
                <w:bCs w:val="0"/>
              </w:rPr>
              <w:t>NIRA+ABI</w:t>
            </w:r>
          </w:p>
        </w:tc>
        <w:tc>
          <w:tcPr>
            <w:tcW w:w="681" w:type="pct"/>
          </w:tcPr>
          <w:p w14:paraId="11D73ED6" w14:textId="3CAD166B" w:rsidR="00914EFD" w:rsidRPr="00594510" w:rsidRDefault="00914EFD" w:rsidP="004613B7">
            <w:pPr>
              <w:pStyle w:val="TableText0"/>
              <w:keepLines/>
              <w:jc w:val="center"/>
              <w:rPr>
                <w:b/>
                <w:bCs w:val="0"/>
              </w:rPr>
            </w:pPr>
            <w:r w:rsidRPr="00594510">
              <w:rPr>
                <w:b/>
                <w:bCs w:val="0"/>
              </w:rPr>
              <w:t xml:space="preserve">PBO+ABI </w:t>
            </w:r>
          </w:p>
        </w:tc>
      </w:tr>
      <w:tr w:rsidR="005E1B84" w:rsidRPr="00D85C5B" w14:paraId="4A5E20D6" w14:textId="77777777" w:rsidTr="001E53B4">
        <w:trPr>
          <w:trHeight w:val="20"/>
        </w:trPr>
        <w:tc>
          <w:tcPr>
            <w:tcW w:w="5000" w:type="pct"/>
            <w:gridSpan w:val="7"/>
            <w:tcBorders>
              <w:bottom w:val="single" w:sz="4" w:space="0" w:color="auto"/>
            </w:tcBorders>
            <w:vAlign w:val="center"/>
          </w:tcPr>
          <w:p w14:paraId="38E87F08" w14:textId="21001BAC" w:rsidR="005E1B84" w:rsidRPr="00D85C5B" w:rsidRDefault="005E1B84" w:rsidP="004613B7">
            <w:pPr>
              <w:pStyle w:val="TableText0"/>
              <w:keepLines/>
              <w:rPr>
                <w:b/>
              </w:rPr>
            </w:pPr>
            <w:r>
              <w:rPr>
                <w:b/>
              </w:rPr>
              <w:t>Genetically unselected/ITT populations</w:t>
            </w:r>
          </w:p>
        </w:tc>
      </w:tr>
      <w:tr w:rsidR="00914EFD" w:rsidRPr="00D85C5B" w14:paraId="27A86F30" w14:textId="77777777" w:rsidTr="001E53B4">
        <w:trPr>
          <w:trHeight w:val="20"/>
        </w:trPr>
        <w:tc>
          <w:tcPr>
            <w:tcW w:w="5000" w:type="pct"/>
            <w:gridSpan w:val="7"/>
            <w:tcBorders>
              <w:bottom w:val="single" w:sz="4" w:space="0" w:color="auto"/>
            </w:tcBorders>
            <w:vAlign w:val="center"/>
          </w:tcPr>
          <w:p w14:paraId="4C6DB43D" w14:textId="44E3FB3D" w:rsidR="00914EFD" w:rsidRPr="00D85C5B" w:rsidRDefault="00914EFD" w:rsidP="004613B7">
            <w:pPr>
              <w:pStyle w:val="TableText0"/>
              <w:keepLines/>
              <w:rPr>
                <w:b/>
              </w:rPr>
            </w:pPr>
            <w:r w:rsidRPr="00D85C5B">
              <w:rPr>
                <w:b/>
              </w:rPr>
              <w:t xml:space="preserve">rPFS BICR </w:t>
            </w:r>
          </w:p>
        </w:tc>
      </w:tr>
      <w:tr w:rsidR="00914EFD" w:rsidRPr="00F463F9" w14:paraId="437E62D8" w14:textId="77777777" w:rsidTr="001E53B4">
        <w:trPr>
          <w:trHeight w:val="20"/>
        </w:trPr>
        <w:tc>
          <w:tcPr>
            <w:tcW w:w="1017" w:type="pct"/>
            <w:tcBorders>
              <w:bottom w:val="single" w:sz="4" w:space="0" w:color="auto"/>
            </w:tcBorders>
          </w:tcPr>
          <w:p w14:paraId="03BE54EA" w14:textId="77777777" w:rsidR="00914EFD" w:rsidRPr="00F463F9" w:rsidRDefault="00914EFD" w:rsidP="004613B7">
            <w:pPr>
              <w:pStyle w:val="TableText0"/>
              <w:keepLines/>
            </w:pPr>
            <w:r w:rsidRPr="00F463F9">
              <w:t>Events</w:t>
            </w:r>
            <w:r>
              <w:t xml:space="preserve"> </w:t>
            </w:r>
            <w:r w:rsidRPr="00F463F9">
              <w:t>n</w:t>
            </w:r>
            <w:r>
              <w:t>/N</w:t>
            </w:r>
            <w:r w:rsidRPr="00F463F9">
              <w:t xml:space="preserve"> (%)</w:t>
            </w:r>
          </w:p>
        </w:tc>
        <w:tc>
          <w:tcPr>
            <w:tcW w:w="629" w:type="pct"/>
            <w:tcBorders>
              <w:bottom w:val="single" w:sz="4" w:space="0" w:color="auto"/>
            </w:tcBorders>
          </w:tcPr>
          <w:p w14:paraId="37CC4BA2" w14:textId="77777777" w:rsidR="00914EFD" w:rsidRPr="009029CE" w:rsidRDefault="00914EFD" w:rsidP="004613B7">
            <w:pPr>
              <w:pStyle w:val="TableText0"/>
              <w:keepLines/>
              <w:jc w:val="center"/>
            </w:pPr>
            <w:r w:rsidRPr="009029CE">
              <w:t>182</w:t>
            </w:r>
            <w:r>
              <w:t>/399</w:t>
            </w:r>
            <w:r w:rsidRPr="009029CE">
              <w:t xml:space="preserve"> (45.6)</w:t>
            </w:r>
          </w:p>
        </w:tc>
        <w:tc>
          <w:tcPr>
            <w:tcW w:w="629" w:type="pct"/>
            <w:tcBorders>
              <w:bottom w:val="single" w:sz="4" w:space="0" w:color="auto"/>
            </w:tcBorders>
          </w:tcPr>
          <w:p w14:paraId="337E494A" w14:textId="77777777" w:rsidR="00914EFD" w:rsidRPr="009029CE" w:rsidRDefault="00914EFD" w:rsidP="004613B7">
            <w:pPr>
              <w:pStyle w:val="TableText0"/>
              <w:keepLines/>
              <w:jc w:val="center"/>
            </w:pPr>
            <w:r w:rsidRPr="009029CE">
              <w:t xml:space="preserve">242 </w:t>
            </w:r>
            <w:r>
              <w:t>/397</w:t>
            </w:r>
            <w:r w:rsidRPr="009029CE">
              <w:t>(61.0)</w:t>
            </w:r>
          </w:p>
        </w:tc>
        <w:tc>
          <w:tcPr>
            <w:tcW w:w="708" w:type="pct"/>
            <w:tcBorders>
              <w:bottom w:val="single" w:sz="4" w:space="0" w:color="auto"/>
            </w:tcBorders>
          </w:tcPr>
          <w:p w14:paraId="0ECE61A5" w14:textId="77777777" w:rsidR="00914EFD" w:rsidRPr="00E178A2" w:rsidRDefault="00914EFD" w:rsidP="004613B7">
            <w:pPr>
              <w:pStyle w:val="TableText0"/>
              <w:keepLines/>
              <w:jc w:val="center"/>
              <w:rPr>
                <w:i/>
                <w:iCs/>
              </w:rPr>
            </w:pPr>
            <w:r w:rsidRPr="00F463F9">
              <w:t>151/402 (38)</w:t>
            </w:r>
          </w:p>
        </w:tc>
        <w:tc>
          <w:tcPr>
            <w:tcW w:w="708" w:type="pct"/>
            <w:tcBorders>
              <w:bottom w:val="single" w:sz="4" w:space="0" w:color="auto"/>
            </w:tcBorders>
          </w:tcPr>
          <w:p w14:paraId="1E84AE8A" w14:textId="77777777" w:rsidR="00914EFD" w:rsidRPr="00E178A2" w:rsidRDefault="00914EFD" w:rsidP="004613B7">
            <w:pPr>
              <w:pStyle w:val="TableText0"/>
              <w:keepLines/>
              <w:jc w:val="center"/>
              <w:rPr>
                <w:i/>
                <w:iCs/>
              </w:rPr>
            </w:pPr>
            <w:r w:rsidRPr="00F463F9">
              <w:t>191/403 (47)</w:t>
            </w:r>
          </w:p>
        </w:tc>
        <w:tc>
          <w:tcPr>
            <w:tcW w:w="628" w:type="pct"/>
            <w:tcBorders>
              <w:bottom w:val="single" w:sz="4" w:space="0" w:color="auto"/>
            </w:tcBorders>
          </w:tcPr>
          <w:p w14:paraId="6328B56E" w14:textId="77777777" w:rsidR="00914EFD" w:rsidRPr="00F463F9" w:rsidRDefault="00914EFD" w:rsidP="004613B7">
            <w:pPr>
              <w:pStyle w:val="TableText0"/>
              <w:keepLines/>
              <w:jc w:val="center"/>
            </w:pPr>
            <w:r>
              <w:t>NR</w:t>
            </w:r>
          </w:p>
        </w:tc>
        <w:tc>
          <w:tcPr>
            <w:tcW w:w="681" w:type="pct"/>
            <w:tcBorders>
              <w:bottom w:val="single" w:sz="4" w:space="0" w:color="auto"/>
            </w:tcBorders>
          </w:tcPr>
          <w:p w14:paraId="2BC519E0" w14:textId="77777777" w:rsidR="00914EFD" w:rsidRPr="00F463F9" w:rsidRDefault="00914EFD" w:rsidP="004613B7">
            <w:pPr>
              <w:pStyle w:val="TableText0"/>
              <w:keepLines/>
              <w:jc w:val="center"/>
            </w:pPr>
            <w:r>
              <w:t>NR</w:t>
            </w:r>
          </w:p>
        </w:tc>
      </w:tr>
      <w:tr w:rsidR="00914EFD" w:rsidRPr="00F463F9" w14:paraId="0AA9CE24" w14:textId="77777777" w:rsidTr="00FE2E26">
        <w:trPr>
          <w:trHeight w:val="70"/>
        </w:trPr>
        <w:tc>
          <w:tcPr>
            <w:tcW w:w="1017" w:type="pct"/>
            <w:tcBorders>
              <w:top w:val="single" w:sz="4" w:space="0" w:color="auto"/>
            </w:tcBorders>
          </w:tcPr>
          <w:p w14:paraId="62A2C259" w14:textId="77777777" w:rsidR="00914EFD" w:rsidRPr="00F463F9" w:rsidRDefault="00914EFD" w:rsidP="004613B7">
            <w:pPr>
              <w:pStyle w:val="TableText0"/>
              <w:keepLines/>
            </w:pPr>
            <w:r w:rsidRPr="00F463F9">
              <w:t xml:space="preserve">Median rPFS, months </w:t>
            </w:r>
          </w:p>
        </w:tc>
        <w:tc>
          <w:tcPr>
            <w:tcW w:w="629" w:type="pct"/>
            <w:tcBorders>
              <w:top w:val="single" w:sz="4" w:space="0" w:color="auto"/>
            </w:tcBorders>
          </w:tcPr>
          <w:p w14:paraId="1906ADEC" w14:textId="77777777" w:rsidR="00914EFD" w:rsidRPr="00F463F9" w:rsidRDefault="00914EFD" w:rsidP="004613B7">
            <w:pPr>
              <w:pStyle w:val="TableText0"/>
              <w:keepLines/>
              <w:jc w:val="center"/>
            </w:pPr>
            <w:r>
              <w:t>27.6</w:t>
            </w:r>
          </w:p>
        </w:tc>
        <w:tc>
          <w:tcPr>
            <w:tcW w:w="629" w:type="pct"/>
            <w:tcBorders>
              <w:top w:val="single" w:sz="4" w:space="0" w:color="auto"/>
            </w:tcBorders>
          </w:tcPr>
          <w:p w14:paraId="304AE531" w14:textId="77777777" w:rsidR="00914EFD" w:rsidRPr="00F463F9" w:rsidRDefault="00914EFD" w:rsidP="004613B7">
            <w:pPr>
              <w:pStyle w:val="TableText0"/>
              <w:keepLines/>
              <w:jc w:val="center"/>
            </w:pPr>
            <w:r>
              <w:t>16.5</w:t>
            </w:r>
          </w:p>
        </w:tc>
        <w:tc>
          <w:tcPr>
            <w:tcW w:w="708" w:type="pct"/>
            <w:tcBorders>
              <w:top w:val="single" w:sz="4" w:space="0" w:color="auto"/>
            </w:tcBorders>
          </w:tcPr>
          <w:p w14:paraId="444753F4" w14:textId="77777777" w:rsidR="00914EFD" w:rsidRPr="00F463F9" w:rsidRDefault="00914EFD" w:rsidP="004613B7">
            <w:pPr>
              <w:pStyle w:val="TableText0"/>
              <w:keepLines/>
              <w:jc w:val="center"/>
            </w:pPr>
            <w:r w:rsidRPr="00F463F9">
              <w:t>NR</w:t>
            </w:r>
          </w:p>
        </w:tc>
        <w:tc>
          <w:tcPr>
            <w:tcW w:w="708" w:type="pct"/>
            <w:tcBorders>
              <w:top w:val="single" w:sz="4" w:space="0" w:color="auto"/>
            </w:tcBorders>
          </w:tcPr>
          <w:p w14:paraId="7F6C9898" w14:textId="77777777" w:rsidR="00914EFD" w:rsidRPr="00F463F9" w:rsidRDefault="00914EFD" w:rsidP="004613B7">
            <w:pPr>
              <w:pStyle w:val="TableText0"/>
              <w:keepLines/>
              <w:jc w:val="center"/>
            </w:pPr>
            <w:r w:rsidRPr="00F463F9">
              <w:t>21.9</w:t>
            </w:r>
          </w:p>
        </w:tc>
        <w:tc>
          <w:tcPr>
            <w:tcW w:w="628" w:type="pct"/>
            <w:tcBorders>
              <w:top w:val="single" w:sz="4" w:space="0" w:color="auto"/>
            </w:tcBorders>
          </w:tcPr>
          <w:p w14:paraId="04270113" w14:textId="77777777" w:rsidR="00914EFD" w:rsidRPr="00F463F9" w:rsidRDefault="00914EFD" w:rsidP="004613B7">
            <w:pPr>
              <w:pStyle w:val="TableText0"/>
              <w:keepLines/>
              <w:jc w:val="center"/>
            </w:pPr>
            <w:r>
              <w:t>NR</w:t>
            </w:r>
          </w:p>
        </w:tc>
        <w:tc>
          <w:tcPr>
            <w:tcW w:w="681" w:type="pct"/>
            <w:tcBorders>
              <w:top w:val="single" w:sz="4" w:space="0" w:color="auto"/>
            </w:tcBorders>
          </w:tcPr>
          <w:p w14:paraId="6760E122" w14:textId="77777777" w:rsidR="00914EFD" w:rsidRPr="00F463F9" w:rsidRDefault="00914EFD" w:rsidP="004613B7">
            <w:pPr>
              <w:pStyle w:val="TableText0"/>
              <w:keepLines/>
              <w:jc w:val="center"/>
            </w:pPr>
            <w:r>
              <w:t>NR</w:t>
            </w:r>
          </w:p>
        </w:tc>
      </w:tr>
      <w:tr w:rsidR="00914EFD" w:rsidRPr="00F463F9" w14:paraId="2A6311BB" w14:textId="77777777" w:rsidTr="001E53B4">
        <w:trPr>
          <w:trHeight w:val="20"/>
        </w:trPr>
        <w:tc>
          <w:tcPr>
            <w:tcW w:w="1017" w:type="pct"/>
          </w:tcPr>
          <w:p w14:paraId="2F55E710" w14:textId="77777777" w:rsidR="00914EFD" w:rsidRPr="00F463F9" w:rsidRDefault="00914EFD" w:rsidP="004613B7">
            <w:pPr>
              <w:pStyle w:val="TableText0"/>
              <w:keepLines/>
            </w:pPr>
            <w:r w:rsidRPr="00F463F9">
              <w:t>HR (95% CI)</w:t>
            </w:r>
          </w:p>
        </w:tc>
        <w:tc>
          <w:tcPr>
            <w:tcW w:w="1258" w:type="pct"/>
            <w:gridSpan w:val="2"/>
          </w:tcPr>
          <w:p w14:paraId="0D8E1C32" w14:textId="77777777" w:rsidR="00914EFD" w:rsidRPr="00945A43" w:rsidRDefault="00914EFD" w:rsidP="004613B7">
            <w:pPr>
              <w:pStyle w:val="TableText0"/>
              <w:keepLines/>
              <w:jc w:val="center"/>
              <w:rPr>
                <w:b/>
              </w:rPr>
            </w:pPr>
            <w:r w:rsidRPr="00945A43">
              <w:rPr>
                <w:b/>
              </w:rPr>
              <w:t>0.62 (0.51, 0.75)</w:t>
            </w:r>
          </w:p>
        </w:tc>
        <w:tc>
          <w:tcPr>
            <w:tcW w:w="1416" w:type="pct"/>
            <w:gridSpan w:val="2"/>
          </w:tcPr>
          <w:p w14:paraId="1FDC534D" w14:textId="792A243B" w:rsidR="00914EFD" w:rsidRPr="00945A43" w:rsidRDefault="00914EFD" w:rsidP="004613B7">
            <w:pPr>
              <w:pStyle w:val="TableText0"/>
              <w:keepLines/>
              <w:jc w:val="center"/>
              <w:rPr>
                <w:b/>
                <w:i/>
                <w:iCs/>
              </w:rPr>
            </w:pPr>
            <w:r w:rsidRPr="00945A43">
              <w:rPr>
                <w:b/>
              </w:rPr>
              <w:t>0</w:t>
            </w:r>
            <w:r w:rsidR="00FE2E26">
              <w:rPr>
                <w:b/>
              </w:rPr>
              <w:t>.</w:t>
            </w:r>
            <w:r w:rsidRPr="00945A43">
              <w:rPr>
                <w:b/>
              </w:rPr>
              <w:t>63 (0·51</w:t>
            </w:r>
            <w:r>
              <w:rPr>
                <w:b/>
              </w:rPr>
              <w:t xml:space="preserve">, </w:t>
            </w:r>
            <w:r w:rsidRPr="00945A43">
              <w:rPr>
                <w:b/>
              </w:rPr>
              <w:t>0·78)</w:t>
            </w:r>
          </w:p>
        </w:tc>
        <w:tc>
          <w:tcPr>
            <w:tcW w:w="1309" w:type="pct"/>
            <w:gridSpan w:val="2"/>
          </w:tcPr>
          <w:p w14:paraId="62748018" w14:textId="77777777" w:rsidR="00914EFD" w:rsidRPr="00945A43" w:rsidRDefault="00914EFD" w:rsidP="004613B7">
            <w:pPr>
              <w:pStyle w:val="TableText0"/>
              <w:keepLines/>
              <w:jc w:val="center"/>
            </w:pPr>
            <w:r>
              <w:t>NR</w:t>
            </w:r>
          </w:p>
        </w:tc>
      </w:tr>
      <w:tr w:rsidR="005E1B84" w:rsidRPr="00594510" w14:paraId="05A10695" w14:textId="77777777" w:rsidTr="00DC7A74">
        <w:trPr>
          <w:trHeight w:val="20"/>
        </w:trPr>
        <w:tc>
          <w:tcPr>
            <w:tcW w:w="5000" w:type="pct"/>
            <w:gridSpan w:val="7"/>
            <w:tcBorders>
              <w:bottom w:val="single" w:sz="4" w:space="0" w:color="auto"/>
            </w:tcBorders>
          </w:tcPr>
          <w:p w14:paraId="785590CD" w14:textId="60BCD9CD" w:rsidR="005E1B84" w:rsidRPr="00594510" w:rsidRDefault="005E1B84" w:rsidP="004613B7">
            <w:pPr>
              <w:pStyle w:val="TableText0"/>
              <w:keepLines/>
              <w:rPr>
                <w:b/>
                <w:bCs w:val="0"/>
              </w:rPr>
            </w:pPr>
            <w:r w:rsidRPr="00594510">
              <w:rPr>
                <w:b/>
                <w:bCs w:val="0"/>
              </w:rPr>
              <w:t>rPFS investigator</w:t>
            </w:r>
            <w:r>
              <w:rPr>
                <w:b/>
                <w:bCs w:val="0"/>
              </w:rPr>
              <w:t xml:space="preserve"> </w:t>
            </w:r>
          </w:p>
        </w:tc>
      </w:tr>
      <w:tr w:rsidR="005E1B84" w:rsidRPr="00F463F9" w14:paraId="764F932D" w14:textId="77777777" w:rsidTr="00DC7A74">
        <w:trPr>
          <w:trHeight w:val="20"/>
        </w:trPr>
        <w:tc>
          <w:tcPr>
            <w:tcW w:w="1017" w:type="pct"/>
            <w:tcBorders>
              <w:top w:val="single" w:sz="4" w:space="0" w:color="auto"/>
              <w:left w:val="single" w:sz="4" w:space="0" w:color="auto"/>
              <w:bottom w:val="single" w:sz="4" w:space="0" w:color="auto"/>
              <w:right w:val="single" w:sz="4" w:space="0" w:color="auto"/>
            </w:tcBorders>
          </w:tcPr>
          <w:p w14:paraId="0D862A38" w14:textId="77777777" w:rsidR="005E1B84" w:rsidRPr="00F463F9" w:rsidRDefault="005E1B84" w:rsidP="004613B7">
            <w:pPr>
              <w:pStyle w:val="TableText0"/>
              <w:keepLines/>
            </w:pPr>
            <w:r w:rsidRPr="00F463F9">
              <w:t>Events, n</w:t>
            </w:r>
            <w:r>
              <w:t>/N</w:t>
            </w:r>
            <w:r w:rsidRPr="00F463F9">
              <w:t xml:space="preserve"> (%)</w:t>
            </w:r>
          </w:p>
        </w:tc>
        <w:tc>
          <w:tcPr>
            <w:tcW w:w="629" w:type="pct"/>
            <w:tcBorders>
              <w:top w:val="single" w:sz="4" w:space="0" w:color="auto"/>
              <w:left w:val="single" w:sz="4" w:space="0" w:color="auto"/>
              <w:bottom w:val="single" w:sz="4" w:space="0" w:color="auto"/>
              <w:right w:val="single" w:sz="4" w:space="0" w:color="auto"/>
            </w:tcBorders>
          </w:tcPr>
          <w:p w14:paraId="6F0E60A3" w14:textId="77777777" w:rsidR="005E1B84" w:rsidRPr="00F463F9" w:rsidRDefault="005E1B84" w:rsidP="004613B7">
            <w:pPr>
              <w:pStyle w:val="TableText0"/>
              <w:keepLines/>
              <w:jc w:val="center"/>
            </w:pPr>
            <w:r w:rsidRPr="00F463F9">
              <w:t>219/399 (55)</w:t>
            </w:r>
          </w:p>
        </w:tc>
        <w:tc>
          <w:tcPr>
            <w:tcW w:w="629" w:type="pct"/>
            <w:tcBorders>
              <w:top w:val="single" w:sz="4" w:space="0" w:color="auto"/>
              <w:left w:val="single" w:sz="4" w:space="0" w:color="auto"/>
              <w:bottom w:val="single" w:sz="4" w:space="0" w:color="auto"/>
              <w:right w:val="single" w:sz="4" w:space="0" w:color="auto"/>
            </w:tcBorders>
          </w:tcPr>
          <w:p w14:paraId="159E3332" w14:textId="77777777" w:rsidR="005E1B84" w:rsidRPr="00F463F9" w:rsidRDefault="005E1B84" w:rsidP="004613B7">
            <w:pPr>
              <w:pStyle w:val="TableText0"/>
              <w:keepLines/>
              <w:jc w:val="center"/>
            </w:pPr>
            <w:r w:rsidRPr="00F463F9">
              <w:t>277/397 (70)</w:t>
            </w:r>
          </w:p>
        </w:tc>
        <w:tc>
          <w:tcPr>
            <w:tcW w:w="708" w:type="pct"/>
            <w:tcBorders>
              <w:top w:val="single" w:sz="4" w:space="0" w:color="auto"/>
              <w:left w:val="single" w:sz="4" w:space="0" w:color="auto"/>
              <w:bottom w:val="single" w:sz="4" w:space="0" w:color="auto"/>
              <w:right w:val="single" w:sz="4" w:space="0" w:color="auto"/>
            </w:tcBorders>
          </w:tcPr>
          <w:p w14:paraId="711EC0E1" w14:textId="77777777" w:rsidR="005E1B84" w:rsidRPr="00F463F9" w:rsidRDefault="005E1B84" w:rsidP="004613B7">
            <w:pPr>
              <w:pStyle w:val="TableText0"/>
              <w:keepLines/>
              <w:jc w:val="center"/>
            </w:pPr>
            <w:r>
              <w:t xml:space="preserve">119/402 </w:t>
            </w:r>
            <w:r w:rsidRPr="00021AA5">
              <w:t>(29.6)</w:t>
            </w:r>
          </w:p>
        </w:tc>
        <w:tc>
          <w:tcPr>
            <w:tcW w:w="708" w:type="pct"/>
            <w:tcBorders>
              <w:top w:val="single" w:sz="4" w:space="0" w:color="auto"/>
              <w:left w:val="single" w:sz="4" w:space="0" w:color="auto"/>
              <w:bottom w:val="single" w:sz="4" w:space="0" w:color="auto"/>
              <w:right w:val="single" w:sz="4" w:space="0" w:color="auto"/>
            </w:tcBorders>
          </w:tcPr>
          <w:p w14:paraId="43DA6F06" w14:textId="77777777" w:rsidR="005E1B84" w:rsidRPr="00F463F9" w:rsidRDefault="005E1B84" w:rsidP="004613B7">
            <w:pPr>
              <w:pStyle w:val="TableText0"/>
              <w:keepLines/>
              <w:jc w:val="center"/>
            </w:pPr>
            <w:r>
              <w:t xml:space="preserve">153/403 </w:t>
            </w:r>
            <w:r w:rsidRPr="00021AA5">
              <w:t>(38.0)</w:t>
            </w:r>
          </w:p>
        </w:tc>
        <w:tc>
          <w:tcPr>
            <w:tcW w:w="628" w:type="pct"/>
            <w:tcBorders>
              <w:top w:val="single" w:sz="4" w:space="0" w:color="auto"/>
              <w:left w:val="single" w:sz="4" w:space="0" w:color="auto"/>
              <w:bottom w:val="single" w:sz="4" w:space="0" w:color="auto"/>
              <w:right w:val="single" w:sz="4" w:space="0" w:color="auto"/>
            </w:tcBorders>
          </w:tcPr>
          <w:p w14:paraId="2DE2199D" w14:textId="77777777" w:rsidR="005E1B84" w:rsidRDefault="005E1B84" w:rsidP="004613B7">
            <w:pPr>
              <w:pStyle w:val="TableText0"/>
              <w:keepLines/>
              <w:jc w:val="center"/>
            </w:pPr>
            <w:r w:rsidRPr="00C86849">
              <w:t>NR</w:t>
            </w:r>
          </w:p>
        </w:tc>
        <w:tc>
          <w:tcPr>
            <w:tcW w:w="681" w:type="pct"/>
            <w:tcBorders>
              <w:top w:val="single" w:sz="4" w:space="0" w:color="auto"/>
              <w:left w:val="single" w:sz="4" w:space="0" w:color="auto"/>
              <w:bottom w:val="single" w:sz="4" w:space="0" w:color="auto"/>
              <w:right w:val="single" w:sz="4" w:space="0" w:color="auto"/>
            </w:tcBorders>
          </w:tcPr>
          <w:p w14:paraId="55FD6D1B" w14:textId="77777777" w:rsidR="005E1B84" w:rsidRDefault="005E1B84" w:rsidP="004613B7">
            <w:pPr>
              <w:pStyle w:val="TableText0"/>
              <w:keepLines/>
              <w:jc w:val="center"/>
            </w:pPr>
            <w:r w:rsidRPr="00C86849">
              <w:t>NR</w:t>
            </w:r>
          </w:p>
        </w:tc>
      </w:tr>
      <w:tr w:rsidR="005E1B84" w:rsidRPr="00F463F9" w14:paraId="24CB17CD" w14:textId="77777777" w:rsidTr="00DC7A74">
        <w:trPr>
          <w:trHeight w:val="20"/>
        </w:trPr>
        <w:tc>
          <w:tcPr>
            <w:tcW w:w="1017" w:type="pct"/>
            <w:tcBorders>
              <w:top w:val="single" w:sz="4" w:space="0" w:color="auto"/>
              <w:left w:val="single" w:sz="4" w:space="0" w:color="auto"/>
              <w:bottom w:val="single" w:sz="4" w:space="0" w:color="auto"/>
              <w:right w:val="single" w:sz="4" w:space="0" w:color="auto"/>
            </w:tcBorders>
          </w:tcPr>
          <w:p w14:paraId="65CE148A" w14:textId="77777777" w:rsidR="005E1B84" w:rsidRPr="00F463F9" w:rsidRDefault="005E1B84" w:rsidP="004613B7">
            <w:pPr>
              <w:pStyle w:val="TableText0"/>
              <w:keepLines/>
            </w:pPr>
            <w:r w:rsidRPr="00F463F9">
              <w:t xml:space="preserve">Median rPFS, months </w:t>
            </w:r>
          </w:p>
        </w:tc>
        <w:tc>
          <w:tcPr>
            <w:tcW w:w="629" w:type="pct"/>
            <w:tcBorders>
              <w:top w:val="single" w:sz="4" w:space="0" w:color="auto"/>
              <w:left w:val="single" w:sz="4" w:space="0" w:color="auto"/>
              <w:bottom w:val="single" w:sz="4" w:space="0" w:color="auto"/>
              <w:right w:val="single" w:sz="4" w:space="0" w:color="auto"/>
            </w:tcBorders>
          </w:tcPr>
          <w:p w14:paraId="2DF6E141" w14:textId="77777777" w:rsidR="005E1B84" w:rsidRPr="00F463F9" w:rsidRDefault="005E1B84" w:rsidP="004613B7">
            <w:pPr>
              <w:pStyle w:val="TableText0"/>
              <w:keepLines/>
              <w:jc w:val="center"/>
            </w:pPr>
            <w:r w:rsidRPr="00F463F9">
              <w:t>25.0</w:t>
            </w:r>
          </w:p>
        </w:tc>
        <w:tc>
          <w:tcPr>
            <w:tcW w:w="629" w:type="pct"/>
            <w:tcBorders>
              <w:top w:val="single" w:sz="4" w:space="0" w:color="auto"/>
              <w:left w:val="single" w:sz="4" w:space="0" w:color="auto"/>
              <w:bottom w:val="single" w:sz="4" w:space="0" w:color="auto"/>
              <w:right w:val="single" w:sz="4" w:space="0" w:color="auto"/>
            </w:tcBorders>
          </w:tcPr>
          <w:p w14:paraId="732C3C66" w14:textId="77777777" w:rsidR="005E1B84" w:rsidRPr="00F463F9" w:rsidRDefault="005E1B84" w:rsidP="004613B7">
            <w:pPr>
              <w:pStyle w:val="TableText0"/>
              <w:keepLines/>
              <w:jc w:val="center"/>
            </w:pPr>
            <w:r w:rsidRPr="00F463F9">
              <w:t>16.5</w:t>
            </w:r>
          </w:p>
        </w:tc>
        <w:tc>
          <w:tcPr>
            <w:tcW w:w="708" w:type="pct"/>
            <w:tcBorders>
              <w:top w:val="single" w:sz="4" w:space="0" w:color="auto"/>
              <w:left w:val="single" w:sz="4" w:space="0" w:color="auto"/>
              <w:bottom w:val="single" w:sz="4" w:space="0" w:color="auto"/>
              <w:right w:val="single" w:sz="4" w:space="0" w:color="auto"/>
            </w:tcBorders>
          </w:tcPr>
          <w:p w14:paraId="03160155" w14:textId="77777777" w:rsidR="005E1B84" w:rsidRPr="00F463F9" w:rsidRDefault="005E1B84" w:rsidP="004613B7">
            <w:pPr>
              <w:pStyle w:val="TableText0"/>
              <w:keepLines/>
              <w:jc w:val="center"/>
            </w:pPr>
            <w:r>
              <w:t>NR</w:t>
            </w:r>
          </w:p>
        </w:tc>
        <w:tc>
          <w:tcPr>
            <w:tcW w:w="708" w:type="pct"/>
            <w:tcBorders>
              <w:top w:val="single" w:sz="4" w:space="0" w:color="auto"/>
              <w:left w:val="single" w:sz="4" w:space="0" w:color="auto"/>
              <w:bottom w:val="single" w:sz="4" w:space="0" w:color="auto"/>
              <w:right w:val="single" w:sz="4" w:space="0" w:color="auto"/>
            </w:tcBorders>
          </w:tcPr>
          <w:p w14:paraId="7E3DB91F" w14:textId="77777777" w:rsidR="005E1B84" w:rsidRPr="00F463F9" w:rsidRDefault="005E1B84" w:rsidP="004613B7">
            <w:pPr>
              <w:pStyle w:val="TableText0"/>
              <w:keepLines/>
              <w:jc w:val="center"/>
            </w:pPr>
            <w:r>
              <w:t>30.3</w:t>
            </w:r>
          </w:p>
        </w:tc>
        <w:tc>
          <w:tcPr>
            <w:tcW w:w="628" w:type="pct"/>
            <w:tcBorders>
              <w:top w:val="single" w:sz="4" w:space="0" w:color="auto"/>
              <w:left w:val="single" w:sz="4" w:space="0" w:color="auto"/>
              <w:bottom w:val="single" w:sz="4" w:space="0" w:color="auto"/>
              <w:right w:val="single" w:sz="4" w:space="0" w:color="auto"/>
            </w:tcBorders>
          </w:tcPr>
          <w:p w14:paraId="20F3D0A7" w14:textId="77777777" w:rsidR="005E1B84" w:rsidRDefault="005E1B84" w:rsidP="004613B7">
            <w:pPr>
              <w:pStyle w:val="TableText0"/>
              <w:keepLines/>
              <w:jc w:val="center"/>
            </w:pPr>
            <w:r w:rsidRPr="00C86849">
              <w:t>NR</w:t>
            </w:r>
          </w:p>
        </w:tc>
        <w:tc>
          <w:tcPr>
            <w:tcW w:w="681" w:type="pct"/>
            <w:tcBorders>
              <w:top w:val="single" w:sz="4" w:space="0" w:color="auto"/>
              <w:left w:val="single" w:sz="4" w:space="0" w:color="auto"/>
              <w:bottom w:val="single" w:sz="4" w:space="0" w:color="auto"/>
              <w:right w:val="single" w:sz="4" w:space="0" w:color="auto"/>
            </w:tcBorders>
          </w:tcPr>
          <w:p w14:paraId="449860EC" w14:textId="77777777" w:rsidR="005E1B84" w:rsidRDefault="005E1B84" w:rsidP="004613B7">
            <w:pPr>
              <w:pStyle w:val="TableText0"/>
              <w:keepLines/>
              <w:jc w:val="center"/>
            </w:pPr>
            <w:r w:rsidRPr="00C86849">
              <w:t>NR</w:t>
            </w:r>
          </w:p>
        </w:tc>
      </w:tr>
      <w:tr w:rsidR="005E1B84" w:rsidRPr="00F463F9" w14:paraId="44CD84D0" w14:textId="77777777" w:rsidTr="00DC7A74">
        <w:trPr>
          <w:trHeight w:val="20"/>
        </w:trPr>
        <w:tc>
          <w:tcPr>
            <w:tcW w:w="1017" w:type="pct"/>
            <w:tcBorders>
              <w:top w:val="single" w:sz="4" w:space="0" w:color="auto"/>
              <w:left w:val="single" w:sz="4" w:space="0" w:color="auto"/>
              <w:bottom w:val="single" w:sz="4" w:space="0" w:color="auto"/>
              <w:right w:val="single" w:sz="4" w:space="0" w:color="auto"/>
            </w:tcBorders>
          </w:tcPr>
          <w:p w14:paraId="1E5CD3B0" w14:textId="77777777" w:rsidR="005E1B84" w:rsidRPr="00F463F9" w:rsidRDefault="005E1B84" w:rsidP="004613B7">
            <w:pPr>
              <w:pStyle w:val="TableText0"/>
              <w:keepLines/>
            </w:pPr>
            <w:r w:rsidRPr="00F463F9">
              <w:t>HR (95% CI)</w:t>
            </w:r>
          </w:p>
        </w:tc>
        <w:tc>
          <w:tcPr>
            <w:tcW w:w="1258" w:type="pct"/>
            <w:gridSpan w:val="2"/>
            <w:tcBorders>
              <w:top w:val="single" w:sz="4" w:space="0" w:color="auto"/>
              <w:left w:val="single" w:sz="4" w:space="0" w:color="auto"/>
              <w:bottom w:val="single" w:sz="4" w:space="0" w:color="auto"/>
              <w:right w:val="single" w:sz="4" w:space="0" w:color="auto"/>
            </w:tcBorders>
          </w:tcPr>
          <w:p w14:paraId="6A31D3F6" w14:textId="77777777" w:rsidR="005E1B84" w:rsidRPr="00945A43" w:rsidRDefault="005E1B84" w:rsidP="004613B7">
            <w:pPr>
              <w:pStyle w:val="TableText0"/>
              <w:keepLines/>
              <w:jc w:val="center"/>
              <w:rPr>
                <w:b/>
              </w:rPr>
            </w:pPr>
            <w:r w:rsidRPr="00945A43">
              <w:rPr>
                <w:b/>
              </w:rPr>
              <w:t>0.68 (0.57, 0.81)</w:t>
            </w:r>
          </w:p>
        </w:tc>
        <w:tc>
          <w:tcPr>
            <w:tcW w:w="1416" w:type="pct"/>
            <w:gridSpan w:val="2"/>
            <w:tcBorders>
              <w:top w:val="single" w:sz="4" w:space="0" w:color="auto"/>
              <w:left w:val="single" w:sz="4" w:space="0" w:color="auto"/>
              <w:bottom w:val="single" w:sz="4" w:space="0" w:color="auto"/>
              <w:right w:val="single" w:sz="4" w:space="0" w:color="auto"/>
            </w:tcBorders>
          </w:tcPr>
          <w:p w14:paraId="149D7A15" w14:textId="77777777" w:rsidR="005E1B84" w:rsidRPr="00945A43" w:rsidRDefault="005E1B84" w:rsidP="004613B7">
            <w:pPr>
              <w:pStyle w:val="TableText0"/>
              <w:keepLines/>
              <w:jc w:val="center"/>
              <w:rPr>
                <w:b/>
              </w:rPr>
            </w:pPr>
            <w:r w:rsidRPr="00945A43">
              <w:rPr>
                <w:b/>
              </w:rPr>
              <w:t>0.64 (0.50, 0.81)</w:t>
            </w:r>
          </w:p>
        </w:tc>
        <w:tc>
          <w:tcPr>
            <w:tcW w:w="1309" w:type="pct"/>
            <w:gridSpan w:val="2"/>
            <w:tcBorders>
              <w:top w:val="single" w:sz="4" w:space="0" w:color="auto"/>
              <w:left w:val="single" w:sz="4" w:space="0" w:color="auto"/>
              <w:bottom w:val="single" w:sz="4" w:space="0" w:color="auto"/>
              <w:right w:val="single" w:sz="4" w:space="0" w:color="auto"/>
            </w:tcBorders>
          </w:tcPr>
          <w:p w14:paraId="786138D0" w14:textId="77777777" w:rsidR="005E1B84" w:rsidRPr="00945A43" w:rsidRDefault="005E1B84" w:rsidP="004613B7">
            <w:pPr>
              <w:pStyle w:val="TableText0"/>
              <w:keepLines/>
              <w:jc w:val="center"/>
            </w:pPr>
            <w:r>
              <w:t>NR</w:t>
            </w:r>
          </w:p>
        </w:tc>
      </w:tr>
      <w:tr w:rsidR="005E1B84" w:rsidRPr="00FA0A15" w14:paraId="17BA2627" w14:textId="77777777" w:rsidTr="00DC7A74">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DB083BA" w14:textId="6E2EA4D4" w:rsidR="005E1B84" w:rsidRPr="00FA0A15" w:rsidRDefault="005E1B84" w:rsidP="004613B7">
            <w:pPr>
              <w:pStyle w:val="TableText0"/>
              <w:keepLines/>
            </w:pPr>
            <w:r>
              <w:rPr>
                <w:b/>
                <w:bCs w:val="0"/>
              </w:rPr>
              <w:t xml:space="preserve">OS </w:t>
            </w:r>
          </w:p>
        </w:tc>
      </w:tr>
      <w:tr w:rsidR="005E1B84" w14:paraId="69765C22" w14:textId="77777777" w:rsidTr="00DC7A74">
        <w:trPr>
          <w:trHeight w:val="20"/>
        </w:trPr>
        <w:tc>
          <w:tcPr>
            <w:tcW w:w="1017" w:type="pct"/>
            <w:tcBorders>
              <w:top w:val="single" w:sz="4" w:space="0" w:color="auto"/>
              <w:left w:val="single" w:sz="4" w:space="0" w:color="auto"/>
              <w:bottom w:val="single" w:sz="4" w:space="0" w:color="auto"/>
              <w:right w:val="single" w:sz="4" w:space="0" w:color="auto"/>
            </w:tcBorders>
          </w:tcPr>
          <w:p w14:paraId="5B5666C1" w14:textId="77777777" w:rsidR="005E1B84" w:rsidRDefault="005E1B84" w:rsidP="004613B7">
            <w:pPr>
              <w:pStyle w:val="TableText0"/>
              <w:keepLines/>
            </w:pPr>
            <w:r w:rsidRPr="00F463F9">
              <w:t>Events, n (%)</w:t>
            </w:r>
          </w:p>
        </w:tc>
        <w:tc>
          <w:tcPr>
            <w:tcW w:w="629" w:type="pct"/>
            <w:tcBorders>
              <w:top w:val="single" w:sz="4" w:space="0" w:color="auto"/>
              <w:left w:val="single" w:sz="4" w:space="0" w:color="auto"/>
              <w:bottom w:val="single" w:sz="4" w:space="0" w:color="auto"/>
              <w:right w:val="single" w:sz="4" w:space="0" w:color="auto"/>
            </w:tcBorders>
          </w:tcPr>
          <w:p w14:paraId="1CB0E9FC" w14:textId="77777777" w:rsidR="005E1B84" w:rsidRPr="00D74EC0" w:rsidRDefault="005E1B84" w:rsidP="004613B7">
            <w:pPr>
              <w:pStyle w:val="TableText0"/>
              <w:keepLines/>
              <w:jc w:val="center"/>
            </w:pPr>
            <w:r w:rsidRPr="00C84157">
              <w:t>176</w:t>
            </w:r>
            <w:r>
              <w:t>/399 (44.1)</w:t>
            </w:r>
          </w:p>
        </w:tc>
        <w:tc>
          <w:tcPr>
            <w:tcW w:w="629" w:type="pct"/>
            <w:tcBorders>
              <w:top w:val="single" w:sz="4" w:space="0" w:color="auto"/>
              <w:left w:val="single" w:sz="4" w:space="0" w:color="auto"/>
              <w:bottom w:val="single" w:sz="4" w:space="0" w:color="auto"/>
              <w:right w:val="single" w:sz="4" w:space="0" w:color="auto"/>
            </w:tcBorders>
          </w:tcPr>
          <w:p w14:paraId="4A0D234A" w14:textId="77777777" w:rsidR="005E1B84" w:rsidRPr="00D74EC0" w:rsidRDefault="005E1B84" w:rsidP="004613B7">
            <w:pPr>
              <w:pStyle w:val="TableText0"/>
              <w:keepLines/>
              <w:jc w:val="center"/>
            </w:pPr>
            <w:r>
              <w:t>205/397 (51.6)</w:t>
            </w:r>
          </w:p>
        </w:tc>
        <w:tc>
          <w:tcPr>
            <w:tcW w:w="708" w:type="pct"/>
            <w:tcBorders>
              <w:top w:val="single" w:sz="4" w:space="0" w:color="auto"/>
              <w:left w:val="single" w:sz="4" w:space="0" w:color="auto"/>
              <w:bottom w:val="single" w:sz="4" w:space="0" w:color="auto"/>
              <w:right w:val="single" w:sz="4" w:space="0" w:color="auto"/>
            </w:tcBorders>
          </w:tcPr>
          <w:p w14:paraId="750FB74E" w14:textId="77777777" w:rsidR="005E1B84" w:rsidRDefault="005E1B84" w:rsidP="004613B7">
            <w:pPr>
              <w:pStyle w:val="TableText0"/>
              <w:keepLines/>
              <w:jc w:val="center"/>
            </w:pPr>
            <w:r>
              <w:t>123/402 (30.6)</w:t>
            </w:r>
          </w:p>
        </w:tc>
        <w:tc>
          <w:tcPr>
            <w:tcW w:w="708" w:type="pct"/>
            <w:tcBorders>
              <w:top w:val="single" w:sz="4" w:space="0" w:color="auto"/>
              <w:left w:val="single" w:sz="4" w:space="0" w:color="auto"/>
              <w:bottom w:val="single" w:sz="4" w:space="0" w:color="auto"/>
              <w:right w:val="single" w:sz="4" w:space="0" w:color="auto"/>
            </w:tcBorders>
          </w:tcPr>
          <w:p w14:paraId="76F81AFA" w14:textId="77777777" w:rsidR="005E1B84" w:rsidRDefault="005E1B84" w:rsidP="004613B7">
            <w:pPr>
              <w:pStyle w:val="TableText0"/>
              <w:keepLines/>
              <w:jc w:val="center"/>
            </w:pPr>
            <w:r>
              <w:t>129/403 (32.0)</w:t>
            </w:r>
          </w:p>
        </w:tc>
        <w:tc>
          <w:tcPr>
            <w:tcW w:w="628" w:type="pct"/>
            <w:tcBorders>
              <w:top w:val="single" w:sz="4" w:space="0" w:color="auto"/>
              <w:left w:val="single" w:sz="4" w:space="0" w:color="auto"/>
              <w:bottom w:val="single" w:sz="4" w:space="0" w:color="auto"/>
              <w:right w:val="single" w:sz="4" w:space="0" w:color="auto"/>
            </w:tcBorders>
          </w:tcPr>
          <w:p w14:paraId="272FDB8A" w14:textId="77777777" w:rsidR="005E1B84" w:rsidRDefault="005E1B84" w:rsidP="004613B7">
            <w:pPr>
              <w:pStyle w:val="TableText0"/>
              <w:keepLines/>
              <w:jc w:val="center"/>
            </w:pPr>
            <w:r w:rsidRPr="00C86849">
              <w:t>NR</w:t>
            </w:r>
          </w:p>
        </w:tc>
        <w:tc>
          <w:tcPr>
            <w:tcW w:w="681" w:type="pct"/>
            <w:tcBorders>
              <w:top w:val="single" w:sz="4" w:space="0" w:color="auto"/>
              <w:left w:val="single" w:sz="4" w:space="0" w:color="auto"/>
              <w:bottom w:val="single" w:sz="4" w:space="0" w:color="auto"/>
              <w:right w:val="single" w:sz="4" w:space="0" w:color="auto"/>
            </w:tcBorders>
          </w:tcPr>
          <w:p w14:paraId="7205F434" w14:textId="77777777" w:rsidR="005E1B84" w:rsidRDefault="005E1B84" w:rsidP="004613B7">
            <w:pPr>
              <w:pStyle w:val="TableText0"/>
              <w:keepLines/>
              <w:jc w:val="center"/>
            </w:pPr>
            <w:r w:rsidRPr="00C86849">
              <w:t>NR</w:t>
            </w:r>
          </w:p>
        </w:tc>
      </w:tr>
      <w:tr w:rsidR="005E1B84" w14:paraId="505B5EA4" w14:textId="77777777" w:rsidTr="00DC7A74">
        <w:trPr>
          <w:trHeight w:val="20"/>
        </w:trPr>
        <w:tc>
          <w:tcPr>
            <w:tcW w:w="1017" w:type="pct"/>
            <w:tcBorders>
              <w:top w:val="single" w:sz="4" w:space="0" w:color="auto"/>
              <w:left w:val="single" w:sz="4" w:space="0" w:color="auto"/>
              <w:bottom w:val="single" w:sz="4" w:space="0" w:color="auto"/>
              <w:right w:val="single" w:sz="4" w:space="0" w:color="auto"/>
            </w:tcBorders>
          </w:tcPr>
          <w:p w14:paraId="7CB97E42" w14:textId="2AAD1927" w:rsidR="005E1B84" w:rsidRDefault="005E1B84" w:rsidP="004613B7">
            <w:pPr>
              <w:pStyle w:val="TableText0"/>
              <w:keepLines/>
            </w:pPr>
            <w:r w:rsidRPr="00F463F9">
              <w:t xml:space="preserve">Median </w:t>
            </w:r>
            <w:r w:rsidR="001308D2">
              <w:t>OS</w:t>
            </w:r>
            <w:r w:rsidRPr="00F463F9">
              <w:t xml:space="preserve">, months </w:t>
            </w:r>
          </w:p>
        </w:tc>
        <w:tc>
          <w:tcPr>
            <w:tcW w:w="629" w:type="pct"/>
            <w:tcBorders>
              <w:top w:val="single" w:sz="4" w:space="0" w:color="auto"/>
              <w:left w:val="single" w:sz="4" w:space="0" w:color="auto"/>
              <w:bottom w:val="single" w:sz="4" w:space="0" w:color="auto"/>
              <w:right w:val="single" w:sz="4" w:space="0" w:color="auto"/>
            </w:tcBorders>
          </w:tcPr>
          <w:p w14:paraId="732D981E" w14:textId="77777777" w:rsidR="005E1B84" w:rsidRPr="00D74EC0" w:rsidRDefault="005E1B84" w:rsidP="004613B7">
            <w:pPr>
              <w:pStyle w:val="TableText0"/>
              <w:keepLines/>
              <w:jc w:val="center"/>
            </w:pPr>
            <w:r>
              <w:t>42.1</w:t>
            </w:r>
          </w:p>
        </w:tc>
        <w:tc>
          <w:tcPr>
            <w:tcW w:w="629" w:type="pct"/>
            <w:tcBorders>
              <w:top w:val="single" w:sz="4" w:space="0" w:color="auto"/>
              <w:left w:val="single" w:sz="4" w:space="0" w:color="auto"/>
              <w:bottom w:val="single" w:sz="4" w:space="0" w:color="auto"/>
              <w:right w:val="single" w:sz="4" w:space="0" w:color="auto"/>
            </w:tcBorders>
          </w:tcPr>
          <w:p w14:paraId="3731B7B3" w14:textId="77777777" w:rsidR="005E1B84" w:rsidRPr="00D74EC0" w:rsidRDefault="005E1B84" w:rsidP="004613B7">
            <w:pPr>
              <w:pStyle w:val="TableText0"/>
              <w:keepLines/>
              <w:jc w:val="center"/>
            </w:pPr>
            <w:r>
              <w:t>34.7</w:t>
            </w:r>
          </w:p>
        </w:tc>
        <w:tc>
          <w:tcPr>
            <w:tcW w:w="708" w:type="pct"/>
            <w:tcBorders>
              <w:top w:val="single" w:sz="4" w:space="0" w:color="auto"/>
              <w:left w:val="single" w:sz="4" w:space="0" w:color="auto"/>
              <w:bottom w:val="single" w:sz="4" w:space="0" w:color="auto"/>
              <w:right w:val="single" w:sz="4" w:space="0" w:color="auto"/>
            </w:tcBorders>
          </w:tcPr>
          <w:p w14:paraId="09613129" w14:textId="77777777" w:rsidR="005E1B84" w:rsidRDefault="005E1B84" w:rsidP="004613B7">
            <w:pPr>
              <w:pStyle w:val="TableText0"/>
              <w:keepLines/>
              <w:jc w:val="center"/>
            </w:pPr>
            <w:r>
              <w:t>36.4</w:t>
            </w:r>
          </w:p>
        </w:tc>
        <w:tc>
          <w:tcPr>
            <w:tcW w:w="708" w:type="pct"/>
            <w:tcBorders>
              <w:top w:val="single" w:sz="4" w:space="0" w:color="auto"/>
              <w:left w:val="single" w:sz="4" w:space="0" w:color="auto"/>
              <w:bottom w:val="single" w:sz="4" w:space="0" w:color="auto"/>
              <w:right w:val="single" w:sz="4" w:space="0" w:color="auto"/>
            </w:tcBorders>
          </w:tcPr>
          <w:p w14:paraId="70A7B148" w14:textId="77777777" w:rsidR="005E1B84" w:rsidRDefault="005E1B84" w:rsidP="004613B7">
            <w:pPr>
              <w:pStyle w:val="TableText0"/>
              <w:keepLines/>
              <w:jc w:val="center"/>
            </w:pPr>
            <w:r>
              <w:t>NR</w:t>
            </w:r>
          </w:p>
        </w:tc>
        <w:tc>
          <w:tcPr>
            <w:tcW w:w="628" w:type="pct"/>
            <w:tcBorders>
              <w:top w:val="single" w:sz="4" w:space="0" w:color="auto"/>
              <w:left w:val="single" w:sz="4" w:space="0" w:color="auto"/>
              <w:bottom w:val="single" w:sz="4" w:space="0" w:color="auto"/>
              <w:right w:val="single" w:sz="4" w:space="0" w:color="auto"/>
            </w:tcBorders>
          </w:tcPr>
          <w:p w14:paraId="6C490A9E" w14:textId="77777777" w:rsidR="005E1B84" w:rsidRDefault="005E1B84" w:rsidP="004613B7">
            <w:pPr>
              <w:pStyle w:val="TableText0"/>
              <w:keepLines/>
              <w:jc w:val="center"/>
            </w:pPr>
            <w:r w:rsidRPr="00C86849">
              <w:t>NR</w:t>
            </w:r>
          </w:p>
        </w:tc>
        <w:tc>
          <w:tcPr>
            <w:tcW w:w="681" w:type="pct"/>
            <w:tcBorders>
              <w:top w:val="single" w:sz="4" w:space="0" w:color="auto"/>
              <w:left w:val="single" w:sz="4" w:space="0" w:color="auto"/>
              <w:bottom w:val="single" w:sz="4" w:space="0" w:color="auto"/>
              <w:right w:val="single" w:sz="4" w:space="0" w:color="auto"/>
            </w:tcBorders>
          </w:tcPr>
          <w:p w14:paraId="49294C27" w14:textId="77777777" w:rsidR="005E1B84" w:rsidRDefault="005E1B84" w:rsidP="004613B7">
            <w:pPr>
              <w:pStyle w:val="TableText0"/>
              <w:keepLines/>
              <w:jc w:val="center"/>
            </w:pPr>
            <w:r w:rsidRPr="00C86849">
              <w:t>NR</w:t>
            </w:r>
          </w:p>
        </w:tc>
      </w:tr>
      <w:tr w:rsidR="005E1B84" w14:paraId="1F36AA2A" w14:textId="77777777" w:rsidTr="00DC7A74">
        <w:trPr>
          <w:trHeight w:val="20"/>
        </w:trPr>
        <w:tc>
          <w:tcPr>
            <w:tcW w:w="1017" w:type="pct"/>
            <w:tcBorders>
              <w:top w:val="single" w:sz="4" w:space="0" w:color="auto"/>
              <w:left w:val="single" w:sz="4" w:space="0" w:color="auto"/>
              <w:bottom w:val="single" w:sz="4" w:space="0" w:color="auto"/>
              <w:right w:val="single" w:sz="4" w:space="0" w:color="auto"/>
            </w:tcBorders>
          </w:tcPr>
          <w:p w14:paraId="5C4A97B0" w14:textId="77777777" w:rsidR="005E1B84" w:rsidRDefault="005E1B84" w:rsidP="004613B7">
            <w:pPr>
              <w:pStyle w:val="TableText0"/>
              <w:keepLines/>
            </w:pPr>
            <w:r w:rsidRPr="00F463F9">
              <w:t>HR (95% CI)</w:t>
            </w:r>
          </w:p>
        </w:tc>
        <w:tc>
          <w:tcPr>
            <w:tcW w:w="1258" w:type="pct"/>
            <w:gridSpan w:val="2"/>
            <w:tcBorders>
              <w:top w:val="single" w:sz="4" w:space="0" w:color="auto"/>
              <w:left w:val="single" w:sz="4" w:space="0" w:color="auto"/>
              <w:bottom w:val="single" w:sz="4" w:space="0" w:color="auto"/>
              <w:right w:val="single" w:sz="4" w:space="0" w:color="auto"/>
            </w:tcBorders>
          </w:tcPr>
          <w:p w14:paraId="34AA1A2C" w14:textId="77777777" w:rsidR="005E1B84" w:rsidRPr="001F09BA" w:rsidRDefault="005E1B84" w:rsidP="004613B7">
            <w:pPr>
              <w:pStyle w:val="TableText0"/>
              <w:keepLines/>
              <w:jc w:val="center"/>
              <w:rPr>
                <w:b/>
              </w:rPr>
            </w:pPr>
            <w:r>
              <w:t>0.81 (0.67, 1.00)</w:t>
            </w:r>
          </w:p>
        </w:tc>
        <w:tc>
          <w:tcPr>
            <w:tcW w:w="1416" w:type="pct"/>
            <w:gridSpan w:val="2"/>
            <w:tcBorders>
              <w:top w:val="single" w:sz="4" w:space="0" w:color="auto"/>
              <w:left w:val="single" w:sz="4" w:space="0" w:color="auto"/>
              <w:bottom w:val="single" w:sz="4" w:space="0" w:color="auto"/>
              <w:right w:val="single" w:sz="4" w:space="0" w:color="auto"/>
            </w:tcBorders>
          </w:tcPr>
          <w:p w14:paraId="7CBADEA6" w14:textId="77777777" w:rsidR="005E1B84" w:rsidRPr="001F09BA" w:rsidRDefault="005E1B84" w:rsidP="004613B7">
            <w:pPr>
              <w:pStyle w:val="TableText0"/>
              <w:keepLines/>
              <w:jc w:val="center"/>
              <w:rPr>
                <w:b/>
                <w:i/>
                <w:iCs/>
              </w:rPr>
            </w:pPr>
            <w:r>
              <w:t>0.89 (0.69,1.14)</w:t>
            </w:r>
          </w:p>
        </w:tc>
        <w:tc>
          <w:tcPr>
            <w:tcW w:w="1309" w:type="pct"/>
            <w:gridSpan w:val="2"/>
            <w:tcBorders>
              <w:top w:val="single" w:sz="4" w:space="0" w:color="auto"/>
              <w:left w:val="single" w:sz="4" w:space="0" w:color="auto"/>
              <w:bottom w:val="single" w:sz="4" w:space="0" w:color="auto"/>
              <w:right w:val="single" w:sz="4" w:space="0" w:color="auto"/>
            </w:tcBorders>
          </w:tcPr>
          <w:p w14:paraId="27FC9040" w14:textId="77777777" w:rsidR="005E1B84" w:rsidRDefault="005E1B84" w:rsidP="004613B7">
            <w:pPr>
              <w:pStyle w:val="TableText0"/>
              <w:keepLines/>
              <w:jc w:val="center"/>
            </w:pPr>
            <w:r>
              <w:t>NR</w:t>
            </w:r>
          </w:p>
        </w:tc>
      </w:tr>
      <w:tr w:rsidR="005E1B84" w14:paraId="1BA391E7" w14:textId="77777777" w:rsidTr="005E1B84">
        <w:trPr>
          <w:trHeight w:val="20"/>
        </w:trPr>
        <w:tc>
          <w:tcPr>
            <w:tcW w:w="5000" w:type="pct"/>
            <w:gridSpan w:val="7"/>
            <w:tcBorders>
              <w:top w:val="single" w:sz="4" w:space="0" w:color="auto"/>
              <w:left w:val="single" w:sz="4" w:space="0" w:color="auto"/>
              <w:bottom w:val="single" w:sz="4" w:space="0" w:color="auto"/>
              <w:right w:val="single" w:sz="4" w:space="0" w:color="auto"/>
            </w:tcBorders>
          </w:tcPr>
          <w:p w14:paraId="7ACCBE0A" w14:textId="7C94C88E" w:rsidR="005E1B84" w:rsidRPr="005E1B84" w:rsidRDefault="005E1B84" w:rsidP="004613B7">
            <w:pPr>
              <w:pStyle w:val="TableText0"/>
              <w:keepLines/>
              <w:rPr>
                <w:b/>
                <w:bCs w:val="0"/>
              </w:rPr>
            </w:pPr>
            <w:r w:rsidRPr="005E1B84">
              <w:rPr>
                <w:b/>
                <w:bCs w:val="0"/>
                <w:i/>
                <w:iCs/>
              </w:rPr>
              <w:t>BRCA1/2</w:t>
            </w:r>
            <w:r w:rsidRPr="005E1B84">
              <w:rPr>
                <w:b/>
                <w:bCs w:val="0"/>
              </w:rPr>
              <w:t xml:space="preserve"> subgroup</w:t>
            </w:r>
            <w:r>
              <w:rPr>
                <w:b/>
                <w:bCs w:val="0"/>
              </w:rPr>
              <w:t>s</w:t>
            </w:r>
          </w:p>
        </w:tc>
      </w:tr>
      <w:tr w:rsidR="00914EFD" w:rsidRPr="00594510" w14:paraId="20B5A4AB" w14:textId="77777777" w:rsidTr="001E53B4">
        <w:trPr>
          <w:trHeight w:val="20"/>
        </w:trPr>
        <w:tc>
          <w:tcPr>
            <w:tcW w:w="5000" w:type="pct"/>
            <w:gridSpan w:val="7"/>
          </w:tcPr>
          <w:p w14:paraId="35ABF3D3" w14:textId="0AA2076B" w:rsidR="00914EFD" w:rsidRPr="00594510" w:rsidRDefault="00914EFD" w:rsidP="004613B7">
            <w:pPr>
              <w:pStyle w:val="TableText0"/>
              <w:keepLines/>
              <w:rPr>
                <w:b/>
                <w:bCs w:val="0"/>
              </w:rPr>
            </w:pPr>
            <w:r w:rsidRPr="00594510">
              <w:rPr>
                <w:b/>
                <w:bCs w:val="0"/>
              </w:rPr>
              <w:t>rPFS BICR</w:t>
            </w:r>
            <w:r>
              <w:rPr>
                <w:b/>
                <w:bCs w:val="0"/>
              </w:rPr>
              <w:t xml:space="preserve"> </w:t>
            </w:r>
          </w:p>
        </w:tc>
      </w:tr>
      <w:tr w:rsidR="00914EFD" w:rsidRPr="00021AA5" w14:paraId="653569F3" w14:textId="77777777" w:rsidTr="001E53B4">
        <w:trPr>
          <w:trHeight w:val="20"/>
        </w:trPr>
        <w:tc>
          <w:tcPr>
            <w:tcW w:w="1017" w:type="pct"/>
            <w:tcBorders>
              <w:bottom w:val="single" w:sz="4" w:space="0" w:color="auto"/>
            </w:tcBorders>
          </w:tcPr>
          <w:p w14:paraId="737B04BE" w14:textId="77777777" w:rsidR="00914EFD" w:rsidRPr="00021AA5" w:rsidRDefault="00914EFD" w:rsidP="004613B7">
            <w:pPr>
              <w:pStyle w:val="TableText0"/>
              <w:keepLines/>
            </w:pPr>
            <w:r w:rsidRPr="00021AA5">
              <w:t>Events, n/N (%)</w:t>
            </w:r>
          </w:p>
        </w:tc>
        <w:tc>
          <w:tcPr>
            <w:tcW w:w="629" w:type="pct"/>
            <w:tcBorders>
              <w:bottom w:val="single" w:sz="4" w:space="0" w:color="auto"/>
            </w:tcBorders>
          </w:tcPr>
          <w:p w14:paraId="5171D7F2" w14:textId="77777777" w:rsidR="00914EFD" w:rsidRPr="00021AA5" w:rsidRDefault="00914EFD" w:rsidP="004613B7">
            <w:pPr>
              <w:pStyle w:val="TableText0"/>
              <w:keepLines/>
              <w:jc w:val="center"/>
            </w:pPr>
            <w:r w:rsidRPr="00021AA5">
              <w:t>12/47 (25.5)</w:t>
            </w:r>
          </w:p>
        </w:tc>
        <w:tc>
          <w:tcPr>
            <w:tcW w:w="629" w:type="pct"/>
            <w:tcBorders>
              <w:bottom w:val="single" w:sz="4" w:space="0" w:color="auto"/>
            </w:tcBorders>
          </w:tcPr>
          <w:p w14:paraId="1776408C" w14:textId="77777777" w:rsidR="00914EFD" w:rsidRPr="00021AA5" w:rsidRDefault="00914EFD" w:rsidP="004613B7">
            <w:pPr>
              <w:pStyle w:val="TableText0"/>
              <w:keepLines/>
              <w:jc w:val="center"/>
            </w:pPr>
            <w:r w:rsidRPr="00021AA5">
              <w:t>31/38 (81.6)</w:t>
            </w:r>
          </w:p>
        </w:tc>
        <w:tc>
          <w:tcPr>
            <w:tcW w:w="708" w:type="pct"/>
            <w:tcBorders>
              <w:bottom w:val="single" w:sz="4" w:space="0" w:color="auto"/>
            </w:tcBorders>
          </w:tcPr>
          <w:p w14:paraId="2E970856" w14:textId="77777777" w:rsidR="00914EFD" w:rsidRPr="00021AA5" w:rsidRDefault="00914EFD" w:rsidP="004613B7">
            <w:pPr>
              <w:pStyle w:val="TableText0"/>
              <w:keepLines/>
              <w:jc w:val="center"/>
            </w:pPr>
            <w:r w:rsidRPr="00021AA5">
              <w:t>8/27 (29.6)</w:t>
            </w:r>
          </w:p>
        </w:tc>
        <w:tc>
          <w:tcPr>
            <w:tcW w:w="708" w:type="pct"/>
            <w:tcBorders>
              <w:bottom w:val="single" w:sz="4" w:space="0" w:color="auto"/>
            </w:tcBorders>
          </w:tcPr>
          <w:p w14:paraId="73279E09" w14:textId="77777777" w:rsidR="00914EFD" w:rsidRPr="00021AA5" w:rsidRDefault="00914EFD" w:rsidP="004613B7">
            <w:pPr>
              <w:pStyle w:val="TableText0"/>
              <w:keepLines/>
              <w:jc w:val="center"/>
            </w:pPr>
            <w:r w:rsidRPr="00021AA5">
              <w:t>22/32 (68.7)</w:t>
            </w:r>
          </w:p>
        </w:tc>
        <w:tc>
          <w:tcPr>
            <w:tcW w:w="628" w:type="pct"/>
            <w:tcBorders>
              <w:bottom w:val="single" w:sz="4" w:space="0" w:color="auto"/>
            </w:tcBorders>
          </w:tcPr>
          <w:p w14:paraId="51E6B475" w14:textId="77777777" w:rsidR="00914EFD" w:rsidRPr="00021AA5" w:rsidRDefault="00914EFD" w:rsidP="004613B7">
            <w:pPr>
              <w:pStyle w:val="TableText0"/>
              <w:keepLines/>
              <w:jc w:val="center"/>
            </w:pPr>
            <w:r w:rsidRPr="00021AA5">
              <w:t>NE</w:t>
            </w:r>
          </w:p>
        </w:tc>
        <w:tc>
          <w:tcPr>
            <w:tcW w:w="681" w:type="pct"/>
            <w:tcBorders>
              <w:bottom w:val="single" w:sz="4" w:space="0" w:color="auto"/>
            </w:tcBorders>
          </w:tcPr>
          <w:p w14:paraId="1AA5C9A4" w14:textId="77777777" w:rsidR="00914EFD" w:rsidRPr="00021AA5" w:rsidRDefault="00914EFD" w:rsidP="004613B7">
            <w:pPr>
              <w:pStyle w:val="TableText0"/>
              <w:keepLines/>
              <w:jc w:val="center"/>
            </w:pPr>
            <w:r w:rsidRPr="00021AA5">
              <w:t>NE</w:t>
            </w:r>
          </w:p>
        </w:tc>
      </w:tr>
      <w:tr w:rsidR="00914EFD" w:rsidRPr="00F463F9" w14:paraId="2EFC32F8" w14:textId="77777777" w:rsidTr="00FE2E26">
        <w:trPr>
          <w:trHeight w:val="98"/>
        </w:trPr>
        <w:tc>
          <w:tcPr>
            <w:tcW w:w="1017" w:type="pct"/>
            <w:tcBorders>
              <w:top w:val="single" w:sz="4" w:space="0" w:color="auto"/>
            </w:tcBorders>
          </w:tcPr>
          <w:p w14:paraId="4D2E7328" w14:textId="77777777" w:rsidR="00914EFD" w:rsidRPr="00F463F9" w:rsidRDefault="00914EFD" w:rsidP="004613B7">
            <w:pPr>
              <w:pStyle w:val="TableText0"/>
              <w:keepLines/>
            </w:pPr>
            <w:r w:rsidRPr="00F463F9">
              <w:t xml:space="preserve">Median rPFS, months </w:t>
            </w:r>
          </w:p>
        </w:tc>
        <w:tc>
          <w:tcPr>
            <w:tcW w:w="629" w:type="pct"/>
            <w:tcBorders>
              <w:top w:val="single" w:sz="4" w:space="0" w:color="auto"/>
            </w:tcBorders>
          </w:tcPr>
          <w:p w14:paraId="0A04A43F" w14:textId="77777777" w:rsidR="00914EFD" w:rsidRPr="00F463F9" w:rsidRDefault="00914EFD" w:rsidP="004613B7">
            <w:pPr>
              <w:pStyle w:val="TableText0"/>
              <w:keepLines/>
              <w:jc w:val="center"/>
            </w:pPr>
            <w:r>
              <w:t>NE</w:t>
            </w:r>
          </w:p>
        </w:tc>
        <w:tc>
          <w:tcPr>
            <w:tcW w:w="629" w:type="pct"/>
            <w:tcBorders>
              <w:top w:val="single" w:sz="4" w:space="0" w:color="auto"/>
            </w:tcBorders>
          </w:tcPr>
          <w:p w14:paraId="6F1DA8C6" w14:textId="77777777" w:rsidR="00914EFD" w:rsidRPr="00F463F9" w:rsidRDefault="00914EFD" w:rsidP="004613B7">
            <w:pPr>
              <w:pStyle w:val="TableText0"/>
              <w:keepLines/>
              <w:jc w:val="center"/>
            </w:pPr>
            <w:r w:rsidRPr="008F57F0">
              <w:t>8.4</w:t>
            </w:r>
          </w:p>
        </w:tc>
        <w:tc>
          <w:tcPr>
            <w:tcW w:w="708" w:type="pct"/>
            <w:tcBorders>
              <w:top w:val="single" w:sz="4" w:space="0" w:color="auto"/>
            </w:tcBorders>
          </w:tcPr>
          <w:p w14:paraId="5FE0B45B" w14:textId="77777777" w:rsidR="00914EFD" w:rsidRPr="00F463F9" w:rsidRDefault="00914EFD" w:rsidP="004613B7">
            <w:pPr>
              <w:pStyle w:val="TableText0"/>
              <w:keepLines/>
              <w:jc w:val="center"/>
            </w:pPr>
            <w:r>
              <w:t>NR</w:t>
            </w:r>
          </w:p>
        </w:tc>
        <w:tc>
          <w:tcPr>
            <w:tcW w:w="708" w:type="pct"/>
            <w:tcBorders>
              <w:top w:val="single" w:sz="4" w:space="0" w:color="auto"/>
            </w:tcBorders>
          </w:tcPr>
          <w:p w14:paraId="4A73EDC9" w14:textId="77777777" w:rsidR="00914EFD" w:rsidRPr="00F463F9" w:rsidRDefault="00914EFD" w:rsidP="004613B7">
            <w:pPr>
              <w:pStyle w:val="TableText0"/>
              <w:keepLines/>
              <w:jc w:val="center"/>
            </w:pPr>
            <w:r>
              <w:t>NR</w:t>
            </w:r>
          </w:p>
        </w:tc>
        <w:tc>
          <w:tcPr>
            <w:tcW w:w="628" w:type="pct"/>
            <w:tcBorders>
              <w:top w:val="single" w:sz="4" w:space="0" w:color="auto"/>
            </w:tcBorders>
          </w:tcPr>
          <w:p w14:paraId="5C7612FB" w14:textId="77777777" w:rsidR="00914EFD" w:rsidRPr="00F463F9" w:rsidRDefault="00914EFD" w:rsidP="004613B7">
            <w:pPr>
              <w:pStyle w:val="TableText0"/>
              <w:keepLines/>
              <w:jc w:val="center"/>
            </w:pPr>
            <w:r w:rsidRPr="008F57F0">
              <w:t>16.6</w:t>
            </w:r>
          </w:p>
        </w:tc>
        <w:tc>
          <w:tcPr>
            <w:tcW w:w="681" w:type="pct"/>
            <w:tcBorders>
              <w:top w:val="single" w:sz="4" w:space="0" w:color="auto"/>
            </w:tcBorders>
          </w:tcPr>
          <w:p w14:paraId="38C314A8" w14:textId="77777777" w:rsidR="00914EFD" w:rsidRPr="00F463F9" w:rsidRDefault="00914EFD" w:rsidP="004613B7">
            <w:pPr>
              <w:pStyle w:val="TableText0"/>
              <w:keepLines/>
              <w:jc w:val="center"/>
            </w:pPr>
            <w:r w:rsidRPr="008F57F0">
              <w:t>10.9</w:t>
            </w:r>
          </w:p>
        </w:tc>
      </w:tr>
      <w:tr w:rsidR="00914EFD" w:rsidRPr="00021AA5" w14:paraId="6F0DAA4C" w14:textId="77777777" w:rsidTr="001E53B4">
        <w:trPr>
          <w:trHeight w:val="20"/>
        </w:trPr>
        <w:tc>
          <w:tcPr>
            <w:tcW w:w="1017" w:type="pct"/>
          </w:tcPr>
          <w:p w14:paraId="1C3C27F1" w14:textId="77777777" w:rsidR="00914EFD" w:rsidRPr="00021AA5" w:rsidRDefault="00914EFD" w:rsidP="004613B7">
            <w:pPr>
              <w:pStyle w:val="TableText0"/>
              <w:keepLines/>
            </w:pPr>
            <w:r w:rsidRPr="00021AA5">
              <w:t>HR (95% CI)</w:t>
            </w:r>
          </w:p>
        </w:tc>
        <w:tc>
          <w:tcPr>
            <w:tcW w:w="1258" w:type="pct"/>
            <w:gridSpan w:val="2"/>
          </w:tcPr>
          <w:p w14:paraId="4AD505D7" w14:textId="77777777" w:rsidR="00914EFD" w:rsidRPr="00021AA5" w:rsidRDefault="00914EFD" w:rsidP="004613B7">
            <w:pPr>
              <w:pStyle w:val="TableText0"/>
              <w:keepLines/>
              <w:jc w:val="center"/>
              <w:rPr>
                <w:b/>
              </w:rPr>
            </w:pPr>
            <w:r w:rsidRPr="00021AA5">
              <w:rPr>
                <w:b/>
              </w:rPr>
              <w:t>0.18 (0.09,0.34)</w:t>
            </w:r>
          </w:p>
        </w:tc>
        <w:tc>
          <w:tcPr>
            <w:tcW w:w="1416" w:type="pct"/>
            <w:gridSpan w:val="2"/>
          </w:tcPr>
          <w:p w14:paraId="694DF945" w14:textId="77777777" w:rsidR="00914EFD" w:rsidRPr="00021AA5" w:rsidRDefault="00914EFD" w:rsidP="004613B7">
            <w:pPr>
              <w:pStyle w:val="TableText0"/>
              <w:keepLines/>
              <w:jc w:val="center"/>
              <w:rPr>
                <w:b/>
              </w:rPr>
            </w:pPr>
            <w:r w:rsidRPr="00021AA5">
              <w:rPr>
                <w:b/>
              </w:rPr>
              <w:t>0.23 (0.10, 0.53)</w:t>
            </w:r>
          </w:p>
        </w:tc>
        <w:tc>
          <w:tcPr>
            <w:tcW w:w="1309" w:type="pct"/>
            <w:gridSpan w:val="2"/>
          </w:tcPr>
          <w:p w14:paraId="6F60C90B" w14:textId="77777777" w:rsidR="00914EFD" w:rsidRPr="00021AA5" w:rsidRDefault="00914EFD" w:rsidP="004613B7">
            <w:pPr>
              <w:pStyle w:val="TableText0"/>
              <w:keepLines/>
              <w:jc w:val="center"/>
              <w:rPr>
                <w:b/>
              </w:rPr>
            </w:pPr>
            <w:r w:rsidRPr="00021AA5">
              <w:rPr>
                <w:b/>
              </w:rPr>
              <w:t>0.53 (0.36,0.79)</w:t>
            </w:r>
          </w:p>
        </w:tc>
      </w:tr>
      <w:tr w:rsidR="00914EFD" w:rsidRPr="00594510" w14:paraId="516D99D3" w14:textId="77777777" w:rsidTr="001E53B4">
        <w:trPr>
          <w:trHeight w:val="20"/>
        </w:trPr>
        <w:tc>
          <w:tcPr>
            <w:tcW w:w="5000" w:type="pct"/>
            <w:gridSpan w:val="7"/>
            <w:tcBorders>
              <w:bottom w:val="single" w:sz="4" w:space="0" w:color="auto"/>
            </w:tcBorders>
          </w:tcPr>
          <w:p w14:paraId="37AF0C09" w14:textId="7D8BF7EA" w:rsidR="00914EFD" w:rsidRPr="00594510" w:rsidRDefault="00914EFD" w:rsidP="004613B7">
            <w:pPr>
              <w:pStyle w:val="TableText0"/>
              <w:keepLines/>
              <w:rPr>
                <w:b/>
                <w:bCs w:val="0"/>
              </w:rPr>
            </w:pPr>
            <w:r w:rsidRPr="00594510">
              <w:rPr>
                <w:b/>
                <w:bCs w:val="0"/>
              </w:rPr>
              <w:t>rPFS investigator</w:t>
            </w:r>
            <w:r>
              <w:rPr>
                <w:b/>
                <w:bCs w:val="0"/>
              </w:rPr>
              <w:t xml:space="preserve"> </w:t>
            </w:r>
          </w:p>
        </w:tc>
      </w:tr>
      <w:tr w:rsidR="00914EFD" w:rsidRPr="00F463F9" w14:paraId="43982C04" w14:textId="77777777" w:rsidTr="001E53B4">
        <w:trPr>
          <w:trHeight w:val="20"/>
        </w:trPr>
        <w:tc>
          <w:tcPr>
            <w:tcW w:w="1017" w:type="pct"/>
            <w:tcBorders>
              <w:top w:val="single" w:sz="4" w:space="0" w:color="auto"/>
              <w:left w:val="single" w:sz="4" w:space="0" w:color="auto"/>
              <w:bottom w:val="single" w:sz="4" w:space="0" w:color="auto"/>
              <w:right w:val="single" w:sz="4" w:space="0" w:color="auto"/>
            </w:tcBorders>
          </w:tcPr>
          <w:p w14:paraId="74B30459" w14:textId="77777777" w:rsidR="00914EFD" w:rsidRPr="00F463F9" w:rsidRDefault="00914EFD" w:rsidP="004613B7">
            <w:pPr>
              <w:pStyle w:val="TableText0"/>
              <w:keepLines/>
            </w:pPr>
            <w:r w:rsidRPr="00F463F9">
              <w:t>Events, n</w:t>
            </w:r>
            <w:r>
              <w:t>/N</w:t>
            </w:r>
            <w:r w:rsidRPr="00F463F9">
              <w:t xml:space="preserve"> (%)</w:t>
            </w:r>
          </w:p>
        </w:tc>
        <w:tc>
          <w:tcPr>
            <w:tcW w:w="629" w:type="pct"/>
            <w:tcBorders>
              <w:top w:val="single" w:sz="4" w:space="0" w:color="auto"/>
              <w:left w:val="single" w:sz="4" w:space="0" w:color="auto"/>
              <w:bottom w:val="single" w:sz="4" w:space="0" w:color="auto"/>
              <w:right w:val="single" w:sz="4" w:space="0" w:color="auto"/>
            </w:tcBorders>
          </w:tcPr>
          <w:p w14:paraId="12BABC3A" w14:textId="77777777" w:rsidR="00914EFD" w:rsidRPr="00F463F9" w:rsidRDefault="00914EFD" w:rsidP="004613B7">
            <w:pPr>
              <w:pStyle w:val="TableText0"/>
              <w:keepLines/>
              <w:jc w:val="center"/>
            </w:pPr>
            <w:r w:rsidRPr="00F214D9">
              <w:t>14 (29.8)</w:t>
            </w:r>
          </w:p>
        </w:tc>
        <w:tc>
          <w:tcPr>
            <w:tcW w:w="629" w:type="pct"/>
            <w:tcBorders>
              <w:top w:val="single" w:sz="4" w:space="0" w:color="auto"/>
              <w:left w:val="single" w:sz="4" w:space="0" w:color="auto"/>
              <w:bottom w:val="single" w:sz="4" w:space="0" w:color="auto"/>
              <w:right w:val="single" w:sz="4" w:space="0" w:color="auto"/>
            </w:tcBorders>
          </w:tcPr>
          <w:p w14:paraId="20D3B425" w14:textId="77777777" w:rsidR="00914EFD" w:rsidRPr="00F463F9" w:rsidRDefault="00914EFD" w:rsidP="004613B7">
            <w:pPr>
              <w:pStyle w:val="TableText0"/>
              <w:keepLines/>
              <w:jc w:val="center"/>
            </w:pPr>
            <w:r w:rsidRPr="00F214D9">
              <w:t>28 (73.7)</w:t>
            </w:r>
          </w:p>
        </w:tc>
        <w:tc>
          <w:tcPr>
            <w:tcW w:w="708" w:type="pct"/>
            <w:tcBorders>
              <w:top w:val="single" w:sz="4" w:space="0" w:color="auto"/>
              <w:left w:val="single" w:sz="4" w:space="0" w:color="auto"/>
              <w:bottom w:val="single" w:sz="4" w:space="0" w:color="auto"/>
              <w:right w:val="single" w:sz="4" w:space="0" w:color="auto"/>
            </w:tcBorders>
          </w:tcPr>
          <w:p w14:paraId="74B2B652" w14:textId="77777777" w:rsidR="00914EFD" w:rsidRPr="00F463F9" w:rsidRDefault="00914EFD" w:rsidP="004613B7">
            <w:pPr>
              <w:pStyle w:val="TableText0"/>
              <w:keepLines/>
              <w:jc w:val="center"/>
            </w:pPr>
            <w:r w:rsidRPr="00F83EBA">
              <w:t>NR</w:t>
            </w:r>
          </w:p>
        </w:tc>
        <w:tc>
          <w:tcPr>
            <w:tcW w:w="708" w:type="pct"/>
            <w:tcBorders>
              <w:top w:val="single" w:sz="4" w:space="0" w:color="auto"/>
              <w:left w:val="single" w:sz="4" w:space="0" w:color="auto"/>
              <w:bottom w:val="single" w:sz="4" w:space="0" w:color="auto"/>
              <w:right w:val="single" w:sz="4" w:space="0" w:color="auto"/>
            </w:tcBorders>
          </w:tcPr>
          <w:p w14:paraId="0709618D" w14:textId="77777777" w:rsidR="00914EFD" w:rsidRPr="00F463F9" w:rsidRDefault="00914EFD" w:rsidP="004613B7">
            <w:pPr>
              <w:pStyle w:val="TableText0"/>
              <w:keepLines/>
              <w:jc w:val="center"/>
            </w:pPr>
            <w:r w:rsidRPr="00F83EBA">
              <w:t>NR</w:t>
            </w:r>
          </w:p>
        </w:tc>
        <w:tc>
          <w:tcPr>
            <w:tcW w:w="628" w:type="pct"/>
            <w:tcBorders>
              <w:top w:val="single" w:sz="4" w:space="0" w:color="auto"/>
              <w:left w:val="single" w:sz="4" w:space="0" w:color="auto"/>
              <w:bottom w:val="single" w:sz="4" w:space="0" w:color="auto"/>
              <w:right w:val="single" w:sz="4" w:space="0" w:color="auto"/>
            </w:tcBorders>
          </w:tcPr>
          <w:p w14:paraId="0DF01825" w14:textId="77777777" w:rsidR="00914EFD" w:rsidRDefault="00914EFD" w:rsidP="004613B7">
            <w:pPr>
              <w:pStyle w:val="TableText0"/>
              <w:keepLines/>
              <w:jc w:val="center"/>
            </w:pPr>
            <w:r w:rsidRPr="00DB7DBA">
              <w:t>NE</w:t>
            </w:r>
          </w:p>
        </w:tc>
        <w:tc>
          <w:tcPr>
            <w:tcW w:w="681" w:type="pct"/>
            <w:tcBorders>
              <w:top w:val="single" w:sz="4" w:space="0" w:color="auto"/>
              <w:left w:val="single" w:sz="4" w:space="0" w:color="auto"/>
              <w:bottom w:val="single" w:sz="4" w:space="0" w:color="auto"/>
              <w:right w:val="single" w:sz="4" w:space="0" w:color="auto"/>
            </w:tcBorders>
          </w:tcPr>
          <w:p w14:paraId="4EDB0694" w14:textId="77777777" w:rsidR="00914EFD" w:rsidRDefault="00914EFD" w:rsidP="004613B7">
            <w:pPr>
              <w:pStyle w:val="TableText0"/>
              <w:keepLines/>
              <w:jc w:val="center"/>
            </w:pPr>
            <w:r w:rsidRPr="00DB7DBA">
              <w:t>NE</w:t>
            </w:r>
          </w:p>
        </w:tc>
      </w:tr>
      <w:tr w:rsidR="00914EFD" w:rsidRPr="00F463F9" w14:paraId="176F5CC9" w14:textId="77777777" w:rsidTr="001E53B4">
        <w:trPr>
          <w:trHeight w:val="20"/>
        </w:trPr>
        <w:tc>
          <w:tcPr>
            <w:tcW w:w="1017" w:type="pct"/>
            <w:tcBorders>
              <w:top w:val="single" w:sz="4" w:space="0" w:color="auto"/>
              <w:left w:val="single" w:sz="4" w:space="0" w:color="auto"/>
              <w:bottom w:val="single" w:sz="4" w:space="0" w:color="auto"/>
              <w:right w:val="single" w:sz="4" w:space="0" w:color="auto"/>
            </w:tcBorders>
          </w:tcPr>
          <w:p w14:paraId="3FDD5D89" w14:textId="77777777" w:rsidR="00914EFD" w:rsidRPr="00F463F9" w:rsidRDefault="00914EFD" w:rsidP="004613B7">
            <w:pPr>
              <w:pStyle w:val="TableText0"/>
              <w:keepLines/>
            </w:pPr>
            <w:r w:rsidRPr="00F463F9">
              <w:t xml:space="preserve">Median rPFS, months </w:t>
            </w:r>
          </w:p>
        </w:tc>
        <w:tc>
          <w:tcPr>
            <w:tcW w:w="629" w:type="pct"/>
            <w:tcBorders>
              <w:top w:val="single" w:sz="4" w:space="0" w:color="auto"/>
              <w:left w:val="single" w:sz="4" w:space="0" w:color="auto"/>
              <w:bottom w:val="single" w:sz="4" w:space="0" w:color="auto"/>
              <w:right w:val="single" w:sz="4" w:space="0" w:color="auto"/>
            </w:tcBorders>
          </w:tcPr>
          <w:p w14:paraId="2A5A2092" w14:textId="77777777" w:rsidR="00914EFD" w:rsidRPr="00F463F9" w:rsidRDefault="00914EFD" w:rsidP="004613B7">
            <w:pPr>
              <w:pStyle w:val="TableText0"/>
              <w:keepLines/>
              <w:jc w:val="center"/>
            </w:pPr>
            <w:r>
              <w:t>NE</w:t>
            </w:r>
          </w:p>
        </w:tc>
        <w:tc>
          <w:tcPr>
            <w:tcW w:w="629" w:type="pct"/>
            <w:tcBorders>
              <w:top w:val="single" w:sz="4" w:space="0" w:color="auto"/>
              <w:left w:val="single" w:sz="4" w:space="0" w:color="auto"/>
              <w:bottom w:val="single" w:sz="4" w:space="0" w:color="auto"/>
              <w:right w:val="single" w:sz="4" w:space="0" w:color="auto"/>
            </w:tcBorders>
          </w:tcPr>
          <w:p w14:paraId="5EA045AC" w14:textId="77777777" w:rsidR="00914EFD" w:rsidRPr="00F463F9" w:rsidRDefault="00914EFD" w:rsidP="004613B7">
            <w:pPr>
              <w:pStyle w:val="TableText0"/>
              <w:keepLines/>
              <w:jc w:val="center"/>
            </w:pPr>
            <w:r>
              <w:t>8.4</w:t>
            </w:r>
          </w:p>
        </w:tc>
        <w:tc>
          <w:tcPr>
            <w:tcW w:w="708" w:type="pct"/>
            <w:tcBorders>
              <w:top w:val="single" w:sz="4" w:space="0" w:color="auto"/>
              <w:left w:val="single" w:sz="4" w:space="0" w:color="auto"/>
              <w:bottom w:val="single" w:sz="4" w:space="0" w:color="auto"/>
              <w:right w:val="single" w:sz="4" w:space="0" w:color="auto"/>
            </w:tcBorders>
          </w:tcPr>
          <w:p w14:paraId="459DC002" w14:textId="77777777" w:rsidR="00914EFD" w:rsidRPr="00F463F9" w:rsidRDefault="00914EFD" w:rsidP="004613B7">
            <w:pPr>
              <w:pStyle w:val="TableText0"/>
              <w:keepLines/>
              <w:jc w:val="center"/>
            </w:pPr>
            <w:r w:rsidRPr="00ED4BE7">
              <w:t>NR</w:t>
            </w:r>
          </w:p>
        </w:tc>
        <w:tc>
          <w:tcPr>
            <w:tcW w:w="708" w:type="pct"/>
            <w:tcBorders>
              <w:top w:val="single" w:sz="4" w:space="0" w:color="auto"/>
              <w:left w:val="single" w:sz="4" w:space="0" w:color="auto"/>
              <w:bottom w:val="single" w:sz="4" w:space="0" w:color="auto"/>
              <w:right w:val="single" w:sz="4" w:space="0" w:color="auto"/>
            </w:tcBorders>
          </w:tcPr>
          <w:p w14:paraId="4FDBF57A" w14:textId="77777777" w:rsidR="00914EFD" w:rsidRPr="00F463F9" w:rsidRDefault="00914EFD" w:rsidP="004613B7">
            <w:pPr>
              <w:pStyle w:val="TableText0"/>
              <w:keepLines/>
              <w:jc w:val="center"/>
            </w:pPr>
            <w:r w:rsidRPr="00ED4BE7">
              <w:t>NR</w:t>
            </w:r>
          </w:p>
        </w:tc>
        <w:tc>
          <w:tcPr>
            <w:tcW w:w="628" w:type="pct"/>
            <w:tcBorders>
              <w:top w:val="single" w:sz="4" w:space="0" w:color="auto"/>
              <w:left w:val="single" w:sz="4" w:space="0" w:color="auto"/>
              <w:bottom w:val="single" w:sz="4" w:space="0" w:color="auto"/>
              <w:right w:val="single" w:sz="4" w:space="0" w:color="auto"/>
            </w:tcBorders>
          </w:tcPr>
          <w:p w14:paraId="4465209D" w14:textId="77777777" w:rsidR="00914EFD" w:rsidRDefault="00914EFD" w:rsidP="004613B7">
            <w:pPr>
              <w:pStyle w:val="TableText0"/>
              <w:keepLines/>
              <w:jc w:val="center"/>
            </w:pPr>
            <w:r>
              <w:t>19.3</w:t>
            </w:r>
          </w:p>
        </w:tc>
        <w:tc>
          <w:tcPr>
            <w:tcW w:w="681" w:type="pct"/>
            <w:tcBorders>
              <w:top w:val="single" w:sz="4" w:space="0" w:color="auto"/>
              <w:left w:val="single" w:sz="4" w:space="0" w:color="auto"/>
              <w:bottom w:val="single" w:sz="4" w:space="0" w:color="auto"/>
              <w:right w:val="single" w:sz="4" w:space="0" w:color="auto"/>
            </w:tcBorders>
          </w:tcPr>
          <w:p w14:paraId="76A0F1F6" w14:textId="77777777" w:rsidR="00914EFD" w:rsidRDefault="00914EFD" w:rsidP="004613B7">
            <w:pPr>
              <w:pStyle w:val="TableText0"/>
              <w:keepLines/>
              <w:jc w:val="center"/>
            </w:pPr>
            <w:r>
              <w:t>12.4</w:t>
            </w:r>
          </w:p>
        </w:tc>
      </w:tr>
      <w:tr w:rsidR="00914EFD" w:rsidRPr="00F463F9" w14:paraId="602196C0" w14:textId="77777777" w:rsidTr="001E53B4">
        <w:trPr>
          <w:trHeight w:val="20"/>
        </w:trPr>
        <w:tc>
          <w:tcPr>
            <w:tcW w:w="1017" w:type="pct"/>
            <w:tcBorders>
              <w:top w:val="single" w:sz="4" w:space="0" w:color="auto"/>
              <w:left w:val="single" w:sz="4" w:space="0" w:color="auto"/>
              <w:bottom w:val="single" w:sz="4" w:space="0" w:color="auto"/>
              <w:right w:val="single" w:sz="4" w:space="0" w:color="auto"/>
            </w:tcBorders>
          </w:tcPr>
          <w:p w14:paraId="26474C95" w14:textId="77777777" w:rsidR="00914EFD" w:rsidRPr="00F463F9" w:rsidRDefault="00914EFD" w:rsidP="004613B7">
            <w:pPr>
              <w:pStyle w:val="TableText0"/>
              <w:keepLines/>
            </w:pPr>
            <w:r w:rsidRPr="00F463F9">
              <w:t>HR (95% CI)</w:t>
            </w:r>
          </w:p>
        </w:tc>
        <w:tc>
          <w:tcPr>
            <w:tcW w:w="1258" w:type="pct"/>
            <w:gridSpan w:val="2"/>
            <w:tcBorders>
              <w:top w:val="single" w:sz="4" w:space="0" w:color="auto"/>
              <w:left w:val="single" w:sz="4" w:space="0" w:color="auto"/>
              <w:bottom w:val="single" w:sz="4" w:space="0" w:color="auto"/>
              <w:right w:val="single" w:sz="4" w:space="0" w:color="auto"/>
            </w:tcBorders>
          </w:tcPr>
          <w:p w14:paraId="1851C77F" w14:textId="77777777" w:rsidR="00914EFD" w:rsidRPr="00BF7033" w:rsidRDefault="00914EFD" w:rsidP="004613B7">
            <w:pPr>
              <w:pStyle w:val="TableText0"/>
              <w:keepLines/>
              <w:jc w:val="center"/>
              <w:rPr>
                <w:b/>
              </w:rPr>
            </w:pPr>
            <w:r w:rsidRPr="00BF7033">
              <w:rPr>
                <w:b/>
              </w:rPr>
              <w:t>0.23 (0.12, 0.43)</w:t>
            </w:r>
          </w:p>
        </w:tc>
        <w:tc>
          <w:tcPr>
            <w:tcW w:w="1416" w:type="pct"/>
            <w:gridSpan w:val="2"/>
            <w:tcBorders>
              <w:top w:val="single" w:sz="4" w:space="0" w:color="auto"/>
              <w:left w:val="single" w:sz="4" w:space="0" w:color="auto"/>
              <w:bottom w:val="single" w:sz="4" w:space="0" w:color="auto"/>
              <w:right w:val="single" w:sz="4" w:space="0" w:color="auto"/>
            </w:tcBorders>
          </w:tcPr>
          <w:p w14:paraId="145F2509" w14:textId="77777777" w:rsidR="00914EFD" w:rsidRPr="00F463F9" w:rsidRDefault="00914EFD" w:rsidP="004613B7">
            <w:pPr>
              <w:pStyle w:val="TableText0"/>
              <w:keepLines/>
              <w:jc w:val="center"/>
            </w:pPr>
            <w:r>
              <w:t>NR</w:t>
            </w:r>
          </w:p>
        </w:tc>
        <w:tc>
          <w:tcPr>
            <w:tcW w:w="1309" w:type="pct"/>
            <w:gridSpan w:val="2"/>
            <w:tcBorders>
              <w:top w:val="single" w:sz="4" w:space="0" w:color="auto"/>
              <w:left w:val="single" w:sz="4" w:space="0" w:color="auto"/>
              <w:bottom w:val="single" w:sz="4" w:space="0" w:color="auto"/>
              <w:right w:val="single" w:sz="4" w:space="0" w:color="auto"/>
            </w:tcBorders>
          </w:tcPr>
          <w:p w14:paraId="211C9234" w14:textId="77777777" w:rsidR="00914EFD" w:rsidRPr="00BF7033" w:rsidRDefault="00914EFD" w:rsidP="004613B7">
            <w:pPr>
              <w:pStyle w:val="TableText0"/>
              <w:keepLines/>
              <w:jc w:val="center"/>
              <w:rPr>
                <w:b/>
              </w:rPr>
            </w:pPr>
            <w:r w:rsidRPr="00BF7033">
              <w:rPr>
                <w:b/>
              </w:rPr>
              <w:t>0.50 (0.33, 0.75)</w:t>
            </w:r>
          </w:p>
        </w:tc>
      </w:tr>
      <w:tr w:rsidR="00914EFD" w:rsidRPr="00FA0A15" w14:paraId="51CC20C4" w14:textId="77777777" w:rsidTr="001E53B4">
        <w:trPr>
          <w:trHeight w:val="20"/>
        </w:trPr>
        <w:tc>
          <w:tcPr>
            <w:tcW w:w="1017" w:type="pct"/>
            <w:tcBorders>
              <w:top w:val="single" w:sz="4" w:space="0" w:color="auto"/>
              <w:left w:val="single" w:sz="4" w:space="0" w:color="auto"/>
              <w:bottom w:val="single" w:sz="4" w:space="0" w:color="auto"/>
              <w:right w:val="nil"/>
            </w:tcBorders>
          </w:tcPr>
          <w:p w14:paraId="13ACDDEC" w14:textId="5D75BA66" w:rsidR="00914EFD" w:rsidRPr="00F87080" w:rsidRDefault="00914EFD" w:rsidP="004613B7">
            <w:pPr>
              <w:pStyle w:val="TableText0"/>
              <w:keepLines/>
              <w:rPr>
                <w:b/>
                <w:bCs w:val="0"/>
              </w:rPr>
            </w:pPr>
            <w:r>
              <w:rPr>
                <w:b/>
                <w:bCs w:val="0"/>
              </w:rPr>
              <w:t xml:space="preserve">OS </w:t>
            </w:r>
          </w:p>
        </w:tc>
        <w:tc>
          <w:tcPr>
            <w:tcW w:w="629" w:type="pct"/>
            <w:tcBorders>
              <w:top w:val="single" w:sz="4" w:space="0" w:color="auto"/>
              <w:left w:val="nil"/>
              <w:bottom w:val="single" w:sz="4" w:space="0" w:color="auto"/>
              <w:right w:val="nil"/>
            </w:tcBorders>
          </w:tcPr>
          <w:p w14:paraId="69CA60CD" w14:textId="77777777" w:rsidR="00914EFD" w:rsidRPr="00E01DCF" w:rsidRDefault="00914EFD" w:rsidP="004613B7">
            <w:pPr>
              <w:pStyle w:val="TableText0"/>
              <w:keepLines/>
              <w:jc w:val="center"/>
            </w:pPr>
          </w:p>
        </w:tc>
        <w:tc>
          <w:tcPr>
            <w:tcW w:w="629" w:type="pct"/>
            <w:tcBorders>
              <w:top w:val="single" w:sz="4" w:space="0" w:color="auto"/>
              <w:left w:val="nil"/>
              <w:bottom w:val="single" w:sz="4" w:space="0" w:color="auto"/>
              <w:right w:val="nil"/>
            </w:tcBorders>
          </w:tcPr>
          <w:p w14:paraId="13F08FE9" w14:textId="77777777" w:rsidR="00914EFD" w:rsidRPr="00E01DCF" w:rsidRDefault="00914EFD" w:rsidP="004613B7">
            <w:pPr>
              <w:pStyle w:val="TableText0"/>
              <w:keepLines/>
              <w:jc w:val="center"/>
            </w:pPr>
          </w:p>
        </w:tc>
        <w:tc>
          <w:tcPr>
            <w:tcW w:w="1416" w:type="pct"/>
            <w:gridSpan w:val="2"/>
            <w:tcBorders>
              <w:top w:val="single" w:sz="4" w:space="0" w:color="auto"/>
              <w:left w:val="nil"/>
              <w:bottom w:val="single" w:sz="4" w:space="0" w:color="auto"/>
              <w:right w:val="nil"/>
            </w:tcBorders>
          </w:tcPr>
          <w:p w14:paraId="0ECDA5A7" w14:textId="77777777" w:rsidR="00914EFD" w:rsidRPr="00FA0A15" w:rsidRDefault="00914EFD" w:rsidP="004613B7">
            <w:pPr>
              <w:pStyle w:val="TableText0"/>
              <w:keepLines/>
              <w:jc w:val="center"/>
            </w:pPr>
          </w:p>
        </w:tc>
        <w:tc>
          <w:tcPr>
            <w:tcW w:w="628" w:type="pct"/>
            <w:tcBorders>
              <w:top w:val="single" w:sz="4" w:space="0" w:color="auto"/>
              <w:left w:val="nil"/>
              <w:bottom w:val="single" w:sz="4" w:space="0" w:color="auto"/>
              <w:right w:val="nil"/>
            </w:tcBorders>
          </w:tcPr>
          <w:p w14:paraId="0258C081" w14:textId="77777777" w:rsidR="00914EFD" w:rsidRPr="00FA0A15" w:rsidRDefault="00914EFD" w:rsidP="004613B7">
            <w:pPr>
              <w:pStyle w:val="TableText0"/>
              <w:keepLines/>
              <w:jc w:val="center"/>
            </w:pPr>
          </w:p>
        </w:tc>
        <w:tc>
          <w:tcPr>
            <w:tcW w:w="681" w:type="pct"/>
            <w:tcBorders>
              <w:top w:val="single" w:sz="4" w:space="0" w:color="auto"/>
              <w:left w:val="nil"/>
              <w:bottom w:val="single" w:sz="4" w:space="0" w:color="auto"/>
              <w:right w:val="single" w:sz="4" w:space="0" w:color="auto"/>
            </w:tcBorders>
          </w:tcPr>
          <w:p w14:paraId="21DDB742" w14:textId="77777777" w:rsidR="00914EFD" w:rsidRPr="00FA0A15" w:rsidRDefault="00914EFD" w:rsidP="004613B7">
            <w:pPr>
              <w:pStyle w:val="TableText0"/>
              <w:keepLines/>
              <w:jc w:val="center"/>
            </w:pPr>
          </w:p>
        </w:tc>
      </w:tr>
      <w:tr w:rsidR="00914EFD" w14:paraId="3666F207" w14:textId="77777777" w:rsidTr="001E53B4">
        <w:trPr>
          <w:trHeight w:val="20"/>
        </w:trPr>
        <w:tc>
          <w:tcPr>
            <w:tcW w:w="1017" w:type="pct"/>
            <w:tcBorders>
              <w:top w:val="single" w:sz="4" w:space="0" w:color="auto"/>
              <w:left w:val="single" w:sz="4" w:space="0" w:color="auto"/>
              <w:bottom w:val="single" w:sz="4" w:space="0" w:color="auto"/>
              <w:right w:val="single" w:sz="4" w:space="0" w:color="auto"/>
            </w:tcBorders>
          </w:tcPr>
          <w:p w14:paraId="1F11DC1E" w14:textId="77777777" w:rsidR="00914EFD" w:rsidRDefault="00914EFD" w:rsidP="004613B7">
            <w:pPr>
              <w:pStyle w:val="TableText0"/>
              <w:keepLines/>
            </w:pPr>
            <w:r w:rsidRPr="00F463F9">
              <w:t>Events, n (%)</w:t>
            </w:r>
          </w:p>
        </w:tc>
        <w:tc>
          <w:tcPr>
            <w:tcW w:w="629" w:type="pct"/>
            <w:tcBorders>
              <w:top w:val="single" w:sz="4" w:space="0" w:color="auto"/>
              <w:left w:val="single" w:sz="4" w:space="0" w:color="auto"/>
              <w:bottom w:val="single" w:sz="4" w:space="0" w:color="auto"/>
              <w:right w:val="single" w:sz="4" w:space="0" w:color="auto"/>
            </w:tcBorders>
          </w:tcPr>
          <w:p w14:paraId="0B36275E" w14:textId="77777777" w:rsidR="00914EFD" w:rsidRPr="00D74EC0" w:rsidRDefault="00914EFD" w:rsidP="004613B7">
            <w:pPr>
              <w:pStyle w:val="TableText0"/>
              <w:keepLines/>
              <w:jc w:val="center"/>
            </w:pPr>
            <w:r w:rsidRPr="00CE7DE7">
              <w:t>13 (27.7)</w:t>
            </w:r>
          </w:p>
        </w:tc>
        <w:tc>
          <w:tcPr>
            <w:tcW w:w="629" w:type="pct"/>
            <w:tcBorders>
              <w:top w:val="single" w:sz="4" w:space="0" w:color="auto"/>
              <w:left w:val="single" w:sz="4" w:space="0" w:color="auto"/>
              <w:bottom w:val="single" w:sz="4" w:space="0" w:color="auto"/>
              <w:right w:val="single" w:sz="4" w:space="0" w:color="auto"/>
            </w:tcBorders>
          </w:tcPr>
          <w:p w14:paraId="37910B07" w14:textId="77777777" w:rsidR="00914EFD" w:rsidRPr="00D74EC0" w:rsidRDefault="00914EFD" w:rsidP="004613B7">
            <w:pPr>
              <w:pStyle w:val="TableText0"/>
              <w:keepLines/>
              <w:jc w:val="center"/>
            </w:pPr>
            <w:r w:rsidRPr="00CE7DE7">
              <w:t>25 (65.8)</w:t>
            </w:r>
          </w:p>
        </w:tc>
        <w:tc>
          <w:tcPr>
            <w:tcW w:w="708" w:type="pct"/>
            <w:tcBorders>
              <w:top w:val="single" w:sz="4" w:space="0" w:color="auto"/>
              <w:left w:val="single" w:sz="4" w:space="0" w:color="auto"/>
              <w:bottom w:val="single" w:sz="4" w:space="0" w:color="auto"/>
              <w:right w:val="single" w:sz="4" w:space="0" w:color="auto"/>
            </w:tcBorders>
          </w:tcPr>
          <w:p w14:paraId="5260E921" w14:textId="77777777" w:rsidR="00914EFD" w:rsidRDefault="00914EFD" w:rsidP="004613B7">
            <w:pPr>
              <w:pStyle w:val="TableText0"/>
              <w:keepLines/>
              <w:jc w:val="center"/>
            </w:pPr>
            <w:r>
              <w:t>NE</w:t>
            </w:r>
          </w:p>
        </w:tc>
        <w:tc>
          <w:tcPr>
            <w:tcW w:w="708" w:type="pct"/>
            <w:tcBorders>
              <w:top w:val="single" w:sz="4" w:space="0" w:color="auto"/>
              <w:left w:val="single" w:sz="4" w:space="0" w:color="auto"/>
              <w:bottom w:val="single" w:sz="4" w:space="0" w:color="auto"/>
              <w:right w:val="single" w:sz="4" w:space="0" w:color="auto"/>
            </w:tcBorders>
          </w:tcPr>
          <w:p w14:paraId="6ADC6BCE" w14:textId="77777777" w:rsidR="00914EFD" w:rsidRDefault="00914EFD" w:rsidP="004613B7">
            <w:pPr>
              <w:pStyle w:val="TableText0"/>
              <w:keepLines/>
              <w:jc w:val="center"/>
            </w:pPr>
            <w:r>
              <w:t>NE</w:t>
            </w:r>
          </w:p>
        </w:tc>
        <w:tc>
          <w:tcPr>
            <w:tcW w:w="628" w:type="pct"/>
            <w:tcBorders>
              <w:top w:val="single" w:sz="4" w:space="0" w:color="auto"/>
              <w:left w:val="single" w:sz="4" w:space="0" w:color="auto"/>
              <w:bottom w:val="single" w:sz="4" w:space="0" w:color="auto"/>
              <w:right w:val="single" w:sz="4" w:space="0" w:color="auto"/>
            </w:tcBorders>
          </w:tcPr>
          <w:p w14:paraId="2520AF5B" w14:textId="62AB990E" w:rsidR="00914EFD" w:rsidRDefault="00914EFD" w:rsidP="004613B7">
            <w:pPr>
              <w:pStyle w:val="TableText0"/>
              <w:keepLines/>
              <w:jc w:val="center"/>
            </w:pPr>
            <w:r>
              <w:t>27</w:t>
            </w:r>
            <w:r w:rsidR="00FE2E26">
              <w:t>/113</w:t>
            </w:r>
            <w:r>
              <w:t xml:space="preserve"> (23.9)</w:t>
            </w:r>
          </w:p>
        </w:tc>
        <w:tc>
          <w:tcPr>
            <w:tcW w:w="681" w:type="pct"/>
            <w:tcBorders>
              <w:top w:val="single" w:sz="4" w:space="0" w:color="auto"/>
              <w:left w:val="single" w:sz="4" w:space="0" w:color="auto"/>
              <w:bottom w:val="single" w:sz="4" w:space="0" w:color="auto"/>
              <w:right w:val="single" w:sz="4" w:space="0" w:color="auto"/>
            </w:tcBorders>
          </w:tcPr>
          <w:p w14:paraId="71F3F0BA" w14:textId="15805CE0" w:rsidR="00914EFD" w:rsidRDefault="00914EFD" w:rsidP="004613B7">
            <w:pPr>
              <w:pStyle w:val="TableText0"/>
              <w:keepLines/>
              <w:jc w:val="center"/>
            </w:pPr>
            <w:r>
              <w:t>29</w:t>
            </w:r>
            <w:r w:rsidR="00FE2E26">
              <w:t>/112</w:t>
            </w:r>
            <w:r>
              <w:t xml:space="preserve"> (25.9)</w:t>
            </w:r>
          </w:p>
        </w:tc>
      </w:tr>
      <w:tr w:rsidR="00914EFD" w14:paraId="5E0FBC0E" w14:textId="77777777" w:rsidTr="001E53B4">
        <w:trPr>
          <w:trHeight w:val="20"/>
        </w:trPr>
        <w:tc>
          <w:tcPr>
            <w:tcW w:w="1017" w:type="pct"/>
            <w:tcBorders>
              <w:top w:val="single" w:sz="4" w:space="0" w:color="auto"/>
              <w:left w:val="single" w:sz="4" w:space="0" w:color="auto"/>
              <w:bottom w:val="single" w:sz="4" w:space="0" w:color="auto"/>
              <w:right w:val="single" w:sz="4" w:space="0" w:color="auto"/>
            </w:tcBorders>
          </w:tcPr>
          <w:p w14:paraId="265FC418" w14:textId="4DAABC38" w:rsidR="00914EFD" w:rsidRDefault="00914EFD" w:rsidP="004613B7">
            <w:pPr>
              <w:pStyle w:val="TableText0"/>
              <w:keepLines/>
            </w:pPr>
            <w:r w:rsidRPr="00F463F9">
              <w:t xml:space="preserve">Median </w:t>
            </w:r>
            <w:r w:rsidR="001308D2">
              <w:t>OS</w:t>
            </w:r>
            <w:r w:rsidRPr="00F463F9">
              <w:t xml:space="preserve">, months </w:t>
            </w:r>
          </w:p>
        </w:tc>
        <w:tc>
          <w:tcPr>
            <w:tcW w:w="629" w:type="pct"/>
            <w:tcBorders>
              <w:top w:val="single" w:sz="4" w:space="0" w:color="auto"/>
              <w:left w:val="single" w:sz="4" w:space="0" w:color="auto"/>
              <w:bottom w:val="single" w:sz="4" w:space="0" w:color="auto"/>
              <w:right w:val="single" w:sz="4" w:space="0" w:color="auto"/>
            </w:tcBorders>
          </w:tcPr>
          <w:p w14:paraId="42F2A67C" w14:textId="77777777" w:rsidR="00914EFD" w:rsidRPr="00D74EC0" w:rsidRDefault="00914EFD" w:rsidP="004613B7">
            <w:pPr>
              <w:pStyle w:val="TableText0"/>
              <w:keepLines/>
              <w:jc w:val="center"/>
            </w:pPr>
            <w:r>
              <w:t>NE</w:t>
            </w:r>
          </w:p>
        </w:tc>
        <w:tc>
          <w:tcPr>
            <w:tcW w:w="629" w:type="pct"/>
            <w:tcBorders>
              <w:top w:val="single" w:sz="4" w:space="0" w:color="auto"/>
              <w:left w:val="single" w:sz="4" w:space="0" w:color="auto"/>
              <w:bottom w:val="single" w:sz="4" w:space="0" w:color="auto"/>
              <w:right w:val="single" w:sz="4" w:space="0" w:color="auto"/>
            </w:tcBorders>
          </w:tcPr>
          <w:p w14:paraId="71E9ADBF" w14:textId="77777777" w:rsidR="00914EFD" w:rsidRPr="00D74EC0" w:rsidRDefault="00914EFD" w:rsidP="004613B7">
            <w:pPr>
              <w:pStyle w:val="TableText0"/>
              <w:keepLines/>
              <w:jc w:val="center"/>
            </w:pPr>
            <w:r>
              <w:t>22.97</w:t>
            </w:r>
          </w:p>
        </w:tc>
        <w:tc>
          <w:tcPr>
            <w:tcW w:w="708" w:type="pct"/>
            <w:tcBorders>
              <w:top w:val="single" w:sz="4" w:space="0" w:color="auto"/>
              <w:left w:val="single" w:sz="4" w:space="0" w:color="auto"/>
              <w:bottom w:val="single" w:sz="4" w:space="0" w:color="auto"/>
              <w:right w:val="single" w:sz="4" w:space="0" w:color="auto"/>
            </w:tcBorders>
          </w:tcPr>
          <w:p w14:paraId="2CBB7C43" w14:textId="77777777" w:rsidR="00914EFD" w:rsidRDefault="00914EFD" w:rsidP="004613B7">
            <w:pPr>
              <w:pStyle w:val="TableText0"/>
              <w:keepLines/>
              <w:jc w:val="center"/>
            </w:pPr>
            <w:r>
              <w:t>NE</w:t>
            </w:r>
          </w:p>
        </w:tc>
        <w:tc>
          <w:tcPr>
            <w:tcW w:w="708" w:type="pct"/>
            <w:tcBorders>
              <w:top w:val="single" w:sz="4" w:space="0" w:color="auto"/>
              <w:left w:val="single" w:sz="4" w:space="0" w:color="auto"/>
              <w:bottom w:val="single" w:sz="4" w:space="0" w:color="auto"/>
              <w:right w:val="single" w:sz="4" w:space="0" w:color="auto"/>
            </w:tcBorders>
          </w:tcPr>
          <w:p w14:paraId="2F9AE431" w14:textId="77777777" w:rsidR="00914EFD" w:rsidRDefault="00914EFD" w:rsidP="004613B7">
            <w:pPr>
              <w:pStyle w:val="TableText0"/>
              <w:keepLines/>
              <w:jc w:val="center"/>
            </w:pPr>
            <w:r w:rsidRPr="00AA3F85">
              <w:t>NE</w:t>
            </w:r>
          </w:p>
        </w:tc>
        <w:tc>
          <w:tcPr>
            <w:tcW w:w="628" w:type="pct"/>
            <w:tcBorders>
              <w:top w:val="single" w:sz="4" w:space="0" w:color="auto"/>
              <w:left w:val="single" w:sz="4" w:space="0" w:color="auto"/>
              <w:bottom w:val="single" w:sz="4" w:space="0" w:color="auto"/>
              <w:right w:val="single" w:sz="4" w:space="0" w:color="auto"/>
            </w:tcBorders>
          </w:tcPr>
          <w:p w14:paraId="6430FB13" w14:textId="77777777" w:rsidR="00914EFD" w:rsidRDefault="00914EFD" w:rsidP="004613B7">
            <w:pPr>
              <w:pStyle w:val="TableText0"/>
              <w:keepLines/>
              <w:jc w:val="center"/>
            </w:pPr>
            <w:r w:rsidRPr="00AA3F85">
              <w:t>NE</w:t>
            </w:r>
          </w:p>
        </w:tc>
        <w:tc>
          <w:tcPr>
            <w:tcW w:w="681" w:type="pct"/>
            <w:tcBorders>
              <w:top w:val="single" w:sz="4" w:space="0" w:color="auto"/>
              <w:left w:val="single" w:sz="4" w:space="0" w:color="auto"/>
              <w:bottom w:val="single" w:sz="4" w:space="0" w:color="auto"/>
              <w:right w:val="single" w:sz="4" w:space="0" w:color="auto"/>
            </w:tcBorders>
          </w:tcPr>
          <w:p w14:paraId="461CE87C" w14:textId="77777777" w:rsidR="00914EFD" w:rsidRDefault="00914EFD" w:rsidP="004613B7">
            <w:pPr>
              <w:pStyle w:val="TableText0"/>
              <w:keepLines/>
              <w:jc w:val="center"/>
            </w:pPr>
            <w:r w:rsidRPr="00AA3F85">
              <w:t>NE</w:t>
            </w:r>
          </w:p>
        </w:tc>
      </w:tr>
      <w:tr w:rsidR="00914EFD" w:rsidRPr="00021AA5" w14:paraId="711101B3" w14:textId="77777777" w:rsidTr="001E53B4">
        <w:trPr>
          <w:trHeight w:val="20"/>
        </w:trPr>
        <w:tc>
          <w:tcPr>
            <w:tcW w:w="1017" w:type="pct"/>
            <w:tcBorders>
              <w:top w:val="single" w:sz="4" w:space="0" w:color="auto"/>
              <w:left w:val="single" w:sz="4" w:space="0" w:color="auto"/>
              <w:bottom w:val="single" w:sz="4" w:space="0" w:color="auto"/>
              <w:right w:val="single" w:sz="4" w:space="0" w:color="auto"/>
            </w:tcBorders>
          </w:tcPr>
          <w:p w14:paraId="1CAE4B37" w14:textId="77777777" w:rsidR="00914EFD" w:rsidRPr="00021AA5" w:rsidRDefault="00914EFD" w:rsidP="004613B7">
            <w:pPr>
              <w:pStyle w:val="TableText0"/>
              <w:keepLines/>
            </w:pPr>
            <w:r w:rsidRPr="00021AA5">
              <w:t>HR (95% CI)</w:t>
            </w:r>
          </w:p>
        </w:tc>
        <w:tc>
          <w:tcPr>
            <w:tcW w:w="1258" w:type="pct"/>
            <w:gridSpan w:val="2"/>
            <w:tcBorders>
              <w:top w:val="single" w:sz="4" w:space="0" w:color="auto"/>
              <w:left w:val="single" w:sz="4" w:space="0" w:color="auto"/>
              <w:bottom w:val="single" w:sz="4" w:space="0" w:color="auto"/>
              <w:right w:val="single" w:sz="4" w:space="0" w:color="auto"/>
            </w:tcBorders>
          </w:tcPr>
          <w:p w14:paraId="6588468F" w14:textId="77777777" w:rsidR="00914EFD" w:rsidRPr="00021AA5" w:rsidRDefault="00914EFD" w:rsidP="004613B7">
            <w:pPr>
              <w:pStyle w:val="TableText0"/>
              <w:keepLines/>
              <w:jc w:val="center"/>
              <w:rPr>
                <w:b/>
              </w:rPr>
            </w:pPr>
            <w:r w:rsidRPr="00021AA5">
              <w:rPr>
                <w:b/>
              </w:rPr>
              <w:t>0.29 (0.14, 0.56)</w:t>
            </w:r>
          </w:p>
        </w:tc>
        <w:tc>
          <w:tcPr>
            <w:tcW w:w="1416" w:type="pct"/>
            <w:gridSpan w:val="2"/>
            <w:tcBorders>
              <w:top w:val="single" w:sz="4" w:space="0" w:color="auto"/>
              <w:left w:val="single" w:sz="4" w:space="0" w:color="auto"/>
              <w:bottom w:val="single" w:sz="4" w:space="0" w:color="auto"/>
              <w:right w:val="single" w:sz="4" w:space="0" w:color="auto"/>
            </w:tcBorders>
          </w:tcPr>
          <w:p w14:paraId="3807C407" w14:textId="77777777" w:rsidR="00914EFD" w:rsidRPr="00021AA5" w:rsidRDefault="00914EFD" w:rsidP="004613B7">
            <w:pPr>
              <w:pStyle w:val="TableText0"/>
              <w:keepLines/>
              <w:jc w:val="center"/>
            </w:pPr>
            <w:r w:rsidRPr="00021AA5">
              <w:t>NR</w:t>
            </w:r>
          </w:p>
        </w:tc>
        <w:tc>
          <w:tcPr>
            <w:tcW w:w="1309" w:type="pct"/>
            <w:gridSpan w:val="2"/>
            <w:tcBorders>
              <w:top w:val="single" w:sz="4" w:space="0" w:color="auto"/>
              <w:left w:val="single" w:sz="4" w:space="0" w:color="auto"/>
              <w:bottom w:val="single" w:sz="4" w:space="0" w:color="auto"/>
              <w:right w:val="single" w:sz="4" w:space="0" w:color="auto"/>
            </w:tcBorders>
          </w:tcPr>
          <w:p w14:paraId="1CF7FF7C" w14:textId="77777777" w:rsidR="00914EFD" w:rsidRPr="00021AA5" w:rsidRDefault="00914EFD" w:rsidP="004613B7">
            <w:pPr>
              <w:pStyle w:val="TableText0"/>
              <w:keepLines/>
              <w:jc w:val="center"/>
            </w:pPr>
            <w:r w:rsidRPr="00021AA5">
              <w:t>0.96 (0.57,1.63)</w:t>
            </w:r>
          </w:p>
        </w:tc>
      </w:tr>
    </w:tbl>
    <w:p w14:paraId="347B1F12" w14:textId="77777777" w:rsidR="00914EFD" w:rsidRDefault="00914EFD" w:rsidP="004613B7">
      <w:pPr>
        <w:pStyle w:val="TableFigureFooter"/>
        <w:keepNext/>
        <w:keepLines/>
        <w:jc w:val="both"/>
      </w:pPr>
      <w:r w:rsidRPr="00BF7033">
        <w:rPr>
          <w:b/>
        </w:rPr>
        <w:t xml:space="preserve">Bold </w:t>
      </w:r>
      <w:r>
        <w:t>=statistically significant results</w:t>
      </w:r>
    </w:p>
    <w:p w14:paraId="7263D6DE" w14:textId="77777777" w:rsidR="00914EFD" w:rsidRDefault="00914EFD" w:rsidP="004613B7">
      <w:pPr>
        <w:pStyle w:val="TableFigureFooter"/>
        <w:keepNext/>
        <w:keepLines/>
        <w:jc w:val="both"/>
      </w:pPr>
      <w:r>
        <w:t xml:space="preserve">Source: Tables 9 and 11, ITC Appendix A. TALAPRO-2 publication. </w:t>
      </w:r>
    </w:p>
    <w:p w14:paraId="7B3700F9" w14:textId="3BF8C79B" w:rsidR="00914EFD" w:rsidRDefault="00914EFD" w:rsidP="004613B7">
      <w:pPr>
        <w:pStyle w:val="TableFigureFooter"/>
        <w:jc w:val="both"/>
      </w:pPr>
      <w:r>
        <w:t>ABI=</w:t>
      </w:r>
      <w:r w:rsidRPr="008F57F0">
        <w:t>Abiraterone</w:t>
      </w:r>
      <w:r>
        <w:t xml:space="preserve">; </w:t>
      </w:r>
      <w:r w:rsidR="00A41905" w:rsidRPr="00021AA5">
        <w:t>BRCA</w:t>
      </w:r>
      <w:r w:rsidR="001611B5">
        <w:t xml:space="preserve">=breast cancer gene, </w:t>
      </w:r>
      <w:r>
        <w:t>BICR=</w:t>
      </w:r>
      <w:r w:rsidRPr="00D535F1">
        <w:rPr>
          <w:lang w:val="en-GB"/>
        </w:rPr>
        <w:t>blinded independent</w:t>
      </w:r>
      <w:r w:rsidRPr="00E82415">
        <w:rPr>
          <w:lang w:val="en-GB"/>
        </w:rPr>
        <w:t xml:space="preserve"> central review</w:t>
      </w:r>
      <w:r>
        <w:rPr>
          <w:lang w:val="en-GB"/>
        </w:rPr>
        <w:t xml:space="preserve">; </w:t>
      </w:r>
      <w:r w:rsidRPr="008F57F0">
        <w:t>ENZA</w:t>
      </w:r>
      <w:r>
        <w:t>=</w:t>
      </w:r>
      <w:r w:rsidRPr="008F57F0">
        <w:t>enzalutamide; HR</w:t>
      </w:r>
      <w:r>
        <w:t>=</w:t>
      </w:r>
      <w:r w:rsidRPr="008F57F0">
        <w:t>hazard ratio</w:t>
      </w:r>
      <w:r>
        <w:t>;</w:t>
      </w:r>
      <w:r w:rsidRPr="008F57F0">
        <w:t xml:space="preserve"> HRR=homologous recombination repair gene; KM</w:t>
      </w:r>
      <w:r>
        <w:t>=</w:t>
      </w:r>
      <w:r w:rsidRPr="008F57F0">
        <w:t>Kaplan Meier;</w:t>
      </w:r>
      <w:r>
        <w:t xml:space="preserve"> </w:t>
      </w:r>
      <w:r w:rsidRPr="008F57F0">
        <w:t>NA</w:t>
      </w:r>
      <w:r>
        <w:t>,</w:t>
      </w:r>
      <w:r w:rsidRPr="008F57F0">
        <w:t xml:space="preserve"> not applicable; N</w:t>
      </w:r>
      <w:r>
        <w:t>E=</w:t>
      </w:r>
      <w:r w:rsidRPr="008F57F0">
        <w:t>not-</w:t>
      </w:r>
      <w:r>
        <w:t xml:space="preserve">estimable; NR=not reported; OLA=olaparib; </w:t>
      </w:r>
      <w:r w:rsidRPr="008F57F0">
        <w:t>PBO</w:t>
      </w:r>
      <w:r>
        <w:t>=</w:t>
      </w:r>
      <w:r w:rsidRPr="008F57F0">
        <w:t>placebo;</w:t>
      </w:r>
      <w:r>
        <w:t xml:space="preserve"> rPFS=</w:t>
      </w:r>
      <w:r w:rsidRPr="008F57F0">
        <w:t>radiological progression-free survival</w:t>
      </w:r>
      <w:r>
        <w:t xml:space="preserve">; </w:t>
      </w:r>
      <w:r w:rsidRPr="008F57F0">
        <w:t>TALA</w:t>
      </w:r>
      <w:r>
        <w:t>=</w:t>
      </w:r>
      <w:r w:rsidRPr="008F57F0">
        <w:t>talazoparib</w:t>
      </w:r>
    </w:p>
    <w:p w14:paraId="4EEC2496" w14:textId="346928E3" w:rsidR="00914EFD" w:rsidRPr="00940BEC" w:rsidRDefault="00914EFD" w:rsidP="00FE2E26">
      <w:pPr>
        <w:pStyle w:val="3-BodyText"/>
      </w:pPr>
      <w:r w:rsidRPr="00940BEC">
        <w:t xml:space="preserve">Across the trials, rPFS was significantly improved in patients treated with PARP inhibitors plus NHA compared to NHA monotherapy, but the magnitude of the effect </w:t>
      </w:r>
      <w:r w:rsidRPr="00940BEC">
        <w:lastRenderedPageBreak/>
        <w:t xml:space="preserve">differed. HRs for progression </w:t>
      </w:r>
      <w:r w:rsidR="00FE2E26" w:rsidRPr="00940BEC">
        <w:t xml:space="preserve">in the ITT and BRCA1/2 subgroups </w:t>
      </w:r>
      <w:r w:rsidRPr="00940BEC">
        <w:t>were similar in the PROpel and TALAPRO-2 trials, whereas the HR</w:t>
      </w:r>
      <w:r w:rsidR="00FE2E26" w:rsidRPr="00940BEC">
        <w:t xml:space="preserve"> in the BRCA1/2 subgroup</w:t>
      </w:r>
      <w:r w:rsidRPr="00940BEC">
        <w:t xml:space="preserve"> in MAGNITUDE </w:t>
      </w:r>
      <w:r w:rsidR="001308D2" w:rsidRPr="00940BEC">
        <w:t>was</w:t>
      </w:r>
      <w:r w:rsidR="00FE2E26" w:rsidRPr="00940BEC">
        <w:t xml:space="preserve"> </w:t>
      </w:r>
      <w:r w:rsidRPr="00940BEC">
        <w:t>much higher (i.e., smaller magnitude of effect for PARP inhibitor plus NHA</w:t>
      </w:r>
      <w:r w:rsidR="0054469C" w:rsidRPr="00940BEC">
        <w:t xml:space="preserve"> versus NHA monotherapy</w:t>
      </w:r>
      <w:r w:rsidRPr="00940BEC">
        <w:t>). The difference in OS HR</w:t>
      </w:r>
      <w:r w:rsidR="00FE2E26" w:rsidRPr="00940BEC">
        <w:t xml:space="preserve">s in the BRCA1/2 subgroups </w:t>
      </w:r>
      <w:r w:rsidRPr="00940BEC">
        <w:t xml:space="preserve">was also considerable between PROpel and MAGNITUDE, but </w:t>
      </w:r>
      <w:r w:rsidR="00FE2E26" w:rsidRPr="00940BEC">
        <w:t xml:space="preserve">neither </w:t>
      </w:r>
      <w:r w:rsidRPr="00940BEC">
        <w:t xml:space="preserve">of these trials had mature OS data and there was a very high level of uncertainty around </w:t>
      </w:r>
      <w:r w:rsidR="00FE2E26" w:rsidRPr="00940BEC">
        <w:t xml:space="preserve">the </w:t>
      </w:r>
      <w:r w:rsidRPr="00940BEC">
        <w:t xml:space="preserve">OS estimates. </w:t>
      </w:r>
    </w:p>
    <w:p w14:paraId="54447871" w14:textId="17D3D398" w:rsidR="00914EFD" w:rsidRPr="00940BEC" w:rsidRDefault="00914EFD" w:rsidP="00FE2E26">
      <w:pPr>
        <w:pStyle w:val="3-BodyText"/>
      </w:pPr>
      <w:r w:rsidRPr="00940BEC">
        <w:t xml:space="preserve">A plausible explanation for these variations could be the lack of stratification by </w:t>
      </w:r>
      <w:r w:rsidR="00A41905" w:rsidRPr="00940BEC">
        <w:t>BRCA</w:t>
      </w:r>
      <w:r w:rsidRPr="00940BEC">
        <w:t xml:space="preserve"> status and statistical power in PROpel and TALAPRO-2, which could have biased results. </w:t>
      </w:r>
      <w:r w:rsidR="005E1B84" w:rsidRPr="00940BEC">
        <w:t>T</w:t>
      </w:r>
      <w:r w:rsidRPr="00940BEC">
        <w:t xml:space="preserve">here were other differences between the trials that </w:t>
      </w:r>
      <w:r w:rsidR="005E1B84" w:rsidRPr="00940BEC">
        <w:t xml:space="preserve">also </w:t>
      </w:r>
      <w:r w:rsidRPr="00940BEC">
        <w:t xml:space="preserve">need to be considered, such as the different NHA combinations (enzalutamide vs. abiraterone) </w:t>
      </w:r>
      <w:r w:rsidR="00FE2E26" w:rsidRPr="00940BEC">
        <w:t xml:space="preserve">and possible differences in the </w:t>
      </w:r>
      <w:r w:rsidRPr="00940BEC">
        <w:t xml:space="preserve">baseline characteristics of </w:t>
      </w:r>
      <w:r w:rsidR="006C3ED1" w:rsidRPr="00940BEC">
        <w:t>BRCA1/2</w:t>
      </w:r>
      <w:r w:rsidRPr="00940BEC">
        <w:t xml:space="preserve"> patients (not reported in TALAPRO-2 and MAGNITUDE). It is also possible that efficacy/potency of various PARP inhibitor combinations may differ. </w:t>
      </w:r>
    </w:p>
    <w:p w14:paraId="61CD5ABE" w14:textId="60DC89C7" w:rsidR="00914EFD" w:rsidRPr="00940BEC" w:rsidRDefault="004221E7" w:rsidP="00FE2E26">
      <w:pPr>
        <w:pStyle w:val="3-BodyText"/>
      </w:pPr>
      <w:r w:rsidRPr="00940BEC">
        <w:t>In terms of safety outcomes,</w:t>
      </w:r>
      <w:r w:rsidR="00914EFD" w:rsidRPr="00940BEC">
        <w:t xml:space="preserve"> PARP inhibitors in combination with NHA ha</w:t>
      </w:r>
      <w:r w:rsidR="008A19D3" w:rsidRPr="00940BEC">
        <w:t>d</w:t>
      </w:r>
      <w:r w:rsidR="0054469C" w:rsidRPr="00940BEC">
        <w:t xml:space="preserve"> a </w:t>
      </w:r>
      <w:r w:rsidR="00914EFD" w:rsidRPr="00940BEC">
        <w:t xml:space="preserve">worse safety profile </w:t>
      </w:r>
      <w:r w:rsidR="0054469C" w:rsidRPr="00940BEC">
        <w:t xml:space="preserve">compared to </w:t>
      </w:r>
      <w:r w:rsidR="00914EFD" w:rsidRPr="00940BEC">
        <w:t xml:space="preserve">NHA monotherapy, driven by significantly higher grade </w:t>
      </w:r>
      <w:r w:rsidR="00914EFD" w:rsidRPr="00940BEC">
        <w:rPr>
          <w:rFonts w:cstheme="minorHAnsi"/>
        </w:rPr>
        <w:t>≥</w:t>
      </w:r>
      <w:r w:rsidR="00914EFD" w:rsidRPr="00940BEC">
        <w:t>3 AEs. There w</w:t>
      </w:r>
      <w:r w:rsidRPr="00940BEC">
        <w:t>ere</w:t>
      </w:r>
      <w:r w:rsidR="00914EFD" w:rsidRPr="00940BEC">
        <w:t xml:space="preserve"> no safety data presented for patients with </w:t>
      </w:r>
      <w:r w:rsidR="006C3ED1" w:rsidRPr="00940BEC">
        <w:t>BRCA1/2</w:t>
      </w:r>
      <w:r w:rsidR="00914EFD" w:rsidRPr="00940BEC">
        <w:t xml:space="preserve"> pathogenic variants. </w:t>
      </w:r>
    </w:p>
    <w:p w14:paraId="64ADCF21" w14:textId="12762123" w:rsidR="00102A1E" w:rsidRPr="00940BEC" w:rsidRDefault="00102A1E" w:rsidP="00FE2E26">
      <w:pPr>
        <w:pStyle w:val="3-BodyText"/>
      </w:pPr>
      <w:r w:rsidRPr="00940BEC">
        <w:t xml:space="preserve">A systematic review and meta-analysis of these PARP inhibitor trials (including PROpel) by </w:t>
      </w:r>
      <w:r w:rsidR="0031403F" w:rsidRPr="00940BEC">
        <w:t>Sayyid et al. 2023</w:t>
      </w:r>
      <w:r w:rsidR="0031403F" w:rsidRPr="00940BEC">
        <w:rPr>
          <w:rStyle w:val="FootnoteReference"/>
        </w:rPr>
        <w:footnoteReference w:id="5"/>
      </w:r>
      <w:r w:rsidR="0031403F" w:rsidRPr="00940BEC">
        <w:t xml:space="preserve"> </w:t>
      </w:r>
      <w:r w:rsidRPr="00940BEC">
        <w:t>noted that first-line addition of PARP inhibitors was associated with a 45% relative risk increase in grade ≥3 TEAEs, including a 6.22-fold increase for grade ≥3 anaemia (31.9% versus 4.9%)</w:t>
      </w:r>
      <w:r w:rsidR="001308D2" w:rsidRPr="00940BEC">
        <w:t>. The authors</w:t>
      </w:r>
      <w:r w:rsidRPr="00940BEC">
        <w:t xml:space="preserve"> </w:t>
      </w:r>
      <w:r w:rsidR="00FE2E26" w:rsidRPr="00940BEC">
        <w:t xml:space="preserve">stated </w:t>
      </w:r>
      <w:r w:rsidRPr="00940BEC">
        <w:t>that this significantly worse toxicity profile raise</w:t>
      </w:r>
      <w:r w:rsidR="00FE2E26" w:rsidRPr="00940BEC">
        <w:t>d</w:t>
      </w:r>
      <w:r w:rsidRPr="00940BEC">
        <w:t xml:space="preserve"> concerns as to whether routine first-line addition of PARP</w:t>
      </w:r>
      <w:r w:rsidR="00B241A3" w:rsidRPr="00940BEC">
        <w:t xml:space="preserve"> inhibitors</w:t>
      </w:r>
      <w:r w:rsidRPr="00940BEC">
        <w:t xml:space="preserve"> for mCRPC patients can be considered standard of care therapy, even in patients with homologous recombination repair gene pathogenic variants, in the absence of a clear OS benefit.</w:t>
      </w:r>
    </w:p>
    <w:p w14:paraId="7A1772B6" w14:textId="23BB3145" w:rsidR="00B60939" w:rsidRPr="00C9624D" w:rsidRDefault="00B60939" w:rsidP="00E9094A">
      <w:pPr>
        <w:pStyle w:val="4-SubsectionHeading"/>
      </w:pPr>
      <w:bookmarkStart w:id="40" w:name="_Toc22897644"/>
      <w:bookmarkStart w:id="41" w:name="_Toc145075509"/>
      <w:r w:rsidRPr="00C9624D">
        <w:t>Clinical claim</w:t>
      </w:r>
      <w:bookmarkEnd w:id="40"/>
      <w:bookmarkEnd w:id="41"/>
    </w:p>
    <w:p w14:paraId="4D49ECCF" w14:textId="3B6010CF" w:rsidR="009B1AB8" w:rsidRPr="00940BEC" w:rsidRDefault="005F7588" w:rsidP="00FE2E26">
      <w:pPr>
        <w:pStyle w:val="3-BodyText"/>
        <w:rPr>
          <w:rFonts w:eastAsia="Calibri"/>
        </w:rPr>
      </w:pPr>
      <w:bookmarkStart w:id="42" w:name="_Ref150780159"/>
      <w:r w:rsidRPr="00940BEC">
        <w:rPr>
          <w:rFonts w:eastAsia="Calibri"/>
        </w:rPr>
        <w:t xml:space="preserve">The submission described </w:t>
      </w:r>
      <w:r w:rsidR="009B1AB8" w:rsidRPr="00940BEC">
        <w:rPr>
          <w:rFonts w:eastAsia="Calibri"/>
        </w:rPr>
        <w:t>olaparib plus abiraterone</w:t>
      </w:r>
      <w:r w:rsidRPr="00940BEC">
        <w:rPr>
          <w:rFonts w:eastAsia="Calibri"/>
        </w:rPr>
        <w:t xml:space="preserve"> as superior in terms of effectiveness compared to </w:t>
      </w:r>
      <w:r w:rsidR="009B1AB8" w:rsidRPr="00940BEC">
        <w:rPr>
          <w:rFonts w:eastAsia="Calibri"/>
        </w:rPr>
        <w:t>abiraterone monothe</w:t>
      </w:r>
      <w:r w:rsidR="0054469C" w:rsidRPr="00940BEC">
        <w:rPr>
          <w:rFonts w:eastAsia="Calibri"/>
        </w:rPr>
        <w:t>r</w:t>
      </w:r>
      <w:r w:rsidR="009B1AB8" w:rsidRPr="00940BEC">
        <w:rPr>
          <w:rFonts w:eastAsia="Calibri"/>
        </w:rPr>
        <w:t>apy</w:t>
      </w:r>
      <w:r w:rsidRPr="00940BEC">
        <w:rPr>
          <w:rFonts w:eastAsia="Calibri"/>
        </w:rPr>
        <w:t xml:space="preserve">. </w:t>
      </w:r>
      <w:r w:rsidR="00C321C4" w:rsidRPr="00940BEC">
        <w:rPr>
          <w:rFonts w:eastAsia="Calibri"/>
        </w:rPr>
        <w:t xml:space="preserve">The ESC considered that this claim was supported in the ITT population and was likely, but </w:t>
      </w:r>
      <w:r w:rsidR="001F1BDF" w:rsidRPr="00940BEC">
        <w:rPr>
          <w:rFonts w:eastAsia="Calibri"/>
        </w:rPr>
        <w:t>the magni</w:t>
      </w:r>
      <w:r w:rsidR="00420294" w:rsidRPr="00940BEC">
        <w:rPr>
          <w:rFonts w:eastAsia="Calibri"/>
        </w:rPr>
        <w:t>tude of effect was</w:t>
      </w:r>
      <w:r w:rsidR="00C321C4" w:rsidRPr="00940BEC">
        <w:rPr>
          <w:rFonts w:eastAsia="Calibri"/>
        </w:rPr>
        <w:t xml:space="preserve"> uncertain, in the BRCA1/2 subgroup as</w:t>
      </w:r>
      <w:r w:rsidR="007C70FF" w:rsidRPr="00940BEC">
        <w:rPr>
          <w:rFonts w:eastAsia="Calibri"/>
        </w:rPr>
        <w:t>:</w:t>
      </w:r>
      <w:bookmarkEnd w:id="42"/>
      <w:r w:rsidR="007C70FF" w:rsidRPr="00940BEC">
        <w:rPr>
          <w:rFonts w:eastAsia="Calibri"/>
        </w:rPr>
        <w:t xml:space="preserve"> </w:t>
      </w:r>
    </w:p>
    <w:p w14:paraId="169327B3" w14:textId="3CAA3FB6" w:rsidR="009B1AB8" w:rsidRPr="00021AA5" w:rsidRDefault="00FF5302" w:rsidP="0054469C">
      <w:pPr>
        <w:pStyle w:val="ListParagraph"/>
        <w:ind w:left="993" w:hanging="284"/>
        <w:rPr>
          <w:rFonts w:eastAsia="Calibri"/>
        </w:rPr>
      </w:pPr>
      <w:r w:rsidRPr="00EF584A">
        <w:rPr>
          <w:rFonts w:eastAsia="Calibri"/>
          <w:i/>
          <w:iCs/>
        </w:rPr>
        <w:t>P</w:t>
      </w:r>
      <w:r w:rsidR="009B1AB8" w:rsidRPr="00EF584A">
        <w:rPr>
          <w:rFonts w:eastAsia="Calibri"/>
          <w:i/>
          <w:iCs/>
        </w:rPr>
        <w:t>ost-hoc</w:t>
      </w:r>
      <w:r w:rsidR="009B1AB8" w:rsidRPr="00021AA5">
        <w:rPr>
          <w:rFonts w:eastAsia="Calibri"/>
        </w:rPr>
        <w:t xml:space="preserve"> subgroup analyses in patients with </w:t>
      </w:r>
      <w:r w:rsidR="006C3ED1" w:rsidRPr="00021AA5">
        <w:rPr>
          <w:rFonts w:eastAsia="Calibri"/>
        </w:rPr>
        <w:t>BRCA1/2</w:t>
      </w:r>
      <w:r w:rsidR="009B1AB8" w:rsidRPr="00021AA5">
        <w:rPr>
          <w:rFonts w:eastAsia="Calibri"/>
        </w:rPr>
        <w:t xml:space="preserve"> pathogenic variants </w:t>
      </w:r>
      <w:r w:rsidR="002F7E66" w:rsidRPr="00021AA5">
        <w:rPr>
          <w:rFonts w:eastAsia="Calibri"/>
        </w:rPr>
        <w:t xml:space="preserve">were </w:t>
      </w:r>
      <w:r w:rsidR="009B1AB8" w:rsidRPr="00021AA5">
        <w:rPr>
          <w:rFonts w:eastAsia="Calibri"/>
        </w:rPr>
        <w:t>highly uncertain given the small patient numbers and imbalanced baseline characteristics between treatment arms, particular</w:t>
      </w:r>
      <w:r w:rsidR="00C70570">
        <w:rPr>
          <w:rFonts w:eastAsia="Calibri"/>
        </w:rPr>
        <w:t>ly</w:t>
      </w:r>
      <w:r w:rsidR="009B1AB8" w:rsidRPr="00021AA5">
        <w:rPr>
          <w:rFonts w:eastAsia="Calibri"/>
        </w:rPr>
        <w:t xml:space="preserve"> </w:t>
      </w:r>
      <w:r w:rsidR="005E1B84" w:rsidRPr="00021AA5">
        <w:rPr>
          <w:rFonts w:eastAsia="Calibri"/>
        </w:rPr>
        <w:t xml:space="preserve">in </w:t>
      </w:r>
      <w:r w:rsidR="009B1AB8" w:rsidRPr="00021AA5">
        <w:rPr>
          <w:rFonts w:eastAsia="Calibri"/>
        </w:rPr>
        <w:t xml:space="preserve">key confounding factors such as visceral metastases and prior docetaxel treatment. </w:t>
      </w:r>
    </w:p>
    <w:p w14:paraId="3FEAA2AF" w14:textId="7B9676CF" w:rsidR="00D85374" w:rsidRPr="00D85374" w:rsidRDefault="00FF5302" w:rsidP="0054469C">
      <w:pPr>
        <w:pStyle w:val="ListParagraph"/>
        <w:ind w:left="993" w:hanging="284"/>
        <w:rPr>
          <w:rFonts w:eastAsia="Calibri"/>
        </w:rPr>
      </w:pPr>
      <w:r w:rsidRPr="00021AA5">
        <w:rPr>
          <w:rFonts w:eastAsia="Calibri"/>
        </w:rPr>
        <w:lastRenderedPageBreak/>
        <w:t>K</w:t>
      </w:r>
      <w:r w:rsidR="00D85374" w:rsidRPr="00021AA5">
        <w:rPr>
          <w:rFonts w:eastAsia="Calibri"/>
        </w:rPr>
        <w:t xml:space="preserve">ey data were missing </w:t>
      </w:r>
      <w:r w:rsidR="00C70570">
        <w:rPr>
          <w:rFonts w:eastAsia="Calibri"/>
        </w:rPr>
        <w:t>for</w:t>
      </w:r>
      <w:r w:rsidR="00D85374" w:rsidRPr="00021AA5">
        <w:rPr>
          <w:rFonts w:eastAsia="Calibri"/>
        </w:rPr>
        <w:t xml:space="preserve"> the </w:t>
      </w:r>
      <w:r w:rsidR="006C3ED1" w:rsidRPr="00021AA5">
        <w:rPr>
          <w:rFonts w:eastAsia="Calibri"/>
        </w:rPr>
        <w:t>BRCA1/2</w:t>
      </w:r>
      <w:r w:rsidR="00D85374" w:rsidRPr="00021AA5">
        <w:rPr>
          <w:rFonts w:eastAsia="Calibri"/>
        </w:rPr>
        <w:t xml:space="preserve"> subgroup</w:t>
      </w:r>
      <w:r w:rsidR="00C70570">
        <w:rPr>
          <w:rFonts w:eastAsia="Calibri"/>
        </w:rPr>
        <w:t xml:space="preserve"> such as</w:t>
      </w:r>
      <w:r w:rsidR="00D85374" w:rsidRPr="00021AA5">
        <w:rPr>
          <w:rFonts w:eastAsia="Calibri"/>
        </w:rPr>
        <w:t xml:space="preserve"> the flow of participants</w:t>
      </w:r>
      <w:r w:rsidR="00C321C4">
        <w:rPr>
          <w:rFonts w:eastAsia="Calibri"/>
        </w:rPr>
        <w:t xml:space="preserve"> and</w:t>
      </w:r>
      <w:r w:rsidR="00C321C4" w:rsidRPr="00021AA5">
        <w:rPr>
          <w:rFonts w:eastAsia="Calibri"/>
        </w:rPr>
        <w:t xml:space="preserve"> </w:t>
      </w:r>
      <w:r w:rsidR="00D85374" w:rsidRPr="00021AA5">
        <w:rPr>
          <w:rFonts w:eastAsia="Calibri"/>
        </w:rPr>
        <w:t>treatment exposure</w:t>
      </w:r>
      <w:r w:rsidR="00D85374" w:rsidRPr="00021AA5">
        <w:rPr>
          <w:snapToGrid/>
          <w:lang w:val="en-US" w:eastAsia="en-GB"/>
        </w:rPr>
        <w:t xml:space="preserve">. </w:t>
      </w:r>
    </w:p>
    <w:p w14:paraId="18C12596" w14:textId="668D26DB" w:rsidR="009B1AB8" w:rsidRPr="00021AA5" w:rsidRDefault="009B1AB8" w:rsidP="0054469C">
      <w:pPr>
        <w:pStyle w:val="ListParagraph"/>
        <w:ind w:left="993" w:hanging="284"/>
        <w:rPr>
          <w:rFonts w:eastAsia="Calibri"/>
        </w:rPr>
      </w:pPr>
      <w:r w:rsidRPr="00021AA5">
        <w:rPr>
          <w:rFonts w:eastAsia="Calibri"/>
        </w:rPr>
        <w:t>OS data were immature.</w:t>
      </w:r>
    </w:p>
    <w:p w14:paraId="7FFEC931" w14:textId="0548ADF0" w:rsidR="002F7E66" w:rsidRPr="001316D7" w:rsidRDefault="002F7E66" w:rsidP="0054469C">
      <w:pPr>
        <w:pStyle w:val="ListParagraph"/>
        <w:ind w:left="993" w:hanging="284"/>
        <w:rPr>
          <w:rFonts w:eastAsia="Calibri"/>
        </w:rPr>
      </w:pPr>
      <w:r w:rsidRPr="00021AA5">
        <w:t>Evidence from other trials of PARP inhibitors in combination with NHAs indicated</w:t>
      </w:r>
      <w:r w:rsidR="00E4284F" w:rsidRPr="00021AA5">
        <w:t xml:space="preserve"> a</w:t>
      </w:r>
      <w:r w:rsidRPr="00021AA5">
        <w:t xml:space="preserve"> </w:t>
      </w:r>
      <w:r w:rsidR="0054469C" w:rsidRPr="00021AA5">
        <w:t xml:space="preserve">likely </w:t>
      </w:r>
      <w:r w:rsidRPr="00021AA5">
        <w:t>rPFS benefit for the combination treatment, but OS data were immature</w:t>
      </w:r>
      <w:r w:rsidR="0054469C" w:rsidRPr="00021AA5">
        <w:t xml:space="preserve"> and</w:t>
      </w:r>
      <w:r w:rsidR="00414679" w:rsidRPr="00021AA5">
        <w:t>,</w:t>
      </w:r>
      <w:r w:rsidR="0054469C" w:rsidRPr="00021AA5">
        <w:t xml:space="preserve"> so far</w:t>
      </w:r>
      <w:r w:rsidR="00414679" w:rsidRPr="00021AA5">
        <w:t>,</w:t>
      </w:r>
      <w:r w:rsidR="0054469C" w:rsidRPr="00021AA5">
        <w:t xml:space="preserve"> </w:t>
      </w:r>
      <w:r w:rsidR="00414679" w:rsidRPr="00021AA5">
        <w:t xml:space="preserve">there was </w:t>
      </w:r>
      <w:r w:rsidR="0054469C" w:rsidRPr="00021AA5">
        <w:t xml:space="preserve">no significant benefit over NHA monotherapy. </w:t>
      </w:r>
      <w:r w:rsidR="00102A1E" w:rsidRPr="00021AA5">
        <w:t xml:space="preserve">The only PARP inhibitor trial that stratified the analysis by </w:t>
      </w:r>
      <w:r w:rsidR="006C3ED1" w:rsidRPr="00021AA5">
        <w:t>BRCA1/2</w:t>
      </w:r>
      <w:r w:rsidR="00102A1E" w:rsidRPr="00021AA5">
        <w:t xml:space="preserve"> status reported a considerably </w:t>
      </w:r>
      <w:r w:rsidR="00102A1E" w:rsidRPr="001316D7">
        <w:t>lower magnitude of effect compared to PROpel</w:t>
      </w:r>
      <w:r w:rsidR="0054469C" w:rsidRPr="001316D7">
        <w:t xml:space="preserve"> for</w:t>
      </w:r>
      <w:r w:rsidR="00102A1E" w:rsidRPr="001316D7">
        <w:t xml:space="preserve"> rPFS</w:t>
      </w:r>
      <w:r w:rsidR="00414679" w:rsidRPr="001316D7">
        <w:t>,</w:t>
      </w:r>
      <w:r w:rsidR="00102A1E" w:rsidRPr="001316D7">
        <w:t xml:space="preserve"> and </w:t>
      </w:r>
      <w:r w:rsidR="0054469C" w:rsidRPr="001316D7">
        <w:t xml:space="preserve">a HR for </w:t>
      </w:r>
      <w:r w:rsidR="00102A1E" w:rsidRPr="001316D7">
        <w:t xml:space="preserve">OS </w:t>
      </w:r>
      <w:r w:rsidR="0054469C" w:rsidRPr="001316D7">
        <w:t xml:space="preserve">close to 1 </w:t>
      </w:r>
      <w:r w:rsidR="00861E5B" w:rsidRPr="001316D7">
        <w:t>(</w:t>
      </w:r>
      <w:r w:rsidR="00FE2E26" w:rsidRPr="001316D7">
        <w:t xml:space="preserve">which was </w:t>
      </w:r>
      <w:r w:rsidR="0054469C" w:rsidRPr="001316D7">
        <w:t>not statistically significant</w:t>
      </w:r>
      <w:r w:rsidR="00861E5B" w:rsidRPr="001316D7">
        <w:t>)</w:t>
      </w:r>
      <w:r w:rsidR="0054469C" w:rsidRPr="001316D7">
        <w:t>.</w:t>
      </w:r>
    </w:p>
    <w:p w14:paraId="5C53AB03" w14:textId="0815C950" w:rsidR="00CF11D7" w:rsidRPr="001316D7" w:rsidRDefault="00CF11D7" w:rsidP="00CF11D7">
      <w:pPr>
        <w:pStyle w:val="3-BodyText"/>
      </w:pPr>
      <w:r w:rsidRPr="001316D7">
        <w:rPr>
          <w:iCs/>
        </w:rPr>
        <w:t>The</w:t>
      </w:r>
      <w:r w:rsidRPr="001316D7">
        <w:t xml:space="preserve"> PBAC considered that the claim of superior comparative effectiveness in the BRCA1/2 subgroup was likely</w:t>
      </w:r>
      <w:r w:rsidR="00473E43" w:rsidRPr="001316D7">
        <w:t xml:space="preserve"> reasonable</w:t>
      </w:r>
      <w:r w:rsidRPr="001316D7">
        <w:t>, but the magnitude of effect was highly uncertain.</w:t>
      </w:r>
      <w:r w:rsidR="00A31FC5">
        <w:t xml:space="preserve"> Furthermore, the PBAC considered that the comparative effectiveness of olaparib plus abiraterone was uncertain compared to olaparib monotherapy based on the data available.</w:t>
      </w:r>
    </w:p>
    <w:p w14:paraId="7F613CD1" w14:textId="4216EAFA" w:rsidR="005F7588" w:rsidRPr="001316D7" w:rsidRDefault="005F7588" w:rsidP="00FE2E26">
      <w:pPr>
        <w:pStyle w:val="3-BodyText"/>
        <w:rPr>
          <w:rFonts w:eastAsia="Calibri"/>
        </w:rPr>
      </w:pPr>
      <w:r w:rsidRPr="001316D7">
        <w:rPr>
          <w:rFonts w:eastAsia="Calibri"/>
        </w:rPr>
        <w:t xml:space="preserve">The submission described </w:t>
      </w:r>
      <w:r w:rsidR="002F7E66" w:rsidRPr="001316D7">
        <w:rPr>
          <w:rFonts w:eastAsia="Calibri"/>
        </w:rPr>
        <w:t xml:space="preserve">olaparib plus abiraterone </w:t>
      </w:r>
      <w:r w:rsidR="001A4670" w:rsidRPr="001316D7">
        <w:rPr>
          <w:rFonts w:eastAsia="Calibri"/>
        </w:rPr>
        <w:t xml:space="preserve">as </w:t>
      </w:r>
      <w:r w:rsidRPr="001316D7">
        <w:rPr>
          <w:rFonts w:eastAsia="Calibri"/>
        </w:rPr>
        <w:t>inferior in term</w:t>
      </w:r>
      <w:r w:rsidR="00156F8F" w:rsidRPr="001316D7">
        <w:rPr>
          <w:rFonts w:eastAsia="Calibri"/>
        </w:rPr>
        <w:t>s</w:t>
      </w:r>
      <w:r w:rsidRPr="001316D7">
        <w:rPr>
          <w:rFonts w:eastAsia="Calibri"/>
        </w:rPr>
        <w:t xml:space="preserve"> of safety compared to </w:t>
      </w:r>
      <w:r w:rsidR="002F7E66" w:rsidRPr="001316D7">
        <w:rPr>
          <w:rFonts w:eastAsia="Calibri"/>
        </w:rPr>
        <w:t>abiraterone monotherapy</w:t>
      </w:r>
      <w:r w:rsidRPr="001316D7">
        <w:rPr>
          <w:rFonts w:eastAsia="Calibri"/>
        </w:rPr>
        <w:t>. Th</w:t>
      </w:r>
      <w:r w:rsidR="00C321C4" w:rsidRPr="001316D7">
        <w:rPr>
          <w:rFonts w:eastAsia="Calibri"/>
        </w:rPr>
        <w:t>e ESC considered that th</w:t>
      </w:r>
      <w:r w:rsidRPr="001316D7">
        <w:rPr>
          <w:rFonts w:eastAsia="Calibri"/>
        </w:rPr>
        <w:t>is claim was</w:t>
      </w:r>
      <w:r w:rsidR="007C70FF" w:rsidRPr="001316D7">
        <w:rPr>
          <w:rFonts w:eastAsia="Calibri"/>
        </w:rPr>
        <w:t xml:space="preserve"> </w:t>
      </w:r>
      <w:r w:rsidRPr="001316D7">
        <w:rPr>
          <w:rFonts w:eastAsia="Calibri"/>
        </w:rPr>
        <w:t>adequately supported</w:t>
      </w:r>
      <w:r w:rsidR="002F7E66" w:rsidRPr="001316D7">
        <w:rPr>
          <w:rFonts w:eastAsia="Calibri"/>
        </w:rPr>
        <w:t xml:space="preserve"> in the ITT population</w:t>
      </w:r>
      <w:r w:rsidR="00C321C4" w:rsidRPr="001316D7">
        <w:rPr>
          <w:rFonts w:eastAsia="Calibri"/>
        </w:rPr>
        <w:t xml:space="preserve"> and the BRCA1/2 subgroup</w:t>
      </w:r>
      <w:r w:rsidR="003776E3" w:rsidRPr="001316D7">
        <w:rPr>
          <w:rFonts w:eastAsia="Calibri"/>
        </w:rPr>
        <w:t xml:space="preserve">. </w:t>
      </w:r>
    </w:p>
    <w:p w14:paraId="2219F513" w14:textId="1E4572AD" w:rsidR="00940BEC" w:rsidRPr="001316D7" w:rsidRDefault="00940BEC" w:rsidP="00940BEC">
      <w:pPr>
        <w:pStyle w:val="3-BodyText"/>
      </w:pPr>
      <w:bookmarkStart w:id="43" w:name="_Hlk76376200"/>
      <w:r w:rsidRPr="001316D7">
        <w:t>The PBAC considered that the claim of inferior comparative safety was reasonable.</w:t>
      </w:r>
      <w:bookmarkEnd w:id="43"/>
    </w:p>
    <w:p w14:paraId="78BD513C" w14:textId="77777777" w:rsidR="009B1B01" w:rsidRPr="00C9624D" w:rsidRDefault="009B1B01" w:rsidP="009B1B01">
      <w:pPr>
        <w:pStyle w:val="4-SubsectionHeading"/>
      </w:pPr>
      <w:bookmarkStart w:id="44" w:name="_Toc145075510"/>
      <w:r w:rsidRPr="00C9624D">
        <w:t>Economic analysis</w:t>
      </w:r>
      <w:bookmarkEnd w:id="44"/>
      <w:r w:rsidRPr="00C9624D">
        <w:t xml:space="preserve"> </w:t>
      </w:r>
    </w:p>
    <w:p w14:paraId="11E2525A" w14:textId="27D29247" w:rsidR="009B1B01" w:rsidRDefault="009B1B01" w:rsidP="00FE2E26">
      <w:pPr>
        <w:pStyle w:val="3-BodyText"/>
        <w:rPr>
          <w:rFonts w:eastAsia="Calibri"/>
        </w:rPr>
      </w:pPr>
      <w:r w:rsidRPr="00C11646">
        <w:rPr>
          <w:rFonts w:eastAsia="Calibri"/>
        </w:rPr>
        <w:t>The submission presented a stepped economic evaluation based on the PROpel</w:t>
      </w:r>
      <w:r w:rsidR="005E1B84">
        <w:rPr>
          <w:rFonts w:eastAsia="Calibri"/>
        </w:rPr>
        <w:t xml:space="preserve"> trial</w:t>
      </w:r>
      <w:r w:rsidRPr="00C11646">
        <w:rPr>
          <w:rFonts w:eastAsia="Calibri"/>
        </w:rPr>
        <w:t>. The</w:t>
      </w:r>
      <w:r>
        <w:rPr>
          <w:rFonts w:eastAsia="Calibri"/>
        </w:rPr>
        <w:t xml:space="preserve"> modelled</w:t>
      </w:r>
      <w:r w:rsidRPr="00C11646">
        <w:rPr>
          <w:rFonts w:eastAsia="Calibri"/>
        </w:rPr>
        <w:t xml:space="preserve"> economic evaluation was a cost-utility analysis using a partitioned survival model with three health states: </w:t>
      </w:r>
      <w:r>
        <w:t xml:space="preserve">progression free (PF), progressed disease (PD), and death. </w:t>
      </w:r>
      <w:r w:rsidRPr="00C11646">
        <w:rPr>
          <w:rFonts w:eastAsia="Calibri"/>
        </w:rPr>
        <w:fldChar w:fldCharType="begin" w:fldLock="1"/>
      </w:r>
      <w:r w:rsidRPr="00C11646">
        <w:rPr>
          <w:rFonts w:eastAsia="Calibri"/>
        </w:rPr>
        <w:instrText xml:space="preserve"> REF _Ref143070630 \h </w:instrText>
      </w:r>
      <w:r w:rsidRPr="00C11646">
        <w:rPr>
          <w:rFonts w:eastAsia="Calibri"/>
        </w:rPr>
      </w:r>
      <w:r w:rsidRPr="00C11646">
        <w:rPr>
          <w:rFonts w:eastAsia="Calibri"/>
        </w:rPr>
        <w:fldChar w:fldCharType="separate"/>
      </w:r>
      <w:r w:rsidR="006F331F">
        <w:t xml:space="preserve">Table </w:t>
      </w:r>
      <w:r w:rsidR="006F331F">
        <w:rPr>
          <w:noProof/>
        </w:rPr>
        <w:t>9</w:t>
      </w:r>
      <w:r w:rsidRPr="00C11646">
        <w:rPr>
          <w:rFonts w:eastAsia="Calibri"/>
        </w:rPr>
        <w:fldChar w:fldCharType="end"/>
      </w:r>
      <w:r w:rsidRPr="00C11646">
        <w:rPr>
          <w:rFonts w:eastAsia="Calibri"/>
        </w:rPr>
        <w:t xml:space="preserve"> provides a summary of model components. </w:t>
      </w:r>
    </w:p>
    <w:p w14:paraId="327DFB5F" w14:textId="22688ADA" w:rsidR="009B1B01" w:rsidRPr="00641FB3" w:rsidRDefault="009B1B01" w:rsidP="009B1B01">
      <w:pPr>
        <w:pStyle w:val="Caption"/>
        <w:rPr>
          <w:rStyle w:val="CommentReference"/>
          <w:b/>
          <w:szCs w:val="24"/>
        </w:rPr>
      </w:pPr>
      <w:bookmarkStart w:id="45" w:name="_Ref143070630"/>
      <w:r>
        <w:t xml:space="preserve">Table </w:t>
      </w:r>
      <w:fldSimple w:instr=" SEQ Table \* ARABIC " w:fldLock="1">
        <w:r w:rsidR="006F331F">
          <w:rPr>
            <w:noProof/>
          </w:rPr>
          <w:t>9</w:t>
        </w:r>
      </w:fldSimple>
      <w:bookmarkEnd w:id="45"/>
      <w:r>
        <w:t>:</w:t>
      </w:r>
      <w:r w:rsidRPr="00641FB3">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9B1B01" w:rsidRPr="003D1DE4" w14:paraId="351E81B4" w14:textId="77777777" w:rsidTr="00C407DD">
        <w:trPr>
          <w:tblHeader/>
        </w:trPr>
        <w:tc>
          <w:tcPr>
            <w:tcW w:w="1396" w:type="pct"/>
            <w:shd w:val="clear" w:color="auto" w:fill="auto"/>
            <w:vAlign w:val="center"/>
          </w:tcPr>
          <w:p w14:paraId="26213997" w14:textId="77777777" w:rsidR="009B1B01" w:rsidRPr="00641FB3" w:rsidRDefault="009B1B01" w:rsidP="00C407DD">
            <w:pPr>
              <w:pStyle w:val="In-tableHeading"/>
            </w:pPr>
            <w:r w:rsidRPr="00641FB3">
              <w:t>Component</w:t>
            </w:r>
          </w:p>
        </w:tc>
        <w:tc>
          <w:tcPr>
            <w:tcW w:w="3604" w:type="pct"/>
            <w:shd w:val="clear" w:color="auto" w:fill="auto"/>
            <w:vAlign w:val="center"/>
          </w:tcPr>
          <w:p w14:paraId="63AB13AB" w14:textId="77777777" w:rsidR="009B1B01" w:rsidRPr="00641FB3" w:rsidRDefault="009B1B01" w:rsidP="00C407DD">
            <w:pPr>
              <w:pStyle w:val="In-tableHeading"/>
            </w:pPr>
            <w:r w:rsidRPr="00641FB3">
              <w:t>Summary</w:t>
            </w:r>
          </w:p>
        </w:tc>
      </w:tr>
      <w:tr w:rsidR="009B1B01" w:rsidRPr="00E2771E" w14:paraId="2F8C392A" w14:textId="77777777" w:rsidTr="00C407DD">
        <w:tc>
          <w:tcPr>
            <w:tcW w:w="1396" w:type="pct"/>
            <w:shd w:val="clear" w:color="auto" w:fill="auto"/>
            <w:vAlign w:val="center"/>
          </w:tcPr>
          <w:p w14:paraId="6E62B685" w14:textId="77777777" w:rsidR="009B1B01" w:rsidRPr="00E2771E" w:rsidRDefault="009B1B01" w:rsidP="00C407DD">
            <w:pPr>
              <w:pStyle w:val="TableText0"/>
            </w:pPr>
            <w:r>
              <w:t>Treatments</w:t>
            </w:r>
          </w:p>
        </w:tc>
        <w:tc>
          <w:tcPr>
            <w:tcW w:w="3604" w:type="pct"/>
            <w:shd w:val="clear" w:color="auto" w:fill="auto"/>
            <w:vAlign w:val="center"/>
          </w:tcPr>
          <w:p w14:paraId="5C010E3E" w14:textId="77777777" w:rsidR="009B1B01" w:rsidRPr="00E2771E" w:rsidRDefault="009B1B01" w:rsidP="00C407DD">
            <w:pPr>
              <w:pStyle w:val="TableText0"/>
            </w:pPr>
            <w:r>
              <w:t>Olaparib plus abiraterone vs NHA monotherapy</w:t>
            </w:r>
          </w:p>
        </w:tc>
      </w:tr>
      <w:tr w:rsidR="009B1B01" w:rsidRPr="00E2771E" w14:paraId="1365042D" w14:textId="77777777" w:rsidTr="00C407DD">
        <w:tc>
          <w:tcPr>
            <w:tcW w:w="1396" w:type="pct"/>
            <w:shd w:val="clear" w:color="auto" w:fill="auto"/>
            <w:vAlign w:val="center"/>
          </w:tcPr>
          <w:p w14:paraId="3179D587" w14:textId="77777777" w:rsidR="009B1B01" w:rsidRPr="00E2771E" w:rsidRDefault="009B1B01" w:rsidP="00C407DD">
            <w:pPr>
              <w:pStyle w:val="TableText0"/>
            </w:pPr>
            <w:r w:rsidRPr="00E2771E">
              <w:t>Time horizon</w:t>
            </w:r>
          </w:p>
        </w:tc>
        <w:tc>
          <w:tcPr>
            <w:tcW w:w="3604" w:type="pct"/>
            <w:shd w:val="clear" w:color="auto" w:fill="auto"/>
            <w:vAlign w:val="center"/>
          </w:tcPr>
          <w:p w14:paraId="2A016AA5" w14:textId="759E56F7" w:rsidR="009B1B01" w:rsidRPr="00E2771E" w:rsidRDefault="009B1B01" w:rsidP="00C407DD">
            <w:pPr>
              <w:pStyle w:val="TableText0"/>
            </w:pPr>
            <w:r>
              <w:t>15 years in the model base case vs. 36 months (median follow-up) in the trial</w:t>
            </w:r>
            <w:r w:rsidR="00CF11D7">
              <w:t>. This was reduced to 10 years in the pre-PBAC response.</w:t>
            </w:r>
          </w:p>
        </w:tc>
      </w:tr>
      <w:tr w:rsidR="009B1B01" w:rsidRPr="00E2771E" w14:paraId="7CF548DA" w14:textId="77777777" w:rsidTr="00C407DD">
        <w:tc>
          <w:tcPr>
            <w:tcW w:w="1396" w:type="pct"/>
            <w:shd w:val="clear" w:color="auto" w:fill="auto"/>
            <w:vAlign w:val="center"/>
          </w:tcPr>
          <w:p w14:paraId="255DE9B9" w14:textId="77777777" w:rsidR="009B1B01" w:rsidRPr="00E2771E" w:rsidRDefault="009B1B01" w:rsidP="00C407DD">
            <w:pPr>
              <w:pStyle w:val="TableText0"/>
            </w:pPr>
            <w:r w:rsidRPr="00E2771E">
              <w:t>Outcomes</w:t>
            </w:r>
          </w:p>
        </w:tc>
        <w:tc>
          <w:tcPr>
            <w:tcW w:w="3604" w:type="pct"/>
            <w:shd w:val="clear" w:color="auto" w:fill="auto"/>
            <w:vAlign w:val="center"/>
          </w:tcPr>
          <w:p w14:paraId="1EDC1A9A" w14:textId="77777777" w:rsidR="009B1B01" w:rsidRPr="00E2771E" w:rsidRDefault="009B1B01" w:rsidP="00C407DD">
            <w:pPr>
              <w:pStyle w:val="TableText0"/>
            </w:pPr>
            <w:r w:rsidRPr="00835D30">
              <w:t>Progression-free years gained, life-years gained, quality-adjusted life years gained</w:t>
            </w:r>
          </w:p>
        </w:tc>
      </w:tr>
      <w:tr w:rsidR="009B1B01" w:rsidRPr="00E2771E" w14:paraId="6740447A" w14:textId="77777777" w:rsidTr="00C407DD">
        <w:tc>
          <w:tcPr>
            <w:tcW w:w="1396" w:type="pct"/>
            <w:shd w:val="clear" w:color="auto" w:fill="auto"/>
            <w:vAlign w:val="center"/>
          </w:tcPr>
          <w:p w14:paraId="68F8DB43" w14:textId="77777777" w:rsidR="009B1B01" w:rsidRPr="00E2771E" w:rsidRDefault="009B1B01" w:rsidP="00C407DD">
            <w:pPr>
              <w:pStyle w:val="TableText0"/>
            </w:pPr>
            <w:r w:rsidRPr="00E2771E">
              <w:t>Methods used to generate results</w:t>
            </w:r>
          </w:p>
        </w:tc>
        <w:tc>
          <w:tcPr>
            <w:tcW w:w="3604" w:type="pct"/>
            <w:shd w:val="clear" w:color="auto" w:fill="auto"/>
            <w:vAlign w:val="center"/>
          </w:tcPr>
          <w:p w14:paraId="2E009426" w14:textId="77777777" w:rsidR="009B1B01" w:rsidRPr="00E2771E" w:rsidRDefault="009B1B01" w:rsidP="00C407DD">
            <w:pPr>
              <w:pStyle w:val="TableText0"/>
            </w:pPr>
            <w:r w:rsidRPr="00C96049">
              <w:t>Partitioned survival model</w:t>
            </w:r>
          </w:p>
        </w:tc>
      </w:tr>
      <w:tr w:rsidR="009B1B01" w:rsidRPr="00E2771E" w14:paraId="0E3C039D" w14:textId="77777777" w:rsidTr="00C407DD">
        <w:tc>
          <w:tcPr>
            <w:tcW w:w="1396" w:type="pct"/>
            <w:shd w:val="clear" w:color="auto" w:fill="auto"/>
            <w:vAlign w:val="center"/>
          </w:tcPr>
          <w:p w14:paraId="278FF1E2" w14:textId="77777777" w:rsidR="009B1B01" w:rsidRPr="00E2771E" w:rsidRDefault="009B1B01" w:rsidP="00C407DD">
            <w:pPr>
              <w:pStyle w:val="TableText0"/>
            </w:pPr>
            <w:r w:rsidRPr="00E2771E">
              <w:t>Health states</w:t>
            </w:r>
          </w:p>
        </w:tc>
        <w:tc>
          <w:tcPr>
            <w:tcW w:w="3604" w:type="pct"/>
            <w:shd w:val="clear" w:color="auto" w:fill="auto"/>
            <w:vAlign w:val="center"/>
          </w:tcPr>
          <w:p w14:paraId="583F44B7" w14:textId="77777777" w:rsidR="009B1B01" w:rsidRPr="00E2771E" w:rsidRDefault="009B1B01" w:rsidP="00C407DD">
            <w:pPr>
              <w:pStyle w:val="TableText0"/>
            </w:pPr>
            <w:r>
              <w:t>Progression-free, progressed, d</w:t>
            </w:r>
            <w:r w:rsidRPr="00C96049">
              <w:t>eath</w:t>
            </w:r>
          </w:p>
        </w:tc>
      </w:tr>
      <w:tr w:rsidR="009B1B01" w:rsidRPr="00E2771E" w14:paraId="3B760858" w14:textId="77777777" w:rsidTr="00C407DD">
        <w:tc>
          <w:tcPr>
            <w:tcW w:w="1396" w:type="pct"/>
            <w:shd w:val="clear" w:color="auto" w:fill="auto"/>
            <w:vAlign w:val="center"/>
          </w:tcPr>
          <w:p w14:paraId="2F635D6D" w14:textId="77777777" w:rsidR="009B1B01" w:rsidRPr="00E2771E" w:rsidRDefault="009B1B01" w:rsidP="00C407DD">
            <w:pPr>
              <w:pStyle w:val="TableText0"/>
            </w:pPr>
            <w:r w:rsidRPr="00E2771E">
              <w:t>Cycle length</w:t>
            </w:r>
          </w:p>
        </w:tc>
        <w:tc>
          <w:tcPr>
            <w:tcW w:w="3604" w:type="pct"/>
            <w:shd w:val="clear" w:color="auto" w:fill="auto"/>
            <w:vAlign w:val="center"/>
          </w:tcPr>
          <w:p w14:paraId="1203EBB4" w14:textId="77777777" w:rsidR="009B1B01" w:rsidRPr="00E2771E" w:rsidRDefault="009B1B01" w:rsidP="00C407DD">
            <w:pPr>
              <w:pStyle w:val="TableText0"/>
            </w:pPr>
            <w:r>
              <w:t>Monthly</w:t>
            </w:r>
          </w:p>
        </w:tc>
      </w:tr>
      <w:tr w:rsidR="009B1B01" w:rsidRPr="00E2771E" w14:paraId="2DB2C699" w14:textId="77777777" w:rsidTr="00C407DD">
        <w:tc>
          <w:tcPr>
            <w:tcW w:w="1396" w:type="pct"/>
            <w:shd w:val="clear" w:color="auto" w:fill="auto"/>
            <w:vAlign w:val="center"/>
          </w:tcPr>
          <w:p w14:paraId="3A2AFB66" w14:textId="77777777" w:rsidR="009B1B01" w:rsidRDefault="009B1B01" w:rsidP="00C407DD">
            <w:pPr>
              <w:pStyle w:val="TableText0"/>
            </w:pPr>
            <w:r w:rsidRPr="00E2771E">
              <w:t>Transition probabilities</w:t>
            </w:r>
            <w:r>
              <w:t xml:space="preserve"> or</w:t>
            </w:r>
          </w:p>
          <w:p w14:paraId="1DFB5352" w14:textId="77777777" w:rsidR="009B1B01" w:rsidRPr="00E2771E" w:rsidRDefault="009B1B01" w:rsidP="00C407DD">
            <w:pPr>
              <w:pStyle w:val="TableText0"/>
            </w:pPr>
            <w:r>
              <w:t>Allocation to health states</w:t>
            </w:r>
          </w:p>
        </w:tc>
        <w:tc>
          <w:tcPr>
            <w:tcW w:w="3604" w:type="pct"/>
            <w:shd w:val="clear" w:color="auto" w:fill="auto"/>
            <w:vAlign w:val="center"/>
          </w:tcPr>
          <w:p w14:paraId="4DB82D68" w14:textId="0429AB8E" w:rsidR="009B1B01" w:rsidRPr="00E2771E" w:rsidRDefault="009B1B01" w:rsidP="00C407DD">
            <w:pPr>
              <w:pStyle w:val="TableText0"/>
            </w:pPr>
            <w:r>
              <w:t xml:space="preserve">Health state allocation was determined by rPFS and OS curves from the </w:t>
            </w:r>
            <w:r w:rsidR="006C3ED1" w:rsidRPr="006C3ED1">
              <w:rPr>
                <w:i/>
                <w:iCs/>
              </w:rPr>
              <w:t>BRCA1/2</w:t>
            </w:r>
            <w:r>
              <w:t xml:space="preserve"> subgroup in PROpel</w:t>
            </w:r>
          </w:p>
        </w:tc>
      </w:tr>
      <w:tr w:rsidR="009B1B01" w:rsidRPr="00E2771E" w14:paraId="5D67E93B" w14:textId="77777777" w:rsidTr="00C407DD">
        <w:tc>
          <w:tcPr>
            <w:tcW w:w="1396" w:type="pct"/>
            <w:shd w:val="clear" w:color="auto" w:fill="auto"/>
            <w:vAlign w:val="center"/>
          </w:tcPr>
          <w:p w14:paraId="3E79B0ED" w14:textId="77777777" w:rsidR="009B1B01" w:rsidRPr="00E2771E" w:rsidRDefault="009B1B01" w:rsidP="00C407DD">
            <w:pPr>
              <w:pStyle w:val="TableText0"/>
            </w:pPr>
            <w:r>
              <w:t>Extrapolation method</w:t>
            </w:r>
          </w:p>
        </w:tc>
        <w:tc>
          <w:tcPr>
            <w:tcW w:w="3604" w:type="pct"/>
            <w:shd w:val="clear" w:color="auto" w:fill="auto"/>
            <w:vAlign w:val="center"/>
          </w:tcPr>
          <w:p w14:paraId="5D8549AA" w14:textId="0C6FE725" w:rsidR="009B1B01" w:rsidRPr="00E2771E" w:rsidRDefault="009B1B01" w:rsidP="00C407DD">
            <w:pPr>
              <w:pStyle w:val="TableText0"/>
            </w:pPr>
            <w:r>
              <w:t>Parametric model</w:t>
            </w:r>
            <w:r w:rsidR="00066119">
              <w:t>s</w:t>
            </w:r>
            <w:r>
              <w:t xml:space="preserve"> independently fitted to each treatment arm </w:t>
            </w:r>
            <w:r w:rsidRPr="00C5315D">
              <w:t>based on statistical (AIC and BIC) and visual fit, as well as clinical plausibility</w:t>
            </w:r>
            <w:r>
              <w:t>, OS: exponential (intervention) and log-logistic (comparator), PFS: log-normal, ToT: exponential</w:t>
            </w:r>
            <w:r>
              <w:rPr>
                <w:vertAlign w:val="superscript"/>
              </w:rPr>
              <w:t>a.</w:t>
            </w:r>
            <w:r>
              <w:t xml:space="preserve">  </w:t>
            </w:r>
            <w:r w:rsidR="00CF11D7">
              <w:t>The pre-PBAC response applied the conservative Weibull distributions for all extrapolations.</w:t>
            </w:r>
          </w:p>
        </w:tc>
      </w:tr>
      <w:tr w:rsidR="009B1B01" w:rsidRPr="00E2771E" w14:paraId="58B48BAD" w14:textId="77777777" w:rsidTr="00C407DD">
        <w:tc>
          <w:tcPr>
            <w:tcW w:w="1396" w:type="pct"/>
            <w:shd w:val="clear" w:color="auto" w:fill="auto"/>
            <w:vAlign w:val="center"/>
          </w:tcPr>
          <w:p w14:paraId="766B5A8A" w14:textId="77777777" w:rsidR="009B1B01" w:rsidRPr="001F4081" w:rsidRDefault="009B1B01" w:rsidP="00C407DD">
            <w:pPr>
              <w:pStyle w:val="TableText0"/>
            </w:pPr>
            <w:r>
              <w:t>Health related quality of life</w:t>
            </w:r>
          </w:p>
        </w:tc>
        <w:tc>
          <w:tcPr>
            <w:tcW w:w="3604" w:type="pct"/>
            <w:shd w:val="clear" w:color="auto" w:fill="auto"/>
            <w:vAlign w:val="center"/>
          </w:tcPr>
          <w:p w14:paraId="0F7D65BC" w14:textId="77777777" w:rsidR="009B1B01" w:rsidRPr="00E2771E" w:rsidRDefault="009B1B01" w:rsidP="00C407DD">
            <w:pPr>
              <w:pStyle w:val="TableText0"/>
            </w:pPr>
            <w:r>
              <w:t>ITT population of PROpel: PF=0.82, PD=0.78.</w:t>
            </w:r>
          </w:p>
        </w:tc>
      </w:tr>
    </w:tbl>
    <w:p w14:paraId="215F5666" w14:textId="77777777" w:rsidR="009B1B01" w:rsidRDefault="009B1B01" w:rsidP="004613B7">
      <w:pPr>
        <w:pStyle w:val="FooterTableFigure"/>
        <w:jc w:val="both"/>
      </w:pPr>
      <w:r>
        <w:t>Source: Compiled during the evaluation.</w:t>
      </w:r>
    </w:p>
    <w:p w14:paraId="618245C5" w14:textId="77777777" w:rsidR="009B1B01" w:rsidRDefault="009B1B01" w:rsidP="004613B7">
      <w:pPr>
        <w:pStyle w:val="FooterTableFigure"/>
        <w:jc w:val="both"/>
      </w:pPr>
      <w:r w:rsidRPr="00C5315D">
        <w:t xml:space="preserve">AIC=Akaike information criterion, BIC=Bayesian information criterion, </w:t>
      </w:r>
      <w:r>
        <w:t xml:space="preserve">ITT=intention to treat, </w:t>
      </w:r>
      <w:r w:rsidRPr="00C5315D">
        <w:t xml:space="preserve">NHA=novel hormonal agents, </w:t>
      </w:r>
      <w:r>
        <w:t>OS=overall survival, PD=progressive disease, PF=progression free, r</w:t>
      </w:r>
      <w:r w:rsidRPr="00C5315D">
        <w:t xml:space="preserve">PFS= </w:t>
      </w:r>
      <w:r>
        <w:t xml:space="preserve">radiologic </w:t>
      </w:r>
      <w:r w:rsidRPr="00C5315D">
        <w:t>progression-free survival</w:t>
      </w:r>
      <w:r>
        <w:t xml:space="preserve">, ToT=time on treatment </w:t>
      </w:r>
    </w:p>
    <w:p w14:paraId="5DBB71AD" w14:textId="77777777" w:rsidR="009B1B01" w:rsidRPr="00C5315D" w:rsidRDefault="009B1B01" w:rsidP="004613B7">
      <w:pPr>
        <w:pStyle w:val="FooterTableFigure"/>
        <w:jc w:val="both"/>
      </w:pPr>
      <w:r>
        <w:rPr>
          <w:vertAlign w:val="superscript"/>
        </w:rPr>
        <w:t>a</w:t>
      </w:r>
      <w:r>
        <w:rPr>
          <w:vertAlign w:val="superscript"/>
        </w:rPr>
        <w:tab/>
      </w:r>
      <w:r>
        <w:t xml:space="preserve"> ToT extrapolation was based on visual fit only.</w:t>
      </w:r>
    </w:p>
    <w:p w14:paraId="1776E570" w14:textId="3A55DAEF" w:rsidR="009B1B01" w:rsidRPr="00940BEC" w:rsidRDefault="009B1B01" w:rsidP="009B1B01">
      <w:pPr>
        <w:pStyle w:val="3-BodyText"/>
        <w:rPr>
          <w:color w:val="0066FF"/>
        </w:rPr>
      </w:pPr>
      <w:bookmarkStart w:id="46" w:name="_Ref150845699"/>
      <w:r w:rsidRPr="00F5092F">
        <w:lastRenderedPageBreak/>
        <w:t xml:space="preserve">The </w:t>
      </w:r>
      <w:r w:rsidRPr="005F0A01">
        <w:t>submission nominated a time horizon of 15 years in the base case (10 and 20 years in sensitivity analyses). The submission argued that 15 year</w:t>
      </w:r>
      <w:r>
        <w:t>s</w:t>
      </w:r>
      <w:r w:rsidRPr="005F0A01">
        <w:t xml:space="preserve"> w</w:t>
      </w:r>
      <w:r>
        <w:t>ere</w:t>
      </w:r>
      <w:r w:rsidRPr="005F0A01">
        <w:t xml:space="preserve"> required to reflect </w:t>
      </w:r>
      <w:r w:rsidRPr="00940BEC">
        <w:t xml:space="preserve">all important differences in cost and outcomes, given 20% of patients in the olaparib plus abiraterone arm and 0.9% of patients in the NHA monotherapy arm were expected to remain alive in the model. A shorter time horizon may be more appropriate given the high uncertainty surrounding OS data in the </w:t>
      </w:r>
      <w:r w:rsidR="006C3ED1" w:rsidRPr="00940BEC">
        <w:t>BRCA1/2</w:t>
      </w:r>
      <w:r w:rsidRPr="00940BEC">
        <w:t xml:space="preserve"> subgroup of PROpel and the poor prognosis of these patients.</w:t>
      </w:r>
      <w:r w:rsidR="00C321C4" w:rsidRPr="00940BEC">
        <w:t xml:space="preserve"> The PSCR reiterated that the 15-year time horizon was appropriate given the improvements in PFS (median rPFS = 38.5 months</w:t>
      </w:r>
      <w:r w:rsidR="00A45D4A" w:rsidRPr="00940BEC">
        <w:t xml:space="preserve"> compared to 8.4 months in the placebo arm</w:t>
      </w:r>
      <w:r w:rsidR="00C321C4" w:rsidRPr="00940BEC">
        <w:t>) and OS (70% of patients alive at 3 years) observed in BRCA1/2 patients treated with olaparib plus abiraterone.</w:t>
      </w:r>
      <w:bookmarkEnd w:id="46"/>
    </w:p>
    <w:p w14:paraId="474CBF5F" w14:textId="7FA4A6CF" w:rsidR="009B1B01" w:rsidRPr="00940BEC" w:rsidRDefault="00C321C4" w:rsidP="009B1B01">
      <w:pPr>
        <w:pStyle w:val="3-BodyText"/>
        <w:rPr>
          <w:color w:val="0066FF"/>
        </w:rPr>
      </w:pPr>
      <w:bookmarkStart w:id="47" w:name="_Ref150845718"/>
      <w:r w:rsidRPr="00940BEC">
        <w:t>Further, a</w:t>
      </w:r>
      <w:r w:rsidR="009B1B01" w:rsidRPr="00940BEC">
        <w:t xml:space="preserve"> 15-year time horizon was also not consistent with previous PBAC recommendations in advanced prostate cancer. The PBAC had considered a 10-year time horizon appropriate for darolutamide in non-metastatic (m0CRPC (para</w:t>
      </w:r>
      <w:r w:rsidR="00FB1722">
        <w:t>graph</w:t>
      </w:r>
      <w:r w:rsidR="009B1B01" w:rsidRPr="00940BEC">
        <w:t xml:space="preserve"> 5.9, darolutamide PSD, July 2021); and 10-year and 5-year time horizons appropriate for apalutamide in low-volume and high-volume mHSPC, respectively (Table 2, apalutamide PSD, July 2022). Both m0CRPC and mHSPC are earlier stages in the disease pathway compared to first</w:t>
      </w:r>
      <w:r w:rsidR="00C70570" w:rsidRPr="00940BEC">
        <w:t xml:space="preserve"> </w:t>
      </w:r>
      <w:r w:rsidR="009B1B01" w:rsidRPr="00940BEC">
        <w:t>line mCRPC (as requested for olaparib plus abiraterone in this submission). The PBAC previously recommended a time horizon of 5 years for olaparib in second</w:t>
      </w:r>
      <w:r w:rsidR="00C70570" w:rsidRPr="00940BEC">
        <w:t xml:space="preserve"> </w:t>
      </w:r>
      <w:r w:rsidR="009B1B01" w:rsidRPr="00940BEC">
        <w:t xml:space="preserve">line </w:t>
      </w:r>
      <w:r w:rsidR="00A41905" w:rsidRPr="00940BEC">
        <w:t>BRCA</w:t>
      </w:r>
      <w:r w:rsidR="009B1B01" w:rsidRPr="00940BEC">
        <w:t>-positive mCRPC (para</w:t>
      </w:r>
      <w:r w:rsidR="00FB1722">
        <w:t>graph</w:t>
      </w:r>
      <w:r w:rsidR="009B1B01" w:rsidRPr="00940BEC">
        <w:t xml:space="preserve"> 6.83, olaparib PSD, November 2021).</w:t>
      </w:r>
      <w:r w:rsidR="00CF11D7">
        <w:t xml:space="preserve"> The pre-PBAC response proposed a revised base case in which the time horizon was 10 years, stating that 10 years was sufficient to mitigate the uncertainty associated with the longer extrapolations and would capture the majority of benefits of treatment with olaparib in this setting.</w:t>
      </w:r>
      <w:bookmarkEnd w:id="47"/>
      <w:r w:rsidR="00CF11D7">
        <w:t xml:space="preserve"> </w:t>
      </w:r>
    </w:p>
    <w:p w14:paraId="66567680" w14:textId="512F12B4" w:rsidR="009B1B01" w:rsidRPr="00940BEC" w:rsidRDefault="009B1B01" w:rsidP="009B1B01">
      <w:pPr>
        <w:pStyle w:val="3-BodyText"/>
      </w:pPr>
      <w:r w:rsidRPr="00940BEC">
        <w:fldChar w:fldCharType="begin" w:fldLock="1"/>
      </w:r>
      <w:r w:rsidRPr="00940BEC">
        <w:instrText xml:space="preserve"> REF _Ref143181203 \h </w:instrText>
      </w:r>
      <w:r w:rsidR="00FC3361" w:rsidRPr="00940BEC">
        <w:instrText xml:space="preserve"> \* MERGEFORMAT </w:instrText>
      </w:r>
      <w:r w:rsidRPr="00940BEC">
        <w:fldChar w:fldCharType="separate"/>
      </w:r>
      <w:r w:rsidR="006F331F" w:rsidRPr="00940BEC">
        <w:t xml:space="preserve">Figure </w:t>
      </w:r>
      <w:r w:rsidR="006F331F" w:rsidRPr="00940BEC">
        <w:rPr>
          <w:noProof/>
        </w:rPr>
        <w:t>6</w:t>
      </w:r>
      <w:r w:rsidRPr="00940BEC">
        <w:fldChar w:fldCharType="end"/>
      </w:r>
      <w:r w:rsidRPr="00940BEC">
        <w:t xml:space="preserve"> presents how the ICER increases as the time horizon is reduced from 15 years in the base case to 5 years.</w:t>
      </w:r>
    </w:p>
    <w:p w14:paraId="59681B15" w14:textId="77777777" w:rsidR="00CB7CE2" w:rsidRDefault="00CB7CE2" w:rsidP="00DC7A74">
      <w:pPr>
        <w:pStyle w:val="Caption"/>
        <w:jc w:val="both"/>
      </w:pPr>
      <w:bookmarkStart w:id="48" w:name="_Ref143181203"/>
      <w:r>
        <w:br w:type="page"/>
      </w:r>
    </w:p>
    <w:p w14:paraId="75038EB1" w14:textId="19D9F3BB" w:rsidR="009B1B01" w:rsidRDefault="009B1B01" w:rsidP="00DC7A74">
      <w:pPr>
        <w:pStyle w:val="Caption"/>
        <w:jc w:val="both"/>
      </w:pPr>
      <w:r>
        <w:t xml:space="preserve">Figure </w:t>
      </w:r>
      <w:fldSimple w:instr=" SEQ Figure \* ARABIC " w:fldLock="1">
        <w:r w:rsidR="006F331F">
          <w:rPr>
            <w:noProof/>
          </w:rPr>
          <w:t>6</w:t>
        </w:r>
      </w:fldSimple>
      <w:bookmarkEnd w:id="48"/>
      <w:r>
        <w:t>: ICER changes over modelled time horizon (years)</w:t>
      </w:r>
    </w:p>
    <w:p w14:paraId="248602A8" w14:textId="09F57192" w:rsidR="009B1B01" w:rsidRDefault="009133D2" w:rsidP="009B1B01">
      <w:pPr>
        <w:pStyle w:val="TableFigureFooter"/>
        <w:spacing w:after="0"/>
      </w:pPr>
      <w:r>
        <w:rPr>
          <w:noProof/>
        </w:rPr>
        <w:drawing>
          <wp:inline distT="0" distB="0" distL="0" distR="0" wp14:anchorId="6E47C25E" wp14:editId="2C3F1039">
            <wp:extent cx="5732145" cy="2206625"/>
            <wp:effectExtent l="0" t="0" r="190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2206625"/>
                    </a:xfrm>
                    <a:prstGeom prst="rect">
                      <a:avLst/>
                    </a:prstGeom>
                  </pic:spPr>
                </pic:pic>
              </a:graphicData>
            </a:graphic>
          </wp:inline>
        </w:drawing>
      </w:r>
      <w:r w:rsidR="009B1B01" w:rsidRPr="001F633B">
        <w:t xml:space="preserve">Source: </w:t>
      </w:r>
      <w:r w:rsidR="009B1B01">
        <w:t>Compiled during the evaluation</w:t>
      </w:r>
    </w:p>
    <w:p w14:paraId="53BF376A" w14:textId="77777777" w:rsidR="00C65856" w:rsidRDefault="009B1B01" w:rsidP="000314B7">
      <w:pPr>
        <w:pStyle w:val="TableFigureFooter"/>
        <w:tabs>
          <w:tab w:val="left" w:pos="3119"/>
        </w:tabs>
        <w:spacing w:after="0"/>
        <w:contextualSpacing w:val="0"/>
      </w:pPr>
      <w:r>
        <w:t>ICER=incremental cost-effectiveness ratio</w:t>
      </w:r>
    </w:p>
    <w:p w14:paraId="6C8F8755" w14:textId="77777777" w:rsidR="00C65856" w:rsidRPr="00C65856" w:rsidRDefault="00C65856" w:rsidP="00C65856">
      <w:pPr>
        <w:rPr>
          <w:rFonts w:ascii="Arial Narrow" w:hAnsi="Arial Narrow"/>
          <w:i/>
          <w:sz w:val="18"/>
          <w:szCs w:val="18"/>
        </w:rPr>
      </w:pPr>
      <w:r w:rsidRPr="00C65856">
        <w:rPr>
          <w:rFonts w:ascii="Arial Narrow" w:hAnsi="Arial Narrow"/>
          <w:i/>
          <w:sz w:val="18"/>
          <w:szCs w:val="18"/>
        </w:rPr>
        <w:t xml:space="preserve">The redacted values correspond to the following ranges: </w:t>
      </w:r>
    </w:p>
    <w:p w14:paraId="5947AA09" w14:textId="67C379B8" w:rsidR="00C65856" w:rsidRPr="00C65856" w:rsidRDefault="00C65856" w:rsidP="00C65856">
      <w:pPr>
        <w:rPr>
          <w:rFonts w:ascii="Arial Narrow" w:hAnsi="Arial Narrow"/>
          <w:i/>
          <w:sz w:val="18"/>
          <w:szCs w:val="18"/>
        </w:rPr>
      </w:pPr>
      <w:r w:rsidRPr="00C65856">
        <w:rPr>
          <w:rFonts w:ascii="Arial Narrow" w:hAnsi="Arial Narrow"/>
          <w:i/>
          <w:sz w:val="18"/>
          <w:szCs w:val="18"/>
          <w:vertAlign w:val="superscript"/>
        </w:rPr>
        <w:t>1</w:t>
      </w:r>
      <w:r w:rsidRPr="00C65856">
        <w:rPr>
          <w:rFonts w:ascii="Arial Narrow" w:hAnsi="Arial Narrow"/>
          <w:i/>
          <w:sz w:val="18"/>
          <w:szCs w:val="18"/>
        </w:rPr>
        <w:t xml:space="preserve"> </w:t>
      </w:r>
      <w:r w:rsidR="009133D2" w:rsidRPr="00C65856">
        <w:rPr>
          <w:rFonts w:ascii="Arial Narrow" w:hAnsi="Arial Narrow"/>
          <w:i/>
          <w:sz w:val="18"/>
          <w:szCs w:val="18"/>
        </w:rPr>
        <w:t>$115,000 to &lt; $135,000</w:t>
      </w:r>
      <w:r w:rsidRPr="00C65856">
        <w:rPr>
          <w:rFonts w:ascii="Arial Narrow" w:hAnsi="Arial Narrow"/>
          <w:i/>
          <w:sz w:val="18"/>
          <w:szCs w:val="18"/>
        </w:rPr>
        <w:t xml:space="preserve"> </w:t>
      </w:r>
    </w:p>
    <w:p w14:paraId="2D52F350" w14:textId="35600F1B" w:rsidR="00C65856" w:rsidRPr="00C65856" w:rsidRDefault="00C65856" w:rsidP="00C65856">
      <w:pPr>
        <w:rPr>
          <w:rFonts w:ascii="Arial Narrow" w:hAnsi="Arial Narrow"/>
          <w:i/>
          <w:sz w:val="18"/>
          <w:szCs w:val="18"/>
        </w:rPr>
      </w:pPr>
      <w:r w:rsidRPr="00C65856">
        <w:rPr>
          <w:rFonts w:ascii="Arial Narrow" w:hAnsi="Arial Narrow"/>
          <w:i/>
          <w:sz w:val="18"/>
          <w:szCs w:val="18"/>
          <w:vertAlign w:val="superscript"/>
        </w:rPr>
        <w:t>2</w:t>
      </w:r>
      <w:r w:rsidR="006830F4">
        <w:rPr>
          <w:rFonts w:ascii="Arial Narrow" w:hAnsi="Arial Narrow"/>
          <w:i/>
          <w:sz w:val="18"/>
          <w:szCs w:val="18"/>
          <w:vertAlign w:val="superscript"/>
        </w:rPr>
        <w:t xml:space="preserve"> </w:t>
      </w:r>
      <w:r w:rsidR="009133D2" w:rsidRPr="00C65856">
        <w:rPr>
          <w:rFonts w:ascii="Arial Narrow" w:hAnsi="Arial Narrow"/>
          <w:i/>
          <w:sz w:val="18"/>
          <w:szCs w:val="18"/>
        </w:rPr>
        <w:t xml:space="preserve">$95,000 to &lt; $115,000 </w:t>
      </w:r>
    </w:p>
    <w:p w14:paraId="624D07F2" w14:textId="41C96968" w:rsidR="00C65856" w:rsidRPr="00C65856" w:rsidRDefault="00C65856" w:rsidP="00C65856">
      <w:pPr>
        <w:rPr>
          <w:rFonts w:ascii="Arial Narrow" w:hAnsi="Arial Narrow"/>
          <w:i/>
          <w:sz w:val="18"/>
          <w:szCs w:val="18"/>
        </w:rPr>
      </w:pPr>
      <w:r w:rsidRPr="00C65856">
        <w:rPr>
          <w:rFonts w:ascii="Arial Narrow" w:hAnsi="Arial Narrow"/>
          <w:i/>
          <w:sz w:val="18"/>
          <w:szCs w:val="18"/>
          <w:vertAlign w:val="superscript"/>
        </w:rPr>
        <w:t>3</w:t>
      </w:r>
      <w:r w:rsidR="009133D2" w:rsidRPr="00C65856">
        <w:rPr>
          <w:rFonts w:ascii="Arial Narrow" w:hAnsi="Arial Narrow"/>
          <w:i/>
          <w:sz w:val="18"/>
          <w:szCs w:val="18"/>
        </w:rPr>
        <w:t>$75,000 to &lt; $95,000</w:t>
      </w:r>
      <w:r w:rsidR="006830F4">
        <w:rPr>
          <w:rFonts w:ascii="Arial Narrow" w:hAnsi="Arial Narrow"/>
          <w:i/>
          <w:sz w:val="18"/>
          <w:szCs w:val="18"/>
          <w:vertAlign w:val="superscript"/>
        </w:rPr>
        <w:t xml:space="preserve"> </w:t>
      </w:r>
    </w:p>
    <w:p w14:paraId="4036BE7C" w14:textId="66DD8B7A" w:rsidR="00C65856" w:rsidRPr="00C65856" w:rsidRDefault="00C65856" w:rsidP="00C65856">
      <w:pPr>
        <w:rPr>
          <w:rFonts w:ascii="Arial Narrow" w:hAnsi="Arial Narrow"/>
          <w:i/>
          <w:sz w:val="18"/>
          <w:szCs w:val="18"/>
        </w:rPr>
      </w:pPr>
      <w:r w:rsidRPr="00C65856">
        <w:rPr>
          <w:rFonts w:ascii="Arial Narrow" w:hAnsi="Arial Narrow"/>
          <w:i/>
          <w:sz w:val="18"/>
          <w:szCs w:val="18"/>
          <w:vertAlign w:val="superscript"/>
        </w:rPr>
        <w:lastRenderedPageBreak/>
        <w:t>4</w:t>
      </w:r>
      <w:r w:rsidR="006830F4">
        <w:rPr>
          <w:rFonts w:ascii="Arial Narrow" w:hAnsi="Arial Narrow"/>
          <w:i/>
          <w:sz w:val="18"/>
          <w:szCs w:val="18"/>
          <w:vertAlign w:val="superscript"/>
        </w:rPr>
        <w:t xml:space="preserve"> </w:t>
      </w:r>
      <w:r w:rsidR="009133D2" w:rsidRPr="00C65856">
        <w:rPr>
          <w:rFonts w:ascii="Arial Narrow" w:hAnsi="Arial Narrow"/>
          <w:i/>
          <w:sz w:val="18"/>
          <w:szCs w:val="18"/>
        </w:rPr>
        <w:t>$55,000 to &lt; $75,000</w:t>
      </w:r>
    </w:p>
    <w:p w14:paraId="0F366049" w14:textId="77777777" w:rsidR="00C65856" w:rsidRPr="00C65856" w:rsidRDefault="00C65856" w:rsidP="00C65856">
      <w:pPr>
        <w:rPr>
          <w:rFonts w:ascii="Arial Narrow" w:hAnsi="Arial Narrow"/>
          <w:i/>
          <w:sz w:val="18"/>
          <w:szCs w:val="18"/>
        </w:rPr>
      </w:pPr>
      <w:r w:rsidRPr="00C65856">
        <w:rPr>
          <w:rFonts w:ascii="Arial Narrow" w:hAnsi="Arial Narrow"/>
          <w:i/>
          <w:sz w:val="18"/>
          <w:szCs w:val="18"/>
          <w:vertAlign w:val="superscript"/>
        </w:rPr>
        <w:t xml:space="preserve">5 </w:t>
      </w:r>
      <w:r w:rsidRPr="00C65856">
        <w:rPr>
          <w:rFonts w:ascii="Arial Narrow" w:hAnsi="Arial Narrow"/>
          <w:i/>
          <w:sz w:val="18"/>
          <w:szCs w:val="18"/>
        </w:rPr>
        <w:t>$35,000 to &lt; $45,000</w:t>
      </w:r>
    </w:p>
    <w:p w14:paraId="328C369F" w14:textId="2CA2D84D" w:rsidR="009B1B01" w:rsidRDefault="00C65856" w:rsidP="006830F4">
      <w:pPr>
        <w:spacing w:after="120"/>
      </w:pPr>
      <w:r w:rsidRPr="00C65856">
        <w:rPr>
          <w:rFonts w:ascii="Arial Narrow" w:hAnsi="Arial Narrow"/>
          <w:i/>
          <w:sz w:val="18"/>
          <w:szCs w:val="18"/>
          <w:vertAlign w:val="superscript"/>
        </w:rPr>
        <w:t>6</w:t>
      </w:r>
      <w:r w:rsidR="006830F4">
        <w:rPr>
          <w:rFonts w:ascii="Arial Narrow" w:hAnsi="Arial Narrow"/>
          <w:i/>
          <w:sz w:val="18"/>
          <w:szCs w:val="18"/>
        </w:rPr>
        <w:t xml:space="preserve"> </w:t>
      </w:r>
      <w:r w:rsidRPr="00C65856">
        <w:rPr>
          <w:rFonts w:ascii="Arial Narrow" w:hAnsi="Arial Narrow"/>
          <w:i/>
          <w:sz w:val="18"/>
          <w:szCs w:val="18"/>
        </w:rPr>
        <w:t>$15,000 to &lt; $25,000</w:t>
      </w:r>
    </w:p>
    <w:p w14:paraId="48184FF2" w14:textId="00819BCE" w:rsidR="009B1B01" w:rsidRPr="00021AA5" w:rsidRDefault="009B1B01" w:rsidP="009B1B01">
      <w:pPr>
        <w:pStyle w:val="3-BodyText"/>
      </w:pPr>
      <w:r w:rsidRPr="00021AA5">
        <w:t>Outcomes in the model were based on PROpel</w:t>
      </w:r>
      <w:r w:rsidR="005E1B84" w:rsidRPr="00021AA5">
        <w:t>;</w:t>
      </w:r>
      <w:r w:rsidRPr="00021AA5">
        <w:t xml:space="preserve"> however</w:t>
      </w:r>
      <w:r w:rsidR="005E1B84" w:rsidRPr="00021AA5">
        <w:t>,</w:t>
      </w:r>
      <w:r w:rsidRPr="00021AA5">
        <w:t xml:space="preserve"> the submission used data from the ITT population and </w:t>
      </w:r>
      <w:r w:rsidR="006C3ED1" w:rsidRPr="00021AA5">
        <w:t>BRCA1/2</w:t>
      </w:r>
      <w:r w:rsidRPr="00021AA5">
        <w:t xml:space="preserve"> subgroup inconsistently throughout the model. Survival inputs (OS and rPFS) were derived from patient-level data in the </w:t>
      </w:r>
      <w:r w:rsidR="006C3ED1" w:rsidRPr="00021AA5">
        <w:t>BRCA1/2</w:t>
      </w:r>
      <w:r w:rsidRPr="00021AA5">
        <w:t xml:space="preserve"> subgroup, while baseline characteristics, utility values, safety data, and subsequent treatments were obtained from the ITT population. </w:t>
      </w:r>
    </w:p>
    <w:p w14:paraId="67BFDD1D" w14:textId="6BD547E9" w:rsidR="009B1B01" w:rsidRPr="00940BEC" w:rsidRDefault="009B1B01" w:rsidP="009B1B01">
      <w:pPr>
        <w:pStyle w:val="3-BodyText"/>
      </w:pPr>
      <w:bookmarkStart w:id="49" w:name="_Ref144456157"/>
      <w:bookmarkStart w:id="50" w:name="_Ref148007781"/>
      <w:r w:rsidRPr="00940BEC">
        <w:t xml:space="preserve">The submission stated that time on treatment (ToT) </w:t>
      </w:r>
      <w:r w:rsidR="003A44AB" w:rsidRPr="00940BEC">
        <w:t>for olaparib, abiraterone (in combination with olaparib) and NHA monotherapy were</w:t>
      </w:r>
      <w:r w:rsidRPr="00940BEC">
        <w:t xml:space="preserve"> extrapolated </w:t>
      </w:r>
      <w:r w:rsidR="003A44AB" w:rsidRPr="00940BEC">
        <w:t xml:space="preserve">using the exponential function </w:t>
      </w:r>
      <w:r w:rsidRPr="00940BEC">
        <w:t xml:space="preserve">from patient-level data from the </w:t>
      </w:r>
      <w:r w:rsidR="006C3ED1" w:rsidRPr="00940BEC">
        <w:t>BRCA1/2</w:t>
      </w:r>
      <w:r w:rsidRPr="00940BEC">
        <w:t xml:space="preserve"> subgroup in PROpel. The extrapolation was conducted based on a visual assessment of model curves (</w:t>
      </w:r>
      <w:r w:rsidRPr="00940BEC">
        <w:fldChar w:fldCharType="begin" w:fldLock="1"/>
      </w:r>
      <w:r w:rsidRPr="00940BEC">
        <w:instrText xml:space="preserve"> REF _Ref143100653 \h </w:instrText>
      </w:r>
      <w:r w:rsidR="00940BEC" w:rsidRPr="00940BEC">
        <w:instrText xml:space="preserve"> \* MERGEFORMAT </w:instrText>
      </w:r>
      <w:r w:rsidRPr="00940BEC">
        <w:fldChar w:fldCharType="separate"/>
      </w:r>
      <w:r w:rsidR="006F331F" w:rsidRPr="00940BEC">
        <w:t xml:space="preserve">Figure </w:t>
      </w:r>
      <w:r w:rsidR="006F331F" w:rsidRPr="00940BEC">
        <w:rPr>
          <w:noProof/>
        </w:rPr>
        <w:t>7</w:t>
      </w:r>
      <w:r w:rsidRPr="00940BEC">
        <w:fldChar w:fldCharType="end"/>
      </w:r>
      <w:r w:rsidRPr="00940BEC">
        <w:t xml:space="preserve">). The submission did not specify which data were used to derive the ToT </w:t>
      </w:r>
      <w:r w:rsidR="00FB1722">
        <w:t>Kaplan-Meier curves</w:t>
      </w:r>
      <w:r w:rsidR="00FB1722" w:rsidRPr="00940BEC">
        <w:t xml:space="preserve"> </w:t>
      </w:r>
      <w:r w:rsidRPr="00940BEC">
        <w:t xml:space="preserve">applied </w:t>
      </w:r>
      <w:r w:rsidR="00FB1722">
        <w:t>in</w:t>
      </w:r>
      <w:r w:rsidRPr="00940BEC">
        <w:t xml:space="preserve"> the model. </w:t>
      </w:r>
      <w:r w:rsidRPr="00940BEC">
        <w:rPr>
          <w:lang w:val="en-GB"/>
        </w:rPr>
        <w:t xml:space="preserve">This created a high level of uncertainty around these estimates, given treatment exposure data for the </w:t>
      </w:r>
      <w:r w:rsidR="006C3ED1" w:rsidRPr="00940BEC">
        <w:rPr>
          <w:lang w:val="en-GB"/>
        </w:rPr>
        <w:t>BRCA1/2</w:t>
      </w:r>
      <w:r w:rsidRPr="00940BEC">
        <w:rPr>
          <w:lang w:val="en-GB"/>
        </w:rPr>
        <w:t xml:space="preserve"> subgroup were not presented by the submission. </w:t>
      </w:r>
      <w:r w:rsidRPr="00940BEC">
        <w:t xml:space="preserve">A sensitivity analysis conducted during the evaluation to explore the impact of using PFS data as proxy for ToT increased the ICER by </w:t>
      </w:r>
      <w:r w:rsidR="003C22C5" w:rsidRPr="003C22C5">
        <w:t xml:space="preserve"> </w:t>
      </w:r>
      <w:r w:rsidR="00B7116A" w:rsidRPr="0026182E">
        <w:rPr>
          <w:color w:val="000000"/>
          <w:w w:val="15"/>
          <w:shd w:val="solid" w:color="000000" w:fill="000000"/>
          <w:fitText w:val="-20" w:id="-1031540985"/>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5"/>
          <w14:textFill>
            <w14:solidFill>
              <w14:srgbClr w14:val="000000">
                <w14:alpha w14:val="100000"/>
              </w14:srgbClr>
            </w14:solidFill>
          </w14:textFill>
        </w:rPr>
        <w:t>|</w:t>
      </w:r>
      <w:r w:rsidRPr="00940BEC">
        <w:t>% to $</w:t>
      </w:r>
      <w:r w:rsidR="00313F0F" w:rsidRPr="00313F0F">
        <w:t>75,000 to &lt; $95,000</w:t>
      </w:r>
      <w:r w:rsidR="00313F0F">
        <w:t xml:space="preserve"> </w:t>
      </w:r>
      <w:r w:rsidRPr="00940BEC">
        <w:t>from a base case of $</w:t>
      </w:r>
      <w:r w:rsidR="00313F0F" w:rsidRPr="00313F0F">
        <w:t xml:space="preserve">55,000 to &lt; $75,000 </w:t>
      </w:r>
      <w:r w:rsidRPr="00940BEC">
        <w:t>per QALY gained.</w:t>
      </w:r>
      <w:bookmarkEnd w:id="49"/>
      <w:r w:rsidR="00B87979" w:rsidRPr="00940BEC">
        <w:t xml:space="preserve"> The PSCR presented the duration of exposure data for the BRCA1/2 subgroup which indicated that the median ToT in the PROpel trial was 31.44 months in the olaparib plus abiraterone arm and 9.85 months in the abiraterone plus placebo arm. </w:t>
      </w:r>
      <w:bookmarkEnd w:id="50"/>
    </w:p>
    <w:p w14:paraId="5FD66040" w14:textId="12123921" w:rsidR="00531272" w:rsidRPr="00940BEC" w:rsidRDefault="00531272" w:rsidP="009B1B01">
      <w:pPr>
        <w:pStyle w:val="3-BodyText"/>
      </w:pPr>
      <w:bookmarkStart w:id="51" w:name="_Ref143507435"/>
      <w:r w:rsidRPr="00940BEC">
        <w:rPr>
          <w:lang w:val="en-GB"/>
        </w:rPr>
        <w:t>Based on the submission</w:t>
      </w:r>
      <w:r w:rsidR="00E3005B" w:rsidRPr="00940BEC">
        <w:rPr>
          <w:lang w:val="en-GB"/>
        </w:rPr>
        <w:t xml:space="preserve">’s extrapolated </w:t>
      </w:r>
      <w:r w:rsidRPr="00940BEC">
        <w:rPr>
          <w:lang w:val="en-GB"/>
        </w:rPr>
        <w:t xml:space="preserve">ToT </w:t>
      </w:r>
      <w:r w:rsidR="00FB1722">
        <w:rPr>
          <w:lang w:val="en-GB"/>
        </w:rPr>
        <w:t xml:space="preserve">Kaplan-Meier </w:t>
      </w:r>
      <w:r w:rsidRPr="00940BEC">
        <w:rPr>
          <w:lang w:val="en-GB"/>
        </w:rPr>
        <w:t xml:space="preserve">curve for the abiraterone monotherapy arm, the mean duration of treatment for NHA monotherapy </w:t>
      </w:r>
      <w:r w:rsidR="00E3005B" w:rsidRPr="00940BEC">
        <w:rPr>
          <w:lang w:val="en-GB"/>
        </w:rPr>
        <w:t xml:space="preserve">in the model </w:t>
      </w:r>
      <w:r w:rsidRPr="00940BEC">
        <w:rPr>
          <w:lang w:val="en-GB"/>
        </w:rPr>
        <w:t xml:space="preserve">14.3 months. This may be an overestimate compared to mean NHA treatment duration on the PBS. A recent DUSC analysis in April 2022 indicated the average PBS treatment durations for abiraterone and enzalutamide were 9 and 12 months, respectively, or 11.8 months combined (assuming zero treatment breaks). However, the DUSC estimates were not specific to a </w:t>
      </w:r>
      <w:r w:rsidR="006C3ED1" w:rsidRPr="00940BEC">
        <w:rPr>
          <w:lang w:val="en-GB"/>
        </w:rPr>
        <w:t>BRCA1/2</w:t>
      </w:r>
      <w:r w:rsidRPr="00940BEC">
        <w:rPr>
          <w:lang w:val="en-GB"/>
        </w:rPr>
        <w:t xml:space="preserve"> population (para</w:t>
      </w:r>
      <w:r w:rsidR="00FB1722">
        <w:rPr>
          <w:lang w:val="en-GB"/>
        </w:rPr>
        <w:t>graph</w:t>
      </w:r>
      <w:r w:rsidRPr="00940BEC">
        <w:rPr>
          <w:lang w:val="en-GB"/>
        </w:rPr>
        <w:t xml:space="preserve"> 6.26</w:t>
      </w:r>
      <w:r w:rsidR="00FC3361" w:rsidRPr="00940BEC">
        <w:rPr>
          <w:lang w:val="en-GB"/>
        </w:rPr>
        <w:t>,</w:t>
      </w:r>
      <w:r w:rsidRPr="00940BEC">
        <w:rPr>
          <w:lang w:val="en-GB"/>
        </w:rPr>
        <w:t xml:space="preserve"> </w:t>
      </w:r>
      <w:r w:rsidR="00066119" w:rsidRPr="00940BEC">
        <w:rPr>
          <w:lang w:val="en-GB"/>
        </w:rPr>
        <w:t>a</w:t>
      </w:r>
      <w:r w:rsidRPr="00940BEC">
        <w:rPr>
          <w:lang w:val="en-GB"/>
        </w:rPr>
        <w:t>palutamide PSD</w:t>
      </w:r>
      <w:r w:rsidR="00FC3361" w:rsidRPr="00940BEC">
        <w:rPr>
          <w:lang w:val="en-GB"/>
        </w:rPr>
        <w:t>,</w:t>
      </w:r>
      <w:r w:rsidRPr="00940BEC">
        <w:rPr>
          <w:lang w:val="en-GB"/>
        </w:rPr>
        <w:t xml:space="preserve"> July 2022).</w:t>
      </w:r>
      <w:bookmarkEnd w:id="51"/>
      <w:r w:rsidR="00C321C4" w:rsidRPr="00940BEC">
        <w:rPr>
          <w:lang w:val="en-GB"/>
        </w:rPr>
        <w:t xml:space="preserve"> The PSCR stated that reducing the duration of NHA monotherapy treatment to 11.8 months increased the ICER by 1.1%, indicating that it was not a key driver of the model.</w:t>
      </w:r>
      <w:r w:rsidR="00013101" w:rsidRPr="00940BEC">
        <w:rPr>
          <w:lang w:val="en-GB"/>
        </w:rPr>
        <w:t xml:space="preserve"> The ESC considered that the duration of NHA monotherapy in BRCA1/2 patients was likely to be less than that estimated by DUSC as these patients do not respond as well to NHA therapy.</w:t>
      </w:r>
    </w:p>
    <w:p w14:paraId="46929872" w14:textId="53895E0C" w:rsidR="009B1B01" w:rsidRDefault="009B1B01" w:rsidP="004613B7">
      <w:pPr>
        <w:pStyle w:val="TableFigureHeading"/>
      </w:pPr>
      <w:bookmarkStart w:id="52" w:name="_Ref143100653"/>
      <w:r>
        <w:lastRenderedPageBreak/>
        <w:t xml:space="preserve">Figure </w:t>
      </w:r>
      <w:fldSimple w:instr=" SEQ Figure \* ARABIC " w:fldLock="1">
        <w:r w:rsidR="006F331F">
          <w:rPr>
            <w:noProof/>
          </w:rPr>
          <w:t>7</w:t>
        </w:r>
      </w:fldSimple>
      <w:bookmarkEnd w:id="52"/>
      <w:r>
        <w:t xml:space="preserve">: </w:t>
      </w:r>
      <w:r w:rsidRPr="00896079">
        <w:t>Extrapolation of</w:t>
      </w:r>
      <w:r>
        <w:t xml:space="preserve"> ToT</w:t>
      </w:r>
      <w:r w:rsidRPr="00896079">
        <w:t xml:space="preserve"> for the olaparib plus abiraterone and NHA arms of the model</w:t>
      </w:r>
    </w:p>
    <w:p w14:paraId="00EF315F" w14:textId="77777777" w:rsidR="009B1B01" w:rsidRDefault="009B1B01" w:rsidP="004613B7">
      <w:pPr>
        <w:keepNext/>
      </w:pPr>
      <w:r>
        <w:rPr>
          <w:noProof/>
        </w:rPr>
        <w:drawing>
          <wp:inline distT="0" distB="0" distL="0" distR="0" wp14:anchorId="5555E4F7" wp14:editId="73859D61">
            <wp:extent cx="5549988" cy="36703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7749" cy="3734951"/>
                    </a:xfrm>
                    <a:prstGeom prst="rect">
                      <a:avLst/>
                    </a:prstGeom>
                    <a:noFill/>
                  </pic:spPr>
                </pic:pic>
              </a:graphicData>
            </a:graphic>
          </wp:inline>
        </w:drawing>
      </w:r>
    </w:p>
    <w:p w14:paraId="7345C8D3" w14:textId="77777777" w:rsidR="009B1B01" w:rsidRDefault="009B1B01" w:rsidP="004613B7">
      <w:pPr>
        <w:pStyle w:val="TableFooter"/>
        <w:keepNext/>
      </w:pPr>
      <w:r w:rsidRPr="00993605">
        <w:t>Source: compiled during the evaluation</w:t>
      </w:r>
    </w:p>
    <w:p w14:paraId="57363326" w14:textId="77777777" w:rsidR="009B1B01" w:rsidRPr="00993605" w:rsidRDefault="009B1B01" w:rsidP="004613B7">
      <w:pPr>
        <w:pStyle w:val="TableFooter"/>
        <w:keepNext/>
      </w:pPr>
      <w:r>
        <w:t>Note: extrapolation truncated to 60 months</w:t>
      </w:r>
    </w:p>
    <w:p w14:paraId="55551EC8" w14:textId="2AF9CA8E" w:rsidR="009B1B01" w:rsidRDefault="009B1B01" w:rsidP="004613B7">
      <w:pPr>
        <w:pStyle w:val="TableFooter"/>
        <w:spacing w:after="120"/>
      </w:pPr>
      <w:r w:rsidRPr="00993605">
        <w:t>ABI=abiraterone, KM=Kaplan-Meier, NHA=new hormonal agents, OLA=olaparib, ToT=time on treatment</w:t>
      </w:r>
    </w:p>
    <w:p w14:paraId="0F0E03B7" w14:textId="5C749A4D" w:rsidR="009B1B01" w:rsidRPr="00940BEC" w:rsidRDefault="009B1B01" w:rsidP="00CA079B">
      <w:pPr>
        <w:pStyle w:val="3-BodyText"/>
      </w:pPr>
      <w:r w:rsidRPr="00940BEC">
        <w:t xml:space="preserve">The model extrapolated PFS and OS </w:t>
      </w:r>
      <w:r w:rsidR="00FB1722">
        <w:t>Kaplan-Meier</w:t>
      </w:r>
      <w:r w:rsidR="00FB1722" w:rsidRPr="00940BEC">
        <w:t xml:space="preserve"> </w:t>
      </w:r>
      <w:r w:rsidRPr="00940BEC">
        <w:t xml:space="preserve">data in the </w:t>
      </w:r>
      <w:r w:rsidR="006C3ED1" w:rsidRPr="00940BEC">
        <w:t>BRCA1/2</w:t>
      </w:r>
      <w:r w:rsidRPr="00940BEC">
        <w:t xml:space="preserve"> subgroup from median follow-up (36 months) using independently-fitted parametric extrapolations for each treatment arm. </w:t>
      </w:r>
      <w:r w:rsidR="00CA079B" w:rsidRPr="00940BEC">
        <w:t>The sponsor conducted a sensitivity analysis assuming proportional hazard</w:t>
      </w:r>
      <w:r w:rsidR="007C6AE3" w:rsidRPr="00940BEC">
        <w:t>s</w:t>
      </w:r>
      <w:r w:rsidR="00CA079B" w:rsidRPr="00940BEC">
        <w:t xml:space="preserve"> using the </w:t>
      </w:r>
      <w:r w:rsidR="00FB1722">
        <w:t>hazard ratios</w:t>
      </w:r>
      <w:r w:rsidR="00FB1722" w:rsidRPr="00940BEC">
        <w:t xml:space="preserve"> </w:t>
      </w:r>
      <w:r w:rsidR="00CA079B" w:rsidRPr="00940BEC">
        <w:t>reported in PROpel (OS</w:t>
      </w:r>
      <w:r w:rsidR="00FB1722">
        <w:t xml:space="preserve"> </w:t>
      </w:r>
      <w:r w:rsidR="00CA079B" w:rsidRPr="00940BEC">
        <w:t>=</w:t>
      </w:r>
      <w:r w:rsidR="00FB1722">
        <w:t xml:space="preserve"> </w:t>
      </w:r>
      <w:r w:rsidR="00CA079B" w:rsidRPr="00940BEC">
        <w:t>0.29, PFS</w:t>
      </w:r>
      <w:r w:rsidR="00FB1722">
        <w:t xml:space="preserve"> </w:t>
      </w:r>
      <w:r w:rsidR="00CA079B" w:rsidRPr="00940BEC">
        <w:t>=</w:t>
      </w:r>
      <w:r w:rsidR="00FB1722">
        <w:t xml:space="preserve"> </w:t>
      </w:r>
      <w:r w:rsidR="00CA079B" w:rsidRPr="00940BEC">
        <w:t>0.23)</w:t>
      </w:r>
      <w:r w:rsidR="007E324F" w:rsidRPr="00940BEC">
        <w:t xml:space="preserve">. This resulted in a minimal increase in the ICER (0.81%). </w:t>
      </w:r>
    </w:p>
    <w:p w14:paraId="27B141AC" w14:textId="4C60FD2C" w:rsidR="009B1B01" w:rsidRPr="00940BEC" w:rsidRDefault="009B1B01" w:rsidP="009B1B01">
      <w:pPr>
        <w:pStyle w:val="3-BodyText"/>
      </w:pPr>
      <w:r w:rsidRPr="00940BEC">
        <w:t>A l</w:t>
      </w:r>
      <w:r w:rsidRPr="00940BEC">
        <w:rPr>
          <w:rFonts w:cs="Times New Roman"/>
          <w:color w:val="000000"/>
          <w:lang w:eastAsia="en-GB"/>
        </w:rPr>
        <w:t>og-normal function was selected for the extrapolation of rPFS in both arms (</w:t>
      </w:r>
      <w:r w:rsidRPr="00940BEC">
        <w:rPr>
          <w:rFonts w:cs="Times New Roman"/>
          <w:color w:val="000000"/>
          <w:lang w:eastAsia="en-GB"/>
        </w:rPr>
        <w:fldChar w:fldCharType="begin" w:fldLock="1"/>
      </w:r>
      <w:r w:rsidRPr="00940BEC">
        <w:rPr>
          <w:rFonts w:cs="Times New Roman"/>
          <w:color w:val="000000"/>
          <w:lang w:eastAsia="en-GB"/>
        </w:rPr>
        <w:instrText xml:space="preserve"> REF _Ref143098711 \h </w:instrText>
      </w:r>
      <w:r w:rsidR="00940BEC" w:rsidRPr="00940BEC">
        <w:rPr>
          <w:rFonts w:cs="Times New Roman"/>
          <w:color w:val="000000"/>
          <w:lang w:eastAsia="en-GB"/>
        </w:rPr>
        <w:instrText xml:space="preserve"> \* MERGEFORMAT </w:instrText>
      </w:r>
      <w:r w:rsidRPr="00940BEC">
        <w:rPr>
          <w:rFonts w:cs="Times New Roman"/>
          <w:color w:val="000000"/>
          <w:lang w:eastAsia="en-GB"/>
        </w:rPr>
      </w:r>
      <w:r w:rsidRPr="00940BEC">
        <w:rPr>
          <w:rFonts w:cs="Times New Roman"/>
          <w:color w:val="000000"/>
          <w:lang w:eastAsia="en-GB"/>
        </w:rPr>
        <w:fldChar w:fldCharType="separate"/>
      </w:r>
      <w:r w:rsidR="006F331F" w:rsidRPr="00940BEC">
        <w:t xml:space="preserve">Figure </w:t>
      </w:r>
      <w:r w:rsidR="006F331F" w:rsidRPr="00940BEC">
        <w:rPr>
          <w:noProof/>
        </w:rPr>
        <w:t>8</w:t>
      </w:r>
      <w:r w:rsidRPr="00940BEC">
        <w:rPr>
          <w:rFonts w:cs="Times New Roman"/>
          <w:color w:val="000000"/>
          <w:lang w:eastAsia="en-GB"/>
        </w:rPr>
        <w:fldChar w:fldCharType="end"/>
      </w:r>
      <w:r w:rsidRPr="00940BEC">
        <w:rPr>
          <w:rFonts w:cs="Times New Roman"/>
          <w:color w:val="000000"/>
          <w:lang w:eastAsia="en-GB"/>
        </w:rPr>
        <w:t>).</w:t>
      </w:r>
    </w:p>
    <w:p w14:paraId="5631342E" w14:textId="0856386D" w:rsidR="009B1B01" w:rsidRDefault="009B1B01" w:rsidP="009B1B01">
      <w:pPr>
        <w:pStyle w:val="Caption"/>
      </w:pPr>
      <w:bookmarkStart w:id="53" w:name="_Ref143098711"/>
      <w:r>
        <w:lastRenderedPageBreak/>
        <w:t xml:space="preserve">Figure </w:t>
      </w:r>
      <w:fldSimple w:instr=" SEQ Figure \* ARABIC " w:fldLock="1">
        <w:r w:rsidR="006F331F">
          <w:rPr>
            <w:noProof/>
          </w:rPr>
          <w:t>8</w:t>
        </w:r>
      </w:fldSimple>
      <w:bookmarkEnd w:id="53"/>
      <w:r>
        <w:t xml:space="preserve">: </w:t>
      </w:r>
      <w:r w:rsidRPr="000346C3">
        <w:t>Extrapolation of rPFS for the olaparib plus abiraterone and NHA arms of the model</w:t>
      </w:r>
    </w:p>
    <w:p w14:paraId="38ABBA9A" w14:textId="77777777" w:rsidR="009B1B01" w:rsidRDefault="009B1B01" w:rsidP="009B1B01">
      <w:r>
        <w:rPr>
          <w:noProof/>
        </w:rPr>
        <w:drawing>
          <wp:inline distT="0" distB="0" distL="0" distR="0" wp14:anchorId="6C5B76F9" wp14:editId="0BF00E12">
            <wp:extent cx="4389120" cy="28658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9120" cy="2865801"/>
                    </a:xfrm>
                    <a:prstGeom prst="rect">
                      <a:avLst/>
                    </a:prstGeom>
                    <a:noFill/>
                  </pic:spPr>
                </pic:pic>
              </a:graphicData>
            </a:graphic>
          </wp:inline>
        </w:drawing>
      </w:r>
    </w:p>
    <w:p w14:paraId="2F228362" w14:textId="77777777" w:rsidR="009B1B01" w:rsidRDefault="009B1B01" w:rsidP="009B1B01">
      <w:pPr>
        <w:pStyle w:val="TableFooter"/>
      </w:pPr>
      <w:r>
        <w:t xml:space="preserve">Source: </w:t>
      </w:r>
      <w:r w:rsidRPr="00247DD1">
        <w:t>Compiled during the evaluation</w:t>
      </w:r>
    </w:p>
    <w:p w14:paraId="5A170D7C" w14:textId="77777777" w:rsidR="009B1B01" w:rsidRDefault="009B1B01" w:rsidP="009B1B01">
      <w:pPr>
        <w:pStyle w:val="TableFooter"/>
      </w:pPr>
      <w:r>
        <w:t>Note: extrapolation truncated to 60 months</w:t>
      </w:r>
    </w:p>
    <w:p w14:paraId="12A8CC43" w14:textId="11B92B1F" w:rsidR="009B1B01" w:rsidRPr="000346C3" w:rsidRDefault="009B1B01" w:rsidP="004613B7">
      <w:pPr>
        <w:pStyle w:val="TableFooter"/>
        <w:spacing w:after="120"/>
      </w:pPr>
      <w:r>
        <w:t>ABI= abiraterone, KM=Kaplan-Meier, NHA=novel hormonal agent, OLA=olaparib, rPFS=</w:t>
      </w:r>
      <w:r w:rsidR="001611B5">
        <w:t xml:space="preserve">radiological </w:t>
      </w:r>
      <w:r>
        <w:t>progression free survival</w:t>
      </w:r>
    </w:p>
    <w:p w14:paraId="70B0E281" w14:textId="7A06F398" w:rsidR="009B1B01" w:rsidRPr="00021AA5" w:rsidRDefault="009B1B01" w:rsidP="009B1B01">
      <w:pPr>
        <w:pStyle w:val="3-BodyText"/>
      </w:pPr>
      <w:r>
        <w:rPr>
          <w:rFonts w:cs="Times New Roman"/>
          <w:iCs/>
          <w:color w:val="000000"/>
          <w:lang w:eastAsia="en-GB"/>
        </w:rPr>
        <w:t>E</w:t>
      </w:r>
      <w:r w:rsidRPr="001C1D8A">
        <w:rPr>
          <w:rFonts w:cs="Times New Roman"/>
          <w:iCs/>
          <w:color w:val="000000"/>
          <w:lang w:eastAsia="en-GB"/>
        </w:rPr>
        <w:t>xponential and log-logistic were chosen for OS</w:t>
      </w:r>
      <w:r>
        <w:rPr>
          <w:rFonts w:cs="Times New Roman"/>
          <w:iCs/>
          <w:color w:val="000000"/>
          <w:lang w:eastAsia="en-GB"/>
        </w:rPr>
        <w:t xml:space="preserve"> in the</w:t>
      </w:r>
      <w:r w:rsidRPr="001C1D8A">
        <w:rPr>
          <w:rFonts w:cs="Times New Roman"/>
          <w:iCs/>
          <w:color w:val="000000"/>
          <w:lang w:eastAsia="en-GB"/>
        </w:rPr>
        <w:t xml:space="preserve"> intervention and comparator arms, respectively </w:t>
      </w:r>
      <w:r>
        <w:rPr>
          <w:rFonts w:cs="Times New Roman"/>
          <w:iCs/>
          <w:color w:val="000000"/>
          <w:lang w:eastAsia="en-GB"/>
        </w:rPr>
        <w:t>(</w:t>
      </w:r>
      <w:r>
        <w:rPr>
          <w:iCs/>
          <w:lang w:val="en-US"/>
        </w:rPr>
        <w:fldChar w:fldCharType="begin" w:fldLock="1"/>
      </w:r>
      <w:r>
        <w:rPr>
          <w:rFonts w:cs="Times New Roman"/>
          <w:iCs/>
          <w:color w:val="000000"/>
          <w:lang w:eastAsia="en-GB"/>
        </w:rPr>
        <w:instrText xml:space="preserve"> REF _Ref143099836 \h </w:instrText>
      </w:r>
      <w:r>
        <w:rPr>
          <w:iCs/>
          <w:lang w:val="en-US"/>
        </w:rPr>
      </w:r>
      <w:r>
        <w:rPr>
          <w:iCs/>
          <w:lang w:val="en-US"/>
        </w:rPr>
        <w:fldChar w:fldCharType="separate"/>
      </w:r>
      <w:r w:rsidR="006F331F">
        <w:t xml:space="preserve">Figure </w:t>
      </w:r>
      <w:r w:rsidR="006F331F">
        <w:rPr>
          <w:noProof/>
        </w:rPr>
        <w:t>9</w:t>
      </w:r>
      <w:r>
        <w:rPr>
          <w:iCs/>
          <w:lang w:val="en-US"/>
        </w:rPr>
        <w:fldChar w:fldCharType="end"/>
      </w:r>
      <w:r w:rsidRPr="001C1D8A">
        <w:rPr>
          <w:iCs/>
          <w:lang w:val="en-US"/>
        </w:rPr>
        <w:t>)</w:t>
      </w:r>
      <w:r w:rsidRPr="001C1D8A">
        <w:rPr>
          <w:iCs/>
        </w:rPr>
        <w:t>.</w:t>
      </w:r>
      <w:r>
        <w:rPr>
          <w:rFonts w:cs="Times New Roman"/>
          <w:iCs/>
          <w:color w:val="000000"/>
          <w:lang w:eastAsia="en-GB"/>
        </w:rPr>
        <w:t xml:space="preserve"> </w:t>
      </w:r>
    </w:p>
    <w:p w14:paraId="4CEE6998" w14:textId="0A18416F" w:rsidR="009B1B01" w:rsidRDefault="009B1B01" w:rsidP="009B1B01">
      <w:pPr>
        <w:pStyle w:val="Caption"/>
      </w:pPr>
      <w:bookmarkStart w:id="54" w:name="_Ref143099836"/>
      <w:r>
        <w:t xml:space="preserve">Figure </w:t>
      </w:r>
      <w:fldSimple w:instr=" SEQ Figure \* ARABIC " w:fldLock="1">
        <w:r w:rsidR="006F331F">
          <w:rPr>
            <w:noProof/>
          </w:rPr>
          <w:t>9</w:t>
        </w:r>
      </w:fldSimple>
      <w:bookmarkEnd w:id="54"/>
      <w:r>
        <w:t xml:space="preserve">: </w:t>
      </w:r>
      <w:r w:rsidRPr="00896079">
        <w:t>Extrapolation of OS for the olaparib plus abiraterone and NHA arms of the model</w:t>
      </w:r>
    </w:p>
    <w:p w14:paraId="7155DA70" w14:textId="77777777" w:rsidR="009B1B01" w:rsidRDefault="009B1B01" w:rsidP="009B1B01">
      <w:r>
        <w:rPr>
          <w:noProof/>
        </w:rPr>
        <w:drawing>
          <wp:inline distT="0" distB="0" distL="0" distR="0" wp14:anchorId="13587354" wp14:editId="434D0620">
            <wp:extent cx="4396435" cy="287058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1008" cy="2912742"/>
                    </a:xfrm>
                    <a:prstGeom prst="rect">
                      <a:avLst/>
                    </a:prstGeom>
                    <a:noFill/>
                  </pic:spPr>
                </pic:pic>
              </a:graphicData>
            </a:graphic>
          </wp:inline>
        </w:drawing>
      </w:r>
    </w:p>
    <w:p w14:paraId="05A9DBF3" w14:textId="77777777" w:rsidR="009B1B01" w:rsidRDefault="009B1B01" w:rsidP="009B1B01">
      <w:pPr>
        <w:pStyle w:val="TableFooter"/>
      </w:pPr>
      <w:r>
        <w:t>Source: compiled during the evaluation</w:t>
      </w:r>
    </w:p>
    <w:p w14:paraId="6067A40F" w14:textId="77777777" w:rsidR="009B1B01" w:rsidRDefault="009B1B01" w:rsidP="009B1B01">
      <w:pPr>
        <w:pStyle w:val="TableFooter"/>
      </w:pPr>
      <w:r>
        <w:t>Note: extrapolation truncated to 60 months</w:t>
      </w:r>
    </w:p>
    <w:p w14:paraId="030DC8CA" w14:textId="512ECB0D" w:rsidR="009B1B01" w:rsidRPr="00247DD1" w:rsidRDefault="009B1B01" w:rsidP="004613B7">
      <w:pPr>
        <w:pStyle w:val="TableFooter"/>
        <w:spacing w:after="120"/>
        <w:jc w:val="both"/>
      </w:pPr>
      <w:r>
        <w:t>ABI=abiraterone, KM=Kaplan-Meier, NHA=novel hormonal agents, OLA=olaparib, OS=overall survival</w:t>
      </w:r>
    </w:p>
    <w:p w14:paraId="42DCB218" w14:textId="3D0402E6" w:rsidR="009B1B01" w:rsidRDefault="009B1B01" w:rsidP="009B1B01">
      <w:pPr>
        <w:pStyle w:val="3-BodyText"/>
      </w:pPr>
      <w:r w:rsidRPr="00940BEC">
        <w:rPr>
          <w:rFonts w:cs="Times New Roman"/>
          <w:color w:val="000000"/>
          <w:lang w:eastAsia="en-GB"/>
        </w:rPr>
        <w:t>Overall, most</w:t>
      </w:r>
      <w:r w:rsidRPr="00940BEC">
        <w:t xml:space="preserve"> extrapolated curves (except gamma for PFS and exponential for OS) showed general good fit for the </w:t>
      </w:r>
      <w:r w:rsidR="00FB1722">
        <w:t xml:space="preserve">Kaplan-Meier </w:t>
      </w:r>
      <w:r w:rsidRPr="00940BEC">
        <w:t xml:space="preserve">data and only diverged in the tail section. The effect of using a more conservative distribution in the OS extrapolation, </w:t>
      </w:r>
      <w:r w:rsidRPr="00940BEC">
        <w:lastRenderedPageBreak/>
        <w:t xml:space="preserve">such as Weibull, was evaluated in the sensitivity analysis and increased the ICER </w:t>
      </w:r>
      <w:r w:rsidR="00B02599" w:rsidRPr="00940BEC">
        <w:t xml:space="preserve">by </w:t>
      </w:r>
      <w:r w:rsidRPr="00940BEC">
        <w:t>8.36% to $</w:t>
      </w:r>
      <w:r w:rsidR="00313F0F" w:rsidRPr="00313F0F">
        <w:t xml:space="preserve">55,000 to &lt; $75,000 </w:t>
      </w:r>
      <w:r w:rsidRPr="00940BEC">
        <w:t>from a base case of $</w:t>
      </w:r>
      <w:r w:rsidR="00D534AF" w:rsidRPr="00D534AF">
        <w:t xml:space="preserve">55,000 to &lt; $75,000 </w:t>
      </w:r>
      <w:r w:rsidRPr="00940BEC">
        <w:t>per QALY gained.</w:t>
      </w:r>
    </w:p>
    <w:p w14:paraId="581E906D" w14:textId="2599D6FE" w:rsidR="00FE2919" w:rsidRPr="00940BEC" w:rsidRDefault="00FE2919" w:rsidP="00FE2919">
      <w:pPr>
        <w:pStyle w:val="3-BodyText"/>
      </w:pPr>
      <w:r w:rsidRPr="00940BEC">
        <w:t xml:space="preserve">Extrapolations of rPFS and ToT </w:t>
      </w:r>
      <w:r w:rsidR="00FB1722">
        <w:t>Kaplan-Meier</w:t>
      </w:r>
      <w:r w:rsidR="00FB1722" w:rsidRPr="00940BEC">
        <w:t xml:space="preserve"> </w:t>
      </w:r>
      <w:r w:rsidRPr="00940BEC">
        <w:t xml:space="preserve">data showed that ToT exceeded the PFS duration in the NHA monotherapy arm for the first 12 months. This suggested that some patients in the NHA arm continued treatment after experiencing disease progression. This does not reflect clinical practice, where patients cease treatment upon disease progression. The PSCR updated the economic model to ensure that ToT could not exceed PFS at any point in both treatment arms but noted that the correction had a minimal impact on the ICER (0.52% increase). </w:t>
      </w:r>
    </w:p>
    <w:p w14:paraId="1019311A" w14:textId="7FBB8C83" w:rsidR="00D630CA" w:rsidRDefault="00D630CA" w:rsidP="002A026A">
      <w:pPr>
        <w:pStyle w:val="3-BodyText"/>
      </w:pPr>
      <w:bookmarkStart w:id="55" w:name="_Ref147909947"/>
      <w:r w:rsidRPr="00940BEC">
        <w:t xml:space="preserve">Given the uncertainty around the </w:t>
      </w:r>
      <w:r w:rsidR="00712A81" w:rsidRPr="00940BEC">
        <w:t xml:space="preserve">magnitude of the </w:t>
      </w:r>
      <w:r w:rsidRPr="00940BEC">
        <w:t xml:space="preserve">survival benefit, the estimated survival rate of 20% </w:t>
      </w:r>
      <w:r w:rsidR="001F6446" w:rsidRPr="00940BEC">
        <w:t xml:space="preserve">after </w:t>
      </w:r>
      <w:r w:rsidRPr="00940BEC">
        <w:t xml:space="preserve">15 years for olaparib plus abiraterone may not be justified. </w:t>
      </w:r>
      <w:r w:rsidR="00C321C4" w:rsidRPr="00940BEC">
        <w:t xml:space="preserve">The PSCR reiterated that the statistically best fitting functions were applied to extrapolated OS data beyond the trial period. The </w:t>
      </w:r>
      <w:r w:rsidR="0005242D" w:rsidRPr="00940BEC">
        <w:t xml:space="preserve">ESC considered the clinical plausibility of the partitioned survival model to be uncertain as </w:t>
      </w:r>
      <w:r w:rsidR="00C321C4" w:rsidRPr="00940BEC">
        <w:t xml:space="preserve">the modelled OS benefit did </w:t>
      </w:r>
      <w:r w:rsidR="0005242D" w:rsidRPr="00940BEC">
        <w:t xml:space="preserve">not align with clinical evidence of the prognosis of this patient group. </w:t>
      </w:r>
      <w:r w:rsidR="00C321C4" w:rsidRPr="00940BEC">
        <w:t>Further, the ESC considered that it was not reasonable to assume that the OS difference observed at 36 months in the trial would be sustained over the 15-year time horizon</w:t>
      </w:r>
      <w:r w:rsidR="00712A81" w:rsidRPr="00940BEC">
        <w:t xml:space="preserve"> of the model</w:t>
      </w:r>
      <w:r w:rsidR="00C321C4" w:rsidRPr="00940BEC">
        <w:t>. Given the PBACs prior recommendations, the ESC considered that a time horizon of 7.5 years would be appropriate and that there should be convergence of the OS curves</w:t>
      </w:r>
      <w:r w:rsidR="0057158B" w:rsidRPr="00940BEC">
        <w:t xml:space="preserve"> within this time</w:t>
      </w:r>
      <w:r w:rsidR="00C321C4" w:rsidRPr="00940BEC">
        <w:t>, particularly given the poorer prognosis of patients with BRCA1/2 pathogenic variants</w:t>
      </w:r>
      <w:r w:rsidR="0005242D" w:rsidRPr="00940BEC">
        <w:t>.</w:t>
      </w:r>
      <w:bookmarkEnd w:id="55"/>
    </w:p>
    <w:p w14:paraId="7FA184E2" w14:textId="51D9D8FD" w:rsidR="00CF11D7" w:rsidRPr="00940BEC" w:rsidRDefault="00CF11D7" w:rsidP="00CF11D7">
      <w:pPr>
        <w:pStyle w:val="3-BodyText"/>
      </w:pPr>
      <w:r>
        <w:t>To further reduce uncertainty, the pre-PBAC response applied the more conservative Weibull distributions to all extrapolations in the revised base case, noting that this reduced the proportion of patients alive in the olaparib arm at 10 years from 35% to 26%, the proportion of patient</w:t>
      </w:r>
      <w:r w:rsidR="001079B2">
        <w:t>’</w:t>
      </w:r>
      <w:r>
        <w:t xml:space="preserve">s progression free from 18% to 7% and the duration of treatment from 41 months to 37 months. The pre-PBAC response stated that converging the OS curves was not appropriate given the </w:t>
      </w:r>
      <w:r w:rsidR="00FB1722">
        <w:t>O</w:t>
      </w:r>
      <w:r>
        <w:t>S</w:t>
      </w:r>
      <w:r w:rsidR="00FB1722">
        <w:t xml:space="preserve"> benefit</w:t>
      </w:r>
      <w:r>
        <w:t xml:space="preserve"> </w:t>
      </w:r>
      <w:r w:rsidR="00FB1722">
        <w:t xml:space="preserve">observed </w:t>
      </w:r>
      <w:r>
        <w:t>in the trial.</w:t>
      </w:r>
    </w:p>
    <w:p w14:paraId="371B1EE4" w14:textId="0E25D083" w:rsidR="002D39F2" w:rsidRPr="00940BEC" w:rsidRDefault="002D39F2" w:rsidP="002D39F2">
      <w:pPr>
        <w:pStyle w:val="3-BodyText"/>
      </w:pPr>
      <w:r w:rsidRPr="00940BEC">
        <w:t xml:space="preserve">The Markov traces presented in </w:t>
      </w:r>
      <w:r w:rsidRPr="00940BEC">
        <w:fldChar w:fldCharType="begin" w:fldLock="1"/>
      </w:r>
      <w:r w:rsidRPr="00940BEC">
        <w:instrText xml:space="preserve"> REF _Ref143096847 \h  \* MERGEFORMAT </w:instrText>
      </w:r>
      <w:r w:rsidRPr="00940BEC">
        <w:fldChar w:fldCharType="separate"/>
      </w:r>
      <w:r w:rsidR="006F331F" w:rsidRPr="00940BEC">
        <w:t xml:space="preserve">Figure </w:t>
      </w:r>
      <w:r w:rsidR="006F331F" w:rsidRPr="00940BEC">
        <w:rPr>
          <w:noProof/>
        </w:rPr>
        <w:t>10</w:t>
      </w:r>
      <w:r w:rsidRPr="00940BEC">
        <w:fldChar w:fldCharType="end"/>
      </w:r>
      <w:r w:rsidRPr="00940BEC">
        <w:t xml:space="preserve"> demonstrate that differences between the two treatment arms were primarily derived from the extrapolated variations in OS, with greater numbers of patients alive with olaparib plus abiraterone combination treatment compared to NHA monotherapy. This constitutes the main source of uncertainty in the model.</w:t>
      </w:r>
    </w:p>
    <w:p w14:paraId="267CE01B" w14:textId="01ED8A2A" w:rsidR="002D39F2" w:rsidRDefault="002D39F2" w:rsidP="002D39F2">
      <w:pPr>
        <w:pStyle w:val="Caption"/>
      </w:pPr>
      <w:bookmarkStart w:id="56" w:name="_Ref143096847"/>
      <w:bookmarkStart w:id="57" w:name="_Ref143096772"/>
      <w:r>
        <w:lastRenderedPageBreak/>
        <w:t xml:space="preserve">Figure </w:t>
      </w:r>
      <w:fldSimple w:instr=" SEQ Figure \* ARABIC " w:fldLock="1">
        <w:r w:rsidR="006F331F">
          <w:rPr>
            <w:noProof/>
          </w:rPr>
          <w:t>10</w:t>
        </w:r>
      </w:fldSimple>
      <w:bookmarkEnd w:id="56"/>
      <w:r>
        <w:t>: Markov</w:t>
      </w:r>
      <w:r w:rsidRPr="00CA4838">
        <w:t xml:space="preserve"> trace</w:t>
      </w:r>
      <w:r>
        <w:t>s in the</w:t>
      </w:r>
      <w:r w:rsidRPr="00CA4838">
        <w:t xml:space="preserve"> base case economic model</w:t>
      </w:r>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2"/>
      </w:tblGrid>
      <w:tr w:rsidR="002D39F2" w14:paraId="4BDC3C59" w14:textId="77777777" w:rsidTr="00FA3BF9">
        <w:tc>
          <w:tcPr>
            <w:tcW w:w="4513" w:type="dxa"/>
          </w:tcPr>
          <w:p w14:paraId="1FAE2608" w14:textId="77777777" w:rsidR="002D39F2" w:rsidRDefault="002D39F2" w:rsidP="00FA3BF9">
            <w:pPr>
              <w:pStyle w:val="TableText0"/>
              <w:jc w:val="center"/>
            </w:pPr>
            <w:r>
              <w:t>Olaparib plus abiraterone</w:t>
            </w:r>
          </w:p>
        </w:tc>
        <w:tc>
          <w:tcPr>
            <w:tcW w:w="4514" w:type="dxa"/>
          </w:tcPr>
          <w:p w14:paraId="76F5B98D" w14:textId="77777777" w:rsidR="002D39F2" w:rsidRDefault="002D39F2" w:rsidP="00FA3BF9">
            <w:pPr>
              <w:pStyle w:val="TableText0"/>
              <w:jc w:val="center"/>
            </w:pPr>
            <w:r>
              <w:t>NHA monotherapy</w:t>
            </w:r>
          </w:p>
        </w:tc>
      </w:tr>
      <w:tr w:rsidR="002D39F2" w14:paraId="3F60770F" w14:textId="77777777" w:rsidTr="00FA3BF9">
        <w:tc>
          <w:tcPr>
            <w:tcW w:w="4513" w:type="dxa"/>
          </w:tcPr>
          <w:p w14:paraId="5B041259" w14:textId="77777777" w:rsidR="002D39F2" w:rsidRPr="00014524" w:rsidRDefault="002D39F2" w:rsidP="00FA3BF9">
            <w:pPr>
              <w:pStyle w:val="TableText0"/>
            </w:pPr>
            <w:r>
              <w:rPr>
                <w:noProof/>
              </w:rPr>
              <w:drawing>
                <wp:inline distT="0" distB="0" distL="0" distR="0" wp14:anchorId="5562161F" wp14:editId="2EF77635">
                  <wp:extent cx="2837225" cy="185237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1478" cy="1868213"/>
                          </a:xfrm>
                          <a:prstGeom prst="rect">
                            <a:avLst/>
                          </a:prstGeom>
                          <a:noFill/>
                        </pic:spPr>
                      </pic:pic>
                    </a:graphicData>
                  </a:graphic>
                </wp:inline>
              </w:drawing>
            </w:r>
          </w:p>
        </w:tc>
        <w:tc>
          <w:tcPr>
            <w:tcW w:w="4514" w:type="dxa"/>
          </w:tcPr>
          <w:p w14:paraId="4640CF60" w14:textId="77777777" w:rsidR="002D39F2" w:rsidRPr="00014524" w:rsidRDefault="002D39F2" w:rsidP="00FA3BF9">
            <w:pPr>
              <w:pStyle w:val="TableText0"/>
            </w:pPr>
            <w:r>
              <w:rPr>
                <w:noProof/>
              </w:rPr>
              <w:drawing>
                <wp:inline distT="0" distB="0" distL="0" distR="0" wp14:anchorId="667EAC03" wp14:editId="2499EA59">
                  <wp:extent cx="2874183" cy="187650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1830" cy="1914145"/>
                          </a:xfrm>
                          <a:prstGeom prst="rect">
                            <a:avLst/>
                          </a:prstGeom>
                          <a:noFill/>
                        </pic:spPr>
                      </pic:pic>
                    </a:graphicData>
                  </a:graphic>
                </wp:inline>
              </w:drawing>
            </w:r>
          </w:p>
        </w:tc>
      </w:tr>
    </w:tbl>
    <w:p w14:paraId="72C4447A" w14:textId="77777777" w:rsidR="002D39F2" w:rsidRPr="009E282E" w:rsidRDefault="002D39F2" w:rsidP="002D39F2">
      <w:pPr>
        <w:pStyle w:val="TableFigureFooter"/>
        <w:jc w:val="both"/>
      </w:pPr>
      <w:r w:rsidRPr="009E282E">
        <w:t>Source: Figure 3-9 and 3-10, p146 of the submission and constructed during the evaluation using data presented in “Markov trace” worksheet in the Excel workbook “Attachment 3.1- Cost Effectiveness Model”.</w:t>
      </w:r>
    </w:p>
    <w:p w14:paraId="66D71D43" w14:textId="0CA71C34" w:rsidR="002D39F2" w:rsidRPr="00C321C4" w:rsidRDefault="002D39F2" w:rsidP="002D39F2">
      <w:pPr>
        <w:pStyle w:val="TableFigureFooter"/>
        <w:jc w:val="both"/>
      </w:pPr>
      <w:r w:rsidRPr="009E282E">
        <w:t>ABI=abiraterone, NHA=novel hormonal agent, OLA=olaparib, PD=progressed disease, PF=progression-free, TOT=time on treatment</w:t>
      </w:r>
    </w:p>
    <w:p w14:paraId="213D3DD0" w14:textId="322C4ECF" w:rsidR="00934732" w:rsidRPr="00940BEC" w:rsidRDefault="00144CDE" w:rsidP="00934732">
      <w:pPr>
        <w:pStyle w:val="3-BodyText"/>
      </w:pPr>
      <w:r w:rsidRPr="00940BEC">
        <w:t>Noting that t</w:t>
      </w:r>
      <w:r w:rsidR="00934732" w:rsidRPr="00940BEC">
        <w:t>he ICER was very sensitive to the olaparib plus abiraterone survival benefit</w:t>
      </w:r>
      <w:r w:rsidRPr="00940BEC">
        <w:t>, the evaluators provided a sensitivity analysis which a</w:t>
      </w:r>
      <w:r w:rsidR="00934732" w:rsidRPr="00940BEC">
        <w:t>ssum</w:t>
      </w:r>
      <w:r w:rsidRPr="00940BEC">
        <w:t>ed</w:t>
      </w:r>
      <w:r w:rsidR="00934732" w:rsidRPr="00940BEC">
        <w:t xml:space="preserve"> a similar survival benefit across PARP inhibitors and adjust</w:t>
      </w:r>
      <w:r w:rsidRPr="00940BEC">
        <w:t>ed the</w:t>
      </w:r>
      <w:r w:rsidR="00934732" w:rsidRPr="00940BEC">
        <w:t xml:space="preserve"> </w:t>
      </w:r>
      <w:r w:rsidR="00FB1722">
        <w:t>Kaplan-Meier</w:t>
      </w:r>
      <w:r w:rsidR="00FB1722" w:rsidRPr="00940BEC">
        <w:t xml:space="preserve"> </w:t>
      </w:r>
      <w:r w:rsidR="00934732" w:rsidRPr="00940BEC">
        <w:t>curves based on benefits observed in the MAGNITUDE trial (stratified by BRCA1/2 status), with a significant difference in PFS (HR = 0.53; 95% CI: 0.36, 0.79) but not in OS (HR = 0.96; 95% CI: 0.57, 1.63)</w:t>
      </w:r>
      <w:r w:rsidRPr="00940BEC">
        <w:t xml:space="preserve">. This </w:t>
      </w:r>
      <w:r w:rsidR="002E25F3" w:rsidRPr="00940BEC">
        <w:t xml:space="preserve">increased the </w:t>
      </w:r>
      <w:r w:rsidR="00934732" w:rsidRPr="00940BEC">
        <w:t xml:space="preserve">ICER </w:t>
      </w:r>
      <w:r w:rsidR="002E25F3" w:rsidRPr="00940BEC">
        <w:t>t</w:t>
      </w:r>
      <w:r w:rsidR="00934732" w:rsidRPr="00940BEC">
        <w:t xml:space="preserve">o </w:t>
      </w:r>
      <w:r w:rsidR="00EE0445" w:rsidRPr="00EE0445">
        <w:t>&gt; $1,055,</w:t>
      </w:r>
      <w:r w:rsidR="00EE0445" w:rsidRPr="004A207B">
        <w:t>000</w:t>
      </w:r>
      <w:r w:rsidR="00934732" w:rsidRPr="00940BEC">
        <w:t xml:space="preserve"> per QALY gained from a base case of $</w:t>
      </w:r>
      <w:r w:rsidR="00D534AF" w:rsidRPr="00D534AF">
        <w:t>55,000 to &lt; $75,000</w:t>
      </w:r>
      <w:r w:rsidR="00934732" w:rsidRPr="00940BEC">
        <w:t>. The PSCR stated that applying the hazard ratios from the MAGNITUDE trial was not appropriate as there were important differences between olaparib and niraparib including that olaparib inhibits PARP1/2/3 whereas niraparib inhibits PARP1/2. Further the PSCR stated that in the MAGNITUDE trial, (i) patients received reduced doses of niraparib (200 mg rather than 300 mg per day), and (ii) significantly more patients in the placebo arm received PARP inhibitor therapy post progression. The ESC noted that the FDA label recommends a dosage of 200 mg per day for niraparib in the BRCA subgroup of mCRPC patients</w:t>
      </w:r>
      <w:r w:rsidR="00934732" w:rsidRPr="00940BEC">
        <w:rPr>
          <w:rStyle w:val="FootnoteReference"/>
        </w:rPr>
        <w:footnoteReference w:id="6"/>
      </w:r>
      <w:r w:rsidR="00934732" w:rsidRPr="00940BEC">
        <w:t>.</w:t>
      </w:r>
      <w:r w:rsidR="003956EF" w:rsidRPr="00940BEC">
        <w:t xml:space="preserve"> </w:t>
      </w:r>
      <w:r w:rsidR="007B4CFD" w:rsidRPr="00940BEC">
        <w:t>T</w:t>
      </w:r>
      <w:r w:rsidR="003956EF" w:rsidRPr="00940BEC">
        <w:t xml:space="preserve">he ESC noted that </w:t>
      </w:r>
      <w:r w:rsidR="00A05EAF" w:rsidRPr="00940BEC">
        <w:t xml:space="preserve">results from the second interim analysis of the MAGNITUDE trial </w:t>
      </w:r>
      <w:r w:rsidR="001C4B62" w:rsidRPr="00940BEC">
        <w:t>had been published</w:t>
      </w:r>
      <w:r w:rsidR="001C4B62" w:rsidRPr="00940BEC">
        <w:rPr>
          <w:rStyle w:val="FootnoteReference"/>
        </w:rPr>
        <w:footnoteReference w:id="7"/>
      </w:r>
      <w:r w:rsidR="007B4CFD" w:rsidRPr="00940BEC">
        <w:t xml:space="preserve">and considered that </w:t>
      </w:r>
      <w:r w:rsidR="007066BA" w:rsidRPr="00940BEC">
        <w:t xml:space="preserve">as the </w:t>
      </w:r>
      <w:r w:rsidR="00030A77" w:rsidRPr="00940BEC">
        <w:t xml:space="preserve">MAGNITUDE trial stratified patients by BRCA1/2 status, which reduced the risk of bias, </w:t>
      </w:r>
      <w:r w:rsidR="000E0DA0" w:rsidRPr="00940BEC">
        <w:t xml:space="preserve">a sensitivity analysis using the updated results would be informative (updated rPFS HR = </w:t>
      </w:r>
      <w:r w:rsidR="0065563C" w:rsidRPr="00940BEC">
        <w:t xml:space="preserve">0.55; 95% CI: 0.39, 0.78 and updated OS HR = </w:t>
      </w:r>
      <w:r w:rsidR="00640475" w:rsidRPr="00940BEC">
        <w:t>0.54</w:t>
      </w:r>
      <w:r w:rsidR="00EF10AF" w:rsidRPr="00940BEC">
        <w:t>; 95% CI: 0.33, 0.90</w:t>
      </w:r>
      <w:r w:rsidR="00C70570" w:rsidRPr="00940BEC">
        <w:t xml:space="preserve"> – see </w:t>
      </w:r>
      <w:r w:rsidR="00C70570" w:rsidRPr="00940BEC">
        <w:fldChar w:fldCharType="begin" w:fldLock="1"/>
      </w:r>
      <w:r w:rsidR="00C70570" w:rsidRPr="00940BEC">
        <w:instrText xml:space="preserve"> REF _Ref143181410 \h  \* MERGEFORMAT </w:instrText>
      </w:r>
      <w:r w:rsidR="00C70570" w:rsidRPr="00940BEC">
        <w:fldChar w:fldCharType="separate"/>
      </w:r>
      <w:r w:rsidR="006F331F" w:rsidRPr="00940BEC">
        <w:t xml:space="preserve">Table </w:t>
      </w:r>
      <w:r w:rsidR="006F331F" w:rsidRPr="00940BEC">
        <w:rPr>
          <w:noProof/>
        </w:rPr>
        <w:t>12</w:t>
      </w:r>
      <w:r w:rsidR="00C70570" w:rsidRPr="00940BEC">
        <w:fldChar w:fldCharType="end"/>
      </w:r>
      <w:r w:rsidR="00EF10AF" w:rsidRPr="00940BEC">
        <w:t>).</w:t>
      </w:r>
    </w:p>
    <w:p w14:paraId="1B387F77" w14:textId="1CDCCD5E" w:rsidR="009B1B01" w:rsidRPr="00940BEC" w:rsidRDefault="009B1B01" w:rsidP="009B1B01">
      <w:pPr>
        <w:pStyle w:val="3-BodyText"/>
      </w:pPr>
      <w:bookmarkStart w:id="58" w:name="_Ref147910005"/>
      <w:r w:rsidRPr="00940BEC">
        <w:t xml:space="preserve">Health state utilities were based on data from the ITT population of PROpel. This may not be reasonable since the </w:t>
      </w:r>
      <w:r w:rsidR="006C3ED1" w:rsidRPr="00940BEC">
        <w:t>BRCA1/2</w:t>
      </w:r>
      <w:r w:rsidRPr="00940BEC">
        <w:t xml:space="preserve"> subgroup may </w:t>
      </w:r>
      <w:r w:rsidR="00CE382A" w:rsidRPr="00940BEC">
        <w:t xml:space="preserve">potentially </w:t>
      </w:r>
      <w:r w:rsidRPr="00940BEC">
        <w:t>have lower HRQoL scores and utility values</w:t>
      </w:r>
      <w:r w:rsidR="00CE382A" w:rsidRPr="00940BEC">
        <w:t xml:space="preserve"> due to their </w:t>
      </w:r>
      <w:r w:rsidR="002A026A" w:rsidRPr="00940BEC">
        <w:t>poorer</w:t>
      </w:r>
      <w:r w:rsidR="00CE382A" w:rsidRPr="00940BEC">
        <w:t xml:space="preserve"> prognosis</w:t>
      </w:r>
      <w:r w:rsidRPr="00940BEC">
        <w:t xml:space="preserve">. The utilities used in the model (PF=0.82, PD=0.78) were higher than previous utility values presented to the PBAC in </w:t>
      </w:r>
      <w:r w:rsidRPr="00940BEC">
        <w:lastRenderedPageBreak/>
        <w:t xml:space="preserve">advanced prostate cancer. The PBAC had considered lower utility values for apalutamide in mHSPC; 0.79 and 0.81 for high and low-volume disease in </w:t>
      </w:r>
      <w:r w:rsidR="00462271" w:rsidRPr="00940BEC">
        <w:t xml:space="preserve">the </w:t>
      </w:r>
      <w:r w:rsidRPr="00940BEC">
        <w:t>PF state, respectively, and 0.68 and 0.70 for high and low volume disease in PD (i.e. mCRPC) (Table 9, apalutamide PSD, July 2022). Similarly, in the darolutamide submission in m0CRPC, the ESC advised a utility of 0.635 may be reflective of the total time spent in the mCRPC state (para</w:t>
      </w:r>
      <w:r w:rsidR="00FB1722">
        <w:t>graph</w:t>
      </w:r>
      <w:r w:rsidRPr="00940BEC">
        <w:t xml:space="preserve"> 6.43, darolutamide PSD, March 2021). </w:t>
      </w:r>
      <w:r w:rsidR="00C321C4" w:rsidRPr="00940BEC">
        <w:t>The ESC considered that better justification of the utility values applied in the model was required.</w:t>
      </w:r>
      <w:bookmarkEnd w:id="58"/>
    </w:p>
    <w:p w14:paraId="617EC6D4" w14:textId="77777777" w:rsidR="009B1B01" w:rsidRPr="00940BEC" w:rsidRDefault="009B1B01" w:rsidP="009B1B01">
      <w:pPr>
        <w:pStyle w:val="3-BodyText"/>
      </w:pPr>
      <w:bookmarkStart w:id="59" w:name="_Ref147910015"/>
      <w:r w:rsidRPr="00940BEC">
        <w:t>EQ-5D-3L responses were predicted from EQ-5D-5L responses to derive utility values. The submission did not explain why the Australian value set for the EQ-5D-5L</w:t>
      </w:r>
      <w:r w:rsidRPr="00940BEC">
        <w:rPr>
          <w:rStyle w:val="FootnoteReference"/>
        </w:rPr>
        <w:footnoteReference w:id="8"/>
      </w:r>
      <w:r w:rsidRPr="00940BEC">
        <w:t xml:space="preserve"> was not used to derive utility values. It has been noted</w:t>
      </w:r>
      <w:r w:rsidRPr="00940BEC">
        <w:rPr>
          <w:rStyle w:val="FootnoteReference"/>
        </w:rPr>
        <w:footnoteReference w:id="9"/>
      </w:r>
      <w:r w:rsidRPr="00940BEC">
        <w:t xml:space="preserve"> that mapping EQ-5D-5L to EQ-5D-3L places an artificial floor effect on the values of EQ-5D-5L, and utilities derived directly from the EQ-5D-5L might be lower than values obtained indirectly from the EQ-5D-3L.</w:t>
      </w:r>
      <w:bookmarkEnd w:id="59"/>
    </w:p>
    <w:p w14:paraId="579EA19C" w14:textId="295C9F5E" w:rsidR="009B1B01" w:rsidRPr="00940BEC" w:rsidRDefault="009B1B01" w:rsidP="009B1B01">
      <w:pPr>
        <w:pStyle w:val="3-BodyText"/>
      </w:pPr>
      <w:bookmarkStart w:id="60" w:name="_Ref147910038"/>
      <w:r w:rsidRPr="00940BEC">
        <w:t>Costs applied in the model were reasonably estimated. However, the DPMQ</w:t>
      </w:r>
      <w:r w:rsidR="005E1B84" w:rsidRPr="00940BEC">
        <w:t xml:space="preserve"> </w:t>
      </w:r>
      <w:r w:rsidR="00E77746" w:rsidRPr="00940BEC">
        <w:t>used in the model was slightly higher than th</w:t>
      </w:r>
      <w:r w:rsidR="007E324F" w:rsidRPr="00940BEC">
        <w:t>at proposed</w:t>
      </w:r>
      <w:r w:rsidR="00E77746" w:rsidRPr="00940BEC">
        <w:t xml:space="preserve"> in the requested listing </w:t>
      </w:r>
      <w:r w:rsidRPr="00940BEC">
        <w:t>(</w:t>
      </w:r>
      <w:r w:rsidR="00E77746" w:rsidRPr="00940BEC">
        <w:t>$</w:t>
      </w:r>
      <w:r w:rsidR="003C22C5" w:rsidRPr="003C22C5">
        <w:t xml:space="preserve"> </w:t>
      </w:r>
      <w:proofErr w:type="gramStart"/>
      <w:r w:rsidR="00B7116A" w:rsidRPr="0026182E">
        <w:rPr>
          <w:color w:val="000000"/>
          <w:w w:val="15"/>
          <w:shd w:val="solid" w:color="000000" w:fill="000000"/>
          <w:fitText w:val="-20" w:id="-1031540984"/>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4"/>
          <w14:textFill>
            <w14:solidFill>
              <w14:srgbClr w14:val="000000">
                <w14:alpha w14:val="100000"/>
              </w14:srgbClr>
            </w14:solidFill>
          </w14:textFill>
        </w:rPr>
        <w:t>|</w:t>
      </w:r>
      <w:proofErr w:type="gramEnd"/>
      <w:r w:rsidR="00E77746" w:rsidRPr="00940BEC">
        <w:t xml:space="preserve"> versus </w:t>
      </w:r>
      <w:r w:rsidRPr="00940BEC">
        <w:t>$</w:t>
      </w:r>
      <w:r w:rsidR="00B7116A" w:rsidRPr="0026182E">
        <w:rPr>
          <w:color w:val="000000"/>
          <w:w w:val="15"/>
          <w:shd w:val="solid" w:color="000000" w:fill="000000"/>
          <w:fitText w:val="-20" w:id="-1031540983"/>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3"/>
          <w14:textFill>
            <w14:solidFill>
              <w14:srgbClr w14:val="000000">
                <w14:alpha w14:val="100000"/>
              </w14:srgbClr>
            </w14:solidFill>
          </w14:textFill>
        </w:rPr>
        <w:t>|</w:t>
      </w:r>
      <w:r w:rsidRPr="00940BEC">
        <w:t>)</w:t>
      </w:r>
      <w:r w:rsidR="00D34B13" w:rsidRPr="00940BEC">
        <w:t xml:space="preserve">. </w:t>
      </w:r>
      <w:r w:rsidR="005E1B84" w:rsidRPr="00940BEC">
        <w:t>T</w:t>
      </w:r>
      <w:r w:rsidRPr="00940BEC">
        <w:t xml:space="preserve">he submission was </w:t>
      </w:r>
      <w:r w:rsidR="005E1B84" w:rsidRPr="00940BEC">
        <w:t xml:space="preserve">also </w:t>
      </w:r>
      <w:r w:rsidRPr="00940BEC">
        <w:t>inconsistent in its estimation of the effective DPMQ for abiraterone across different sections of the submission, including the 5% 10-year anniversary reduction for abiraterone in the economic model but excluding it in the financials. Additionally, the cost of chemotherapy administration (for cabazitaxel and docetaxel) was inappropriately not included</w:t>
      </w:r>
      <w:r w:rsidR="007E324F" w:rsidRPr="00940BEC">
        <w:t xml:space="preserve"> in either the economic or financial models</w:t>
      </w:r>
      <w:r w:rsidRPr="00940BEC">
        <w:t xml:space="preserve">. </w:t>
      </w:r>
      <w:bookmarkEnd w:id="60"/>
    </w:p>
    <w:p w14:paraId="50050C0B" w14:textId="3FDD68FC" w:rsidR="009B1B01" w:rsidRPr="00940BEC" w:rsidRDefault="009B1B01" w:rsidP="009B1B01">
      <w:pPr>
        <w:pStyle w:val="3-BodyText"/>
      </w:pPr>
      <w:r w:rsidRPr="00940BEC">
        <w:t xml:space="preserve">Key drivers of the model are described in </w:t>
      </w:r>
      <w:r w:rsidRPr="00940BEC">
        <w:fldChar w:fldCharType="begin" w:fldLock="1"/>
      </w:r>
      <w:r w:rsidRPr="00940BEC">
        <w:instrText xml:space="preserve"> REF _Ref143181340 \h </w:instrText>
      </w:r>
      <w:r w:rsidR="00940BEC" w:rsidRPr="00940BEC">
        <w:instrText xml:space="preserve"> \* MERGEFORMAT </w:instrText>
      </w:r>
      <w:r w:rsidRPr="00940BEC">
        <w:fldChar w:fldCharType="separate"/>
      </w:r>
      <w:r w:rsidR="006F331F" w:rsidRPr="00940BEC">
        <w:t xml:space="preserve">Table </w:t>
      </w:r>
      <w:r w:rsidR="006F331F" w:rsidRPr="00940BEC">
        <w:rPr>
          <w:noProof/>
        </w:rPr>
        <w:t>10</w:t>
      </w:r>
      <w:r w:rsidRPr="00940BEC">
        <w:fldChar w:fldCharType="end"/>
      </w:r>
      <w:r w:rsidRPr="00940BEC">
        <w:t>.</w:t>
      </w:r>
    </w:p>
    <w:p w14:paraId="6CABE460" w14:textId="11EAB3CC" w:rsidR="009B1B01" w:rsidRPr="00BB00B3" w:rsidRDefault="009B1B01" w:rsidP="004613B7">
      <w:pPr>
        <w:pStyle w:val="Caption"/>
        <w:rPr>
          <w:rStyle w:val="CommentReference"/>
          <w:b/>
          <w:szCs w:val="24"/>
        </w:rPr>
      </w:pPr>
      <w:bookmarkStart w:id="61" w:name="_Ref143181340"/>
      <w:bookmarkStart w:id="62" w:name="_Ref142993792"/>
      <w:r>
        <w:t xml:space="preserve">Table </w:t>
      </w:r>
      <w:fldSimple w:instr=" SEQ Table \* ARABIC " w:fldLock="1">
        <w:r w:rsidR="006F331F">
          <w:rPr>
            <w:noProof/>
          </w:rPr>
          <w:t>10</w:t>
        </w:r>
      </w:fldSimple>
      <w:bookmarkEnd w:id="61"/>
      <w:r>
        <w:t>:</w:t>
      </w:r>
      <w:r w:rsidRPr="00BB00B3">
        <w:rPr>
          <w:rStyle w:val="CommentReference"/>
          <w:b/>
          <w:szCs w:val="24"/>
        </w:rPr>
        <w:t xml:space="preserve"> Key drivers of the model</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9B1B01" w:rsidRPr="003D1DE4" w14:paraId="6775CA79" w14:textId="77777777" w:rsidTr="00C407DD">
        <w:trPr>
          <w:trHeight w:val="20"/>
          <w:tblHeader/>
        </w:trPr>
        <w:tc>
          <w:tcPr>
            <w:tcW w:w="626" w:type="pct"/>
            <w:shd w:val="clear" w:color="auto" w:fill="auto"/>
            <w:vAlign w:val="center"/>
          </w:tcPr>
          <w:p w14:paraId="196523AC" w14:textId="77777777" w:rsidR="009B1B01" w:rsidRPr="003D1DE4" w:rsidRDefault="009B1B01" w:rsidP="004613B7">
            <w:pPr>
              <w:pStyle w:val="In-tableHeading"/>
              <w:keepLines/>
              <w:jc w:val="center"/>
            </w:pPr>
            <w:r w:rsidRPr="003D1DE4">
              <w:t>Description</w:t>
            </w:r>
          </w:p>
        </w:tc>
        <w:tc>
          <w:tcPr>
            <w:tcW w:w="2830" w:type="pct"/>
            <w:shd w:val="clear" w:color="auto" w:fill="auto"/>
            <w:vAlign w:val="center"/>
          </w:tcPr>
          <w:p w14:paraId="58164D6F" w14:textId="77777777" w:rsidR="009B1B01" w:rsidRPr="003D1DE4" w:rsidRDefault="009B1B01" w:rsidP="004613B7">
            <w:pPr>
              <w:pStyle w:val="In-tableHeading"/>
              <w:keepLines/>
              <w:jc w:val="center"/>
            </w:pPr>
            <w:r w:rsidRPr="003D1DE4">
              <w:t>Method/Value</w:t>
            </w:r>
          </w:p>
        </w:tc>
        <w:tc>
          <w:tcPr>
            <w:tcW w:w="1544" w:type="pct"/>
            <w:shd w:val="clear" w:color="auto" w:fill="auto"/>
            <w:vAlign w:val="center"/>
          </w:tcPr>
          <w:p w14:paraId="6AA56DE5" w14:textId="77777777" w:rsidR="009B1B01" w:rsidRPr="003D1DE4" w:rsidRDefault="009B1B01" w:rsidP="004613B7">
            <w:pPr>
              <w:pStyle w:val="In-tableHeading"/>
              <w:keepLines/>
              <w:jc w:val="center"/>
            </w:pPr>
            <w:r w:rsidRPr="003D1DE4">
              <w:t>Impact</w:t>
            </w:r>
          </w:p>
        </w:tc>
      </w:tr>
      <w:tr w:rsidR="009B1B01" w:rsidRPr="00021AA5" w14:paraId="7860EB1C" w14:textId="77777777" w:rsidTr="00C407DD">
        <w:trPr>
          <w:trHeight w:val="20"/>
        </w:trPr>
        <w:tc>
          <w:tcPr>
            <w:tcW w:w="626" w:type="pct"/>
            <w:shd w:val="clear" w:color="auto" w:fill="auto"/>
            <w:vAlign w:val="center"/>
          </w:tcPr>
          <w:p w14:paraId="2CE56D75" w14:textId="77777777" w:rsidR="009B1B01" w:rsidRPr="00021AA5" w:rsidRDefault="009B1B01" w:rsidP="004613B7">
            <w:pPr>
              <w:pStyle w:val="TableText0"/>
              <w:keepLines/>
              <w:rPr>
                <w:lang w:val="en-US"/>
              </w:rPr>
            </w:pPr>
            <w:r w:rsidRPr="00021AA5">
              <w:rPr>
                <w:lang w:val="en-US"/>
              </w:rPr>
              <w:t>OS benefit</w:t>
            </w:r>
          </w:p>
        </w:tc>
        <w:tc>
          <w:tcPr>
            <w:tcW w:w="2830" w:type="pct"/>
            <w:shd w:val="clear" w:color="auto" w:fill="auto"/>
            <w:vAlign w:val="center"/>
          </w:tcPr>
          <w:p w14:paraId="78A4F1C0" w14:textId="75155297" w:rsidR="009B1B01" w:rsidRPr="00021AA5" w:rsidRDefault="009B1B01" w:rsidP="004613B7">
            <w:pPr>
              <w:pStyle w:val="TableText0"/>
              <w:keepLines/>
            </w:pPr>
            <w:r w:rsidRPr="00021AA5">
              <w:t xml:space="preserve">The submission extrapolated rPFS and OS KM data from the </w:t>
            </w:r>
            <w:r w:rsidR="006C3ED1" w:rsidRPr="00021AA5">
              <w:t>BRCA1/2</w:t>
            </w:r>
            <w:r w:rsidRPr="00021AA5">
              <w:t xml:space="preserve"> subgroup. </w:t>
            </w:r>
            <w:r w:rsidR="005E1B84" w:rsidRPr="00021AA5">
              <w:t xml:space="preserve">In the model 20% of olaparib plus abiraterone patients remained alive at 15 years. </w:t>
            </w:r>
            <w:r w:rsidRPr="00021AA5">
              <w:t xml:space="preserve">There was high uncertainty around the </w:t>
            </w:r>
            <w:r w:rsidR="003622F6" w:rsidRPr="00021AA5">
              <w:t>magnitude</w:t>
            </w:r>
            <w:r w:rsidRPr="00021AA5">
              <w:t xml:space="preserve"> of the treatment effect due to OS data immaturity, </w:t>
            </w:r>
            <w:r w:rsidR="003A44AB" w:rsidRPr="00021AA5">
              <w:t xml:space="preserve">the </w:t>
            </w:r>
            <w:r w:rsidRPr="00021AA5">
              <w:t>small</w:t>
            </w:r>
            <w:r w:rsidR="003A44AB" w:rsidRPr="00021AA5">
              <w:t xml:space="preserve"> number of patients in the </w:t>
            </w:r>
            <w:r w:rsidR="006C3ED1" w:rsidRPr="00021AA5">
              <w:t>BRCA1/2</w:t>
            </w:r>
            <w:r w:rsidRPr="00021AA5">
              <w:t xml:space="preserve"> subgroup and imbalanced baseline characteristics. </w:t>
            </w:r>
          </w:p>
        </w:tc>
        <w:tc>
          <w:tcPr>
            <w:tcW w:w="1544" w:type="pct"/>
            <w:shd w:val="clear" w:color="auto" w:fill="auto"/>
            <w:vAlign w:val="center"/>
          </w:tcPr>
          <w:p w14:paraId="6ADB4131" w14:textId="77777777" w:rsidR="009B1B01" w:rsidRPr="00021AA5" w:rsidRDefault="009B1B01" w:rsidP="004613B7">
            <w:pPr>
              <w:pStyle w:val="TableText0"/>
              <w:keepLines/>
              <w:rPr>
                <w:lang w:val="en-US"/>
              </w:rPr>
            </w:pPr>
            <w:r w:rsidRPr="00021AA5">
              <w:rPr>
                <w:lang w:val="en-US"/>
              </w:rPr>
              <w:t>High, favours olaparib plus abiraterone</w:t>
            </w:r>
          </w:p>
        </w:tc>
      </w:tr>
      <w:tr w:rsidR="009B1B01" w:rsidRPr="00021AA5" w14:paraId="295368E7" w14:textId="77777777" w:rsidTr="00C407DD">
        <w:trPr>
          <w:trHeight w:val="20"/>
        </w:trPr>
        <w:tc>
          <w:tcPr>
            <w:tcW w:w="626" w:type="pct"/>
            <w:shd w:val="clear" w:color="auto" w:fill="auto"/>
            <w:vAlign w:val="center"/>
          </w:tcPr>
          <w:p w14:paraId="39288A2F" w14:textId="77777777" w:rsidR="009B1B01" w:rsidRPr="00021AA5" w:rsidRDefault="009B1B01" w:rsidP="004613B7">
            <w:pPr>
              <w:pStyle w:val="TableText0"/>
              <w:keepLines/>
              <w:rPr>
                <w:lang w:val="en-US"/>
              </w:rPr>
            </w:pPr>
            <w:r w:rsidRPr="00021AA5">
              <w:rPr>
                <w:lang w:val="en-US"/>
              </w:rPr>
              <w:t>Time horizon</w:t>
            </w:r>
          </w:p>
        </w:tc>
        <w:tc>
          <w:tcPr>
            <w:tcW w:w="2830" w:type="pct"/>
            <w:shd w:val="clear" w:color="auto" w:fill="auto"/>
            <w:vAlign w:val="center"/>
          </w:tcPr>
          <w:p w14:paraId="6349EE09" w14:textId="77777777" w:rsidR="009B1B01" w:rsidRPr="00021AA5" w:rsidRDefault="009B1B01" w:rsidP="004613B7">
            <w:pPr>
              <w:pStyle w:val="TableText0"/>
              <w:keepLines/>
              <w:rPr>
                <w:lang w:val="en-US"/>
              </w:rPr>
            </w:pPr>
            <w:r w:rsidRPr="00021AA5">
              <w:t>The submission used a 15-year time horizon. However, given the</w:t>
            </w:r>
            <w:r w:rsidRPr="00021AA5">
              <w:rPr>
                <w:rFonts w:ascii="Calibri" w:eastAsia="Times New Roman" w:hAnsi="Calibri" w:cs="Arial"/>
                <w:bCs w:val="0"/>
                <w:sz w:val="24"/>
              </w:rPr>
              <w:t xml:space="preserve"> </w:t>
            </w:r>
            <w:r w:rsidRPr="00021AA5">
              <w:t>uncertainty surrounding the OS data and previous PBAC recommendations, a shorter time-horizon may be more appropriate.</w:t>
            </w:r>
          </w:p>
        </w:tc>
        <w:tc>
          <w:tcPr>
            <w:tcW w:w="1544" w:type="pct"/>
            <w:shd w:val="clear" w:color="auto" w:fill="auto"/>
            <w:vAlign w:val="center"/>
          </w:tcPr>
          <w:p w14:paraId="263DBB9E" w14:textId="77777777" w:rsidR="009B1B01" w:rsidRPr="00021AA5" w:rsidRDefault="009B1B01" w:rsidP="004613B7">
            <w:pPr>
              <w:pStyle w:val="TableText0"/>
              <w:keepLines/>
              <w:rPr>
                <w:lang w:val="en-US"/>
              </w:rPr>
            </w:pPr>
            <w:r w:rsidRPr="00021AA5">
              <w:rPr>
                <w:lang w:val="en-US"/>
              </w:rPr>
              <w:t>High, favours olaparib plus abiraterone</w:t>
            </w:r>
          </w:p>
        </w:tc>
      </w:tr>
      <w:tr w:rsidR="009B1B01" w:rsidRPr="00E2771E" w14:paraId="745781AF" w14:textId="77777777" w:rsidTr="00C407DD">
        <w:trPr>
          <w:trHeight w:val="20"/>
        </w:trPr>
        <w:tc>
          <w:tcPr>
            <w:tcW w:w="626" w:type="pct"/>
            <w:shd w:val="clear" w:color="auto" w:fill="auto"/>
            <w:vAlign w:val="center"/>
          </w:tcPr>
          <w:p w14:paraId="7FEC2AD9" w14:textId="77777777" w:rsidR="009B1B01" w:rsidRPr="00E2771E" w:rsidRDefault="009B1B01" w:rsidP="004613B7">
            <w:pPr>
              <w:pStyle w:val="TableText0"/>
              <w:keepLines/>
              <w:rPr>
                <w:lang w:val="en-US"/>
              </w:rPr>
            </w:pPr>
            <w:r>
              <w:rPr>
                <w:lang w:val="en-US"/>
              </w:rPr>
              <w:t>Time on treatment</w:t>
            </w:r>
          </w:p>
        </w:tc>
        <w:tc>
          <w:tcPr>
            <w:tcW w:w="2830" w:type="pct"/>
            <w:shd w:val="clear" w:color="auto" w:fill="auto"/>
            <w:vAlign w:val="center"/>
          </w:tcPr>
          <w:p w14:paraId="2234CB3C" w14:textId="291E712D" w:rsidR="009B1B01" w:rsidRPr="00E2771E" w:rsidRDefault="009B1B01" w:rsidP="004613B7">
            <w:pPr>
              <w:pStyle w:val="TableText0"/>
              <w:keepLines/>
              <w:rPr>
                <w:lang w:val="en-US"/>
              </w:rPr>
            </w:pPr>
            <w:r w:rsidRPr="00021AA5">
              <w:t xml:space="preserve">ToT estimates were very uncertain due to 1) unclear source, 2) ToT extended beyond PFS in the NHA arm, 3) extrapolation was based on visual fit only, </w:t>
            </w:r>
            <w:r w:rsidR="003A44AB" w:rsidRPr="00021AA5">
              <w:t xml:space="preserve">and </w:t>
            </w:r>
            <w:r w:rsidRPr="00021AA5">
              <w:t>4) poor external validation against PBS utilisations for enzalutamide and abiraterone.</w:t>
            </w:r>
          </w:p>
        </w:tc>
        <w:tc>
          <w:tcPr>
            <w:tcW w:w="1544" w:type="pct"/>
            <w:shd w:val="clear" w:color="auto" w:fill="auto"/>
            <w:vAlign w:val="center"/>
          </w:tcPr>
          <w:p w14:paraId="5E656EC6" w14:textId="4E0E63CA" w:rsidR="009B1B01" w:rsidRPr="00E2771E" w:rsidRDefault="00C321C4" w:rsidP="004613B7">
            <w:pPr>
              <w:pStyle w:val="TableText0"/>
              <w:keepLines/>
              <w:rPr>
                <w:lang w:val="en-US"/>
              </w:rPr>
            </w:pPr>
            <w:r>
              <w:rPr>
                <w:lang w:val="en-US"/>
              </w:rPr>
              <w:t>Moderate</w:t>
            </w:r>
            <w:r w:rsidR="009B1B01" w:rsidRPr="00021AA5">
              <w:rPr>
                <w:lang w:val="en-US"/>
              </w:rPr>
              <w:t>, favours olaparib plus abiraterone</w:t>
            </w:r>
          </w:p>
        </w:tc>
      </w:tr>
    </w:tbl>
    <w:p w14:paraId="5C171C05" w14:textId="77777777" w:rsidR="009B1B01" w:rsidRPr="00021AA5" w:rsidRDefault="009B1B01" w:rsidP="004613B7">
      <w:pPr>
        <w:pStyle w:val="FooterTableFigure"/>
        <w:keepNext/>
        <w:keepLines/>
      </w:pPr>
      <w:r>
        <w:t xml:space="preserve">Source: </w:t>
      </w:r>
      <w:r w:rsidRPr="00021AA5">
        <w:t xml:space="preserve">compiled during the evaluation </w:t>
      </w:r>
    </w:p>
    <w:p w14:paraId="23FD43A9" w14:textId="2071193E" w:rsidR="008C08FA" w:rsidRDefault="009B1B01" w:rsidP="009B1B01">
      <w:pPr>
        <w:pStyle w:val="FooterTableFigure"/>
        <w:jc w:val="both"/>
      </w:pPr>
      <w:r w:rsidRPr="004B4DAF">
        <w:t>Cx=comparator</w:t>
      </w:r>
      <w:r>
        <w:t xml:space="preserve">, HR=hazard </w:t>
      </w:r>
      <w:r w:rsidR="00274773">
        <w:t>ratio</w:t>
      </w:r>
      <w:r>
        <w:t xml:space="preserve">, ICER=incremental cost-effectiveness ratio, </w:t>
      </w:r>
      <w:r w:rsidR="00132F22">
        <w:t xml:space="preserve">NHA=novel hormonal agent, </w:t>
      </w:r>
      <w:r w:rsidRPr="004B4DAF">
        <w:t>OS=overall survival</w:t>
      </w:r>
      <w:r>
        <w:t xml:space="preserve">, </w:t>
      </w:r>
      <w:r w:rsidR="00132F22">
        <w:t>r</w:t>
      </w:r>
      <w:r w:rsidRPr="004B4DAF">
        <w:t>PFS=</w:t>
      </w:r>
      <w:r w:rsidR="00132F22">
        <w:t xml:space="preserve">radiological </w:t>
      </w:r>
      <w:r w:rsidRPr="004B4DAF">
        <w:t>progression-free survival,</w:t>
      </w:r>
      <w:r>
        <w:t xml:space="preserve"> PH=proportional hazard, </w:t>
      </w:r>
      <w:r w:rsidRPr="004B4DAF">
        <w:t>ToT=time on treatment, Tx=treatment</w:t>
      </w:r>
    </w:p>
    <w:p w14:paraId="38832E56" w14:textId="628B8166" w:rsidR="009B1B01" w:rsidRPr="00CA4838" w:rsidRDefault="009B1B01" w:rsidP="009B1B01">
      <w:pPr>
        <w:pStyle w:val="3-BodyText"/>
      </w:pPr>
      <w:r w:rsidRPr="00CA4838">
        <w:lastRenderedPageBreak/>
        <w:t>The results of the stepped analysis are presented in</w:t>
      </w:r>
      <w:r>
        <w:t xml:space="preserve"> </w:t>
      </w:r>
      <w:r>
        <w:fldChar w:fldCharType="begin" w:fldLock="1"/>
      </w:r>
      <w:r>
        <w:instrText xml:space="preserve"> REF _Ref143088695 \h </w:instrText>
      </w:r>
      <w:r>
        <w:fldChar w:fldCharType="separate"/>
      </w:r>
      <w:r w:rsidR="006F331F">
        <w:t xml:space="preserve">Table </w:t>
      </w:r>
      <w:r w:rsidR="006F331F">
        <w:rPr>
          <w:noProof/>
        </w:rPr>
        <w:t>11</w:t>
      </w:r>
      <w:r>
        <w:fldChar w:fldCharType="end"/>
      </w:r>
      <w:r w:rsidRPr="00CA4838">
        <w:t>.</w:t>
      </w:r>
      <w:r w:rsidR="00CF11D7">
        <w:t xml:space="preserve"> The results of the revised base case provided in the pre-PBAC response (time horizon of 10 years, Weibull distributions applied for all extrapolations and </w:t>
      </w:r>
      <w:r w:rsidR="003C22C5" w:rsidRPr="003C22C5">
        <w:t xml:space="preserve"> </w:t>
      </w:r>
      <w:r w:rsidR="00B7116A" w:rsidRPr="0026182E">
        <w:rPr>
          <w:color w:val="000000"/>
          <w:w w:val="15"/>
          <w:shd w:val="solid" w:color="000000" w:fill="000000"/>
          <w:fitText w:val="-20" w:id="-1031540982"/>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982"/>
          <w14:textFill>
            <w14:solidFill>
              <w14:srgbClr w14:val="000000">
                <w14:alpha w14:val="100000"/>
              </w14:srgbClr>
            </w14:solidFill>
          </w14:textFill>
        </w:rPr>
        <w:t>|</w:t>
      </w:r>
      <w:r w:rsidR="00CF11D7">
        <w:t>% reduction to the olaparib DPMQ) are also presented.</w:t>
      </w:r>
    </w:p>
    <w:p w14:paraId="1B957D93" w14:textId="0E142CB0" w:rsidR="009B1B01" w:rsidRPr="00BB00B3" w:rsidRDefault="009B1B01" w:rsidP="009B1B01">
      <w:pPr>
        <w:pStyle w:val="Caption"/>
      </w:pPr>
      <w:bookmarkStart w:id="63" w:name="_Ref143088695"/>
      <w:r>
        <w:t xml:space="preserve">Table </w:t>
      </w:r>
      <w:fldSimple w:instr=" SEQ Table \* ARABIC " w:fldLock="1">
        <w:r w:rsidR="006F331F">
          <w:rPr>
            <w:noProof/>
          </w:rPr>
          <w:t>11</w:t>
        </w:r>
      </w:fldSimple>
      <w:bookmarkEnd w:id="63"/>
      <w:r>
        <w:t>:</w:t>
      </w:r>
      <w:r w:rsidRPr="00BB00B3">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8"/>
        <w:gridCol w:w="2552"/>
        <w:gridCol w:w="2269"/>
        <w:gridCol w:w="1508"/>
      </w:tblGrid>
      <w:tr w:rsidR="009B1B01" w:rsidRPr="00597BF9" w14:paraId="4C6D8259" w14:textId="77777777" w:rsidTr="00C407DD">
        <w:trPr>
          <w:cantSplit/>
          <w:tblHeader/>
        </w:trPr>
        <w:tc>
          <w:tcPr>
            <w:tcW w:w="1491" w:type="pct"/>
            <w:vAlign w:val="center"/>
          </w:tcPr>
          <w:p w14:paraId="50FF2C32" w14:textId="77777777" w:rsidR="009B1B01" w:rsidRPr="00597BF9" w:rsidRDefault="009B1B01" w:rsidP="00C407DD">
            <w:pPr>
              <w:pStyle w:val="In-tableHeading"/>
            </w:pPr>
            <w:r w:rsidRPr="00597BF9">
              <w:t>Step and component</w:t>
            </w:r>
          </w:p>
        </w:tc>
        <w:tc>
          <w:tcPr>
            <w:tcW w:w="1415" w:type="pct"/>
            <w:vAlign w:val="center"/>
          </w:tcPr>
          <w:p w14:paraId="684F520E" w14:textId="77777777" w:rsidR="009B1B01" w:rsidRPr="00597BF9" w:rsidRDefault="009B1B01" w:rsidP="00C407DD">
            <w:pPr>
              <w:pStyle w:val="In-tableHeading"/>
              <w:jc w:val="center"/>
            </w:pPr>
            <w:r>
              <w:t>Olaparib plus abiraterone</w:t>
            </w:r>
          </w:p>
        </w:tc>
        <w:tc>
          <w:tcPr>
            <w:tcW w:w="1258" w:type="pct"/>
            <w:vAlign w:val="center"/>
          </w:tcPr>
          <w:p w14:paraId="460BBF66" w14:textId="77777777" w:rsidR="009B1B01" w:rsidRPr="00597BF9" w:rsidRDefault="009B1B01" w:rsidP="00C407DD">
            <w:pPr>
              <w:pStyle w:val="In-tableHeading"/>
              <w:jc w:val="center"/>
            </w:pPr>
            <w:r>
              <w:t>NHA monotherapy</w:t>
            </w:r>
          </w:p>
        </w:tc>
        <w:tc>
          <w:tcPr>
            <w:tcW w:w="836" w:type="pct"/>
            <w:vAlign w:val="center"/>
          </w:tcPr>
          <w:p w14:paraId="4BBA7D80" w14:textId="77777777" w:rsidR="009B1B01" w:rsidRPr="00597BF9" w:rsidRDefault="009B1B01" w:rsidP="00C407DD">
            <w:pPr>
              <w:pStyle w:val="In-tableHeading"/>
              <w:jc w:val="center"/>
            </w:pPr>
            <w:r w:rsidRPr="00597BF9">
              <w:t>Increment</w:t>
            </w:r>
          </w:p>
        </w:tc>
      </w:tr>
      <w:tr w:rsidR="009B1B01" w:rsidRPr="00D1078F" w14:paraId="2FC8AA5D" w14:textId="77777777" w:rsidTr="00C407DD">
        <w:trPr>
          <w:cantSplit/>
        </w:trPr>
        <w:tc>
          <w:tcPr>
            <w:tcW w:w="5000" w:type="pct"/>
            <w:gridSpan w:val="4"/>
            <w:vAlign w:val="center"/>
          </w:tcPr>
          <w:p w14:paraId="202E6AEC" w14:textId="77777777" w:rsidR="009B1B01" w:rsidRPr="00597BF9" w:rsidRDefault="009B1B01" w:rsidP="00C407DD">
            <w:pPr>
              <w:pStyle w:val="In-tableHeading"/>
            </w:pPr>
            <w:r w:rsidRPr="008E0766">
              <w:rPr>
                <w:snapToGrid w:val="0"/>
              </w:rPr>
              <w:t>Step 1: Trial-based analysis over a 36-month time horizon (median follow-up from PROpel)</w:t>
            </w:r>
          </w:p>
        </w:tc>
      </w:tr>
      <w:tr w:rsidR="009B1B01" w:rsidRPr="00E2771E" w14:paraId="0E4D87F6" w14:textId="77777777" w:rsidTr="00C407DD">
        <w:trPr>
          <w:cantSplit/>
        </w:trPr>
        <w:tc>
          <w:tcPr>
            <w:tcW w:w="1491" w:type="pct"/>
            <w:vAlign w:val="center"/>
          </w:tcPr>
          <w:p w14:paraId="403C8854" w14:textId="77777777" w:rsidR="009B1B01" w:rsidRPr="00E2771E" w:rsidRDefault="009B1B01" w:rsidP="00C407DD">
            <w:pPr>
              <w:pStyle w:val="TableText0"/>
              <w:rPr>
                <w:rFonts w:ascii="Times" w:hAnsi="Times"/>
              </w:rPr>
            </w:pPr>
            <w:r w:rsidRPr="00BE056E">
              <w:t>Costs</w:t>
            </w:r>
          </w:p>
        </w:tc>
        <w:tc>
          <w:tcPr>
            <w:tcW w:w="1415" w:type="pct"/>
            <w:vAlign w:val="center"/>
          </w:tcPr>
          <w:p w14:paraId="6D46D07C" w14:textId="31FF876D" w:rsidR="009B1B01" w:rsidRPr="00D534AF" w:rsidRDefault="003C22C5" w:rsidP="00C407DD">
            <w:pPr>
              <w:pStyle w:val="TableText0"/>
              <w:jc w:val="center"/>
              <w:rPr>
                <w:rFonts w:ascii="Times" w:hAnsi="Times"/>
                <w:highlight w:val="darkGray"/>
              </w:rPr>
            </w:pPr>
            <w:r w:rsidRPr="003C22C5">
              <w:t xml:space="preserve"> </w:t>
            </w:r>
            <w:r w:rsidR="00B7116A" w:rsidRPr="00B7116A">
              <w:rPr>
                <w:color w:val="000000"/>
                <w:shd w:val="solid" w:color="000000" w:fill="000000"/>
                <w14:textFill>
                  <w14:solidFill>
                    <w14:srgbClr w14:val="000000">
                      <w14:alpha w14:val="100000"/>
                    </w14:srgbClr>
                  </w14:solidFill>
                </w14:textFill>
              </w:rPr>
              <w:t>|</w:t>
            </w:r>
          </w:p>
        </w:tc>
        <w:tc>
          <w:tcPr>
            <w:tcW w:w="1258" w:type="pct"/>
            <w:vAlign w:val="center"/>
          </w:tcPr>
          <w:p w14:paraId="50B91A4F" w14:textId="692D4A18" w:rsidR="009B1B01" w:rsidRPr="00D534AF" w:rsidRDefault="009B1B01" w:rsidP="00C407DD">
            <w:pPr>
              <w:pStyle w:val="TableText0"/>
              <w:jc w:val="center"/>
              <w:rPr>
                <w:rFonts w:ascii="Times" w:hAnsi="Times"/>
                <w:highlight w:val="darkGray"/>
              </w:rPr>
            </w:pPr>
            <w:r w:rsidRPr="00EE0445">
              <w:t>$52,5</w:t>
            </w:r>
            <w:r w:rsidR="003A44AB" w:rsidRPr="00EE0445">
              <w:t>80</w:t>
            </w:r>
          </w:p>
        </w:tc>
        <w:tc>
          <w:tcPr>
            <w:tcW w:w="836" w:type="pct"/>
            <w:vAlign w:val="center"/>
          </w:tcPr>
          <w:p w14:paraId="68332CE0" w14:textId="77CD603F" w:rsidR="009B1B01" w:rsidRPr="00D534AF" w:rsidRDefault="003C22C5" w:rsidP="00C407DD">
            <w:pPr>
              <w:pStyle w:val="TableText0"/>
              <w:jc w:val="center"/>
              <w:rPr>
                <w:rFonts w:ascii="Times" w:hAnsi="Times"/>
                <w:highlight w:val="darkGray"/>
              </w:rPr>
            </w:pPr>
            <w:r w:rsidRPr="003C22C5">
              <w:t xml:space="preserve"> </w:t>
            </w:r>
            <w:r w:rsidR="00B7116A" w:rsidRPr="00B7116A">
              <w:rPr>
                <w:color w:val="000000"/>
                <w:shd w:val="solid" w:color="000000" w:fill="000000"/>
                <w14:textFill>
                  <w14:solidFill>
                    <w14:srgbClr w14:val="000000">
                      <w14:alpha w14:val="100000"/>
                    </w14:srgbClr>
                  </w14:solidFill>
                </w14:textFill>
              </w:rPr>
              <w:t>|</w:t>
            </w:r>
          </w:p>
        </w:tc>
      </w:tr>
      <w:tr w:rsidR="009B1B01" w:rsidRPr="00E2771E" w14:paraId="27C31D0A" w14:textId="77777777" w:rsidTr="00C407DD">
        <w:trPr>
          <w:cantSplit/>
        </w:trPr>
        <w:tc>
          <w:tcPr>
            <w:tcW w:w="1491" w:type="pct"/>
            <w:vAlign w:val="center"/>
          </w:tcPr>
          <w:p w14:paraId="4F65A223" w14:textId="77777777" w:rsidR="009B1B01" w:rsidRPr="00E2771E" w:rsidRDefault="009B1B01" w:rsidP="00C407DD">
            <w:pPr>
              <w:pStyle w:val="TableText0"/>
              <w:rPr>
                <w:rFonts w:ascii="Times" w:hAnsi="Times"/>
              </w:rPr>
            </w:pPr>
            <w:r w:rsidRPr="00BE056E">
              <w:t>LY</w:t>
            </w:r>
          </w:p>
        </w:tc>
        <w:tc>
          <w:tcPr>
            <w:tcW w:w="1415" w:type="pct"/>
            <w:vAlign w:val="center"/>
          </w:tcPr>
          <w:p w14:paraId="0909F448" w14:textId="77777777" w:rsidR="009B1B01" w:rsidRPr="00E2771E" w:rsidRDefault="009B1B01" w:rsidP="00C407DD">
            <w:pPr>
              <w:pStyle w:val="TableText0"/>
              <w:jc w:val="center"/>
              <w:rPr>
                <w:rFonts w:ascii="Times" w:hAnsi="Times"/>
              </w:rPr>
            </w:pPr>
            <w:r w:rsidRPr="008E0766">
              <w:rPr>
                <w:rFonts w:cs="Arial"/>
                <w:color w:val="000000"/>
              </w:rPr>
              <w:t>2.440</w:t>
            </w:r>
          </w:p>
        </w:tc>
        <w:tc>
          <w:tcPr>
            <w:tcW w:w="1258" w:type="pct"/>
            <w:vAlign w:val="center"/>
          </w:tcPr>
          <w:p w14:paraId="5DED2048" w14:textId="77777777" w:rsidR="009B1B01" w:rsidRPr="00E2771E" w:rsidRDefault="009B1B01" w:rsidP="00C407DD">
            <w:pPr>
              <w:pStyle w:val="TableText0"/>
              <w:jc w:val="center"/>
              <w:rPr>
                <w:rFonts w:ascii="Times" w:hAnsi="Times"/>
              </w:rPr>
            </w:pPr>
            <w:r w:rsidRPr="008E0766">
              <w:rPr>
                <w:rFonts w:cs="Arial"/>
                <w:color w:val="000000"/>
              </w:rPr>
              <w:t>1.907</w:t>
            </w:r>
          </w:p>
        </w:tc>
        <w:tc>
          <w:tcPr>
            <w:tcW w:w="836" w:type="pct"/>
            <w:vAlign w:val="center"/>
          </w:tcPr>
          <w:p w14:paraId="6CFC57D9" w14:textId="77777777" w:rsidR="009B1B01" w:rsidRPr="00E2771E" w:rsidRDefault="009B1B01" w:rsidP="00C407DD">
            <w:pPr>
              <w:pStyle w:val="TableText0"/>
              <w:jc w:val="center"/>
            </w:pPr>
            <w:r w:rsidRPr="008E0766">
              <w:rPr>
                <w:rFonts w:cs="Arial"/>
                <w:color w:val="000000"/>
              </w:rPr>
              <w:t>0.533</w:t>
            </w:r>
          </w:p>
        </w:tc>
      </w:tr>
      <w:tr w:rsidR="009B1B01" w:rsidRPr="00E2771E" w14:paraId="4BC8C58F" w14:textId="77777777" w:rsidTr="00C407DD">
        <w:trPr>
          <w:cantSplit/>
        </w:trPr>
        <w:tc>
          <w:tcPr>
            <w:tcW w:w="4164" w:type="pct"/>
            <w:gridSpan w:val="3"/>
            <w:vAlign w:val="center"/>
          </w:tcPr>
          <w:p w14:paraId="033DD032" w14:textId="77777777" w:rsidR="009B1B01" w:rsidRPr="00E2771E" w:rsidRDefault="009B1B01" w:rsidP="00C407DD">
            <w:pPr>
              <w:pStyle w:val="TableText0"/>
              <w:rPr>
                <w:rFonts w:ascii="Times" w:hAnsi="Times"/>
              </w:rPr>
            </w:pPr>
            <w:r w:rsidRPr="00BE056E">
              <w:t xml:space="preserve">Incremental cost/extra LY gained </w:t>
            </w:r>
          </w:p>
        </w:tc>
        <w:tc>
          <w:tcPr>
            <w:tcW w:w="836" w:type="pct"/>
            <w:vAlign w:val="center"/>
          </w:tcPr>
          <w:p w14:paraId="7568AD2E" w14:textId="4F16DADA" w:rsidR="009B1B01" w:rsidRPr="00E2771E" w:rsidRDefault="003C22C5" w:rsidP="00C407DD">
            <w:pPr>
              <w:pStyle w:val="TableText0"/>
              <w:jc w:val="center"/>
              <w:rPr>
                <w:rFonts w:ascii="Times" w:hAnsi="Times"/>
              </w:rPr>
            </w:pPr>
            <w:r w:rsidRPr="003C22C5">
              <w:t xml:space="preserve"> </w:t>
            </w:r>
            <w:r w:rsidR="00B7116A" w:rsidRPr="00B7116A">
              <w:rPr>
                <w:color w:val="000000"/>
                <w:shd w:val="solid" w:color="000000" w:fill="000000"/>
                <w14:textFill>
                  <w14:solidFill>
                    <w14:srgbClr w14:val="000000">
                      <w14:alpha w14:val="100000"/>
                    </w14:srgbClr>
                  </w14:solidFill>
                </w14:textFill>
              </w:rPr>
              <w:t>|</w:t>
            </w:r>
            <w:r w:rsidR="00D534AF">
              <w:t xml:space="preserve"> </w:t>
            </w:r>
            <w:r w:rsidR="00EE0445">
              <w:rPr>
                <w:vertAlign w:val="superscript"/>
              </w:rPr>
              <w:t>1</w:t>
            </w:r>
          </w:p>
        </w:tc>
      </w:tr>
      <w:tr w:rsidR="009B1B01" w:rsidRPr="00D1078F" w14:paraId="41BE14BF" w14:textId="77777777" w:rsidTr="00C407DD">
        <w:trPr>
          <w:cantSplit/>
        </w:trPr>
        <w:tc>
          <w:tcPr>
            <w:tcW w:w="5000" w:type="pct"/>
            <w:gridSpan w:val="4"/>
            <w:vAlign w:val="center"/>
          </w:tcPr>
          <w:p w14:paraId="704FD57D" w14:textId="77777777" w:rsidR="009B1B01" w:rsidRPr="00597BF9" w:rsidRDefault="009B1B01" w:rsidP="00C407DD">
            <w:pPr>
              <w:pStyle w:val="In-tableHeading"/>
            </w:pPr>
            <w:r w:rsidRPr="008E0766">
              <w:t>Step 2: Extrapolated analysis over 15-year time horizon, presented as cost per life year.</w:t>
            </w:r>
          </w:p>
        </w:tc>
      </w:tr>
      <w:tr w:rsidR="009B1B01" w:rsidRPr="00E2771E" w14:paraId="0268DBCA" w14:textId="77777777" w:rsidTr="00C407DD">
        <w:trPr>
          <w:cantSplit/>
        </w:trPr>
        <w:tc>
          <w:tcPr>
            <w:tcW w:w="1491" w:type="pct"/>
            <w:vAlign w:val="center"/>
          </w:tcPr>
          <w:p w14:paraId="342EB270" w14:textId="77777777" w:rsidR="009B1B01" w:rsidRPr="00E2771E" w:rsidRDefault="009B1B01" w:rsidP="00C407DD">
            <w:pPr>
              <w:pStyle w:val="TableText0"/>
              <w:rPr>
                <w:rFonts w:ascii="Times" w:hAnsi="Times"/>
              </w:rPr>
            </w:pPr>
            <w:r w:rsidRPr="00BE056E">
              <w:t>Costs</w:t>
            </w:r>
          </w:p>
        </w:tc>
        <w:tc>
          <w:tcPr>
            <w:tcW w:w="1415" w:type="pct"/>
            <w:vAlign w:val="center"/>
          </w:tcPr>
          <w:p w14:paraId="7E803E5D" w14:textId="6EE9E48A" w:rsidR="009B1B01" w:rsidRPr="00D534AF" w:rsidRDefault="003C22C5" w:rsidP="00C407DD">
            <w:pPr>
              <w:pStyle w:val="TableText0"/>
              <w:jc w:val="center"/>
              <w:rPr>
                <w:rFonts w:ascii="Times" w:hAnsi="Times"/>
                <w:highlight w:val="darkGray"/>
              </w:rPr>
            </w:pPr>
            <w:r w:rsidRPr="003C22C5">
              <w:t xml:space="preserve"> </w:t>
            </w:r>
            <w:r w:rsidR="00B7116A" w:rsidRPr="00B7116A">
              <w:rPr>
                <w:color w:val="000000"/>
                <w:shd w:val="solid" w:color="000000" w:fill="000000"/>
                <w14:textFill>
                  <w14:solidFill>
                    <w14:srgbClr w14:val="000000">
                      <w14:alpha w14:val="100000"/>
                    </w14:srgbClr>
                  </w14:solidFill>
                </w14:textFill>
              </w:rPr>
              <w:t>|</w:t>
            </w:r>
          </w:p>
        </w:tc>
        <w:tc>
          <w:tcPr>
            <w:tcW w:w="1258" w:type="pct"/>
            <w:vAlign w:val="center"/>
          </w:tcPr>
          <w:p w14:paraId="18E56129" w14:textId="53C3B459" w:rsidR="009B1B01" w:rsidRPr="00D534AF" w:rsidRDefault="009B1B01" w:rsidP="00C407DD">
            <w:pPr>
              <w:pStyle w:val="TableText0"/>
              <w:jc w:val="center"/>
              <w:rPr>
                <w:rFonts w:ascii="Times" w:hAnsi="Times"/>
                <w:highlight w:val="darkGray"/>
              </w:rPr>
            </w:pPr>
            <w:r w:rsidRPr="00EE0445">
              <w:t>$63,221</w:t>
            </w:r>
          </w:p>
        </w:tc>
        <w:tc>
          <w:tcPr>
            <w:tcW w:w="836" w:type="pct"/>
            <w:vAlign w:val="center"/>
          </w:tcPr>
          <w:p w14:paraId="32CD209C" w14:textId="70488D17" w:rsidR="009B1B01" w:rsidRPr="00D534AF" w:rsidRDefault="003C22C5" w:rsidP="00C407DD">
            <w:pPr>
              <w:pStyle w:val="TableText0"/>
              <w:jc w:val="center"/>
              <w:rPr>
                <w:rFonts w:ascii="Times" w:hAnsi="Times"/>
                <w:highlight w:val="darkGray"/>
              </w:rPr>
            </w:pPr>
            <w:r w:rsidRPr="003C22C5">
              <w:t xml:space="preserve"> </w:t>
            </w:r>
            <w:r w:rsidR="00B7116A" w:rsidRPr="00B7116A">
              <w:rPr>
                <w:color w:val="000000"/>
                <w:shd w:val="solid" w:color="000000" w:fill="000000"/>
                <w14:textFill>
                  <w14:solidFill>
                    <w14:srgbClr w14:val="000000">
                      <w14:alpha w14:val="100000"/>
                    </w14:srgbClr>
                  </w14:solidFill>
                </w14:textFill>
              </w:rPr>
              <w:t>|</w:t>
            </w:r>
          </w:p>
        </w:tc>
      </w:tr>
      <w:tr w:rsidR="009B1B01" w:rsidRPr="00E2771E" w14:paraId="606314E5" w14:textId="77777777" w:rsidTr="00C407DD">
        <w:trPr>
          <w:cantSplit/>
        </w:trPr>
        <w:tc>
          <w:tcPr>
            <w:tcW w:w="1491" w:type="pct"/>
            <w:vAlign w:val="center"/>
          </w:tcPr>
          <w:p w14:paraId="0BC48311" w14:textId="77777777" w:rsidR="009B1B01" w:rsidRPr="00E2771E" w:rsidRDefault="009B1B01" w:rsidP="00C407DD">
            <w:pPr>
              <w:pStyle w:val="TableText0"/>
              <w:rPr>
                <w:rFonts w:ascii="Times" w:hAnsi="Times"/>
              </w:rPr>
            </w:pPr>
            <w:r w:rsidRPr="00BE056E">
              <w:t>LY</w:t>
            </w:r>
          </w:p>
        </w:tc>
        <w:tc>
          <w:tcPr>
            <w:tcW w:w="1415" w:type="pct"/>
            <w:vAlign w:val="center"/>
          </w:tcPr>
          <w:p w14:paraId="0CE4DCE0" w14:textId="77777777" w:rsidR="009B1B01" w:rsidRPr="00E2771E" w:rsidRDefault="009B1B01" w:rsidP="00C407DD">
            <w:pPr>
              <w:pStyle w:val="TableText0"/>
              <w:jc w:val="center"/>
              <w:rPr>
                <w:rFonts w:ascii="Times" w:hAnsi="Times"/>
              </w:rPr>
            </w:pPr>
            <w:r>
              <w:t>5.870</w:t>
            </w:r>
          </w:p>
        </w:tc>
        <w:tc>
          <w:tcPr>
            <w:tcW w:w="1258" w:type="pct"/>
            <w:vAlign w:val="center"/>
          </w:tcPr>
          <w:p w14:paraId="42FA4299" w14:textId="77777777" w:rsidR="009B1B01" w:rsidRPr="00E2771E" w:rsidRDefault="009B1B01" w:rsidP="00C407DD">
            <w:pPr>
              <w:pStyle w:val="TableText0"/>
              <w:jc w:val="center"/>
              <w:rPr>
                <w:rFonts w:ascii="Times" w:hAnsi="Times"/>
              </w:rPr>
            </w:pPr>
            <w:r>
              <w:t>2.397</w:t>
            </w:r>
          </w:p>
        </w:tc>
        <w:tc>
          <w:tcPr>
            <w:tcW w:w="836" w:type="pct"/>
            <w:vAlign w:val="center"/>
          </w:tcPr>
          <w:p w14:paraId="15D9D23C" w14:textId="77777777" w:rsidR="009B1B01" w:rsidRPr="00E2771E" w:rsidRDefault="009B1B01" w:rsidP="00C407DD">
            <w:pPr>
              <w:pStyle w:val="TableText0"/>
              <w:jc w:val="center"/>
            </w:pPr>
            <w:r>
              <w:t>3.474</w:t>
            </w:r>
          </w:p>
        </w:tc>
      </w:tr>
      <w:tr w:rsidR="009B1B01" w:rsidRPr="00EE64D8" w14:paraId="570FF950" w14:textId="77777777" w:rsidTr="00C407DD">
        <w:trPr>
          <w:cantSplit/>
        </w:trPr>
        <w:tc>
          <w:tcPr>
            <w:tcW w:w="4164" w:type="pct"/>
            <w:gridSpan w:val="3"/>
            <w:vAlign w:val="center"/>
          </w:tcPr>
          <w:p w14:paraId="542591DF" w14:textId="77777777" w:rsidR="009B1B01" w:rsidRPr="00EE64D8" w:rsidRDefault="009B1B01" w:rsidP="00C407DD">
            <w:pPr>
              <w:pStyle w:val="TableText0"/>
              <w:rPr>
                <w:rFonts w:ascii="Times" w:hAnsi="Times"/>
              </w:rPr>
            </w:pPr>
            <w:r w:rsidRPr="00BE056E">
              <w:t xml:space="preserve">Incremental cost/extra LY gained </w:t>
            </w:r>
          </w:p>
        </w:tc>
        <w:tc>
          <w:tcPr>
            <w:tcW w:w="836" w:type="pct"/>
            <w:vAlign w:val="center"/>
          </w:tcPr>
          <w:p w14:paraId="4059FB71" w14:textId="5A13BB7A" w:rsidR="009B1B01" w:rsidRPr="00EE64D8" w:rsidRDefault="003C22C5" w:rsidP="00C407DD">
            <w:pPr>
              <w:pStyle w:val="TableText0"/>
              <w:jc w:val="center"/>
              <w:rPr>
                <w:rFonts w:ascii="Times" w:hAnsi="Times"/>
              </w:rPr>
            </w:pPr>
            <w:r w:rsidRPr="003C22C5">
              <w:t xml:space="preserve"> </w:t>
            </w:r>
            <w:r w:rsidR="00B7116A" w:rsidRPr="00B7116A">
              <w:rPr>
                <w:color w:val="000000"/>
                <w:shd w:val="solid" w:color="000000" w:fill="000000"/>
                <w14:textFill>
                  <w14:solidFill>
                    <w14:srgbClr w14:val="000000">
                      <w14:alpha w14:val="100000"/>
                    </w14:srgbClr>
                  </w14:solidFill>
                </w14:textFill>
              </w:rPr>
              <w:t>|</w:t>
            </w:r>
            <w:r w:rsidR="00D534AF">
              <w:t xml:space="preserve"> </w:t>
            </w:r>
            <w:r w:rsidR="00EE0445">
              <w:rPr>
                <w:vertAlign w:val="superscript"/>
              </w:rPr>
              <w:t>2</w:t>
            </w:r>
          </w:p>
        </w:tc>
      </w:tr>
      <w:tr w:rsidR="009B1B01" w:rsidRPr="00D1078F" w14:paraId="11B75ED1" w14:textId="77777777" w:rsidTr="00C407DD">
        <w:trPr>
          <w:cantSplit/>
        </w:trPr>
        <w:tc>
          <w:tcPr>
            <w:tcW w:w="5000" w:type="pct"/>
            <w:gridSpan w:val="4"/>
            <w:vAlign w:val="center"/>
          </w:tcPr>
          <w:p w14:paraId="1ADC550C" w14:textId="77777777" w:rsidR="009B1B01" w:rsidRPr="00D1078F" w:rsidRDefault="009B1B01" w:rsidP="00C407DD">
            <w:pPr>
              <w:pStyle w:val="In-tableHeading"/>
            </w:pPr>
            <w:r w:rsidRPr="008E0766">
              <w:t>Step 3: Extrapolated analysis over 15-year time horizon, presented as cost per QALY</w:t>
            </w:r>
          </w:p>
        </w:tc>
      </w:tr>
      <w:tr w:rsidR="009B1B01" w:rsidRPr="00E2771E" w14:paraId="73EB9497" w14:textId="77777777" w:rsidTr="00C407DD">
        <w:trPr>
          <w:cantSplit/>
        </w:trPr>
        <w:tc>
          <w:tcPr>
            <w:tcW w:w="1491" w:type="pct"/>
            <w:vAlign w:val="center"/>
          </w:tcPr>
          <w:p w14:paraId="42BD26E8" w14:textId="77777777" w:rsidR="009B1B01" w:rsidRPr="00E2771E" w:rsidRDefault="009B1B01" w:rsidP="00C407DD">
            <w:pPr>
              <w:pStyle w:val="TableText0"/>
              <w:rPr>
                <w:rFonts w:ascii="Times" w:hAnsi="Times"/>
              </w:rPr>
            </w:pPr>
            <w:r w:rsidRPr="00BE056E">
              <w:t>Costs</w:t>
            </w:r>
            <w:r>
              <w:t xml:space="preserve"> (all costs, discounted)</w:t>
            </w:r>
          </w:p>
        </w:tc>
        <w:tc>
          <w:tcPr>
            <w:tcW w:w="1415" w:type="pct"/>
            <w:vAlign w:val="center"/>
          </w:tcPr>
          <w:p w14:paraId="6D8A67D9" w14:textId="24B02799" w:rsidR="009B1B01" w:rsidRPr="00D534AF" w:rsidRDefault="003C22C5" w:rsidP="00C407DD">
            <w:pPr>
              <w:pStyle w:val="TableText0"/>
              <w:jc w:val="center"/>
              <w:rPr>
                <w:rFonts w:ascii="Times" w:hAnsi="Times"/>
                <w:highlight w:val="darkGray"/>
              </w:rPr>
            </w:pPr>
            <w:r w:rsidRPr="003C22C5">
              <w:t xml:space="preserve"> </w:t>
            </w:r>
            <w:r w:rsidR="00B7116A" w:rsidRPr="00B7116A">
              <w:rPr>
                <w:color w:val="000000"/>
                <w:shd w:val="solid" w:color="000000" w:fill="000000"/>
                <w14:textFill>
                  <w14:solidFill>
                    <w14:srgbClr w14:val="000000">
                      <w14:alpha w14:val="100000"/>
                    </w14:srgbClr>
                  </w14:solidFill>
                </w14:textFill>
              </w:rPr>
              <w:t>|</w:t>
            </w:r>
          </w:p>
        </w:tc>
        <w:tc>
          <w:tcPr>
            <w:tcW w:w="1258" w:type="pct"/>
            <w:vAlign w:val="center"/>
          </w:tcPr>
          <w:p w14:paraId="71BEDA4D" w14:textId="71E5B44A" w:rsidR="009B1B01" w:rsidRPr="00D534AF" w:rsidRDefault="009B1B01" w:rsidP="00C407DD">
            <w:pPr>
              <w:pStyle w:val="TableText0"/>
              <w:jc w:val="center"/>
              <w:rPr>
                <w:rFonts w:ascii="Times" w:hAnsi="Times"/>
                <w:highlight w:val="darkGray"/>
              </w:rPr>
            </w:pPr>
            <w:r w:rsidRPr="00EE0445">
              <w:t>$63,221</w:t>
            </w:r>
          </w:p>
        </w:tc>
        <w:tc>
          <w:tcPr>
            <w:tcW w:w="836" w:type="pct"/>
            <w:vAlign w:val="center"/>
          </w:tcPr>
          <w:p w14:paraId="41C9C085" w14:textId="17765139" w:rsidR="009B1B01" w:rsidRPr="00D534AF" w:rsidRDefault="003C22C5" w:rsidP="00C407DD">
            <w:pPr>
              <w:pStyle w:val="TableText0"/>
              <w:jc w:val="center"/>
              <w:rPr>
                <w:rFonts w:ascii="Times" w:hAnsi="Times"/>
                <w:highlight w:val="darkGray"/>
              </w:rPr>
            </w:pPr>
            <w:r w:rsidRPr="003C22C5">
              <w:t xml:space="preserve"> </w:t>
            </w:r>
            <w:r w:rsidR="00B7116A" w:rsidRPr="00B7116A">
              <w:rPr>
                <w:color w:val="000000"/>
                <w:shd w:val="solid" w:color="000000" w:fill="000000"/>
                <w14:textFill>
                  <w14:solidFill>
                    <w14:srgbClr w14:val="000000">
                      <w14:alpha w14:val="100000"/>
                    </w14:srgbClr>
                  </w14:solidFill>
                </w14:textFill>
              </w:rPr>
              <w:t>|</w:t>
            </w:r>
            <w:r w:rsidRPr="003C22C5">
              <w:t xml:space="preserve"> </w:t>
            </w:r>
          </w:p>
        </w:tc>
      </w:tr>
      <w:tr w:rsidR="009B1B01" w:rsidRPr="00E2771E" w14:paraId="4BE5C481" w14:textId="77777777" w:rsidTr="00C407DD">
        <w:trPr>
          <w:cantSplit/>
        </w:trPr>
        <w:tc>
          <w:tcPr>
            <w:tcW w:w="1491" w:type="pct"/>
            <w:vAlign w:val="center"/>
          </w:tcPr>
          <w:p w14:paraId="2FB062BC" w14:textId="77777777" w:rsidR="009B1B01" w:rsidRPr="00E2771E" w:rsidRDefault="009B1B01" w:rsidP="00C407DD">
            <w:pPr>
              <w:pStyle w:val="TableText0"/>
              <w:rPr>
                <w:rFonts w:ascii="Times" w:hAnsi="Times"/>
              </w:rPr>
            </w:pPr>
            <w:r w:rsidRPr="00BE056E">
              <w:t>LY</w:t>
            </w:r>
          </w:p>
        </w:tc>
        <w:tc>
          <w:tcPr>
            <w:tcW w:w="1415" w:type="pct"/>
            <w:vAlign w:val="center"/>
          </w:tcPr>
          <w:p w14:paraId="1CC8A622" w14:textId="77777777" w:rsidR="009B1B01" w:rsidRPr="00E2771E" w:rsidRDefault="009B1B01" w:rsidP="00C407DD">
            <w:pPr>
              <w:pStyle w:val="TableText0"/>
              <w:jc w:val="center"/>
              <w:rPr>
                <w:rFonts w:ascii="Times" w:hAnsi="Times"/>
              </w:rPr>
            </w:pPr>
            <w:r>
              <w:t>5.870</w:t>
            </w:r>
          </w:p>
        </w:tc>
        <w:tc>
          <w:tcPr>
            <w:tcW w:w="1258" w:type="pct"/>
            <w:vAlign w:val="center"/>
          </w:tcPr>
          <w:p w14:paraId="589A260A" w14:textId="77777777" w:rsidR="009B1B01" w:rsidRPr="00E2771E" w:rsidRDefault="009B1B01" w:rsidP="00C407DD">
            <w:pPr>
              <w:pStyle w:val="TableText0"/>
              <w:jc w:val="center"/>
              <w:rPr>
                <w:rFonts w:ascii="Times" w:hAnsi="Times"/>
              </w:rPr>
            </w:pPr>
            <w:r>
              <w:t>2.397</w:t>
            </w:r>
          </w:p>
        </w:tc>
        <w:tc>
          <w:tcPr>
            <w:tcW w:w="836" w:type="pct"/>
            <w:vAlign w:val="center"/>
          </w:tcPr>
          <w:p w14:paraId="2CB2369C" w14:textId="77777777" w:rsidR="009B1B01" w:rsidRPr="00E2771E" w:rsidRDefault="009B1B01" w:rsidP="00C407DD">
            <w:pPr>
              <w:pStyle w:val="TableText0"/>
              <w:jc w:val="center"/>
            </w:pPr>
            <w:r>
              <w:t>3.474</w:t>
            </w:r>
          </w:p>
        </w:tc>
      </w:tr>
      <w:tr w:rsidR="009B1B01" w:rsidRPr="00E2771E" w14:paraId="0A322806" w14:textId="77777777" w:rsidTr="00C407DD">
        <w:trPr>
          <w:cantSplit/>
        </w:trPr>
        <w:tc>
          <w:tcPr>
            <w:tcW w:w="4164" w:type="pct"/>
            <w:gridSpan w:val="3"/>
            <w:vAlign w:val="center"/>
          </w:tcPr>
          <w:p w14:paraId="48B06DCB" w14:textId="77777777" w:rsidR="009B1B01" w:rsidRPr="00E2771E" w:rsidRDefault="009B1B01" w:rsidP="00C407DD">
            <w:pPr>
              <w:pStyle w:val="TableText0"/>
              <w:rPr>
                <w:rFonts w:ascii="Times" w:hAnsi="Times"/>
              </w:rPr>
            </w:pPr>
            <w:r w:rsidRPr="00BE056E">
              <w:t>Incremental discounted cost/extra LY gained (base case)</w:t>
            </w:r>
          </w:p>
        </w:tc>
        <w:tc>
          <w:tcPr>
            <w:tcW w:w="836" w:type="pct"/>
            <w:vAlign w:val="center"/>
          </w:tcPr>
          <w:p w14:paraId="3370D1EC" w14:textId="645A0A88" w:rsidR="009B1B01" w:rsidRPr="00E2771E" w:rsidRDefault="003C22C5" w:rsidP="00C407DD">
            <w:pPr>
              <w:pStyle w:val="TableText0"/>
              <w:jc w:val="center"/>
              <w:rPr>
                <w:rFonts w:ascii="Times" w:hAnsi="Times"/>
              </w:rPr>
            </w:pPr>
            <w:r w:rsidRPr="003C22C5">
              <w:t xml:space="preserve"> </w:t>
            </w:r>
            <w:r w:rsidR="00B7116A" w:rsidRPr="00B7116A">
              <w:rPr>
                <w:color w:val="000000"/>
                <w:shd w:val="solid" w:color="000000" w:fill="000000"/>
                <w14:textFill>
                  <w14:solidFill>
                    <w14:srgbClr w14:val="000000">
                      <w14:alpha w14:val="100000"/>
                    </w14:srgbClr>
                  </w14:solidFill>
                </w14:textFill>
              </w:rPr>
              <w:t>|</w:t>
            </w:r>
            <w:r w:rsidR="00D534AF">
              <w:t xml:space="preserve"> </w:t>
            </w:r>
            <w:r w:rsidR="00EE0445">
              <w:rPr>
                <w:vertAlign w:val="superscript"/>
              </w:rPr>
              <w:t>2</w:t>
            </w:r>
          </w:p>
        </w:tc>
      </w:tr>
      <w:tr w:rsidR="009B1B01" w:rsidRPr="00E2771E" w14:paraId="51EDCACA" w14:textId="77777777" w:rsidTr="00C407DD">
        <w:trPr>
          <w:cantSplit/>
        </w:trPr>
        <w:tc>
          <w:tcPr>
            <w:tcW w:w="1491" w:type="pct"/>
            <w:vAlign w:val="center"/>
          </w:tcPr>
          <w:p w14:paraId="41362720" w14:textId="77777777" w:rsidR="009B1B01" w:rsidRPr="00E2771E" w:rsidRDefault="009B1B01" w:rsidP="00C407DD">
            <w:pPr>
              <w:pStyle w:val="TableText0"/>
            </w:pPr>
            <w:r w:rsidRPr="00BE056E">
              <w:t>QALY</w:t>
            </w:r>
          </w:p>
        </w:tc>
        <w:tc>
          <w:tcPr>
            <w:tcW w:w="1415" w:type="pct"/>
            <w:vAlign w:val="center"/>
          </w:tcPr>
          <w:p w14:paraId="5587D243" w14:textId="77777777" w:rsidR="009B1B01" w:rsidRPr="00E2771E" w:rsidRDefault="009B1B01" w:rsidP="00C407DD">
            <w:pPr>
              <w:pStyle w:val="TableText0"/>
              <w:jc w:val="center"/>
            </w:pPr>
            <w:r w:rsidRPr="00680CB7">
              <w:t>4.667</w:t>
            </w:r>
          </w:p>
        </w:tc>
        <w:tc>
          <w:tcPr>
            <w:tcW w:w="1258" w:type="pct"/>
            <w:vAlign w:val="center"/>
          </w:tcPr>
          <w:p w14:paraId="569A33CC" w14:textId="77777777" w:rsidR="009B1B01" w:rsidRPr="00E2771E" w:rsidRDefault="009B1B01" w:rsidP="00C407DD">
            <w:pPr>
              <w:pStyle w:val="TableText0"/>
              <w:jc w:val="center"/>
            </w:pPr>
            <w:r w:rsidRPr="00680CB7">
              <w:t>1.873</w:t>
            </w:r>
          </w:p>
        </w:tc>
        <w:tc>
          <w:tcPr>
            <w:tcW w:w="836" w:type="pct"/>
            <w:vAlign w:val="center"/>
          </w:tcPr>
          <w:p w14:paraId="74C202AE" w14:textId="77777777" w:rsidR="009B1B01" w:rsidRPr="00E2771E" w:rsidRDefault="009B1B01" w:rsidP="00C407DD">
            <w:pPr>
              <w:pStyle w:val="TableText0"/>
              <w:jc w:val="center"/>
            </w:pPr>
            <w:r>
              <w:t>2.794</w:t>
            </w:r>
          </w:p>
        </w:tc>
      </w:tr>
      <w:tr w:rsidR="009B1B01" w:rsidRPr="003A44AB" w14:paraId="0B3C1794" w14:textId="77777777" w:rsidTr="00C407DD">
        <w:trPr>
          <w:cantSplit/>
        </w:trPr>
        <w:tc>
          <w:tcPr>
            <w:tcW w:w="4164" w:type="pct"/>
            <w:gridSpan w:val="3"/>
            <w:vAlign w:val="center"/>
          </w:tcPr>
          <w:p w14:paraId="2A8991B5" w14:textId="77777777" w:rsidR="009B1B01" w:rsidRPr="003A44AB" w:rsidRDefault="009B1B01" w:rsidP="00C407DD">
            <w:pPr>
              <w:pStyle w:val="TableText0"/>
              <w:rPr>
                <w:b/>
                <w:bCs w:val="0"/>
              </w:rPr>
            </w:pPr>
            <w:r w:rsidRPr="003A44AB">
              <w:rPr>
                <w:b/>
                <w:bCs w:val="0"/>
              </w:rPr>
              <w:t>Incremental discounted cost/extra QALY gained</w:t>
            </w:r>
          </w:p>
        </w:tc>
        <w:tc>
          <w:tcPr>
            <w:tcW w:w="836" w:type="pct"/>
            <w:vAlign w:val="center"/>
          </w:tcPr>
          <w:p w14:paraId="7AA79CED" w14:textId="6F879C99" w:rsidR="009B1B01" w:rsidRPr="003A44AB" w:rsidRDefault="003C22C5" w:rsidP="00C407DD">
            <w:pPr>
              <w:pStyle w:val="TableText0"/>
              <w:jc w:val="center"/>
              <w:rPr>
                <w:b/>
                <w:bCs w:val="0"/>
              </w:rPr>
            </w:pPr>
            <w:r w:rsidRPr="003C22C5">
              <w:rPr>
                <w:b/>
                <w:bCs w:val="0"/>
              </w:rPr>
              <w:t xml:space="preserve"> </w:t>
            </w:r>
            <w:r w:rsidR="00B7116A" w:rsidRPr="00B7116A">
              <w:rPr>
                <w:b/>
                <w:bCs w:val="0"/>
                <w:color w:val="000000"/>
                <w:shd w:val="solid" w:color="000000" w:fill="000000"/>
                <w14:textFill>
                  <w14:solidFill>
                    <w14:srgbClr w14:val="000000">
                      <w14:alpha w14:val="100000"/>
                    </w14:srgbClr>
                  </w14:solidFill>
                </w14:textFill>
              </w:rPr>
              <w:t>|</w:t>
            </w:r>
            <w:r w:rsidR="00D534AF">
              <w:rPr>
                <w:b/>
                <w:bCs w:val="0"/>
              </w:rPr>
              <w:t xml:space="preserve"> </w:t>
            </w:r>
            <w:r w:rsidR="00EE0445">
              <w:rPr>
                <w:vertAlign w:val="superscript"/>
              </w:rPr>
              <w:t>3</w:t>
            </w:r>
          </w:p>
        </w:tc>
      </w:tr>
      <w:tr w:rsidR="00CF11D7" w:rsidRPr="00D1078F" w14:paraId="0074B5AB" w14:textId="77777777" w:rsidTr="00FA3BF9">
        <w:trPr>
          <w:cantSplit/>
        </w:trPr>
        <w:tc>
          <w:tcPr>
            <w:tcW w:w="5000" w:type="pct"/>
            <w:gridSpan w:val="4"/>
            <w:vAlign w:val="center"/>
          </w:tcPr>
          <w:p w14:paraId="5C493B4C" w14:textId="4F5DCE09" w:rsidR="00CF11D7" w:rsidRPr="00D1078F" w:rsidRDefault="00CF11D7" w:rsidP="00FA3BF9">
            <w:pPr>
              <w:pStyle w:val="In-tableHeading"/>
            </w:pPr>
            <w:r>
              <w:t>Pre-PBAC revised base case</w:t>
            </w:r>
          </w:p>
        </w:tc>
      </w:tr>
      <w:tr w:rsidR="00CF11D7" w:rsidRPr="003A44AB" w14:paraId="19B2D297" w14:textId="77777777" w:rsidTr="00FA3BF9">
        <w:trPr>
          <w:cantSplit/>
        </w:trPr>
        <w:tc>
          <w:tcPr>
            <w:tcW w:w="4164" w:type="pct"/>
            <w:gridSpan w:val="3"/>
            <w:vAlign w:val="center"/>
          </w:tcPr>
          <w:p w14:paraId="32783D26" w14:textId="77777777" w:rsidR="00CF11D7" w:rsidRPr="003A44AB" w:rsidRDefault="00CF11D7" w:rsidP="00FA3BF9">
            <w:pPr>
              <w:pStyle w:val="TableText0"/>
              <w:rPr>
                <w:b/>
                <w:bCs w:val="0"/>
              </w:rPr>
            </w:pPr>
            <w:r w:rsidRPr="003A44AB">
              <w:rPr>
                <w:b/>
                <w:bCs w:val="0"/>
              </w:rPr>
              <w:t>Incremental discounted cost/extra QALY gained</w:t>
            </w:r>
          </w:p>
        </w:tc>
        <w:tc>
          <w:tcPr>
            <w:tcW w:w="836" w:type="pct"/>
            <w:vAlign w:val="center"/>
          </w:tcPr>
          <w:p w14:paraId="49CEB2EC" w14:textId="057E8D55" w:rsidR="00CF11D7" w:rsidRPr="003A44AB" w:rsidRDefault="003C22C5" w:rsidP="00FA3BF9">
            <w:pPr>
              <w:pStyle w:val="TableText0"/>
              <w:jc w:val="center"/>
              <w:rPr>
                <w:b/>
                <w:bCs w:val="0"/>
              </w:rPr>
            </w:pPr>
            <w:r w:rsidRPr="003C22C5">
              <w:rPr>
                <w:b/>
                <w:bCs w:val="0"/>
              </w:rPr>
              <w:t xml:space="preserve"> </w:t>
            </w:r>
            <w:r w:rsidR="00B7116A" w:rsidRPr="00B7116A">
              <w:rPr>
                <w:b/>
                <w:bCs w:val="0"/>
                <w:color w:val="000000"/>
                <w:shd w:val="solid" w:color="000000" w:fill="000000"/>
                <w14:textFill>
                  <w14:solidFill>
                    <w14:srgbClr w14:val="000000">
                      <w14:alpha w14:val="100000"/>
                    </w14:srgbClr>
                  </w14:solidFill>
                </w14:textFill>
              </w:rPr>
              <w:t>|</w:t>
            </w:r>
            <w:r w:rsidR="00D534AF">
              <w:rPr>
                <w:b/>
                <w:bCs w:val="0"/>
              </w:rPr>
              <w:t xml:space="preserve"> </w:t>
            </w:r>
            <w:r w:rsidR="00EE0445">
              <w:rPr>
                <w:vertAlign w:val="superscript"/>
              </w:rPr>
              <w:t>3</w:t>
            </w:r>
            <w:r w:rsidR="00CF11D7">
              <w:rPr>
                <w:b/>
                <w:bCs w:val="0"/>
              </w:rPr>
              <w:t>*</w:t>
            </w:r>
          </w:p>
        </w:tc>
      </w:tr>
    </w:tbl>
    <w:p w14:paraId="1B613666" w14:textId="77777777" w:rsidR="009B1B01" w:rsidRDefault="009B1B01" w:rsidP="009B1B01">
      <w:pPr>
        <w:pStyle w:val="TableFooter"/>
      </w:pPr>
      <w:r w:rsidRPr="00BE056E">
        <w:t xml:space="preserve">Source: </w:t>
      </w:r>
      <w:r>
        <w:t xml:space="preserve">Table 3-26, p149 of the submission and </w:t>
      </w:r>
      <w:r w:rsidRPr="00021AA5">
        <w:t>compiled during the evaluation</w:t>
      </w:r>
    </w:p>
    <w:p w14:paraId="7B70B248" w14:textId="23C8AB8F" w:rsidR="009B1B01" w:rsidRDefault="009B1B01" w:rsidP="009B1B01">
      <w:pPr>
        <w:pStyle w:val="TableFooter"/>
      </w:pPr>
      <w:r w:rsidRPr="00BE056E">
        <w:t xml:space="preserve">LY=life year; </w:t>
      </w:r>
      <w:r w:rsidR="00132F22">
        <w:t xml:space="preserve">NHA=novel hormonal agent, </w:t>
      </w:r>
      <w:r w:rsidRPr="00BE056E">
        <w:t>QALY=quality adjusted life year</w:t>
      </w:r>
    </w:p>
    <w:p w14:paraId="2D745C15" w14:textId="474A368A" w:rsidR="009B1B01" w:rsidRDefault="009B1B01" w:rsidP="009B1B01">
      <w:pPr>
        <w:pStyle w:val="TableFooter"/>
      </w:pPr>
      <w:r w:rsidRPr="007616B8">
        <w:t>Note: numbers have been rounded.</w:t>
      </w:r>
    </w:p>
    <w:p w14:paraId="051B278D" w14:textId="08FB9EEF" w:rsidR="00CF11D7" w:rsidRDefault="00CF11D7" w:rsidP="009B1B01">
      <w:pPr>
        <w:pStyle w:val="TableFooter"/>
      </w:pPr>
      <w:r>
        <w:t>* This ICER could not be reproduced. Reducing the time horizon to 10 years, using an AEMP of $</w:t>
      </w:r>
      <w:r w:rsidR="003C22C5" w:rsidRPr="003C22C5">
        <w:t xml:space="preserve"> </w:t>
      </w:r>
      <w:r w:rsidR="00B7116A" w:rsidRPr="00B7116A">
        <w:rPr>
          <w:color w:val="000000"/>
          <w:spacing w:val="223"/>
          <w:shd w:val="solid" w:color="000000" w:fill="000000"/>
          <w:fitText w:val="300" w:id="-1031540981"/>
          <w14:textFill>
            <w14:solidFill>
              <w14:srgbClr w14:val="000000">
                <w14:alpha w14:val="100000"/>
              </w14:srgbClr>
            </w14:solidFill>
          </w14:textFill>
        </w:rPr>
        <w:t>|</w:t>
      </w:r>
      <w:r w:rsidR="00B7116A" w:rsidRPr="00B7116A">
        <w:rPr>
          <w:color w:val="000000"/>
          <w:spacing w:val="1"/>
          <w:shd w:val="solid" w:color="000000" w:fill="000000"/>
          <w:fitText w:val="300" w:id="-1031540981"/>
          <w14:textFill>
            <w14:solidFill>
              <w14:srgbClr w14:val="000000">
                <w14:alpha w14:val="100000"/>
              </w14:srgbClr>
            </w14:solidFill>
          </w14:textFill>
        </w:rPr>
        <w:t>|</w:t>
      </w:r>
      <w:r>
        <w:t xml:space="preserve"> for 56 tablets ($</w:t>
      </w:r>
      <w:r w:rsidR="003C22C5" w:rsidRPr="003C22C5">
        <w:t xml:space="preserve"> </w:t>
      </w:r>
      <w:r w:rsidR="00B7116A" w:rsidRPr="00B7116A">
        <w:rPr>
          <w:color w:val="000000"/>
          <w:spacing w:val="49"/>
          <w:shd w:val="solid" w:color="000000" w:fill="000000"/>
          <w:fitText w:val="301" w:id="-1031540980"/>
          <w14:textFill>
            <w14:solidFill>
              <w14:srgbClr w14:val="000000">
                <w14:alpha w14:val="100000"/>
              </w14:srgbClr>
            </w14:solidFill>
          </w14:textFill>
        </w:rPr>
        <w:t>|||</w:t>
      </w:r>
      <w:r w:rsidR="00B7116A" w:rsidRPr="00B7116A">
        <w:rPr>
          <w:color w:val="000000"/>
          <w:spacing w:val="1"/>
          <w:shd w:val="solid" w:color="000000" w:fill="000000"/>
          <w:fitText w:val="301" w:id="-1031540980"/>
          <w14:textFill>
            <w14:solidFill>
              <w14:srgbClr w14:val="000000">
                <w14:alpha w14:val="100000"/>
              </w14:srgbClr>
            </w14:solidFill>
          </w14:textFill>
        </w:rPr>
        <w:t>|</w:t>
      </w:r>
      <w:r>
        <w:t xml:space="preserve"> for 112 tablets) and changing all extrapolations in both arms to Weibull distributions resulted in an ICER of $</w:t>
      </w:r>
      <w:r w:rsidR="006002A2" w:rsidRPr="006002A2">
        <w:t xml:space="preserve">55,000 to &lt; $75,000 </w:t>
      </w:r>
      <w:r>
        <w:t xml:space="preserve"> </w:t>
      </w:r>
      <w:r w:rsidR="00D534AF">
        <w:t xml:space="preserve"> </w:t>
      </w:r>
      <w:r>
        <w:t>per QALY. Changing all extrapolations in the olaparib arm only to Weibull distributions resulted in an ICER of $</w:t>
      </w:r>
      <w:r w:rsidR="006002A2" w:rsidRPr="006002A2">
        <w:t xml:space="preserve">55,000 to &lt; $75,000 </w:t>
      </w:r>
      <w:r w:rsidR="005D2AC7">
        <w:t xml:space="preserve"> </w:t>
      </w:r>
      <w:r>
        <w:t>.</w:t>
      </w:r>
    </w:p>
    <w:p w14:paraId="34923F79" w14:textId="41ADAC2D" w:rsidR="00D534AF" w:rsidRDefault="00D534AF" w:rsidP="00D534AF">
      <w:pPr>
        <w:pStyle w:val="TableFooter"/>
        <w:rPr>
          <w:i/>
        </w:rPr>
      </w:pPr>
      <w:bookmarkStart w:id="64" w:name="_Hlk155950262"/>
      <w:r w:rsidRPr="00D534AF">
        <w:rPr>
          <w:i/>
        </w:rPr>
        <w:t xml:space="preserve">The redacted values correspond to the following ranges: </w:t>
      </w:r>
    </w:p>
    <w:p w14:paraId="3EB31C94" w14:textId="2DADBCCF" w:rsidR="00EE0445" w:rsidRPr="00D534AF" w:rsidRDefault="00EE0445" w:rsidP="00D534AF">
      <w:pPr>
        <w:pStyle w:val="TableFooter"/>
        <w:rPr>
          <w:i/>
        </w:rPr>
      </w:pPr>
      <w:r>
        <w:rPr>
          <w:i/>
          <w:vertAlign w:val="superscript"/>
        </w:rPr>
        <w:t>1</w:t>
      </w:r>
      <w:r w:rsidRPr="00EE0445">
        <w:rPr>
          <w:i/>
        </w:rPr>
        <w:t xml:space="preserve"> $155,000 to &lt; $255,000</w:t>
      </w:r>
    </w:p>
    <w:p w14:paraId="7878244D" w14:textId="210B78EB" w:rsidR="00D534AF" w:rsidRPr="00D534AF" w:rsidRDefault="00EE0445" w:rsidP="00D534AF">
      <w:pPr>
        <w:pStyle w:val="TableFooter"/>
        <w:rPr>
          <w:i/>
        </w:rPr>
      </w:pPr>
      <w:r>
        <w:rPr>
          <w:i/>
          <w:vertAlign w:val="superscript"/>
        </w:rPr>
        <w:t>2</w:t>
      </w:r>
      <w:r w:rsidR="00D534AF">
        <w:rPr>
          <w:i/>
        </w:rPr>
        <w:t xml:space="preserve"> </w:t>
      </w:r>
      <w:r w:rsidR="00D534AF" w:rsidRPr="00D534AF">
        <w:rPr>
          <w:i/>
        </w:rPr>
        <w:t>$45,000 to &lt; $55,000</w:t>
      </w:r>
    </w:p>
    <w:p w14:paraId="52DB0960" w14:textId="6D032B38" w:rsidR="009B1B01" w:rsidRPr="007616B8" w:rsidRDefault="00EE0445" w:rsidP="00A90F18">
      <w:pPr>
        <w:pStyle w:val="TableFooter"/>
        <w:spacing w:after="120"/>
      </w:pPr>
      <w:r>
        <w:rPr>
          <w:i/>
          <w:vertAlign w:val="superscript"/>
        </w:rPr>
        <w:t>3</w:t>
      </w:r>
      <w:r w:rsidR="00D534AF">
        <w:rPr>
          <w:i/>
        </w:rPr>
        <w:t xml:space="preserve"> </w:t>
      </w:r>
      <w:r w:rsidR="00D534AF" w:rsidRPr="00D534AF">
        <w:rPr>
          <w:i/>
        </w:rPr>
        <w:t xml:space="preserve">$55,000 to &lt; $75,000 </w:t>
      </w:r>
      <w:bookmarkEnd w:id="64"/>
    </w:p>
    <w:p w14:paraId="0BB4B068" w14:textId="5F183858" w:rsidR="009B1B01" w:rsidRPr="00940BEC" w:rsidRDefault="009B1B01" w:rsidP="009B1B01">
      <w:pPr>
        <w:pStyle w:val="3-BodyText"/>
      </w:pPr>
      <w:r w:rsidRPr="00940BEC">
        <w:t>The estimated base case ICER for the proposed scenario (olaparib plus abiraterone) versus current scenario (NHA monotherapy) was $</w:t>
      </w:r>
      <w:r w:rsidR="005D2AC7" w:rsidRPr="005D2AC7">
        <w:t xml:space="preserve">55,000 to &lt; $75,000 </w:t>
      </w:r>
      <w:r w:rsidRPr="00940BEC">
        <w:t xml:space="preserve">per QALY gained. This ICER might not accurately reflect the cost-utility of olaparib plus abiraterone in mCRPC patients with </w:t>
      </w:r>
      <w:r w:rsidR="006C3ED1" w:rsidRPr="00940BEC">
        <w:t>BRCA1/2</w:t>
      </w:r>
      <w:r w:rsidRPr="00940BEC">
        <w:t xml:space="preserve"> pathogenic variants for the following reasons:</w:t>
      </w:r>
    </w:p>
    <w:p w14:paraId="2DE04998" w14:textId="4E6C9934" w:rsidR="009B1B01" w:rsidRPr="00940BEC" w:rsidRDefault="009B1B01" w:rsidP="003A44AB">
      <w:pPr>
        <w:pStyle w:val="ListParagraph"/>
        <w:ind w:left="1080"/>
      </w:pPr>
      <w:r w:rsidRPr="00940BEC">
        <w:t xml:space="preserve">The proposed 15-year horizon was not appropriate given the poor prognosis of </w:t>
      </w:r>
      <w:r w:rsidR="006C3ED1" w:rsidRPr="00940BEC">
        <w:t>BRCA1/2</w:t>
      </w:r>
      <w:r w:rsidRPr="00940BEC">
        <w:t>-positive patients, the immature OS data, and previous PBAC recommendations of shorter time-horizons in advance</w:t>
      </w:r>
      <w:r w:rsidR="005E1B84" w:rsidRPr="00940BEC">
        <w:t>d</w:t>
      </w:r>
      <w:r w:rsidRPr="00940BEC">
        <w:t xml:space="preserve"> prostate cancer.</w:t>
      </w:r>
      <w:r w:rsidR="00C321C4" w:rsidRPr="00940BEC">
        <w:t xml:space="preserve"> The ESC recommended a time horizon of 7.5 years with convergence of the OS curves.</w:t>
      </w:r>
    </w:p>
    <w:p w14:paraId="10740E75" w14:textId="10DC0D1E" w:rsidR="009B1B01" w:rsidRPr="00940BEC" w:rsidRDefault="009B1B01" w:rsidP="003A44AB">
      <w:pPr>
        <w:pStyle w:val="ListParagraph"/>
        <w:ind w:left="1080"/>
      </w:pPr>
      <w:r w:rsidRPr="00940BEC">
        <w:t xml:space="preserve">The PFS and OS data in the </w:t>
      </w:r>
      <w:r w:rsidR="006C3ED1" w:rsidRPr="00940BEC">
        <w:t>BRCA1/2</w:t>
      </w:r>
      <w:r w:rsidRPr="00940BEC">
        <w:t xml:space="preserve"> subgroup in PROpel were highly uncertain given small patient numbers and imbalanced baseline characteristics that bias</w:t>
      </w:r>
      <w:r w:rsidR="003B52E3" w:rsidRPr="00940BEC">
        <w:t>ed</w:t>
      </w:r>
      <w:r w:rsidRPr="00940BEC">
        <w:t xml:space="preserve"> </w:t>
      </w:r>
      <w:r w:rsidR="003B52E3" w:rsidRPr="00940BEC">
        <w:t xml:space="preserve">the </w:t>
      </w:r>
      <w:r w:rsidRPr="00940BEC">
        <w:t xml:space="preserve">survival </w:t>
      </w:r>
      <w:r w:rsidR="003B52E3" w:rsidRPr="00940BEC">
        <w:t>outcomes in favour of olaparib + abiraterone combination therapy</w:t>
      </w:r>
      <w:r w:rsidRPr="00940BEC">
        <w:t>;</w:t>
      </w:r>
    </w:p>
    <w:p w14:paraId="00AC3619" w14:textId="0545F502" w:rsidR="009B1B01" w:rsidRPr="00940BEC" w:rsidRDefault="009B1B01" w:rsidP="003A44AB">
      <w:pPr>
        <w:pStyle w:val="ListParagraph"/>
        <w:ind w:left="1080"/>
      </w:pPr>
      <w:r w:rsidRPr="00940BEC">
        <w:t xml:space="preserve">Utility values were derived from EQ-5D-5L data in the ITT population and mapped to EQ-5D-3L instead of using the EQ-5D-5L Australian value set. Overall, these </w:t>
      </w:r>
      <w:r w:rsidRPr="00940BEC">
        <w:lastRenderedPageBreak/>
        <w:t xml:space="preserve">values were likely overestimated. Time to death disutility was not applied, </w:t>
      </w:r>
      <w:r w:rsidR="00BE096A" w:rsidRPr="00940BEC">
        <w:t xml:space="preserve">despite the inclusion of </w:t>
      </w:r>
      <w:r w:rsidRPr="00940BEC">
        <w:t>costs for terminal illness.</w:t>
      </w:r>
    </w:p>
    <w:p w14:paraId="69A40205" w14:textId="2C1169E2" w:rsidR="009B1B01" w:rsidRPr="00940BEC" w:rsidRDefault="009B1B01" w:rsidP="009B1B01">
      <w:pPr>
        <w:pStyle w:val="3-BodyText"/>
      </w:pPr>
      <w:r w:rsidRPr="00940BEC">
        <w:t xml:space="preserve">The results of key univariate and multivariate sensitivity analyses are summarised in  </w:t>
      </w:r>
      <w:r w:rsidRPr="00940BEC">
        <w:fldChar w:fldCharType="begin" w:fldLock="1"/>
      </w:r>
      <w:r w:rsidRPr="00940BEC">
        <w:instrText xml:space="preserve"> REF _Ref143181410 \h </w:instrText>
      </w:r>
      <w:r w:rsidR="00940BEC" w:rsidRPr="00940BEC">
        <w:instrText xml:space="preserve"> \* MERGEFORMAT </w:instrText>
      </w:r>
      <w:r w:rsidRPr="00940BEC">
        <w:fldChar w:fldCharType="separate"/>
      </w:r>
      <w:r w:rsidR="006F331F" w:rsidRPr="00940BEC">
        <w:t xml:space="preserve">Table </w:t>
      </w:r>
      <w:r w:rsidR="006F331F" w:rsidRPr="00940BEC">
        <w:rPr>
          <w:noProof/>
        </w:rPr>
        <w:t>12</w:t>
      </w:r>
      <w:r w:rsidRPr="00940BEC">
        <w:fldChar w:fldCharType="end"/>
      </w:r>
      <w:r w:rsidRPr="00940BEC">
        <w:t>.</w:t>
      </w:r>
    </w:p>
    <w:p w14:paraId="53EE68B6" w14:textId="7A32DFEE" w:rsidR="009B1B01" w:rsidRPr="00BB732D" w:rsidRDefault="009B1B01" w:rsidP="001316D7">
      <w:pPr>
        <w:pStyle w:val="Caption"/>
        <w:widowControl w:val="0"/>
        <w:rPr>
          <w:rStyle w:val="CommentReference"/>
          <w:b/>
          <w:szCs w:val="24"/>
        </w:rPr>
      </w:pPr>
      <w:bookmarkStart w:id="65" w:name="_Ref143181410"/>
      <w:r>
        <w:t xml:space="preserve">Table </w:t>
      </w:r>
      <w:fldSimple w:instr=" SEQ Table \* ARABIC " w:fldLock="1">
        <w:r w:rsidR="006F331F">
          <w:rPr>
            <w:noProof/>
          </w:rPr>
          <w:t>12</w:t>
        </w:r>
      </w:fldSimple>
      <w:bookmarkEnd w:id="65"/>
      <w:r>
        <w:t>:</w:t>
      </w:r>
      <w:r w:rsidRPr="00BB732D">
        <w:rPr>
          <w:rStyle w:val="CommentReference"/>
          <w:b/>
          <w:szCs w:val="24"/>
        </w:rPr>
        <w:t xml:space="preserve"> </w:t>
      </w:r>
      <w:r>
        <w:rPr>
          <w:rStyle w:val="CommentReference"/>
          <w:b/>
          <w:szCs w:val="24"/>
        </w:rPr>
        <w:t>Key s</w:t>
      </w:r>
      <w:r w:rsidRPr="00BB732D">
        <w:rPr>
          <w:rStyle w:val="CommentReference"/>
          <w:b/>
          <w:szCs w:val="24"/>
        </w:rPr>
        <w:t>ensitivity analyses</w:t>
      </w:r>
    </w:p>
    <w:tbl>
      <w:tblPr>
        <w:tblStyle w:val="PBACTableStyle"/>
        <w:tblW w:w="5000" w:type="pct"/>
        <w:tblLayout w:type="fixed"/>
        <w:tblLook w:val="04A0" w:firstRow="1" w:lastRow="0" w:firstColumn="1" w:lastColumn="0" w:noHBand="0" w:noVBand="1"/>
      </w:tblPr>
      <w:tblGrid>
        <w:gridCol w:w="4526"/>
        <w:gridCol w:w="1225"/>
        <w:gridCol w:w="905"/>
        <w:gridCol w:w="1277"/>
        <w:gridCol w:w="1084"/>
      </w:tblGrid>
      <w:tr w:rsidR="00511CE8" w:rsidRPr="00940BEC" w14:paraId="28D155D6" w14:textId="77777777" w:rsidTr="006D17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10" w:type="pct"/>
          </w:tcPr>
          <w:p w14:paraId="7C33ECD3" w14:textId="77777777" w:rsidR="009B1B01" w:rsidRPr="00940BEC" w:rsidRDefault="009B1B01" w:rsidP="001316D7">
            <w:pPr>
              <w:pStyle w:val="In-tableHeading"/>
              <w:jc w:val="left"/>
              <w:rPr>
                <w:b/>
                <w:bCs/>
              </w:rPr>
            </w:pPr>
            <w:r w:rsidRPr="00940BEC">
              <w:rPr>
                <w:b/>
                <w:bCs/>
              </w:rPr>
              <w:t>Analyses</w:t>
            </w:r>
          </w:p>
        </w:tc>
        <w:tc>
          <w:tcPr>
            <w:tcW w:w="679" w:type="pct"/>
          </w:tcPr>
          <w:p w14:paraId="6F114B44" w14:textId="622A9153" w:rsidR="009B1B01" w:rsidRPr="00940BEC" w:rsidRDefault="009B1B01" w:rsidP="001316D7">
            <w:pPr>
              <w:pStyle w:val="In-tableHeading"/>
              <w:cnfStyle w:val="100000000000" w:firstRow="1" w:lastRow="0" w:firstColumn="0" w:lastColumn="0" w:oddVBand="0" w:evenVBand="0" w:oddHBand="0" w:evenHBand="0" w:firstRowFirstColumn="0" w:firstRowLastColumn="0" w:lastRowFirstColumn="0" w:lastRowLastColumn="0"/>
              <w:rPr>
                <w:b/>
                <w:bCs/>
              </w:rPr>
            </w:pPr>
            <w:r w:rsidRPr="006D157F">
              <w:rPr>
                <w:b/>
                <w:bCs/>
              </w:rPr>
              <w:t>Incremental cost</w:t>
            </w:r>
            <w:r w:rsidR="0051639F" w:rsidRPr="006D157F">
              <w:rPr>
                <w:b/>
                <w:bCs/>
              </w:rPr>
              <w:t xml:space="preserve"> ($)</w:t>
            </w:r>
          </w:p>
        </w:tc>
        <w:tc>
          <w:tcPr>
            <w:tcW w:w="502" w:type="pct"/>
          </w:tcPr>
          <w:p w14:paraId="05817036" w14:textId="77777777" w:rsidR="009B1B01" w:rsidRPr="00940BEC" w:rsidRDefault="009B1B01" w:rsidP="001316D7">
            <w:pPr>
              <w:pStyle w:val="In-tableHeading"/>
              <w:cnfStyle w:val="100000000000" w:firstRow="1" w:lastRow="0" w:firstColumn="0" w:lastColumn="0" w:oddVBand="0" w:evenVBand="0" w:oddHBand="0" w:evenHBand="0" w:firstRowFirstColumn="0" w:firstRowLastColumn="0" w:lastRowFirstColumn="0" w:lastRowLastColumn="0"/>
              <w:rPr>
                <w:b/>
                <w:bCs/>
              </w:rPr>
            </w:pPr>
            <w:r w:rsidRPr="00940BEC">
              <w:rPr>
                <w:b/>
                <w:bCs/>
              </w:rPr>
              <w:t>Incremental QALY</w:t>
            </w:r>
          </w:p>
        </w:tc>
        <w:tc>
          <w:tcPr>
            <w:tcW w:w="707" w:type="pct"/>
          </w:tcPr>
          <w:p w14:paraId="51BA6883" w14:textId="77777777" w:rsidR="009B1B01" w:rsidRPr="00940BEC" w:rsidRDefault="009B1B01" w:rsidP="001316D7">
            <w:pPr>
              <w:pStyle w:val="In-tableHeading"/>
              <w:cnfStyle w:val="100000000000" w:firstRow="1" w:lastRow="0" w:firstColumn="0" w:lastColumn="0" w:oddVBand="0" w:evenVBand="0" w:oddHBand="0" w:evenHBand="0" w:firstRowFirstColumn="0" w:firstRowLastColumn="0" w:lastRowFirstColumn="0" w:lastRowLastColumn="0"/>
              <w:rPr>
                <w:b/>
                <w:bCs/>
              </w:rPr>
            </w:pPr>
            <w:r w:rsidRPr="00940BEC">
              <w:rPr>
                <w:b/>
                <w:bCs/>
              </w:rPr>
              <w:t>ICER</w:t>
            </w:r>
          </w:p>
        </w:tc>
        <w:tc>
          <w:tcPr>
            <w:tcW w:w="601" w:type="pct"/>
          </w:tcPr>
          <w:p w14:paraId="77483976" w14:textId="77777777" w:rsidR="009B1B01" w:rsidRPr="00940BEC" w:rsidRDefault="009B1B01" w:rsidP="001316D7">
            <w:pPr>
              <w:pStyle w:val="In-tableHeading"/>
              <w:cnfStyle w:val="100000000000" w:firstRow="1" w:lastRow="0" w:firstColumn="0" w:lastColumn="0" w:oddVBand="0" w:evenVBand="0" w:oddHBand="0" w:evenHBand="0" w:firstRowFirstColumn="0" w:firstRowLastColumn="0" w:lastRowFirstColumn="0" w:lastRowLastColumn="0"/>
              <w:rPr>
                <w:b/>
                <w:bCs/>
              </w:rPr>
            </w:pPr>
            <w:r w:rsidRPr="00940BEC">
              <w:rPr>
                <w:b/>
                <w:bCs/>
              </w:rPr>
              <w:t>% Change to ICER</w:t>
            </w:r>
          </w:p>
        </w:tc>
      </w:tr>
      <w:tr w:rsidR="00511CE8" w:rsidRPr="00940BEC" w14:paraId="4C5F0FFF" w14:textId="77777777" w:rsidTr="006D17A4">
        <w:tc>
          <w:tcPr>
            <w:cnfStyle w:val="001000000000" w:firstRow="0" w:lastRow="0" w:firstColumn="1" w:lastColumn="0" w:oddVBand="0" w:evenVBand="0" w:oddHBand="0" w:evenHBand="0" w:firstRowFirstColumn="0" w:firstRowLastColumn="0" w:lastRowFirstColumn="0" w:lastRowLastColumn="0"/>
            <w:tcW w:w="2510" w:type="pct"/>
          </w:tcPr>
          <w:p w14:paraId="01D6B0DD" w14:textId="77777777" w:rsidR="009B1B01" w:rsidRPr="00940BEC" w:rsidRDefault="009B1B01" w:rsidP="001316D7">
            <w:pPr>
              <w:pStyle w:val="TableText0"/>
              <w:keepLines/>
              <w:rPr>
                <w:b/>
              </w:rPr>
            </w:pPr>
            <w:r w:rsidRPr="00940BEC">
              <w:rPr>
                <w:b/>
              </w:rPr>
              <w:t>Base case</w:t>
            </w:r>
          </w:p>
        </w:tc>
        <w:tc>
          <w:tcPr>
            <w:tcW w:w="679" w:type="pct"/>
          </w:tcPr>
          <w:p w14:paraId="244BB1A7" w14:textId="3379D483" w:rsidR="009B1B01" w:rsidRPr="00940BEC"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b/>
                <w:bCs w:val="0"/>
                <w:highlight w:val="black"/>
              </w:rPr>
            </w:pPr>
            <w:r w:rsidRPr="003C22C5">
              <w:rPr>
                <w:b/>
                <w:bCs w:val="0"/>
              </w:rPr>
              <w:t xml:space="preserve"> </w:t>
            </w:r>
            <w:r w:rsidR="00B7116A" w:rsidRPr="00B7116A">
              <w:rPr>
                <w:rFonts w:hint="eastAsia"/>
                <w:b/>
                <w:bCs w:val="0"/>
                <w:w w:val="22"/>
                <w:shd w:val="solid" w:color="000000" w:fill="000000"/>
                <w:fitText w:val="100" w:id="-1031540979"/>
                <w14:textFill>
                  <w14:solidFill>
                    <w14:schemeClr w14:val="tx1">
                      <w14:alpha w14:val="100000"/>
                    </w14:schemeClr>
                  </w14:solidFill>
                </w14:textFill>
              </w:rPr>
              <w:t xml:space="preserve">　</w:t>
            </w:r>
            <w:r w:rsidR="00B7116A" w:rsidRPr="00B7116A">
              <w:rPr>
                <w:b/>
                <w:bCs w:val="0"/>
                <w:w w:val="22"/>
                <w:shd w:val="solid" w:color="000000" w:fill="000000"/>
                <w:fitText w:val="100" w:id="-1031540979"/>
                <w14:textFill>
                  <w14:solidFill>
                    <w14:schemeClr w14:val="tx1">
                      <w14:alpha w14:val="100000"/>
                    </w14:schemeClr>
                  </w14:solidFill>
                </w14:textFill>
              </w:rPr>
              <w:t>|</w:t>
            </w:r>
            <w:r w:rsidR="00B7116A" w:rsidRPr="00B7116A">
              <w:rPr>
                <w:rFonts w:hint="eastAsia"/>
                <w:b/>
                <w:bCs w:val="0"/>
                <w:spacing w:val="2"/>
                <w:w w:val="22"/>
                <w:shd w:val="solid" w:color="000000" w:fill="000000"/>
                <w:fitText w:val="100" w:id="-1031540979"/>
                <w14:textFill>
                  <w14:solidFill>
                    <w14:schemeClr w14:val="tx1">
                      <w14:alpha w14:val="100000"/>
                    </w14:schemeClr>
                  </w14:solidFill>
                </w14:textFill>
              </w:rPr>
              <w:t xml:space="preserve">　</w:t>
            </w:r>
            <w:r w:rsidRPr="003C22C5">
              <w:rPr>
                <w:b/>
                <w:bCs w:val="0"/>
              </w:rPr>
              <w:t xml:space="preserve"> </w:t>
            </w:r>
          </w:p>
        </w:tc>
        <w:tc>
          <w:tcPr>
            <w:tcW w:w="502" w:type="pct"/>
          </w:tcPr>
          <w:p w14:paraId="06EB2353"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b/>
                <w:bCs w:val="0"/>
              </w:rPr>
            </w:pPr>
            <w:r w:rsidRPr="00940BEC">
              <w:rPr>
                <w:b/>
                <w:bCs w:val="0"/>
              </w:rPr>
              <w:t>2.79</w:t>
            </w:r>
          </w:p>
        </w:tc>
        <w:tc>
          <w:tcPr>
            <w:tcW w:w="707" w:type="pct"/>
          </w:tcPr>
          <w:p w14:paraId="05B6CE7E" w14:textId="7C5E4FA5" w:rsidR="009B1B01" w:rsidRPr="00940BEC"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b/>
                <w:bCs w:val="0"/>
              </w:rPr>
            </w:pPr>
            <w:r w:rsidRPr="003C22C5">
              <w:rPr>
                <w:b/>
                <w:bCs w:val="0"/>
              </w:rPr>
              <w:t xml:space="preserve"> </w:t>
            </w:r>
            <w:r w:rsidR="00B7116A" w:rsidRPr="00B7116A">
              <w:rPr>
                <w:rFonts w:hint="eastAsia"/>
                <w:b/>
                <w:bCs w:val="0"/>
                <w:w w:val="30"/>
                <w:shd w:val="solid" w:color="000000" w:fill="000000"/>
                <w:fitText w:val="138" w:id="-1031540978"/>
                <w14:textFill>
                  <w14:solidFill>
                    <w14:schemeClr w14:val="tx1">
                      <w14:alpha w14:val="100000"/>
                    </w14:schemeClr>
                  </w14:solidFill>
                </w14:textFill>
              </w:rPr>
              <w:t xml:space="preserve">　</w:t>
            </w:r>
            <w:proofErr w:type="gramStart"/>
            <w:r w:rsidR="00B7116A" w:rsidRPr="00B7116A">
              <w:rPr>
                <w:b/>
                <w:bCs w:val="0"/>
                <w:w w:val="30"/>
                <w:shd w:val="solid" w:color="000000" w:fill="000000"/>
                <w:fitText w:val="138" w:id="-1031540978"/>
                <w14:textFill>
                  <w14:solidFill>
                    <w14:schemeClr w14:val="tx1">
                      <w14:alpha w14:val="100000"/>
                    </w14:schemeClr>
                  </w14:solidFill>
                </w14:textFill>
              </w:rPr>
              <w:t>|</w:t>
            </w:r>
            <w:r w:rsidR="00B7116A" w:rsidRPr="00B7116A">
              <w:rPr>
                <w:rFonts w:hint="eastAsia"/>
                <w:b/>
                <w:bCs w:val="0"/>
                <w:spacing w:val="5"/>
                <w:w w:val="30"/>
                <w:shd w:val="solid" w:color="000000" w:fill="000000"/>
                <w:fitText w:val="138" w:id="-1031540978"/>
                <w14:textFill>
                  <w14:solidFill>
                    <w14:schemeClr w14:val="tx1">
                      <w14:alpha w14:val="100000"/>
                    </w14:schemeClr>
                  </w14:solidFill>
                </w14:textFill>
              </w:rPr>
              <w:t xml:space="preserve">　</w:t>
            </w:r>
            <w:r w:rsidR="00EE4C20">
              <w:rPr>
                <w:b/>
                <w:bCs w:val="0"/>
              </w:rPr>
              <w:t xml:space="preserve"> </w:t>
            </w:r>
            <w:r w:rsidR="0051639F">
              <w:rPr>
                <w:rFonts w:cs="Calibri"/>
                <w:szCs w:val="20"/>
                <w:vertAlign w:val="superscript"/>
              </w:rPr>
              <w:t>1</w:t>
            </w:r>
            <w:proofErr w:type="gramEnd"/>
          </w:p>
        </w:tc>
        <w:tc>
          <w:tcPr>
            <w:tcW w:w="601" w:type="pct"/>
          </w:tcPr>
          <w:p w14:paraId="511C791C"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b/>
                <w:bCs w:val="0"/>
              </w:rPr>
            </w:pPr>
            <w:r w:rsidRPr="00940BEC">
              <w:rPr>
                <w:b/>
                <w:bCs w:val="0"/>
              </w:rPr>
              <w:t>-</w:t>
            </w:r>
          </w:p>
        </w:tc>
      </w:tr>
      <w:tr w:rsidR="009B1B01" w:rsidRPr="00940BEC" w14:paraId="19EA414A" w14:textId="77777777" w:rsidTr="00511CE8">
        <w:tc>
          <w:tcPr>
            <w:cnfStyle w:val="001000000000" w:firstRow="0" w:lastRow="0" w:firstColumn="1" w:lastColumn="0" w:oddVBand="0" w:evenVBand="0" w:oddHBand="0" w:evenHBand="0" w:firstRowFirstColumn="0" w:firstRowLastColumn="0" w:lastRowFirstColumn="0" w:lastRowLastColumn="0"/>
            <w:tcW w:w="4399" w:type="pct"/>
            <w:gridSpan w:val="4"/>
          </w:tcPr>
          <w:p w14:paraId="75F587E5" w14:textId="77777777" w:rsidR="009B1B01" w:rsidRPr="00940BEC" w:rsidRDefault="009B1B01" w:rsidP="001316D7">
            <w:pPr>
              <w:pStyle w:val="TableText0"/>
              <w:keepLines/>
              <w:rPr>
                <w:b/>
                <w:bCs w:val="0"/>
              </w:rPr>
            </w:pPr>
            <w:r w:rsidRPr="00940BEC">
              <w:rPr>
                <w:b/>
                <w:bCs w:val="0"/>
              </w:rPr>
              <w:t>Time horizon (base case 15 years)</w:t>
            </w:r>
          </w:p>
        </w:tc>
        <w:tc>
          <w:tcPr>
            <w:tcW w:w="601" w:type="pct"/>
          </w:tcPr>
          <w:p w14:paraId="676B495C"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b/>
                <w:bCs w:val="0"/>
              </w:rPr>
            </w:pPr>
          </w:p>
        </w:tc>
      </w:tr>
      <w:tr w:rsidR="00511CE8" w:rsidRPr="00940BEC" w14:paraId="58491A60" w14:textId="77777777" w:rsidTr="006D17A4">
        <w:tc>
          <w:tcPr>
            <w:cnfStyle w:val="001000000000" w:firstRow="0" w:lastRow="0" w:firstColumn="1" w:lastColumn="0" w:oddVBand="0" w:evenVBand="0" w:oddHBand="0" w:evenHBand="0" w:firstRowFirstColumn="0" w:firstRowLastColumn="0" w:lastRowFirstColumn="0" w:lastRowLastColumn="0"/>
            <w:tcW w:w="2510" w:type="pct"/>
          </w:tcPr>
          <w:p w14:paraId="4AD778D1" w14:textId="77777777" w:rsidR="009B1B01" w:rsidRPr="00940BEC" w:rsidRDefault="009B1B01" w:rsidP="001316D7">
            <w:pPr>
              <w:pStyle w:val="TableText0"/>
              <w:keepLines/>
            </w:pPr>
            <w:r w:rsidRPr="00940BEC">
              <w:rPr>
                <w:rFonts w:cs="Calibri"/>
                <w:szCs w:val="20"/>
              </w:rPr>
              <w:t>7.5 years</w:t>
            </w:r>
          </w:p>
        </w:tc>
        <w:tc>
          <w:tcPr>
            <w:tcW w:w="679" w:type="pct"/>
          </w:tcPr>
          <w:p w14:paraId="4742C7F6" w14:textId="64596047"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highlight w:val="darkGray"/>
              </w:rPr>
            </w:pPr>
            <w:r w:rsidRPr="003C22C5">
              <w:t xml:space="preserve"> </w:t>
            </w:r>
            <w:r w:rsidR="00B7116A" w:rsidRPr="00B7116A">
              <w:rPr>
                <w:rFonts w:hint="eastAsia"/>
                <w:w w:val="16"/>
                <w:shd w:val="solid" w:color="000000" w:fill="000000"/>
                <w:fitText w:val="75" w:id="-1031540977"/>
                <w14:textFill>
                  <w14:solidFill>
                    <w14:schemeClr w14:val="tx1">
                      <w14:alpha w14:val="100000"/>
                    </w14:schemeClr>
                  </w14:solidFill>
                </w14:textFill>
              </w:rPr>
              <w:t xml:space="preserve">　</w:t>
            </w:r>
            <w:r w:rsidR="00B7116A" w:rsidRPr="00B7116A">
              <w:rPr>
                <w:w w:val="16"/>
                <w:shd w:val="solid" w:color="000000" w:fill="000000"/>
                <w:fitText w:val="75" w:id="-1031540977"/>
                <w14:textFill>
                  <w14:solidFill>
                    <w14:schemeClr w14:val="tx1">
                      <w14:alpha w14:val="100000"/>
                    </w14:schemeClr>
                  </w14:solidFill>
                </w14:textFill>
              </w:rPr>
              <w:t>|</w:t>
            </w:r>
            <w:r w:rsidR="00B7116A" w:rsidRPr="00B7116A">
              <w:rPr>
                <w:rFonts w:hint="eastAsia"/>
                <w:spacing w:val="5"/>
                <w:w w:val="16"/>
                <w:shd w:val="solid" w:color="000000" w:fill="000000"/>
                <w:fitText w:val="75" w:id="-1031540977"/>
                <w14:textFill>
                  <w14:solidFill>
                    <w14:schemeClr w14:val="tx1">
                      <w14:alpha w14:val="100000"/>
                    </w14:schemeClr>
                  </w14:solidFill>
                </w14:textFill>
              </w:rPr>
              <w:t xml:space="preserve">　</w:t>
            </w:r>
            <w:r w:rsidRPr="003C22C5">
              <w:t xml:space="preserve"> </w:t>
            </w:r>
          </w:p>
        </w:tc>
        <w:tc>
          <w:tcPr>
            <w:tcW w:w="502" w:type="pct"/>
          </w:tcPr>
          <w:p w14:paraId="67FE00A1"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pPr>
            <w:r w:rsidRPr="00940BEC">
              <w:t>1.76</w:t>
            </w:r>
          </w:p>
        </w:tc>
        <w:tc>
          <w:tcPr>
            <w:tcW w:w="707" w:type="pct"/>
          </w:tcPr>
          <w:p w14:paraId="166B1FA5" w14:textId="570D0E04"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highlight w:val="darkGray"/>
              </w:rPr>
            </w:pPr>
            <w:r w:rsidRPr="003C22C5">
              <w:t xml:space="preserve"> </w:t>
            </w:r>
            <w:r w:rsidR="00B7116A" w:rsidRPr="00B7116A">
              <w:rPr>
                <w:rFonts w:hint="eastAsia"/>
                <w:w w:val="19"/>
                <w:shd w:val="solid" w:color="000000" w:fill="000000"/>
                <w:fitText w:val="88" w:id="-1031540976"/>
                <w14:textFill>
                  <w14:solidFill>
                    <w14:schemeClr w14:val="tx1">
                      <w14:alpha w14:val="100000"/>
                    </w14:schemeClr>
                  </w14:solidFill>
                </w14:textFill>
              </w:rPr>
              <w:t xml:space="preserve">　</w:t>
            </w:r>
            <w:proofErr w:type="gramStart"/>
            <w:r w:rsidR="00B7116A" w:rsidRPr="00B7116A">
              <w:rPr>
                <w:w w:val="19"/>
                <w:shd w:val="solid" w:color="000000" w:fill="000000"/>
                <w:fitText w:val="88" w:id="-1031540976"/>
                <w14:textFill>
                  <w14:solidFill>
                    <w14:schemeClr w14:val="tx1">
                      <w14:alpha w14:val="100000"/>
                    </w14:schemeClr>
                  </w14:solidFill>
                </w14:textFill>
              </w:rPr>
              <w:t>|</w:t>
            </w:r>
            <w:r w:rsidR="00B7116A" w:rsidRPr="00B7116A">
              <w:rPr>
                <w:rFonts w:hint="eastAsia"/>
                <w:spacing w:val="4"/>
                <w:w w:val="19"/>
                <w:shd w:val="solid" w:color="000000" w:fill="000000"/>
                <w:fitText w:val="88" w:id="-1031540976"/>
                <w14:textFill>
                  <w14:solidFill>
                    <w14:schemeClr w14:val="tx1">
                      <w14:alpha w14:val="100000"/>
                    </w14:schemeClr>
                  </w14:solidFill>
                </w14:textFill>
              </w:rPr>
              <w:t xml:space="preserve">　</w:t>
            </w:r>
            <w:r w:rsidRPr="003C22C5">
              <w:t xml:space="preserve"> </w:t>
            </w:r>
            <w:r w:rsidR="0051639F">
              <w:rPr>
                <w:vertAlign w:val="superscript"/>
              </w:rPr>
              <w:t>2</w:t>
            </w:r>
            <w:proofErr w:type="gramEnd"/>
          </w:p>
        </w:tc>
        <w:tc>
          <w:tcPr>
            <w:tcW w:w="601" w:type="pct"/>
          </w:tcPr>
          <w:p w14:paraId="26A9B9C9" w14:textId="6389B7F5"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t>+</w:t>
            </w:r>
            <w:r w:rsidR="003C22C5" w:rsidRPr="003C22C5">
              <w:t xml:space="preserve"> </w:t>
            </w:r>
            <w:r w:rsidR="00B7116A" w:rsidRPr="00B7116A">
              <w:rPr>
                <w:spacing w:val="164"/>
                <w:shd w:val="solid" w:color="000000" w:fill="000000"/>
                <w:fitText w:val="250" w:id="-1031540992"/>
                <w14:textFill>
                  <w14:solidFill>
                    <w14:schemeClr w14:val="tx1">
                      <w14:alpha w14:val="100000"/>
                    </w14:schemeClr>
                  </w14:solidFill>
                </w14:textFill>
              </w:rPr>
              <w:t>|</w:t>
            </w:r>
            <w:r w:rsidR="00B7116A" w:rsidRPr="00B7116A">
              <w:rPr>
                <w:spacing w:val="1"/>
                <w:shd w:val="solid" w:color="000000" w:fill="000000"/>
                <w:fitText w:val="250" w:id="-1031540992"/>
                <w14:textFill>
                  <w14:solidFill>
                    <w14:schemeClr w14:val="tx1">
                      <w14:alpha w14:val="100000"/>
                    </w14:schemeClr>
                  </w14:solidFill>
                </w14:textFill>
              </w:rPr>
              <w:t>|</w:t>
            </w:r>
            <w:r w:rsidRPr="00940BEC">
              <w:t>%</w:t>
            </w:r>
          </w:p>
        </w:tc>
      </w:tr>
      <w:tr w:rsidR="00511CE8" w:rsidRPr="00940BEC" w14:paraId="6276FA71"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0785C439" w14:textId="77777777" w:rsidR="009B1B01" w:rsidRPr="00940BEC" w:rsidRDefault="009B1B01" w:rsidP="001316D7">
            <w:pPr>
              <w:pStyle w:val="TableText0"/>
              <w:keepLines/>
            </w:pPr>
            <w:r w:rsidRPr="00940BEC">
              <w:t>10 years</w:t>
            </w:r>
          </w:p>
        </w:tc>
        <w:tc>
          <w:tcPr>
            <w:tcW w:w="679" w:type="pct"/>
          </w:tcPr>
          <w:p w14:paraId="31C56F09" w14:textId="42358135"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highlight w:val="darkGray"/>
              </w:rPr>
            </w:pPr>
            <w:r w:rsidRPr="003C22C5">
              <w:t xml:space="preserve"> </w:t>
            </w:r>
            <w:r w:rsidR="00B7116A" w:rsidRPr="00B7116A">
              <w:rPr>
                <w:rFonts w:hint="eastAsia"/>
                <w:w w:val="16"/>
                <w:shd w:val="solid" w:color="000000" w:fill="000000"/>
                <w:fitText w:val="75" w:id="-1031540991"/>
                <w14:textFill>
                  <w14:solidFill>
                    <w14:schemeClr w14:val="tx1">
                      <w14:alpha w14:val="100000"/>
                    </w14:schemeClr>
                  </w14:solidFill>
                </w14:textFill>
              </w:rPr>
              <w:t xml:space="preserve">　</w:t>
            </w:r>
            <w:r w:rsidR="00B7116A" w:rsidRPr="00B7116A">
              <w:rPr>
                <w:w w:val="16"/>
                <w:shd w:val="solid" w:color="000000" w:fill="000000"/>
                <w:fitText w:val="75" w:id="-1031540991"/>
                <w14:textFill>
                  <w14:solidFill>
                    <w14:schemeClr w14:val="tx1">
                      <w14:alpha w14:val="100000"/>
                    </w14:schemeClr>
                  </w14:solidFill>
                </w14:textFill>
              </w:rPr>
              <w:t>|</w:t>
            </w:r>
            <w:r w:rsidR="00B7116A" w:rsidRPr="00B7116A">
              <w:rPr>
                <w:rFonts w:hint="eastAsia"/>
                <w:spacing w:val="5"/>
                <w:w w:val="16"/>
                <w:shd w:val="solid" w:color="000000" w:fill="000000"/>
                <w:fitText w:val="75" w:id="-1031540991"/>
                <w14:textFill>
                  <w14:solidFill>
                    <w14:schemeClr w14:val="tx1">
                      <w14:alpha w14:val="100000"/>
                    </w14:schemeClr>
                  </w14:solidFill>
                </w14:textFill>
              </w:rPr>
              <w:t xml:space="preserve">　</w:t>
            </w:r>
            <w:r w:rsidRPr="003C22C5">
              <w:t xml:space="preserve"> </w:t>
            </w:r>
          </w:p>
        </w:tc>
        <w:tc>
          <w:tcPr>
            <w:tcW w:w="502" w:type="pct"/>
          </w:tcPr>
          <w:p w14:paraId="7E418C2D"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pPr>
            <w:r w:rsidRPr="00940BEC">
              <w:t>2.24</w:t>
            </w:r>
          </w:p>
        </w:tc>
        <w:tc>
          <w:tcPr>
            <w:tcW w:w="707" w:type="pct"/>
          </w:tcPr>
          <w:p w14:paraId="33AB875F" w14:textId="1B89051D"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highlight w:val="darkGray"/>
              </w:rPr>
            </w:pPr>
            <w:r w:rsidRPr="003C22C5">
              <w:t xml:space="preserve"> </w:t>
            </w:r>
            <w:r w:rsidR="00B7116A" w:rsidRPr="00B7116A">
              <w:rPr>
                <w:rFonts w:hint="eastAsia"/>
                <w:w w:val="19"/>
                <w:shd w:val="solid" w:color="000000" w:fill="000000"/>
                <w:fitText w:val="88" w:id="-1031540990"/>
                <w14:textFill>
                  <w14:solidFill>
                    <w14:schemeClr w14:val="tx1">
                      <w14:alpha w14:val="100000"/>
                    </w14:schemeClr>
                  </w14:solidFill>
                </w14:textFill>
              </w:rPr>
              <w:t xml:space="preserve">　</w:t>
            </w:r>
            <w:proofErr w:type="gramStart"/>
            <w:r w:rsidR="00B7116A" w:rsidRPr="00B7116A">
              <w:rPr>
                <w:w w:val="19"/>
                <w:shd w:val="solid" w:color="000000" w:fill="000000"/>
                <w:fitText w:val="88" w:id="-1031540990"/>
                <w14:textFill>
                  <w14:solidFill>
                    <w14:schemeClr w14:val="tx1">
                      <w14:alpha w14:val="100000"/>
                    </w14:schemeClr>
                  </w14:solidFill>
                </w14:textFill>
              </w:rPr>
              <w:t>|</w:t>
            </w:r>
            <w:r w:rsidR="00B7116A" w:rsidRPr="00B7116A">
              <w:rPr>
                <w:rFonts w:hint="eastAsia"/>
                <w:spacing w:val="4"/>
                <w:w w:val="19"/>
                <w:shd w:val="solid" w:color="000000" w:fill="000000"/>
                <w:fitText w:val="88" w:id="-1031540990"/>
                <w14:textFill>
                  <w14:solidFill>
                    <w14:schemeClr w14:val="tx1">
                      <w14:alpha w14:val="100000"/>
                    </w14:schemeClr>
                  </w14:solidFill>
                </w14:textFill>
              </w:rPr>
              <w:t xml:space="preserve">　</w:t>
            </w:r>
            <w:r w:rsidRPr="003C22C5">
              <w:t xml:space="preserve"> </w:t>
            </w:r>
            <w:r w:rsidR="0051639F">
              <w:rPr>
                <w:rFonts w:cs="Calibri"/>
                <w:szCs w:val="20"/>
                <w:vertAlign w:val="superscript"/>
              </w:rPr>
              <w:t>1</w:t>
            </w:r>
            <w:proofErr w:type="gramEnd"/>
          </w:p>
        </w:tc>
        <w:tc>
          <w:tcPr>
            <w:tcW w:w="601" w:type="pct"/>
          </w:tcPr>
          <w:p w14:paraId="56750613" w14:textId="200C2C48"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t>+</w:t>
            </w:r>
            <w:r w:rsidR="003C22C5" w:rsidRPr="003C22C5">
              <w:t xml:space="preserve"> </w:t>
            </w:r>
            <w:r w:rsidR="00B7116A" w:rsidRPr="00B7116A">
              <w:rPr>
                <w:spacing w:val="164"/>
                <w:shd w:val="solid" w:color="000000" w:fill="000000"/>
                <w:fitText w:val="250" w:id="-1031540989"/>
                <w14:textFill>
                  <w14:solidFill>
                    <w14:schemeClr w14:val="tx1">
                      <w14:alpha w14:val="100000"/>
                    </w14:schemeClr>
                  </w14:solidFill>
                </w14:textFill>
              </w:rPr>
              <w:t>|</w:t>
            </w:r>
            <w:r w:rsidR="00B7116A" w:rsidRPr="00B7116A">
              <w:rPr>
                <w:spacing w:val="1"/>
                <w:shd w:val="solid" w:color="000000" w:fill="000000"/>
                <w:fitText w:val="250" w:id="-1031540989"/>
                <w14:textFill>
                  <w14:solidFill>
                    <w14:schemeClr w14:val="tx1">
                      <w14:alpha w14:val="100000"/>
                    </w14:schemeClr>
                  </w14:solidFill>
                </w14:textFill>
              </w:rPr>
              <w:t>|</w:t>
            </w:r>
            <w:r w:rsidRPr="00940BEC">
              <w:t>%</w:t>
            </w:r>
          </w:p>
        </w:tc>
      </w:tr>
      <w:tr w:rsidR="009B1B01" w:rsidRPr="00940BEC" w14:paraId="0D31288E" w14:textId="77777777" w:rsidTr="00511CE8">
        <w:trPr>
          <w:trHeight w:val="42"/>
        </w:trPr>
        <w:tc>
          <w:tcPr>
            <w:cnfStyle w:val="001000000000" w:firstRow="0" w:lastRow="0" w:firstColumn="1" w:lastColumn="0" w:oddVBand="0" w:evenVBand="0" w:oddHBand="0" w:evenHBand="0" w:firstRowFirstColumn="0" w:firstRowLastColumn="0" w:lastRowFirstColumn="0" w:lastRowLastColumn="0"/>
            <w:tcW w:w="5000" w:type="pct"/>
            <w:gridSpan w:val="5"/>
          </w:tcPr>
          <w:p w14:paraId="09729E57" w14:textId="53221ACC" w:rsidR="009B1B01" w:rsidRPr="00940BEC" w:rsidRDefault="003B52E3" w:rsidP="001316D7">
            <w:pPr>
              <w:pStyle w:val="TableText0"/>
              <w:keepLines/>
              <w:rPr>
                <w:rFonts w:eastAsia="Calibri"/>
                <w:b/>
                <w:bCs w:val="0"/>
                <w:szCs w:val="20"/>
              </w:rPr>
            </w:pPr>
            <w:r w:rsidRPr="00940BEC">
              <w:rPr>
                <w:b/>
                <w:bCs w:val="0"/>
              </w:rPr>
              <w:t xml:space="preserve">Efficacy </w:t>
            </w:r>
            <w:r w:rsidR="006A7B62" w:rsidRPr="00940BEC">
              <w:rPr>
                <w:b/>
                <w:bCs w:val="0"/>
              </w:rPr>
              <w:t>using alternate HRs for OS and PFS (base case: based on independently fitted and extrapolated KM data from PROpel)</w:t>
            </w:r>
          </w:p>
        </w:tc>
      </w:tr>
      <w:tr w:rsidR="00511CE8" w:rsidRPr="00940BEC" w14:paraId="72FF791B"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31ED84DC" w14:textId="77777777" w:rsidR="009B1B01" w:rsidRPr="00940BEC" w:rsidRDefault="009B1B01" w:rsidP="001316D7">
            <w:pPr>
              <w:pStyle w:val="TableText0"/>
              <w:keepLines/>
              <w:rPr>
                <w:rFonts w:cs="Calibri"/>
                <w:szCs w:val="20"/>
              </w:rPr>
            </w:pPr>
            <w:r w:rsidRPr="00940BEC">
              <w:rPr>
                <w:rFonts w:cs="Calibri"/>
                <w:szCs w:val="20"/>
              </w:rPr>
              <w:t>PROpel-reported PFS HR: 0.23 and OS HR: 0.29</w:t>
            </w:r>
          </w:p>
        </w:tc>
        <w:tc>
          <w:tcPr>
            <w:tcW w:w="679" w:type="pct"/>
          </w:tcPr>
          <w:p w14:paraId="000ECB62" w14:textId="04210F8C"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highlight w:val="darkGray"/>
              </w:rPr>
            </w:pPr>
            <w:r w:rsidRPr="003C22C5">
              <w:t xml:space="preserve"> </w:t>
            </w:r>
            <w:r w:rsidR="00B7116A" w:rsidRPr="00B7116A">
              <w:rPr>
                <w:rFonts w:hint="eastAsia"/>
                <w:w w:val="16"/>
                <w:shd w:val="solid" w:color="000000" w:fill="000000"/>
                <w:fitText w:val="75" w:id="-1031540988"/>
                <w14:textFill>
                  <w14:solidFill>
                    <w14:schemeClr w14:val="tx1">
                      <w14:alpha w14:val="100000"/>
                    </w14:schemeClr>
                  </w14:solidFill>
                </w14:textFill>
              </w:rPr>
              <w:t xml:space="preserve">　</w:t>
            </w:r>
            <w:r w:rsidR="00B7116A" w:rsidRPr="00B7116A">
              <w:rPr>
                <w:w w:val="16"/>
                <w:shd w:val="solid" w:color="000000" w:fill="000000"/>
                <w:fitText w:val="75" w:id="-1031540988"/>
                <w14:textFill>
                  <w14:solidFill>
                    <w14:schemeClr w14:val="tx1">
                      <w14:alpha w14:val="100000"/>
                    </w14:schemeClr>
                  </w14:solidFill>
                </w14:textFill>
              </w:rPr>
              <w:t>|</w:t>
            </w:r>
            <w:r w:rsidR="00B7116A" w:rsidRPr="00B7116A">
              <w:rPr>
                <w:rFonts w:hint="eastAsia"/>
                <w:spacing w:val="5"/>
                <w:w w:val="16"/>
                <w:shd w:val="solid" w:color="000000" w:fill="000000"/>
                <w:fitText w:val="75" w:id="-1031540988"/>
                <w14:textFill>
                  <w14:solidFill>
                    <w14:schemeClr w14:val="tx1">
                      <w14:alpha w14:val="100000"/>
                    </w14:schemeClr>
                  </w14:solidFill>
                </w14:textFill>
              </w:rPr>
              <w:t xml:space="preserve">　</w:t>
            </w:r>
            <w:r w:rsidRPr="003C22C5">
              <w:t xml:space="preserve"> </w:t>
            </w:r>
          </w:p>
        </w:tc>
        <w:tc>
          <w:tcPr>
            <w:tcW w:w="502" w:type="pct"/>
          </w:tcPr>
          <w:p w14:paraId="529D31D0"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pPr>
            <w:r w:rsidRPr="00940BEC">
              <w:t>2.77</w:t>
            </w:r>
          </w:p>
        </w:tc>
        <w:tc>
          <w:tcPr>
            <w:tcW w:w="707" w:type="pct"/>
          </w:tcPr>
          <w:p w14:paraId="738CCFC7" w14:textId="4EAB7D7F"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highlight w:val="darkGray"/>
              </w:rPr>
            </w:pPr>
            <w:r w:rsidRPr="003C22C5">
              <w:t xml:space="preserve"> </w:t>
            </w:r>
            <w:r w:rsidR="00B7116A" w:rsidRPr="00B7116A">
              <w:rPr>
                <w:rFonts w:hint="eastAsia"/>
                <w:w w:val="19"/>
                <w:shd w:val="solid" w:color="000000" w:fill="000000"/>
                <w:fitText w:val="88" w:id="-1031540987"/>
                <w14:textFill>
                  <w14:solidFill>
                    <w14:schemeClr w14:val="tx1">
                      <w14:alpha w14:val="100000"/>
                    </w14:schemeClr>
                  </w14:solidFill>
                </w14:textFill>
              </w:rPr>
              <w:t xml:space="preserve">　</w:t>
            </w:r>
            <w:proofErr w:type="gramStart"/>
            <w:r w:rsidR="00B7116A" w:rsidRPr="00B7116A">
              <w:rPr>
                <w:w w:val="19"/>
                <w:shd w:val="solid" w:color="000000" w:fill="000000"/>
                <w:fitText w:val="88" w:id="-1031540987"/>
                <w14:textFill>
                  <w14:solidFill>
                    <w14:schemeClr w14:val="tx1">
                      <w14:alpha w14:val="100000"/>
                    </w14:schemeClr>
                  </w14:solidFill>
                </w14:textFill>
              </w:rPr>
              <w:t>|</w:t>
            </w:r>
            <w:r w:rsidR="00B7116A" w:rsidRPr="00B7116A">
              <w:rPr>
                <w:rFonts w:hint="eastAsia"/>
                <w:spacing w:val="4"/>
                <w:w w:val="19"/>
                <w:shd w:val="solid" w:color="000000" w:fill="000000"/>
                <w:fitText w:val="88" w:id="-1031540987"/>
                <w14:textFill>
                  <w14:solidFill>
                    <w14:schemeClr w14:val="tx1">
                      <w14:alpha w14:val="100000"/>
                    </w14:schemeClr>
                  </w14:solidFill>
                </w14:textFill>
              </w:rPr>
              <w:t xml:space="preserve">　</w:t>
            </w:r>
            <w:r w:rsidRPr="003C22C5">
              <w:t xml:space="preserve"> </w:t>
            </w:r>
            <w:r w:rsidR="0051639F">
              <w:rPr>
                <w:rFonts w:cs="Calibri"/>
                <w:szCs w:val="20"/>
                <w:vertAlign w:val="superscript"/>
              </w:rPr>
              <w:t>1</w:t>
            </w:r>
            <w:proofErr w:type="gramEnd"/>
          </w:p>
        </w:tc>
        <w:tc>
          <w:tcPr>
            <w:tcW w:w="601" w:type="pct"/>
          </w:tcPr>
          <w:p w14:paraId="7C0BFD40" w14:textId="2DCCED97" w:rsidR="009B1B01" w:rsidRPr="00940BEC"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spacing w:val="114"/>
                <w:shd w:val="solid" w:color="000000" w:fill="000000"/>
                <w:fitText w:val="200" w:id="-1031540986"/>
                <w14:textFill>
                  <w14:solidFill>
                    <w14:schemeClr w14:val="tx1">
                      <w14:alpha w14:val="100000"/>
                    </w14:schemeClr>
                  </w14:solidFill>
                </w14:textFill>
              </w:rPr>
              <w:t>|</w:t>
            </w:r>
            <w:r w:rsidR="00B7116A" w:rsidRPr="00B7116A">
              <w:rPr>
                <w:spacing w:val="1"/>
                <w:shd w:val="solid" w:color="000000" w:fill="000000"/>
                <w:fitText w:val="200" w:id="-1031540986"/>
                <w14:textFill>
                  <w14:solidFill>
                    <w14:schemeClr w14:val="tx1">
                      <w14:alpha w14:val="100000"/>
                    </w14:schemeClr>
                  </w14:solidFill>
                </w14:textFill>
              </w:rPr>
              <w:t>|</w:t>
            </w:r>
            <w:r w:rsidR="009B1B01" w:rsidRPr="00940BEC">
              <w:t>%</w:t>
            </w:r>
          </w:p>
        </w:tc>
      </w:tr>
      <w:tr w:rsidR="00511CE8" w:rsidRPr="00940BEC" w14:paraId="5C7E5EB6" w14:textId="77777777" w:rsidTr="006D17A4">
        <w:trPr>
          <w:trHeight w:val="177"/>
        </w:trPr>
        <w:tc>
          <w:tcPr>
            <w:cnfStyle w:val="001000000000" w:firstRow="0" w:lastRow="0" w:firstColumn="1" w:lastColumn="0" w:oddVBand="0" w:evenVBand="0" w:oddHBand="0" w:evenHBand="0" w:firstRowFirstColumn="0" w:firstRowLastColumn="0" w:lastRowFirstColumn="0" w:lastRowLastColumn="0"/>
            <w:tcW w:w="2510" w:type="pct"/>
          </w:tcPr>
          <w:p w14:paraId="4DD60090" w14:textId="77777777" w:rsidR="009B1B01" w:rsidRPr="00940BEC" w:rsidRDefault="009B1B01" w:rsidP="001316D7">
            <w:pPr>
              <w:pStyle w:val="TableText0"/>
              <w:keepLines/>
            </w:pPr>
            <w:r w:rsidRPr="00940BEC">
              <w:rPr>
                <w:rFonts w:cs="Calibri"/>
                <w:szCs w:val="20"/>
              </w:rPr>
              <w:t>PROpel-reported PFS HR: 0.23 and no OS benefits (HR=1)</w:t>
            </w:r>
          </w:p>
        </w:tc>
        <w:tc>
          <w:tcPr>
            <w:tcW w:w="679" w:type="pct"/>
          </w:tcPr>
          <w:p w14:paraId="25E0629D" w14:textId="2E653101"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85"/>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85"/>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85"/>
                <w14:textFill>
                  <w14:solidFill>
                    <w14:schemeClr w14:val="tx1">
                      <w14:alpha w14:val="100000"/>
                    </w14:schemeClr>
                  </w14:solidFill>
                </w14:textFill>
              </w:rPr>
              <w:t xml:space="preserve">　</w:t>
            </w:r>
            <w:r w:rsidRPr="003C22C5">
              <w:rPr>
                <w:rFonts w:cs="Calibri"/>
                <w:szCs w:val="20"/>
              </w:rPr>
              <w:t xml:space="preserve"> </w:t>
            </w:r>
          </w:p>
        </w:tc>
        <w:tc>
          <w:tcPr>
            <w:tcW w:w="502" w:type="pct"/>
          </w:tcPr>
          <w:p w14:paraId="2C33F3C2"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rPr>
                <w:rFonts w:cs="Calibri"/>
                <w:szCs w:val="20"/>
              </w:rPr>
              <w:t>0.10</w:t>
            </w:r>
          </w:p>
        </w:tc>
        <w:tc>
          <w:tcPr>
            <w:tcW w:w="707" w:type="pct"/>
          </w:tcPr>
          <w:p w14:paraId="601B2155" w14:textId="6E7B2CC8"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84"/>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84"/>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84"/>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3</w:t>
            </w:r>
            <w:proofErr w:type="gramEnd"/>
          </w:p>
        </w:tc>
        <w:tc>
          <w:tcPr>
            <w:tcW w:w="601" w:type="pct"/>
          </w:tcPr>
          <w:p w14:paraId="0BDA9B24" w14:textId="50574D18"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983"/>
                <w14:textFill>
                  <w14:solidFill>
                    <w14:schemeClr w14:val="tx1">
                      <w14:alpha w14:val="100000"/>
                    </w14:schemeClr>
                  </w14:solidFill>
                </w14:textFill>
              </w:rPr>
              <w:t>|</w:t>
            </w:r>
            <w:r w:rsidR="00B7116A" w:rsidRPr="00B7116A">
              <w:rPr>
                <w:rFonts w:cs="Calibri"/>
                <w:spacing w:val="1"/>
                <w:szCs w:val="20"/>
                <w:shd w:val="solid" w:color="000000" w:fill="000000"/>
                <w:fitText w:val="250" w:id="-1031540983"/>
                <w14:textFill>
                  <w14:solidFill>
                    <w14:schemeClr w14:val="tx1">
                      <w14:alpha w14:val="100000"/>
                    </w14:schemeClr>
                  </w14:solidFill>
                </w14:textFill>
              </w:rPr>
              <w:t>|</w:t>
            </w:r>
            <w:r w:rsidRPr="00940BEC">
              <w:rPr>
                <w:rFonts w:cs="Calibri"/>
                <w:szCs w:val="20"/>
              </w:rPr>
              <w:t>%</w:t>
            </w:r>
          </w:p>
        </w:tc>
      </w:tr>
      <w:tr w:rsidR="00511CE8" w:rsidRPr="00940BEC" w14:paraId="1316AD22" w14:textId="77777777" w:rsidTr="006D17A4">
        <w:trPr>
          <w:trHeight w:val="81"/>
        </w:trPr>
        <w:tc>
          <w:tcPr>
            <w:cnfStyle w:val="001000000000" w:firstRow="0" w:lastRow="0" w:firstColumn="1" w:lastColumn="0" w:oddVBand="0" w:evenVBand="0" w:oddHBand="0" w:evenHBand="0" w:firstRowFirstColumn="0" w:firstRowLastColumn="0" w:lastRowFirstColumn="0" w:lastRowLastColumn="0"/>
            <w:tcW w:w="2510" w:type="pct"/>
          </w:tcPr>
          <w:p w14:paraId="77045384" w14:textId="11F8E88D" w:rsidR="009B1B01" w:rsidRPr="00940BEC" w:rsidRDefault="009B1B01" w:rsidP="001316D7">
            <w:pPr>
              <w:pStyle w:val="TableText0"/>
              <w:keepLines/>
            </w:pPr>
            <w:r w:rsidRPr="00940BEC">
              <w:rPr>
                <w:rFonts w:cs="Calibri"/>
                <w:szCs w:val="20"/>
              </w:rPr>
              <w:t>MAGNITUDE-reported PFS HR: 0.53 and OS HR: 0.96</w:t>
            </w:r>
            <w:r w:rsidR="008A521C" w:rsidRPr="00940BEC">
              <w:rPr>
                <w:rFonts w:cs="Calibri"/>
                <w:szCs w:val="20"/>
              </w:rPr>
              <w:t xml:space="preserve"> (1</w:t>
            </w:r>
            <w:r w:rsidR="008A521C" w:rsidRPr="00940BEC">
              <w:rPr>
                <w:rFonts w:cs="Calibri"/>
                <w:szCs w:val="20"/>
                <w:vertAlign w:val="superscript"/>
              </w:rPr>
              <w:t>st</w:t>
            </w:r>
            <w:r w:rsidR="008A521C" w:rsidRPr="00940BEC">
              <w:rPr>
                <w:rFonts w:cs="Calibri"/>
                <w:szCs w:val="20"/>
              </w:rPr>
              <w:t xml:space="preserve"> interim analysis)</w:t>
            </w:r>
          </w:p>
        </w:tc>
        <w:tc>
          <w:tcPr>
            <w:tcW w:w="679" w:type="pct"/>
          </w:tcPr>
          <w:p w14:paraId="7C04E244" w14:textId="70873382"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82"/>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82"/>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82"/>
                <w14:textFill>
                  <w14:solidFill>
                    <w14:schemeClr w14:val="tx1">
                      <w14:alpha w14:val="100000"/>
                    </w14:schemeClr>
                  </w14:solidFill>
                </w14:textFill>
              </w:rPr>
              <w:t xml:space="preserve">　</w:t>
            </w:r>
            <w:r w:rsidRPr="003C22C5">
              <w:rPr>
                <w:rFonts w:cs="Calibri"/>
                <w:szCs w:val="20"/>
              </w:rPr>
              <w:t xml:space="preserve"> </w:t>
            </w:r>
          </w:p>
        </w:tc>
        <w:tc>
          <w:tcPr>
            <w:tcW w:w="502" w:type="pct"/>
          </w:tcPr>
          <w:p w14:paraId="62693985" w14:textId="77777777"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rPr>
                <w:rFonts w:cs="Calibri"/>
                <w:szCs w:val="20"/>
              </w:rPr>
              <w:t>0.14</w:t>
            </w:r>
          </w:p>
        </w:tc>
        <w:tc>
          <w:tcPr>
            <w:tcW w:w="707" w:type="pct"/>
          </w:tcPr>
          <w:p w14:paraId="79D09607" w14:textId="1472B0CD" w:rsidR="009B1B01"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81"/>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81"/>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81"/>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3</w:t>
            </w:r>
            <w:proofErr w:type="gramEnd"/>
          </w:p>
        </w:tc>
        <w:tc>
          <w:tcPr>
            <w:tcW w:w="601" w:type="pct"/>
          </w:tcPr>
          <w:p w14:paraId="52188E44" w14:textId="53E7037B" w:rsidR="009B1B01" w:rsidRPr="00940BEC" w:rsidRDefault="009B1B01" w:rsidP="001316D7">
            <w:pPr>
              <w:pStyle w:val="TableText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980"/>
                <w14:textFill>
                  <w14:solidFill>
                    <w14:schemeClr w14:val="tx1">
                      <w14:alpha w14:val="100000"/>
                    </w14:schemeClr>
                  </w14:solidFill>
                </w14:textFill>
              </w:rPr>
              <w:t>|</w:t>
            </w:r>
            <w:r w:rsidR="00B7116A" w:rsidRPr="00B7116A">
              <w:rPr>
                <w:rFonts w:cs="Calibri"/>
                <w:spacing w:val="1"/>
                <w:szCs w:val="20"/>
                <w:shd w:val="solid" w:color="000000" w:fill="000000"/>
                <w:fitText w:val="250" w:id="-1031540980"/>
                <w14:textFill>
                  <w14:solidFill>
                    <w14:schemeClr w14:val="tx1">
                      <w14:alpha w14:val="100000"/>
                    </w14:schemeClr>
                  </w14:solidFill>
                </w14:textFill>
              </w:rPr>
              <w:t>|</w:t>
            </w:r>
            <w:r w:rsidRPr="00940BEC">
              <w:rPr>
                <w:rFonts w:cs="Calibri"/>
                <w:szCs w:val="20"/>
              </w:rPr>
              <w:t>%</w:t>
            </w:r>
          </w:p>
        </w:tc>
      </w:tr>
      <w:tr w:rsidR="008A521C" w:rsidRPr="00940BEC" w14:paraId="578D996B" w14:textId="77777777" w:rsidTr="006D17A4">
        <w:trPr>
          <w:trHeight w:val="81"/>
        </w:trPr>
        <w:tc>
          <w:tcPr>
            <w:cnfStyle w:val="001000000000" w:firstRow="0" w:lastRow="0" w:firstColumn="1" w:lastColumn="0" w:oddVBand="0" w:evenVBand="0" w:oddHBand="0" w:evenHBand="0" w:firstRowFirstColumn="0" w:firstRowLastColumn="0" w:lastRowFirstColumn="0" w:lastRowLastColumn="0"/>
            <w:tcW w:w="2510" w:type="pct"/>
          </w:tcPr>
          <w:p w14:paraId="46E82988" w14:textId="3DBB3BC3" w:rsidR="008A521C" w:rsidRPr="00940BEC" w:rsidRDefault="008A521C" w:rsidP="001316D7">
            <w:pPr>
              <w:pStyle w:val="TableText0"/>
              <w:keepLines/>
              <w:rPr>
                <w:rFonts w:cs="Calibri"/>
                <w:szCs w:val="20"/>
              </w:rPr>
            </w:pPr>
            <w:r w:rsidRPr="00940BEC">
              <w:rPr>
                <w:rFonts w:cs="Calibri"/>
                <w:szCs w:val="20"/>
              </w:rPr>
              <w:t xml:space="preserve">MAGNITUDE-reported PFS HR: </w:t>
            </w:r>
            <w:r w:rsidR="003C1E09" w:rsidRPr="00940BEC">
              <w:rPr>
                <w:rFonts w:cs="Calibri"/>
                <w:szCs w:val="20"/>
              </w:rPr>
              <w:t>0.5</w:t>
            </w:r>
            <w:r w:rsidR="00B87979" w:rsidRPr="00940BEC">
              <w:rPr>
                <w:rFonts w:cs="Calibri"/>
                <w:szCs w:val="20"/>
              </w:rPr>
              <w:t>5</w:t>
            </w:r>
            <w:r w:rsidR="003C1E09" w:rsidRPr="00940BEC">
              <w:rPr>
                <w:rFonts w:cs="Calibri"/>
                <w:szCs w:val="20"/>
              </w:rPr>
              <w:t xml:space="preserve"> and OS HR: 0.5</w:t>
            </w:r>
            <w:r w:rsidR="00B87979" w:rsidRPr="00940BEC">
              <w:rPr>
                <w:rFonts w:cs="Calibri"/>
                <w:szCs w:val="20"/>
              </w:rPr>
              <w:t>4</w:t>
            </w:r>
            <w:r w:rsidR="003C1E09" w:rsidRPr="00940BEC">
              <w:rPr>
                <w:rFonts w:cs="Calibri"/>
                <w:szCs w:val="20"/>
              </w:rPr>
              <w:t xml:space="preserve"> (2</w:t>
            </w:r>
            <w:r w:rsidR="003C1E09" w:rsidRPr="00940BEC">
              <w:rPr>
                <w:rFonts w:cs="Calibri"/>
                <w:szCs w:val="20"/>
                <w:vertAlign w:val="superscript"/>
              </w:rPr>
              <w:t>nd</w:t>
            </w:r>
            <w:r w:rsidR="003C1E09" w:rsidRPr="00940BEC">
              <w:rPr>
                <w:rFonts w:cs="Calibri"/>
                <w:szCs w:val="20"/>
              </w:rPr>
              <w:t xml:space="preserve"> interim analysis)</w:t>
            </w:r>
          </w:p>
        </w:tc>
        <w:tc>
          <w:tcPr>
            <w:tcW w:w="679" w:type="pct"/>
          </w:tcPr>
          <w:p w14:paraId="538E1CA6" w14:textId="583BBEA3" w:rsidR="008A521C"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79"/>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79"/>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79"/>
                <w14:textFill>
                  <w14:solidFill>
                    <w14:schemeClr w14:val="tx1">
                      <w14:alpha w14:val="100000"/>
                    </w14:schemeClr>
                  </w14:solidFill>
                </w14:textFill>
              </w:rPr>
              <w:t xml:space="preserve">　</w:t>
            </w:r>
          </w:p>
        </w:tc>
        <w:tc>
          <w:tcPr>
            <w:tcW w:w="502" w:type="pct"/>
          </w:tcPr>
          <w:p w14:paraId="0DEDE8C5" w14:textId="5DE4CD30" w:rsidR="008A521C" w:rsidRPr="00940BEC" w:rsidRDefault="0098528E" w:rsidP="001316D7">
            <w:pPr>
              <w:pStyle w:val="TableText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1.4</w:t>
            </w:r>
            <w:r w:rsidR="00C70570" w:rsidRPr="00940BEC">
              <w:rPr>
                <w:rFonts w:cs="Calibri"/>
                <w:szCs w:val="20"/>
              </w:rPr>
              <w:t>9</w:t>
            </w:r>
          </w:p>
        </w:tc>
        <w:tc>
          <w:tcPr>
            <w:tcW w:w="707" w:type="pct"/>
          </w:tcPr>
          <w:p w14:paraId="7B078695" w14:textId="395137B5" w:rsidR="008A521C" w:rsidRPr="005D2AC7" w:rsidRDefault="003C22C5" w:rsidP="001316D7">
            <w:pPr>
              <w:pStyle w:val="TableText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78"/>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78"/>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78"/>
                <w14:textFill>
                  <w14:solidFill>
                    <w14:schemeClr w14:val="tx1">
                      <w14:alpha w14:val="100000"/>
                    </w14:schemeClr>
                  </w14:solidFill>
                </w14:textFill>
              </w:rPr>
              <w:t xml:space="preserve">　</w:t>
            </w:r>
            <w:r w:rsidRPr="003C22C5">
              <w:rPr>
                <w:rFonts w:cs="Calibri"/>
                <w:szCs w:val="20"/>
              </w:rPr>
              <w:t xml:space="preserve"> </w:t>
            </w:r>
            <w:r w:rsidR="00EE4C20" w:rsidRPr="00EE4C20">
              <w:rPr>
                <w:rFonts w:cs="Calibri"/>
                <w:szCs w:val="20"/>
                <w:vertAlign w:val="superscript"/>
              </w:rPr>
              <w:t>4</w:t>
            </w:r>
            <w:proofErr w:type="gramEnd"/>
          </w:p>
        </w:tc>
        <w:tc>
          <w:tcPr>
            <w:tcW w:w="601" w:type="pct"/>
          </w:tcPr>
          <w:p w14:paraId="6AC30B18" w14:textId="5850F4DE" w:rsidR="008A521C" w:rsidRPr="00940BEC" w:rsidRDefault="00C70570" w:rsidP="001316D7">
            <w:pPr>
              <w:pStyle w:val="TableText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977"/>
                <w14:textFill>
                  <w14:solidFill>
                    <w14:schemeClr w14:val="tx1">
                      <w14:alpha w14:val="100000"/>
                    </w14:schemeClr>
                  </w14:solidFill>
                </w14:textFill>
              </w:rPr>
              <w:t>|</w:t>
            </w:r>
            <w:r w:rsidR="00B7116A" w:rsidRPr="00B7116A">
              <w:rPr>
                <w:rFonts w:cs="Calibri"/>
                <w:spacing w:val="1"/>
                <w:szCs w:val="20"/>
                <w:shd w:val="solid" w:color="000000" w:fill="000000"/>
                <w:fitText w:val="250" w:id="-1031540977"/>
                <w14:textFill>
                  <w14:solidFill>
                    <w14:schemeClr w14:val="tx1">
                      <w14:alpha w14:val="100000"/>
                    </w14:schemeClr>
                  </w14:solidFill>
                </w14:textFill>
              </w:rPr>
              <w:t>|</w:t>
            </w:r>
            <w:r w:rsidRPr="00940BEC">
              <w:rPr>
                <w:rFonts w:cs="Calibri"/>
                <w:szCs w:val="20"/>
              </w:rPr>
              <w:t>%</w:t>
            </w:r>
          </w:p>
        </w:tc>
      </w:tr>
      <w:tr w:rsidR="00B87979" w:rsidRPr="00940BEC" w14:paraId="7B3BBB99" w14:textId="77777777" w:rsidTr="006D17A4">
        <w:trPr>
          <w:trHeight w:val="81"/>
        </w:trPr>
        <w:tc>
          <w:tcPr>
            <w:cnfStyle w:val="001000000000" w:firstRow="0" w:lastRow="0" w:firstColumn="1" w:lastColumn="0" w:oddVBand="0" w:evenVBand="0" w:oddHBand="0" w:evenHBand="0" w:firstRowFirstColumn="0" w:firstRowLastColumn="0" w:lastRowFirstColumn="0" w:lastRowLastColumn="0"/>
            <w:tcW w:w="2510" w:type="pct"/>
          </w:tcPr>
          <w:p w14:paraId="4115F820" w14:textId="6F4CE626" w:rsidR="00B87979" w:rsidRPr="00940BEC" w:rsidRDefault="00B87979" w:rsidP="00C407DD">
            <w:pPr>
              <w:pStyle w:val="TableText0"/>
              <w:keepNext w:val="0"/>
              <w:keepLines/>
              <w:rPr>
                <w:rFonts w:cs="Calibri"/>
                <w:szCs w:val="20"/>
              </w:rPr>
            </w:pPr>
            <w:r w:rsidRPr="00940BEC">
              <w:rPr>
                <w:rFonts w:cs="Calibri"/>
                <w:szCs w:val="20"/>
              </w:rPr>
              <w:t>PROpel-reported PFS HR: 0.23 and MAGNITUDE-reported OS HR: 0.54 (2</w:t>
            </w:r>
            <w:r w:rsidRPr="00940BEC">
              <w:rPr>
                <w:rFonts w:cs="Calibri"/>
                <w:szCs w:val="20"/>
                <w:vertAlign w:val="superscript"/>
              </w:rPr>
              <w:t>nd</w:t>
            </w:r>
            <w:r w:rsidRPr="00940BEC">
              <w:rPr>
                <w:rFonts w:cs="Calibri"/>
                <w:szCs w:val="20"/>
              </w:rPr>
              <w:t xml:space="preserve"> interim analysis)</w:t>
            </w:r>
          </w:p>
        </w:tc>
        <w:tc>
          <w:tcPr>
            <w:tcW w:w="679" w:type="pct"/>
          </w:tcPr>
          <w:p w14:paraId="02DCBAEC" w14:textId="0FB2E256" w:rsidR="00B87979"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76"/>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76"/>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76"/>
                <w14:textFill>
                  <w14:solidFill>
                    <w14:schemeClr w14:val="tx1">
                      <w14:alpha w14:val="100000"/>
                    </w14:schemeClr>
                  </w14:solidFill>
                </w14:textFill>
              </w:rPr>
              <w:t xml:space="preserve">　</w:t>
            </w:r>
          </w:p>
        </w:tc>
        <w:tc>
          <w:tcPr>
            <w:tcW w:w="502" w:type="pct"/>
          </w:tcPr>
          <w:p w14:paraId="68FB944C" w14:textId="51B63452" w:rsidR="00B87979" w:rsidRPr="00940BEC" w:rsidRDefault="00B87979"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1.55</w:t>
            </w:r>
          </w:p>
        </w:tc>
        <w:tc>
          <w:tcPr>
            <w:tcW w:w="707" w:type="pct"/>
          </w:tcPr>
          <w:p w14:paraId="16751A08" w14:textId="09063B48" w:rsidR="00B87979"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92"/>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92"/>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92"/>
                <w14:textFill>
                  <w14:solidFill>
                    <w14:schemeClr w14:val="tx1">
                      <w14:alpha w14:val="100000"/>
                    </w14:schemeClr>
                  </w14:solidFill>
                </w14:textFill>
              </w:rPr>
              <w:t xml:space="preserve">　</w:t>
            </w:r>
            <w:r w:rsidRPr="003C22C5">
              <w:rPr>
                <w:rFonts w:cs="Calibri"/>
                <w:szCs w:val="20"/>
              </w:rPr>
              <w:t xml:space="preserve"> </w:t>
            </w:r>
            <w:r w:rsidR="00EE4C20" w:rsidRPr="00EE4C20">
              <w:rPr>
                <w:rFonts w:cs="Calibri"/>
                <w:szCs w:val="20"/>
                <w:vertAlign w:val="superscript"/>
              </w:rPr>
              <w:t>4</w:t>
            </w:r>
            <w:proofErr w:type="gramEnd"/>
          </w:p>
        </w:tc>
        <w:tc>
          <w:tcPr>
            <w:tcW w:w="601" w:type="pct"/>
          </w:tcPr>
          <w:p w14:paraId="25745709" w14:textId="65D6AD99" w:rsidR="00B87979" w:rsidRPr="00940BEC" w:rsidRDefault="00B87979"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991"/>
                <w14:textFill>
                  <w14:solidFill>
                    <w14:schemeClr w14:val="tx1">
                      <w14:alpha w14:val="100000"/>
                    </w14:schemeClr>
                  </w14:solidFill>
                </w14:textFill>
              </w:rPr>
              <w:t>|</w:t>
            </w:r>
            <w:r w:rsidR="00B7116A" w:rsidRPr="00B7116A">
              <w:rPr>
                <w:rFonts w:cs="Calibri"/>
                <w:spacing w:val="1"/>
                <w:szCs w:val="20"/>
                <w:shd w:val="solid" w:color="000000" w:fill="000000"/>
                <w:fitText w:val="250" w:id="-1031540991"/>
                <w14:textFill>
                  <w14:solidFill>
                    <w14:schemeClr w14:val="tx1">
                      <w14:alpha w14:val="100000"/>
                    </w14:schemeClr>
                  </w14:solidFill>
                </w14:textFill>
              </w:rPr>
              <w:t>|</w:t>
            </w:r>
            <w:r w:rsidRPr="00940BEC">
              <w:rPr>
                <w:rFonts w:cs="Calibri"/>
                <w:szCs w:val="20"/>
              </w:rPr>
              <w:t>%</w:t>
            </w:r>
          </w:p>
        </w:tc>
      </w:tr>
      <w:tr w:rsidR="009B1B01" w:rsidRPr="00940BEC" w14:paraId="6409B6A4" w14:textId="77777777" w:rsidTr="00511CE8">
        <w:trPr>
          <w:trHeight w:val="42"/>
        </w:trPr>
        <w:tc>
          <w:tcPr>
            <w:cnfStyle w:val="001000000000" w:firstRow="0" w:lastRow="0" w:firstColumn="1" w:lastColumn="0" w:oddVBand="0" w:evenVBand="0" w:oddHBand="0" w:evenHBand="0" w:firstRowFirstColumn="0" w:firstRowLastColumn="0" w:lastRowFirstColumn="0" w:lastRowLastColumn="0"/>
            <w:tcW w:w="5000" w:type="pct"/>
            <w:gridSpan w:val="5"/>
          </w:tcPr>
          <w:p w14:paraId="67FCB070" w14:textId="77777777" w:rsidR="009B1B01" w:rsidRPr="00940BEC" w:rsidRDefault="009B1B01" w:rsidP="00C407DD">
            <w:pPr>
              <w:pStyle w:val="TableText0"/>
              <w:keepNext w:val="0"/>
              <w:keepLines/>
              <w:rPr>
                <w:b/>
                <w:bCs w:val="0"/>
              </w:rPr>
            </w:pPr>
            <w:r w:rsidRPr="00940BEC">
              <w:rPr>
                <w:b/>
                <w:bCs w:val="0"/>
              </w:rPr>
              <w:t>Treatment duration (base case: based on ToT)</w:t>
            </w:r>
          </w:p>
        </w:tc>
      </w:tr>
      <w:tr w:rsidR="00511CE8" w:rsidRPr="00940BEC" w14:paraId="2904D1E1" w14:textId="77777777" w:rsidTr="006D17A4">
        <w:trPr>
          <w:trHeight w:val="160"/>
        </w:trPr>
        <w:tc>
          <w:tcPr>
            <w:cnfStyle w:val="001000000000" w:firstRow="0" w:lastRow="0" w:firstColumn="1" w:lastColumn="0" w:oddVBand="0" w:evenVBand="0" w:oddHBand="0" w:evenHBand="0" w:firstRowFirstColumn="0" w:firstRowLastColumn="0" w:lastRowFirstColumn="0" w:lastRowLastColumn="0"/>
            <w:tcW w:w="2510" w:type="pct"/>
          </w:tcPr>
          <w:p w14:paraId="63B09861" w14:textId="77777777" w:rsidR="009B1B01" w:rsidRPr="00940BEC" w:rsidRDefault="009B1B01" w:rsidP="00C407DD">
            <w:pPr>
              <w:pStyle w:val="TableText0"/>
              <w:keepNext w:val="0"/>
              <w:keepLines/>
            </w:pPr>
            <w:r w:rsidRPr="00940BEC">
              <w:rPr>
                <w:rFonts w:cs="Calibri"/>
                <w:szCs w:val="20"/>
              </w:rPr>
              <w:t>Based on PFS</w:t>
            </w:r>
          </w:p>
        </w:tc>
        <w:tc>
          <w:tcPr>
            <w:tcW w:w="679" w:type="pct"/>
          </w:tcPr>
          <w:p w14:paraId="08D2A32C" w14:textId="02FD0420"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3C22C5">
              <w:rPr>
                <w:rFonts w:cs="Calibri"/>
                <w:szCs w:val="20"/>
              </w:rPr>
              <w:t xml:space="preserve"> </w:t>
            </w:r>
            <w:r w:rsidR="00B7116A" w:rsidRPr="00B7116A">
              <w:rPr>
                <w:rFonts w:cs="Calibri" w:hint="eastAsia"/>
                <w:w w:val="16"/>
                <w:szCs w:val="20"/>
                <w:shd w:val="solid" w:color="000000" w:fill="000000"/>
                <w:fitText w:val="75" w:id="-1031540990"/>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90"/>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90"/>
                <w14:textFill>
                  <w14:solidFill>
                    <w14:schemeClr w14:val="tx1">
                      <w14:alpha w14:val="100000"/>
                    </w14:schemeClr>
                  </w14:solidFill>
                </w14:textFill>
              </w:rPr>
              <w:t xml:space="preserve">　</w:t>
            </w:r>
          </w:p>
        </w:tc>
        <w:tc>
          <w:tcPr>
            <w:tcW w:w="502" w:type="pct"/>
          </w:tcPr>
          <w:p w14:paraId="13CA91F9"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rPr>
                <w:rFonts w:cs="Calibri"/>
                <w:szCs w:val="20"/>
              </w:rPr>
              <w:t>2.79</w:t>
            </w:r>
          </w:p>
        </w:tc>
        <w:tc>
          <w:tcPr>
            <w:tcW w:w="707" w:type="pct"/>
          </w:tcPr>
          <w:p w14:paraId="5D4EBFC4" w14:textId="1B2335BF"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3C22C5">
              <w:rPr>
                <w:rFonts w:cs="Calibri"/>
                <w:szCs w:val="20"/>
              </w:rPr>
              <w:t xml:space="preserve"> </w:t>
            </w:r>
            <w:r w:rsidR="00B7116A" w:rsidRPr="00B7116A">
              <w:rPr>
                <w:rFonts w:cs="Calibri" w:hint="eastAsia"/>
                <w:w w:val="19"/>
                <w:szCs w:val="20"/>
                <w:shd w:val="solid" w:color="000000" w:fill="000000"/>
                <w:fitText w:val="88" w:id="-1031540989"/>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89"/>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89"/>
                <w14:textFill>
                  <w14:solidFill>
                    <w14:schemeClr w14:val="tx1">
                      <w14:alpha w14:val="100000"/>
                    </w14:schemeClr>
                  </w14:solidFill>
                </w14:textFill>
              </w:rPr>
              <w:t xml:space="preserve">　</w:t>
            </w:r>
            <w:r w:rsidR="00EE4C20">
              <w:rPr>
                <w:rFonts w:cs="Calibri"/>
                <w:szCs w:val="20"/>
              </w:rPr>
              <w:t xml:space="preserve"> </w:t>
            </w:r>
            <w:r w:rsidR="0051639F">
              <w:rPr>
                <w:vertAlign w:val="superscript"/>
              </w:rPr>
              <w:t>2</w:t>
            </w:r>
            <w:proofErr w:type="gramEnd"/>
          </w:p>
        </w:tc>
        <w:tc>
          <w:tcPr>
            <w:tcW w:w="601" w:type="pct"/>
          </w:tcPr>
          <w:p w14:paraId="311FB8E4" w14:textId="5ED62F59"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988"/>
                <w14:textFill>
                  <w14:solidFill>
                    <w14:schemeClr w14:val="tx1">
                      <w14:alpha w14:val="100000"/>
                    </w14:schemeClr>
                  </w14:solidFill>
                </w14:textFill>
              </w:rPr>
              <w:t>|</w:t>
            </w:r>
            <w:r w:rsidR="00B7116A" w:rsidRPr="00B7116A">
              <w:rPr>
                <w:rFonts w:cs="Calibri"/>
                <w:spacing w:val="1"/>
                <w:szCs w:val="20"/>
                <w:shd w:val="solid" w:color="000000" w:fill="000000"/>
                <w:fitText w:val="250" w:id="-1031540988"/>
                <w14:textFill>
                  <w14:solidFill>
                    <w14:schemeClr w14:val="tx1">
                      <w14:alpha w14:val="100000"/>
                    </w14:schemeClr>
                  </w14:solidFill>
                </w14:textFill>
              </w:rPr>
              <w:t>|</w:t>
            </w:r>
            <w:r w:rsidRPr="00940BEC">
              <w:rPr>
                <w:rFonts w:cs="Calibri"/>
                <w:szCs w:val="20"/>
              </w:rPr>
              <w:t>%</w:t>
            </w:r>
          </w:p>
        </w:tc>
      </w:tr>
      <w:tr w:rsidR="00511CE8" w:rsidRPr="00940BEC" w14:paraId="4DC54E93" w14:textId="77777777" w:rsidTr="006D17A4">
        <w:trPr>
          <w:trHeight w:val="63"/>
        </w:trPr>
        <w:tc>
          <w:tcPr>
            <w:cnfStyle w:val="001000000000" w:firstRow="0" w:lastRow="0" w:firstColumn="1" w:lastColumn="0" w:oddVBand="0" w:evenVBand="0" w:oddHBand="0" w:evenHBand="0" w:firstRowFirstColumn="0" w:firstRowLastColumn="0" w:lastRowFirstColumn="0" w:lastRowLastColumn="0"/>
            <w:tcW w:w="2510" w:type="pct"/>
          </w:tcPr>
          <w:p w14:paraId="38F4706B" w14:textId="77777777" w:rsidR="009B1B01" w:rsidRPr="00940BEC" w:rsidRDefault="009B1B01" w:rsidP="00C407DD">
            <w:pPr>
              <w:pStyle w:val="TableText0"/>
              <w:keepNext w:val="0"/>
              <w:keepLines/>
              <w:rPr>
                <w:b/>
                <w:bCs w:val="0"/>
              </w:rPr>
            </w:pPr>
            <w:r w:rsidRPr="00940BEC">
              <w:rPr>
                <w:b/>
                <w:bCs w:val="0"/>
              </w:rPr>
              <w:t>ToT extrapolation (base case: exponential)</w:t>
            </w:r>
          </w:p>
        </w:tc>
        <w:tc>
          <w:tcPr>
            <w:tcW w:w="679" w:type="pct"/>
          </w:tcPr>
          <w:p w14:paraId="14897DE2"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b/>
                <w:bCs w:val="0"/>
              </w:rPr>
            </w:pPr>
          </w:p>
        </w:tc>
        <w:tc>
          <w:tcPr>
            <w:tcW w:w="502" w:type="pct"/>
          </w:tcPr>
          <w:p w14:paraId="79AF05BD"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b/>
                <w:bCs w:val="0"/>
              </w:rPr>
            </w:pPr>
          </w:p>
        </w:tc>
        <w:tc>
          <w:tcPr>
            <w:tcW w:w="707" w:type="pct"/>
          </w:tcPr>
          <w:p w14:paraId="4A7C1E2B"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b/>
                <w:bCs w:val="0"/>
              </w:rPr>
            </w:pPr>
          </w:p>
        </w:tc>
        <w:tc>
          <w:tcPr>
            <w:tcW w:w="601" w:type="pct"/>
          </w:tcPr>
          <w:p w14:paraId="169E30DD"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b/>
                <w:bCs w:val="0"/>
              </w:rPr>
            </w:pPr>
          </w:p>
        </w:tc>
      </w:tr>
      <w:tr w:rsidR="00511CE8" w:rsidRPr="00940BEC" w14:paraId="4EB055B4"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25643166" w14:textId="77777777" w:rsidR="009B1B01" w:rsidRPr="00940BEC" w:rsidRDefault="009B1B01" w:rsidP="00C407DD">
            <w:pPr>
              <w:pStyle w:val="TableText0"/>
              <w:keepNext w:val="0"/>
              <w:keepLines/>
            </w:pPr>
            <w:r w:rsidRPr="00940BEC">
              <w:t>Best fit ToT, Tx=log-normal &amp; Cx=log-logistic</w:t>
            </w:r>
          </w:p>
        </w:tc>
        <w:tc>
          <w:tcPr>
            <w:tcW w:w="679" w:type="pct"/>
          </w:tcPr>
          <w:p w14:paraId="0FC7E149" w14:textId="0ABCFE7B"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rFonts w:hint="eastAsia"/>
                <w:w w:val="16"/>
                <w:shd w:val="solid" w:color="000000" w:fill="000000"/>
                <w:fitText w:val="75" w:id="-1031540987"/>
                <w14:textFill>
                  <w14:solidFill>
                    <w14:schemeClr w14:val="tx1">
                      <w14:alpha w14:val="100000"/>
                    </w14:schemeClr>
                  </w14:solidFill>
                </w14:textFill>
              </w:rPr>
              <w:t xml:space="preserve">　</w:t>
            </w:r>
            <w:r w:rsidR="00B7116A" w:rsidRPr="00B7116A">
              <w:rPr>
                <w:w w:val="16"/>
                <w:shd w:val="solid" w:color="000000" w:fill="000000"/>
                <w:fitText w:val="75" w:id="-1031540987"/>
                <w14:textFill>
                  <w14:solidFill>
                    <w14:schemeClr w14:val="tx1">
                      <w14:alpha w14:val="100000"/>
                    </w14:schemeClr>
                  </w14:solidFill>
                </w14:textFill>
              </w:rPr>
              <w:t>|</w:t>
            </w:r>
            <w:r w:rsidR="00B7116A" w:rsidRPr="00B7116A">
              <w:rPr>
                <w:rFonts w:hint="eastAsia"/>
                <w:spacing w:val="5"/>
                <w:w w:val="16"/>
                <w:shd w:val="solid" w:color="000000" w:fill="000000"/>
                <w:fitText w:val="75" w:id="-1031540987"/>
                <w14:textFill>
                  <w14:solidFill>
                    <w14:schemeClr w14:val="tx1">
                      <w14:alpha w14:val="100000"/>
                    </w14:schemeClr>
                  </w14:solidFill>
                </w14:textFill>
              </w:rPr>
              <w:t xml:space="preserve">　</w:t>
            </w:r>
          </w:p>
        </w:tc>
        <w:tc>
          <w:tcPr>
            <w:tcW w:w="502" w:type="pct"/>
          </w:tcPr>
          <w:p w14:paraId="021A6F16"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t>2.79</w:t>
            </w:r>
          </w:p>
        </w:tc>
        <w:tc>
          <w:tcPr>
            <w:tcW w:w="707" w:type="pct"/>
          </w:tcPr>
          <w:p w14:paraId="4B244FFF" w14:textId="5AEB35F8"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rFonts w:hint="eastAsia"/>
                <w:w w:val="19"/>
                <w:shd w:val="solid" w:color="000000" w:fill="000000"/>
                <w:fitText w:val="88" w:id="-1031540986"/>
                <w14:textFill>
                  <w14:solidFill>
                    <w14:schemeClr w14:val="tx1">
                      <w14:alpha w14:val="100000"/>
                    </w14:schemeClr>
                  </w14:solidFill>
                </w14:textFill>
              </w:rPr>
              <w:t xml:space="preserve">　</w:t>
            </w:r>
            <w:proofErr w:type="gramStart"/>
            <w:r w:rsidR="00B7116A" w:rsidRPr="00B7116A">
              <w:rPr>
                <w:w w:val="19"/>
                <w:shd w:val="solid" w:color="000000" w:fill="000000"/>
                <w:fitText w:val="88" w:id="-1031540986"/>
                <w14:textFill>
                  <w14:solidFill>
                    <w14:schemeClr w14:val="tx1">
                      <w14:alpha w14:val="100000"/>
                    </w14:schemeClr>
                  </w14:solidFill>
                </w14:textFill>
              </w:rPr>
              <w:t>|</w:t>
            </w:r>
            <w:r w:rsidR="00B7116A" w:rsidRPr="00B7116A">
              <w:rPr>
                <w:rFonts w:hint="eastAsia"/>
                <w:spacing w:val="4"/>
                <w:w w:val="19"/>
                <w:shd w:val="solid" w:color="000000" w:fill="000000"/>
                <w:fitText w:val="88" w:id="-1031540986"/>
                <w14:textFill>
                  <w14:solidFill>
                    <w14:schemeClr w14:val="tx1">
                      <w14:alpha w14:val="100000"/>
                    </w14:schemeClr>
                  </w14:solidFill>
                </w14:textFill>
              </w:rPr>
              <w:t xml:space="preserve">　</w:t>
            </w:r>
            <w:r w:rsidR="00EE4C20">
              <w:t xml:space="preserve"> </w:t>
            </w:r>
            <w:r w:rsidR="0051639F">
              <w:rPr>
                <w:rFonts w:cs="Calibri"/>
                <w:szCs w:val="20"/>
                <w:vertAlign w:val="superscript"/>
              </w:rPr>
              <w:t>1</w:t>
            </w:r>
            <w:proofErr w:type="gramEnd"/>
          </w:p>
        </w:tc>
        <w:tc>
          <w:tcPr>
            <w:tcW w:w="601" w:type="pct"/>
          </w:tcPr>
          <w:p w14:paraId="4B1DBB89" w14:textId="29615554"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t>+</w:t>
            </w:r>
            <w:r w:rsidR="003C22C5" w:rsidRPr="003C22C5">
              <w:t xml:space="preserve"> </w:t>
            </w:r>
            <w:r w:rsidR="00B7116A" w:rsidRPr="00B7116A">
              <w:rPr>
                <w:spacing w:val="164"/>
                <w:shd w:val="solid" w:color="000000" w:fill="000000"/>
                <w:fitText w:val="250" w:id="-1031540985"/>
                <w14:textFill>
                  <w14:solidFill>
                    <w14:schemeClr w14:val="tx1">
                      <w14:alpha w14:val="100000"/>
                    </w14:schemeClr>
                  </w14:solidFill>
                </w14:textFill>
              </w:rPr>
              <w:t>|</w:t>
            </w:r>
            <w:r w:rsidR="00B7116A" w:rsidRPr="00B7116A">
              <w:rPr>
                <w:spacing w:val="1"/>
                <w:shd w:val="solid" w:color="000000" w:fill="000000"/>
                <w:fitText w:val="250" w:id="-1031540985"/>
                <w14:textFill>
                  <w14:solidFill>
                    <w14:schemeClr w14:val="tx1">
                      <w14:alpha w14:val="100000"/>
                    </w14:schemeClr>
                  </w14:solidFill>
                </w14:textFill>
              </w:rPr>
              <w:t>|</w:t>
            </w:r>
            <w:r w:rsidRPr="00940BEC">
              <w:t>%</w:t>
            </w:r>
          </w:p>
        </w:tc>
      </w:tr>
      <w:tr w:rsidR="009B1B01" w:rsidRPr="00940BEC" w14:paraId="44DF23EC" w14:textId="77777777" w:rsidTr="00511CE8">
        <w:trPr>
          <w:trHeight w:val="42"/>
        </w:trPr>
        <w:tc>
          <w:tcPr>
            <w:cnfStyle w:val="001000000000" w:firstRow="0" w:lastRow="0" w:firstColumn="1" w:lastColumn="0" w:oddVBand="0" w:evenVBand="0" w:oddHBand="0" w:evenHBand="0" w:firstRowFirstColumn="0" w:firstRowLastColumn="0" w:lastRowFirstColumn="0" w:lastRowLastColumn="0"/>
            <w:tcW w:w="5000" w:type="pct"/>
            <w:gridSpan w:val="5"/>
          </w:tcPr>
          <w:p w14:paraId="5DD4B98C" w14:textId="77777777" w:rsidR="009B1B01" w:rsidRPr="00940BEC" w:rsidRDefault="009B1B01" w:rsidP="00C407DD">
            <w:pPr>
              <w:pStyle w:val="TableText0"/>
              <w:keepNext w:val="0"/>
              <w:keepLines/>
              <w:rPr>
                <w:b/>
                <w:bCs w:val="0"/>
                <w:szCs w:val="20"/>
              </w:rPr>
            </w:pPr>
            <w:r w:rsidRPr="00940BEC">
              <w:rPr>
                <w:b/>
                <w:bCs w:val="0"/>
                <w:szCs w:val="20"/>
              </w:rPr>
              <w:t xml:space="preserve">PFS &amp; OS extrapolations </w:t>
            </w:r>
            <w:r w:rsidRPr="00940BEC">
              <w:rPr>
                <w:b/>
                <w:bCs w:val="0"/>
                <w:sz w:val="19"/>
                <w:szCs w:val="19"/>
              </w:rPr>
              <w:t>(base case: PFS, log-normal both arms - OS, OLA+ABI exponential and NHA log-logistic)</w:t>
            </w:r>
          </w:p>
        </w:tc>
      </w:tr>
      <w:tr w:rsidR="00511CE8" w:rsidRPr="00940BEC" w14:paraId="11DA20CA"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3F71FC6F" w14:textId="77777777" w:rsidR="009B1B01" w:rsidRPr="00940BEC" w:rsidRDefault="009B1B01" w:rsidP="00C407DD">
            <w:pPr>
              <w:pStyle w:val="TableText0"/>
              <w:keepNext w:val="0"/>
              <w:keepLines/>
            </w:pPr>
            <w:r w:rsidRPr="00940BEC">
              <w:rPr>
                <w:rFonts w:cs="Calibri"/>
                <w:szCs w:val="20"/>
              </w:rPr>
              <w:t>PFS: both Weibull (conservative PFS)</w:t>
            </w:r>
          </w:p>
        </w:tc>
        <w:tc>
          <w:tcPr>
            <w:tcW w:w="679" w:type="pct"/>
          </w:tcPr>
          <w:p w14:paraId="12EE1727" w14:textId="6E293460"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color w:val="auto"/>
                <w:szCs w:val="20"/>
              </w:rPr>
              <w:t xml:space="preserve"> </w:t>
            </w:r>
            <w:r w:rsidR="00B7116A" w:rsidRPr="00B7116A">
              <w:rPr>
                <w:rFonts w:cs="Calibri" w:hint="eastAsia"/>
                <w:color w:val="000000"/>
                <w:w w:val="16"/>
                <w:szCs w:val="20"/>
                <w:shd w:val="solid" w:color="000000" w:fill="000000"/>
                <w:fitText w:val="75" w:id="-1031540984"/>
                <w14:textFill>
                  <w14:solidFill>
                    <w14:srgbClr w14:val="000000">
                      <w14:alpha w14:val="100000"/>
                    </w14:srgbClr>
                  </w14:solidFill>
                </w14:textFill>
              </w:rPr>
              <w:t xml:space="preserve">　</w:t>
            </w:r>
            <w:r w:rsidR="00B7116A" w:rsidRPr="00B7116A">
              <w:rPr>
                <w:rFonts w:cs="Calibri"/>
                <w:color w:val="000000"/>
                <w:w w:val="16"/>
                <w:szCs w:val="20"/>
                <w:shd w:val="solid" w:color="000000" w:fill="000000"/>
                <w:fitText w:val="75" w:id="-1031540984"/>
                <w14:textFill>
                  <w14:solidFill>
                    <w14:srgbClr w14:val="000000">
                      <w14:alpha w14:val="100000"/>
                    </w14:srgbClr>
                  </w14:solidFill>
                </w14:textFill>
              </w:rPr>
              <w:t>|</w:t>
            </w:r>
            <w:r w:rsidR="00B7116A" w:rsidRPr="00B7116A">
              <w:rPr>
                <w:rFonts w:cs="Calibri" w:hint="eastAsia"/>
                <w:color w:val="000000"/>
                <w:spacing w:val="5"/>
                <w:w w:val="16"/>
                <w:szCs w:val="20"/>
                <w:shd w:val="solid" w:color="000000" w:fill="000000"/>
                <w:fitText w:val="75" w:id="-1031540984"/>
                <w14:textFill>
                  <w14:solidFill>
                    <w14:srgbClr w14:val="000000">
                      <w14:alpha w14:val="100000"/>
                    </w14:srgbClr>
                  </w14:solidFill>
                </w14:textFill>
              </w:rPr>
              <w:t xml:space="preserve">　</w:t>
            </w:r>
          </w:p>
        </w:tc>
        <w:tc>
          <w:tcPr>
            <w:tcW w:w="502" w:type="pct"/>
          </w:tcPr>
          <w:p w14:paraId="52FAEB10"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rPr>
                <w:rFonts w:cs="Calibri"/>
                <w:color w:val="auto"/>
                <w:szCs w:val="20"/>
              </w:rPr>
              <w:t>2.77</w:t>
            </w:r>
          </w:p>
        </w:tc>
        <w:tc>
          <w:tcPr>
            <w:tcW w:w="707" w:type="pct"/>
          </w:tcPr>
          <w:p w14:paraId="7F18B1FB" w14:textId="2DB0640B"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color w:val="auto"/>
                <w:szCs w:val="20"/>
              </w:rPr>
              <w:t xml:space="preserve"> </w:t>
            </w:r>
            <w:r w:rsidR="00B7116A" w:rsidRPr="00B7116A">
              <w:rPr>
                <w:rFonts w:cs="Calibri" w:hint="eastAsia"/>
                <w:color w:val="000000"/>
                <w:w w:val="19"/>
                <w:szCs w:val="20"/>
                <w:shd w:val="solid" w:color="000000" w:fill="000000"/>
                <w:fitText w:val="88" w:id="-1031540983"/>
                <w14:textFill>
                  <w14:solidFill>
                    <w14:srgbClr w14:val="000000">
                      <w14:alpha w14:val="100000"/>
                    </w14:srgbClr>
                  </w14:solidFill>
                </w14:textFill>
              </w:rPr>
              <w:t xml:space="preserve">　</w:t>
            </w:r>
            <w:proofErr w:type="gramStart"/>
            <w:r w:rsidR="00B7116A" w:rsidRPr="00B7116A">
              <w:rPr>
                <w:rFonts w:cs="Calibri"/>
                <w:color w:val="000000"/>
                <w:w w:val="19"/>
                <w:szCs w:val="20"/>
                <w:shd w:val="solid" w:color="000000" w:fill="000000"/>
                <w:fitText w:val="88" w:id="-1031540983"/>
                <w14:textFill>
                  <w14:solidFill>
                    <w14:srgbClr w14:val="000000">
                      <w14:alpha w14:val="100000"/>
                    </w14:srgbClr>
                  </w14:solidFill>
                </w14:textFill>
              </w:rPr>
              <w:t>|</w:t>
            </w:r>
            <w:r w:rsidR="00B7116A" w:rsidRPr="00B7116A">
              <w:rPr>
                <w:rFonts w:cs="Calibri" w:hint="eastAsia"/>
                <w:color w:val="000000"/>
                <w:spacing w:val="4"/>
                <w:w w:val="19"/>
                <w:szCs w:val="20"/>
                <w:shd w:val="solid" w:color="000000" w:fill="000000"/>
                <w:fitText w:val="88" w:id="-1031540983"/>
                <w14:textFill>
                  <w14:solidFill>
                    <w14:srgbClr w14:val="000000">
                      <w14:alpha w14:val="100000"/>
                    </w14:srgbClr>
                  </w14:solidFill>
                </w14:textFill>
              </w:rPr>
              <w:t xml:space="preserve">　</w:t>
            </w:r>
            <w:r w:rsidRPr="003C22C5">
              <w:rPr>
                <w:rFonts w:cs="Calibri"/>
                <w:color w:val="auto"/>
                <w:szCs w:val="20"/>
              </w:rPr>
              <w:t xml:space="preserve"> </w:t>
            </w:r>
            <w:r w:rsidR="0051639F">
              <w:rPr>
                <w:rFonts w:cs="Calibri"/>
                <w:szCs w:val="20"/>
                <w:vertAlign w:val="superscript"/>
              </w:rPr>
              <w:t>1</w:t>
            </w:r>
            <w:proofErr w:type="gramEnd"/>
          </w:p>
        </w:tc>
        <w:tc>
          <w:tcPr>
            <w:tcW w:w="601" w:type="pct"/>
          </w:tcPr>
          <w:p w14:paraId="7170DCF9" w14:textId="5C99FFFE"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rPr>
                <w:rFonts w:cs="Calibri"/>
                <w:color w:val="auto"/>
                <w:szCs w:val="20"/>
              </w:rPr>
              <w:t xml:space="preserve"> </w:t>
            </w:r>
            <w:r w:rsidR="00B7116A" w:rsidRPr="00B7116A">
              <w:rPr>
                <w:rFonts w:cs="Calibri"/>
                <w:color w:val="000000"/>
                <w:spacing w:val="114"/>
                <w:szCs w:val="20"/>
                <w:shd w:val="solid" w:color="000000" w:fill="000000"/>
                <w:fitText w:val="200" w:id="-1031540982"/>
                <w14:textFill>
                  <w14:solidFill>
                    <w14:srgbClr w14:val="000000">
                      <w14:alpha w14:val="100000"/>
                    </w14:srgbClr>
                  </w14:solidFill>
                </w14:textFill>
              </w:rPr>
              <w:t>|</w:t>
            </w:r>
            <w:r w:rsidR="00B7116A" w:rsidRPr="00B7116A">
              <w:rPr>
                <w:rFonts w:cs="Calibri"/>
                <w:color w:val="000000"/>
                <w:spacing w:val="1"/>
                <w:szCs w:val="20"/>
                <w:shd w:val="solid" w:color="000000" w:fill="000000"/>
                <w:fitText w:val="200" w:id="-1031540982"/>
                <w14:textFill>
                  <w14:solidFill>
                    <w14:srgbClr w14:val="000000">
                      <w14:alpha w14:val="100000"/>
                    </w14:srgbClr>
                  </w14:solidFill>
                </w14:textFill>
              </w:rPr>
              <w:t>|</w:t>
            </w:r>
            <w:r w:rsidR="009B1B01" w:rsidRPr="00940BEC">
              <w:rPr>
                <w:rFonts w:cs="Calibri"/>
                <w:color w:val="auto"/>
                <w:szCs w:val="20"/>
              </w:rPr>
              <w:t>%</w:t>
            </w:r>
          </w:p>
        </w:tc>
      </w:tr>
      <w:tr w:rsidR="00511CE8" w:rsidRPr="00940BEC" w14:paraId="6010EE9A"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7828A13F" w14:textId="77777777" w:rsidR="009B1B01" w:rsidRPr="00940BEC" w:rsidRDefault="009B1B01" w:rsidP="00C407DD">
            <w:pPr>
              <w:pStyle w:val="TableText0"/>
              <w:keepNext w:val="0"/>
              <w:keepLines/>
            </w:pPr>
            <w:r w:rsidRPr="00940BEC">
              <w:rPr>
                <w:rFonts w:cs="Calibri"/>
                <w:szCs w:val="20"/>
              </w:rPr>
              <w:t>OS, both Weibull (conservative OS)</w:t>
            </w:r>
          </w:p>
        </w:tc>
        <w:tc>
          <w:tcPr>
            <w:tcW w:w="679" w:type="pct"/>
          </w:tcPr>
          <w:p w14:paraId="49BEF31C" w14:textId="6CF3EE09"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81"/>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81"/>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81"/>
                <w14:textFill>
                  <w14:solidFill>
                    <w14:schemeClr w14:val="tx1">
                      <w14:alpha w14:val="100000"/>
                    </w14:schemeClr>
                  </w14:solidFill>
                </w14:textFill>
              </w:rPr>
              <w:t xml:space="preserve">　</w:t>
            </w:r>
          </w:p>
        </w:tc>
        <w:tc>
          <w:tcPr>
            <w:tcW w:w="502" w:type="pct"/>
          </w:tcPr>
          <w:p w14:paraId="3D815183"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rPr>
                <w:rFonts w:cs="Calibri"/>
                <w:szCs w:val="20"/>
              </w:rPr>
              <w:t>2.61</w:t>
            </w:r>
          </w:p>
        </w:tc>
        <w:tc>
          <w:tcPr>
            <w:tcW w:w="707" w:type="pct"/>
          </w:tcPr>
          <w:p w14:paraId="2520EE5A" w14:textId="09C0CBF4"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80"/>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80"/>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80"/>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1</w:t>
            </w:r>
            <w:proofErr w:type="gramEnd"/>
          </w:p>
        </w:tc>
        <w:tc>
          <w:tcPr>
            <w:tcW w:w="601" w:type="pct"/>
          </w:tcPr>
          <w:p w14:paraId="7B64AB6A" w14:textId="097282E2"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rPr>
                <w:rFonts w:cs="Calibri"/>
                <w:szCs w:val="20"/>
              </w:rPr>
              <w:t xml:space="preserve"> </w:t>
            </w:r>
            <w:r w:rsidR="00B7116A" w:rsidRPr="00B7116A">
              <w:rPr>
                <w:rFonts w:cs="Calibri"/>
                <w:spacing w:val="114"/>
                <w:szCs w:val="20"/>
                <w:shd w:val="solid" w:color="000000" w:fill="000000"/>
                <w:fitText w:val="200" w:id="-1031540979"/>
                <w14:textFill>
                  <w14:solidFill>
                    <w14:schemeClr w14:val="tx1">
                      <w14:alpha w14:val="100000"/>
                    </w14:schemeClr>
                  </w14:solidFill>
                </w14:textFill>
              </w:rPr>
              <w:t>|</w:t>
            </w:r>
            <w:r w:rsidR="00B7116A" w:rsidRPr="00B7116A">
              <w:rPr>
                <w:rFonts w:cs="Calibri"/>
                <w:spacing w:val="1"/>
                <w:szCs w:val="20"/>
                <w:shd w:val="solid" w:color="000000" w:fill="000000"/>
                <w:fitText w:val="200" w:id="-1031540979"/>
                <w14:textFill>
                  <w14:solidFill>
                    <w14:schemeClr w14:val="tx1">
                      <w14:alpha w14:val="100000"/>
                    </w14:schemeClr>
                  </w14:solidFill>
                </w14:textFill>
              </w:rPr>
              <w:t>|</w:t>
            </w:r>
            <w:r w:rsidR="009B1B01" w:rsidRPr="00940BEC">
              <w:rPr>
                <w:rFonts w:cs="Calibri"/>
                <w:szCs w:val="20"/>
              </w:rPr>
              <w:t>%</w:t>
            </w:r>
          </w:p>
        </w:tc>
      </w:tr>
      <w:tr w:rsidR="009B1B01" w:rsidRPr="00940BEC" w14:paraId="00C7EF4B" w14:textId="77777777" w:rsidTr="00511CE8">
        <w:trPr>
          <w:trHeight w:val="42"/>
        </w:trPr>
        <w:tc>
          <w:tcPr>
            <w:cnfStyle w:val="001000000000" w:firstRow="0" w:lastRow="0" w:firstColumn="1" w:lastColumn="0" w:oddVBand="0" w:evenVBand="0" w:oddHBand="0" w:evenHBand="0" w:firstRowFirstColumn="0" w:firstRowLastColumn="0" w:lastRowFirstColumn="0" w:lastRowLastColumn="0"/>
            <w:tcW w:w="5000" w:type="pct"/>
            <w:gridSpan w:val="5"/>
          </w:tcPr>
          <w:p w14:paraId="5C1DDD84" w14:textId="77777777" w:rsidR="009B1B01" w:rsidRPr="00940BEC" w:rsidRDefault="009B1B01" w:rsidP="00C407DD">
            <w:pPr>
              <w:pStyle w:val="TableText0"/>
              <w:keepNext w:val="0"/>
              <w:keepLines/>
              <w:rPr>
                <w:rFonts w:eastAsia="Calibri"/>
                <w:b/>
                <w:bCs w:val="0"/>
                <w:szCs w:val="20"/>
              </w:rPr>
            </w:pPr>
            <w:r w:rsidRPr="00940BEC">
              <w:rPr>
                <w:rFonts w:cs="Calibri"/>
                <w:b/>
                <w:szCs w:val="20"/>
              </w:rPr>
              <w:t>Utilities (base case PF: 0.82, PD: 0.78)</w:t>
            </w:r>
          </w:p>
        </w:tc>
      </w:tr>
      <w:tr w:rsidR="00511CE8" w:rsidRPr="00940BEC" w14:paraId="00B57667"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1133B7A9" w14:textId="77777777" w:rsidR="009B1B01" w:rsidRPr="00940BEC" w:rsidRDefault="009B1B01" w:rsidP="00C407DD">
            <w:pPr>
              <w:pStyle w:val="TableText0"/>
              <w:keepNext w:val="0"/>
              <w:keepLines/>
              <w:rPr>
                <w:b/>
                <w:bCs w:val="0"/>
              </w:rPr>
            </w:pPr>
            <w:r w:rsidRPr="00940BEC">
              <w:rPr>
                <w:rFonts w:cs="Calibri"/>
                <w:szCs w:val="20"/>
              </w:rPr>
              <w:t>PROpel utilities (Lower 95% CI) PF: 0.803, PD: 0.778</w:t>
            </w:r>
          </w:p>
        </w:tc>
        <w:tc>
          <w:tcPr>
            <w:tcW w:w="679" w:type="pct"/>
          </w:tcPr>
          <w:p w14:paraId="081996B5" w14:textId="093E4AF1"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78"/>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78"/>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78"/>
                <w14:textFill>
                  <w14:solidFill>
                    <w14:schemeClr w14:val="tx1">
                      <w14:alpha w14:val="100000"/>
                    </w14:schemeClr>
                  </w14:solidFill>
                </w14:textFill>
              </w:rPr>
              <w:t xml:space="preserve">　</w:t>
            </w:r>
          </w:p>
        </w:tc>
        <w:tc>
          <w:tcPr>
            <w:tcW w:w="502" w:type="pct"/>
          </w:tcPr>
          <w:p w14:paraId="58B7413B"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r w:rsidRPr="00940BEC">
              <w:rPr>
                <w:rFonts w:cs="Calibri"/>
                <w:szCs w:val="20"/>
              </w:rPr>
              <w:t>2.76</w:t>
            </w:r>
          </w:p>
        </w:tc>
        <w:tc>
          <w:tcPr>
            <w:tcW w:w="707" w:type="pct"/>
          </w:tcPr>
          <w:p w14:paraId="094E61B8" w14:textId="51941DFA"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77"/>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77"/>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77"/>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1</w:t>
            </w:r>
            <w:proofErr w:type="gramEnd"/>
          </w:p>
        </w:tc>
        <w:tc>
          <w:tcPr>
            <w:tcW w:w="601" w:type="pct"/>
          </w:tcPr>
          <w:p w14:paraId="1F079395" w14:textId="70112DF5"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r w:rsidRPr="003C22C5">
              <w:rPr>
                <w:rFonts w:cs="Calibri"/>
                <w:szCs w:val="20"/>
              </w:rPr>
              <w:t xml:space="preserve"> </w:t>
            </w:r>
            <w:r w:rsidR="00B7116A" w:rsidRPr="00B7116A">
              <w:rPr>
                <w:rFonts w:cs="Calibri"/>
                <w:spacing w:val="114"/>
                <w:szCs w:val="20"/>
                <w:shd w:val="solid" w:color="000000" w:fill="000000"/>
                <w:fitText w:val="200" w:id="-1031540976"/>
                <w14:textFill>
                  <w14:solidFill>
                    <w14:schemeClr w14:val="tx1">
                      <w14:alpha w14:val="100000"/>
                    </w14:schemeClr>
                  </w14:solidFill>
                </w14:textFill>
              </w:rPr>
              <w:t>|</w:t>
            </w:r>
            <w:r w:rsidR="00B7116A" w:rsidRPr="00B7116A">
              <w:rPr>
                <w:rFonts w:cs="Calibri"/>
                <w:spacing w:val="1"/>
                <w:szCs w:val="20"/>
                <w:shd w:val="solid" w:color="000000" w:fill="000000"/>
                <w:fitText w:val="200" w:id="-1031540976"/>
                <w14:textFill>
                  <w14:solidFill>
                    <w14:schemeClr w14:val="tx1">
                      <w14:alpha w14:val="100000"/>
                    </w14:schemeClr>
                  </w14:solidFill>
                </w14:textFill>
              </w:rPr>
              <w:t>|</w:t>
            </w:r>
            <w:r w:rsidR="009B1B01" w:rsidRPr="00940BEC">
              <w:rPr>
                <w:rFonts w:cs="Calibri"/>
                <w:szCs w:val="20"/>
              </w:rPr>
              <w:t>%</w:t>
            </w:r>
          </w:p>
        </w:tc>
      </w:tr>
      <w:tr w:rsidR="00511CE8" w:rsidRPr="00940BEC" w14:paraId="1AF9C479"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Borders>
              <w:bottom w:val="single" w:sz="4" w:space="0" w:color="auto"/>
            </w:tcBorders>
          </w:tcPr>
          <w:p w14:paraId="4C8BF488" w14:textId="77777777" w:rsidR="009B1B01" w:rsidRPr="00940BEC" w:rsidRDefault="009B1B01" w:rsidP="00C407DD">
            <w:pPr>
              <w:pStyle w:val="TableText0"/>
              <w:keepNext w:val="0"/>
              <w:keepLines/>
              <w:rPr>
                <w:b/>
                <w:bCs w:val="0"/>
              </w:rPr>
            </w:pPr>
            <w:r w:rsidRPr="00940BEC">
              <w:rPr>
                <w:rFonts w:cs="Calibri"/>
                <w:szCs w:val="20"/>
              </w:rPr>
              <w:t>PROfound pre-progression utility (0.73), for model’s PD state</w:t>
            </w:r>
          </w:p>
        </w:tc>
        <w:tc>
          <w:tcPr>
            <w:tcW w:w="679" w:type="pct"/>
            <w:tcBorders>
              <w:bottom w:val="single" w:sz="4" w:space="0" w:color="auto"/>
            </w:tcBorders>
          </w:tcPr>
          <w:p w14:paraId="3030D834" w14:textId="088765BA"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92"/>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92"/>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92"/>
                <w14:textFill>
                  <w14:solidFill>
                    <w14:schemeClr w14:val="tx1">
                      <w14:alpha w14:val="100000"/>
                    </w14:schemeClr>
                  </w14:solidFill>
                </w14:textFill>
              </w:rPr>
              <w:t xml:space="preserve">　</w:t>
            </w:r>
          </w:p>
        </w:tc>
        <w:tc>
          <w:tcPr>
            <w:tcW w:w="502" w:type="pct"/>
            <w:tcBorders>
              <w:bottom w:val="single" w:sz="4" w:space="0" w:color="auto"/>
            </w:tcBorders>
          </w:tcPr>
          <w:p w14:paraId="5CE31D2E"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r w:rsidRPr="00940BEC">
              <w:rPr>
                <w:rFonts w:cs="Calibri"/>
                <w:szCs w:val="20"/>
              </w:rPr>
              <w:t>2.76</w:t>
            </w:r>
          </w:p>
        </w:tc>
        <w:tc>
          <w:tcPr>
            <w:tcW w:w="707" w:type="pct"/>
            <w:tcBorders>
              <w:bottom w:val="single" w:sz="4" w:space="0" w:color="auto"/>
            </w:tcBorders>
          </w:tcPr>
          <w:p w14:paraId="0FE342D5" w14:textId="4DFA075E"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91"/>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91"/>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91"/>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1</w:t>
            </w:r>
            <w:proofErr w:type="gramEnd"/>
          </w:p>
        </w:tc>
        <w:tc>
          <w:tcPr>
            <w:tcW w:w="601" w:type="pct"/>
            <w:tcBorders>
              <w:bottom w:val="single" w:sz="4" w:space="0" w:color="auto"/>
            </w:tcBorders>
          </w:tcPr>
          <w:p w14:paraId="1C87A60B" w14:textId="2F2ADDD9"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r w:rsidRPr="003C22C5">
              <w:rPr>
                <w:rFonts w:cs="Calibri"/>
                <w:szCs w:val="20"/>
              </w:rPr>
              <w:t xml:space="preserve"> </w:t>
            </w:r>
            <w:r w:rsidR="00B7116A" w:rsidRPr="00B7116A">
              <w:rPr>
                <w:rFonts w:cs="Calibri"/>
                <w:spacing w:val="114"/>
                <w:szCs w:val="20"/>
                <w:shd w:val="solid" w:color="000000" w:fill="000000"/>
                <w:fitText w:val="200" w:id="-1031540990"/>
                <w14:textFill>
                  <w14:solidFill>
                    <w14:schemeClr w14:val="tx1">
                      <w14:alpha w14:val="100000"/>
                    </w14:schemeClr>
                  </w14:solidFill>
                </w14:textFill>
              </w:rPr>
              <w:t>|</w:t>
            </w:r>
            <w:r w:rsidR="00B7116A" w:rsidRPr="00B7116A">
              <w:rPr>
                <w:rFonts w:cs="Calibri"/>
                <w:spacing w:val="1"/>
                <w:szCs w:val="20"/>
                <w:shd w:val="solid" w:color="000000" w:fill="000000"/>
                <w:fitText w:val="200" w:id="-1031540990"/>
                <w14:textFill>
                  <w14:solidFill>
                    <w14:schemeClr w14:val="tx1">
                      <w14:alpha w14:val="100000"/>
                    </w14:schemeClr>
                  </w14:solidFill>
                </w14:textFill>
              </w:rPr>
              <w:t>|</w:t>
            </w:r>
            <w:r w:rsidR="009B1B01" w:rsidRPr="00940BEC">
              <w:rPr>
                <w:rFonts w:cs="Calibri"/>
                <w:szCs w:val="20"/>
              </w:rPr>
              <w:t>%</w:t>
            </w:r>
          </w:p>
        </w:tc>
      </w:tr>
      <w:tr w:rsidR="00511CE8" w:rsidRPr="00940BEC" w14:paraId="24822ED7"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Borders>
              <w:right w:val="nil"/>
            </w:tcBorders>
          </w:tcPr>
          <w:p w14:paraId="7AF30C94" w14:textId="4B8C6612" w:rsidR="009B1B01" w:rsidRPr="00940BEC" w:rsidRDefault="009B1B01" w:rsidP="00C407DD">
            <w:pPr>
              <w:pStyle w:val="TableText0"/>
              <w:keepNext w:val="0"/>
              <w:keepLines/>
              <w:rPr>
                <w:b/>
                <w:bCs w:val="0"/>
              </w:rPr>
            </w:pPr>
            <w:r w:rsidRPr="00940BEC">
              <w:rPr>
                <w:b/>
                <w:bCs w:val="0"/>
              </w:rPr>
              <w:t xml:space="preserve">Olaparib cost (base case DPMQ: </w:t>
            </w:r>
            <w:r w:rsidRPr="00463691">
              <w:rPr>
                <w:b/>
                <w:bCs w:val="0"/>
              </w:rPr>
              <w:t>$</w:t>
            </w:r>
            <w:r w:rsidR="003C22C5" w:rsidRPr="003C22C5">
              <w:rPr>
                <w:b/>
                <w:bCs w:val="0"/>
              </w:rPr>
              <w:t xml:space="preserve"> </w:t>
            </w:r>
            <w:r w:rsidR="00B7116A" w:rsidRPr="00B7116A">
              <w:rPr>
                <w:b/>
                <w:bCs w:val="0"/>
                <w:spacing w:val="55"/>
                <w:shd w:val="solid" w:color="000000" w:fill="000000"/>
                <w:fitText w:val="350" w:id="-1031540989"/>
                <w14:textFill>
                  <w14:solidFill>
                    <w14:schemeClr w14:val="tx1">
                      <w14:alpha w14:val="100000"/>
                    </w14:schemeClr>
                  </w14:solidFill>
                </w14:textFill>
              </w:rPr>
              <w:t>|||</w:t>
            </w:r>
            <w:r w:rsidR="00B7116A" w:rsidRPr="00B7116A">
              <w:rPr>
                <w:b/>
                <w:bCs w:val="0"/>
                <w:spacing w:val="2"/>
                <w:shd w:val="solid" w:color="000000" w:fill="000000"/>
                <w:fitText w:val="350" w:id="-1031540989"/>
                <w14:textFill>
                  <w14:solidFill>
                    <w14:schemeClr w14:val="tx1">
                      <w14:alpha w14:val="100000"/>
                    </w14:schemeClr>
                  </w14:solidFill>
                </w14:textFill>
              </w:rPr>
              <w:t>|</w:t>
            </w:r>
            <w:r w:rsidRPr="00940BEC">
              <w:rPr>
                <w:b/>
                <w:bCs w:val="0"/>
              </w:rPr>
              <w:t>)</w:t>
            </w:r>
          </w:p>
        </w:tc>
        <w:tc>
          <w:tcPr>
            <w:tcW w:w="679" w:type="pct"/>
            <w:tcBorders>
              <w:left w:val="nil"/>
              <w:right w:val="nil"/>
            </w:tcBorders>
          </w:tcPr>
          <w:p w14:paraId="59367390"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p>
        </w:tc>
        <w:tc>
          <w:tcPr>
            <w:tcW w:w="502" w:type="pct"/>
            <w:tcBorders>
              <w:left w:val="nil"/>
              <w:right w:val="nil"/>
            </w:tcBorders>
          </w:tcPr>
          <w:p w14:paraId="18FC4770"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p>
        </w:tc>
        <w:tc>
          <w:tcPr>
            <w:tcW w:w="707" w:type="pct"/>
            <w:tcBorders>
              <w:left w:val="nil"/>
              <w:right w:val="nil"/>
            </w:tcBorders>
          </w:tcPr>
          <w:p w14:paraId="214D4B49"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p>
        </w:tc>
        <w:tc>
          <w:tcPr>
            <w:tcW w:w="601" w:type="pct"/>
            <w:tcBorders>
              <w:left w:val="nil"/>
            </w:tcBorders>
          </w:tcPr>
          <w:p w14:paraId="2D4E00D1"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eastAsia="Calibri"/>
                <w:b/>
                <w:bCs w:val="0"/>
                <w:szCs w:val="20"/>
              </w:rPr>
            </w:pPr>
          </w:p>
        </w:tc>
      </w:tr>
      <w:tr w:rsidR="00511CE8" w:rsidRPr="00940BEC" w14:paraId="233F54B9"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314BAA93" w14:textId="2D06AAB3" w:rsidR="009B1B01" w:rsidRPr="00940BEC" w:rsidRDefault="009B1B01" w:rsidP="00C407DD">
            <w:pPr>
              <w:pStyle w:val="TableText0"/>
              <w:keepNext w:val="0"/>
              <w:keepLines/>
            </w:pPr>
            <w:r w:rsidRPr="00940BEC">
              <w:t>Corrected DPMQ: $</w:t>
            </w:r>
            <w:r w:rsidR="003C22C5" w:rsidRPr="003C22C5">
              <w:t xml:space="preserve"> </w:t>
            </w:r>
            <w:r w:rsidR="00B7116A" w:rsidRPr="00B7116A">
              <w:rPr>
                <w:spacing w:val="55"/>
                <w:shd w:val="solid" w:color="000000" w:fill="000000"/>
                <w:fitText w:val="338" w:id="-1031540988"/>
                <w14:textFill>
                  <w14:solidFill>
                    <w14:schemeClr w14:val="tx1">
                      <w14:alpha w14:val="100000"/>
                    </w14:schemeClr>
                  </w14:solidFill>
                </w14:textFill>
              </w:rPr>
              <w:t>|||</w:t>
            </w:r>
            <w:r w:rsidR="00B7116A" w:rsidRPr="00B7116A">
              <w:rPr>
                <w:spacing w:val="3"/>
                <w:shd w:val="solid" w:color="000000" w:fill="000000"/>
                <w:fitText w:val="338" w:id="-1031540988"/>
                <w14:textFill>
                  <w14:solidFill>
                    <w14:schemeClr w14:val="tx1">
                      <w14:alpha w14:val="100000"/>
                    </w14:schemeClr>
                  </w14:solidFill>
                </w14:textFill>
              </w:rPr>
              <w:t>|</w:t>
            </w:r>
          </w:p>
        </w:tc>
        <w:tc>
          <w:tcPr>
            <w:tcW w:w="679" w:type="pct"/>
          </w:tcPr>
          <w:p w14:paraId="3EDB9348" w14:textId="0D0C4C70"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rFonts w:hint="eastAsia"/>
                <w:w w:val="16"/>
                <w:shd w:val="solid" w:color="000000" w:fill="000000"/>
                <w:fitText w:val="75" w:id="-1031540987"/>
                <w14:textFill>
                  <w14:solidFill>
                    <w14:schemeClr w14:val="tx1">
                      <w14:alpha w14:val="100000"/>
                    </w14:schemeClr>
                  </w14:solidFill>
                </w14:textFill>
              </w:rPr>
              <w:t xml:space="preserve">　</w:t>
            </w:r>
            <w:r w:rsidR="00B7116A" w:rsidRPr="00B7116A">
              <w:rPr>
                <w:w w:val="16"/>
                <w:shd w:val="solid" w:color="000000" w:fill="000000"/>
                <w:fitText w:val="75" w:id="-1031540987"/>
                <w14:textFill>
                  <w14:solidFill>
                    <w14:schemeClr w14:val="tx1">
                      <w14:alpha w14:val="100000"/>
                    </w14:schemeClr>
                  </w14:solidFill>
                </w14:textFill>
              </w:rPr>
              <w:t>|</w:t>
            </w:r>
            <w:r w:rsidR="00B7116A" w:rsidRPr="00B7116A">
              <w:rPr>
                <w:rFonts w:hint="eastAsia"/>
                <w:spacing w:val="5"/>
                <w:w w:val="16"/>
                <w:shd w:val="solid" w:color="000000" w:fill="000000"/>
                <w:fitText w:val="75" w:id="-1031540987"/>
                <w14:textFill>
                  <w14:solidFill>
                    <w14:schemeClr w14:val="tx1">
                      <w14:alpha w14:val="100000"/>
                    </w14:schemeClr>
                  </w14:solidFill>
                </w14:textFill>
              </w:rPr>
              <w:t xml:space="preserve">　</w:t>
            </w:r>
          </w:p>
        </w:tc>
        <w:tc>
          <w:tcPr>
            <w:tcW w:w="502" w:type="pct"/>
          </w:tcPr>
          <w:p w14:paraId="08AE0EBF"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t>2.79</w:t>
            </w:r>
          </w:p>
        </w:tc>
        <w:tc>
          <w:tcPr>
            <w:tcW w:w="707" w:type="pct"/>
          </w:tcPr>
          <w:p w14:paraId="187863D8" w14:textId="0F0A1672" w:rsidR="009B1B01" w:rsidRPr="00940BEC"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rFonts w:hint="eastAsia"/>
                <w:w w:val="19"/>
                <w:shd w:val="solid" w:color="000000" w:fill="000000"/>
                <w:fitText w:val="88" w:id="-1031540986"/>
                <w14:textFill>
                  <w14:solidFill>
                    <w14:schemeClr w14:val="tx1">
                      <w14:alpha w14:val="100000"/>
                    </w14:schemeClr>
                  </w14:solidFill>
                </w14:textFill>
              </w:rPr>
              <w:t xml:space="preserve">　</w:t>
            </w:r>
            <w:proofErr w:type="gramStart"/>
            <w:r w:rsidR="00B7116A" w:rsidRPr="00B7116A">
              <w:rPr>
                <w:w w:val="19"/>
                <w:shd w:val="solid" w:color="000000" w:fill="000000"/>
                <w:fitText w:val="88" w:id="-1031540986"/>
                <w14:textFill>
                  <w14:solidFill>
                    <w14:schemeClr w14:val="tx1">
                      <w14:alpha w14:val="100000"/>
                    </w14:schemeClr>
                  </w14:solidFill>
                </w14:textFill>
              </w:rPr>
              <w:t>|</w:t>
            </w:r>
            <w:r w:rsidR="00B7116A" w:rsidRPr="00B7116A">
              <w:rPr>
                <w:rFonts w:hint="eastAsia"/>
                <w:spacing w:val="4"/>
                <w:w w:val="19"/>
                <w:shd w:val="solid" w:color="000000" w:fill="000000"/>
                <w:fitText w:val="88" w:id="-1031540986"/>
                <w14:textFill>
                  <w14:solidFill>
                    <w14:schemeClr w14:val="tx1">
                      <w14:alpha w14:val="100000"/>
                    </w14:schemeClr>
                  </w14:solidFill>
                </w14:textFill>
              </w:rPr>
              <w:t xml:space="preserve">　</w:t>
            </w:r>
            <w:r w:rsidR="00EE4C20">
              <w:t xml:space="preserve"> </w:t>
            </w:r>
            <w:r w:rsidR="0051639F">
              <w:rPr>
                <w:rFonts w:cs="Calibri"/>
                <w:szCs w:val="20"/>
                <w:vertAlign w:val="superscript"/>
              </w:rPr>
              <w:t>1</w:t>
            </w:r>
            <w:proofErr w:type="gramEnd"/>
          </w:p>
        </w:tc>
        <w:tc>
          <w:tcPr>
            <w:tcW w:w="601" w:type="pct"/>
          </w:tcPr>
          <w:p w14:paraId="5D9B209F" w14:textId="5025C84A"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t>-</w:t>
            </w:r>
            <w:r w:rsidR="003C22C5" w:rsidRPr="003C22C5">
              <w:t xml:space="preserve"> </w:t>
            </w:r>
            <w:r w:rsidR="00B7116A" w:rsidRPr="00B7116A">
              <w:rPr>
                <w:spacing w:val="55"/>
                <w:shd w:val="solid" w:color="000000" w:fill="000000"/>
                <w:fitText w:val="238" w:id="-1031540985"/>
                <w14:textFill>
                  <w14:solidFill>
                    <w14:schemeClr w14:val="tx1">
                      <w14:alpha w14:val="100000"/>
                    </w14:schemeClr>
                  </w14:solidFill>
                </w14:textFill>
              </w:rPr>
              <w:t>||</w:t>
            </w:r>
            <w:r w:rsidR="00B7116A" w:rsidRPr="00B7116A">
              <w:rPr>
                <w:spacing w:val="1"/>
                <w:shd w:val="solid" w:color="000000" w:fill="000000"/>
                <w:fitText w:val="238" w:id="-1031540985"/>
                <w14:textFill>
                  <w14:solidFill>
                    <w14:schemeClr w14:val="tx1">
                      <w14:alpha w14:val="100000"/>
                    </w14:schemeClr>
                  </w14:solidFill>
                </w14:textFill>
              </w:rPr>
              <w:t>|</w:t>
            </w:r>
            <w:r w:rsidRPr="00940BEC">
              <w:t>%</w:t>
            </w:r>
          </w:p>
        </w:tc>
      </w:tr>
      <w:tr w:rsidR="006A7B62" w:rsidRPr="00940BEC" w14:paraId="7F6BF3E3" w14:textId="77777777" w:rsidTr="006A7B62">
        <w:trPr>
          <w:trHeight w:val="179"/>
        </w:trPr>
        <w:tc>
          <w:tcPr>
            <w:cnfStyle w:val="001000000000" w:firstRow="0" w:lastRow="0" w:firstColumn="1" w:lastColumn="0" w:oddVBand="0" w:evenVBand="0" w:oddHBand="0" w:evenHBand="0" w:firstRowFirstColumn="0" w:firstRowLastColumn="0" w:lastRowFirstColumn="0" w:lastRowLastColumn="0"/>
            <w:tcW w:w="5000" w:type="pct"/>
            <w:gridSpan w:val="5"/>
          </w:tcPr>
          <w:p w14:paraId="0B420950" w14:textId="491F095E" w:rsidR="006A7B62" w:rsidRPr="00940BEC" w:rsidRDefault="006A7B62" w:rsidP="00C407DD">
            <w:pPr>
              <w:pStyle w:val="TableText0"/>
              <w:keepNext w:val="0"/>
              <w:keepLines/>
            </w:pPr>
            <w:r w:rsidRPr="00940BEC">
              <w:rPr>
                <w:b/>
              </w:rPr>
              <w:t>Abiraterone cost (base case assumed the 5% 10-year anniversary price reduction)</w:t>
            </w:r>
          </w:p>
        </w:tc>
      </w:tr>
      <w:tr w:rsidR="00C63A7D" w:rsidRPr="00940BEC" w14:paraId="664D5F2D" w14:textId="77777777" w:rsidTr="006D17A4">
        <w:trPr>
          <w:trHeight w:val="179"/>
        </w:trPr>
        <w:tc>
          <w:tcPr>
            <w:cnfStyle w:val="001000000000" w:firstRow="0" w:lastRow="0" w:firstColumn="1" w:lastColumn="0" w:oddVBand="0" w:evenVBand="0" w:oddHBand="0" w:evenHBand="0" w:firstRowFirstColumn="0" w:firstRowLastColumn="0" w:lastRowFirstColumn="0" w:lastRowLastColumn="0"/>
            <w:tcW w:w="2510" w:type="pct"/>
          </w:tcPr>
          <w:p w14:paraId="46EFFDC6" w14:textId="420C1D9D" w:rsidR="00C63A7D" w:rsidRPr="00940BEC" w:rsidRDefault="00C63A7D" w:rsidP="00C63A7D">
            <w:pPr>
              <w:pStyle w:val="TableText0"/>
              <w:keepNext w:val="0"/>
              <w:keepLines/>
            </w:pPr>
            <w:r w:rsidRPr="00940BEC">
              <w:t>Abiraterone cost (removed 5% 10</w:t>
            </w:r>
            <w:r w:rsidR="007E324F" w:rsidRPr="00940BEC">
              <w:t xml:space="preserve"> </w:t>
            </w:r>
            <w:r w:rsidRPr="00940BEC">
              <w:t>y</w:t>
            </w:r>
            <w:r w:rsidR="007E324F" w:rsidRPr="00940BEC">
              <w:t>r</w:t>
            </w:r>
            <w:r w:rsidRPr="00940BEC">
              <w:t xml:space="preserve"> anniversary reduction)</w:t>
            </w:r>
          </w:p>
        </w:tc>
        <w:tc>
          <w:tcPr>
            <w:tcW w:w="679" w:type="pct"/>
            <w:vAlign w:val="top"/>
          </w:tcPr>
          <w:p w14:paraId="7FE7750F" w14:textId="3D0E59BD" w:rsidR="00C63A7D" w:rsidRPr="00940BEC" w:rsidRDefault="003C22C5" w:rsidP="00C63A7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rFonts w:hint="eastAsia"/>
                <w:w w:val="16"/>
                <w:shd w:val="solid" w:color="000000" w:fill="000000"/>
                <w:fitText w:val="75" w:id="-1031540984"/>
                <w14:textFill>
                  <w14:solidFill>
                    <w14:schemeClr w14:val="tx1">
                      <w14:alpha w14:val="100000"/>
                    </w14:schemeClr>
                  </w14:solidFill>
                </w14:textFill>
              </w:rPr>
              <w:t xml:space="preserve">　</w:t>
            </w:r>
            <w:r w:rsidR="00B7116A" w:rsidRPr="00B7116A">
              <w:rPr>
                <w:w w:val="16"/>
                <w:shd w:val="solid" w:color="000000" w:fill="000000"/>
                <w:fitText w:val="75" w:id="-1031540984"/>
                <w14:textFill>
                  <w14:solidFill>
                    <w14:schemeClr w14:val="tx1">
                      <w14:alpha w14:val="100000"/>
                    </w14:schemeClr>
                  </w14:solidFill>
                </w14:textFill>
              </w:rPr>
              <w:t>|</w:t>
            </w:r>
            <w:r w:rsidR="00B7116A" w:rsidRPr="00B7116A">
              <w:rPr>
                <w:rFonts w:hint="eastAsia"/>
                <w:spacing w:val="5"/>
                <w:w w:val="16"/>
                <w:shd w:val="solid" w:color="000000" w:fill="000000"/>
                <w:fitText w:val="75" w:id="-1031540984"/>
                <w14:textFill>
                  <w14:solidFill>
                    <w14:schemeClr w14:val="tx1">
                      <w14:alpha w14:val="100000"/>
                    </w14:schemeClr>
                  </w14:solidFill>
                </w14:textFill>
              </w:rPr>
              <w:t xml:space="preserve">　</w:t>
            </w:r>
          </w:p>
        </w:tc>
        <w:tc>
          <w:tcPr>
            <w:tcW w:w="502" w:type="pct"/>
            <w:vAlign w:val="top"/>
          </w:tcPr>
          <w:p w14:paraId="6D82C25F" w14:textId="2C42EC9C" w:rsidR="00C63A7D" w:rsidRPr="00940BEC" w:rsidRDefault="00C63A7D" w:rsidP="00C63A7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t>2.79</w:t>
            </w:r>
          </w:p>
        </w:tc>
        <w:tc>
          <w:tcPr>
            <w:tcW w:w="707" w:type="pct"/>
            <w:vAlign w:val="top"/>
          </w:tcPr>
          <w:p w14:paraId="4C67B584" w14:textId="01968BD1" w:rsidR="00C63A7D" w:rsidRPr="00940BEC" w:rsidRDefault="003C22C5" w:rsidP="00C63A7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rFonts w:hint="eastAsia"/>
                <w:w w:val="19"/>
                <w:shd w:val="solid" w:color="000000" w:fill="000000"/>
                <w:fitText w:val="88" w:id="-1031540983"/>
                <w14:textFill>
                  <w14:solidFill>
                    <w14:schemeClr w14:val="tx1">
                      <w14:alpha w14:val="100000"/>
                    </w14:schemeClr>
                  </w14:solidFill>
                </w14:textFill>
              </w:rPr>
              <w:t xml:space="preserve">　</w:t>
            </w:r>
            <w:proofErr w:type="gramStart"/>
            <w:r w:rsidR="00B7116A" w:rsidRPr="00B7116A">
              <w:rPr>
                <w:w w:val="19"/>
                <w:shd w:val="solid" w:color="000000" w:fill="000000"/>
                <w:fitText w:val="88" w:id="-1031540983"/>
                <w14:textFill>
                  <w14:solidFill>
                    <w14:schemeClr w14:val="tx1">
                      <w14:alpha w14:val="100000"/>
                    </w14:schemeClr>
                  </w14:solidFill>
                </w14:textFill>
              </w:rPr>
              <w:t>|</w:t>
            </w:r>
            <w:r w:rsidR="00B7116A" w:rsidRPr="00B7116A">
              <w:rPr>
                <w:rFonts w:hint="eastAsia"/>
                <w:spacing w:val="4"/>
                <w:w w:val="19"/>
                <w:shd w:val="solid" w:color="000000" w:fill="000000"/>
                <w:fitText w:val="88" w:id="-1031540983"/>
                <w14:textFill>
                  <w14:solidFill>
                    <w14:schemeClr w14:val="tx1">
                      <w14:alpha w14:val="100000"/>
                    </w14:schemeClr>
                  </w14:solidFill>
                </w14:textFill>
              </w:rPr>
              <w:t xml:space="preserve">　</w:t>
            </w:r>
            <w:r w:rsidR="00EE4C20">
              <w:t xml:space="preserve"> </w:t>
            </w:r>
            <w:r w:rsidR="0051639F">
              <w:rPr>
                <w:rFonts w:cs="Calibri"/>
                <w:szCs w:val="20"/>
                <w:vertAlign w:val="superscript"/>
              </w:rPr>
              <w:t>1</w:t>
            </w:r>
            <w:proofErr w:type="gramEnd"/>
          </w:p>
        </w:tc>
        <w:tc>
          <w:tcPr>
            <w:tcW w:w="601" w:type="pct"/>
            <w:vAlign w:val="top"/>
          </w:tcPr>
          <w:p w14:paraId="41AB5E4C" w14:textId="3DB32B3A" w:rsidR="00C63A7D" w:rsidRPr="00940BEC" w:rsidRDefault="003C22C5" w:rsidP="00C63A7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3C22C5">
              <w:t xml:space="preserve"> </w:t>
            </w:r>
            <w:r w:rsidR="00B7116A" w:rsidRPr="00B7116A">
              <w:rPr>
                <w:spacing w:val="114"/>
                <w:shd w:val="solid" w:color="000000" w:fill="000000"/>
                <w:fitText w:val="200" w:id="-1031540982"/>
                <w14:textFill>
                  <w14:solidFill>
                    <w14:schemeClr w14:val="tx1">
                      <w14:alpha w14:val="100000"/>
                    </w14:schemeClr>
                  </w14:solidFill>
                </w14:textFill>
              </w:rPr>
              <w:t>|</w:t>
            </w:r>
            <w:r w:rsidR="00B7116A" w:rsidRPr="00B7116A">
              <w:rPr>
                <w:spacing w:val="1"/>
                <w:shd w:val="solid" w:color="000000" w:fill="000000"/>
                <w:fitText w:val="200" w:id="-1031540982"/>
                <w14:textFill>
                  <w14:solidFill>
                    <w14:schemeClr w14:val="tx1">
                      <w14:alpha w14:val="100000"/>
                    </w14:schemeClr>
                  </w14:solidFill>
                </w14:textFill>
              </w:rPr>
              <w:t>|</w:t>
            </w:r>
            <w:r w:rsidR="00C63A7D" w:rsidRPr="00940BEC">
              <w:t>%</w:t>
            </w:r>
          </w:p>
        </w:tc>
      </w:tr>
      <w:tr w:rsidR="009B1B01" w:rsidRPr="00940BEC" w14:paraId="2D57C912" w14:textId="77777777" w:rsidTr="00511CE8">
        <w:trPr>
          <w:trHeight w:val="42"/>
        </w:trPr>
        <w:tc>
          <w:tcPr>
            <w:cnfStyle w:val="001000000000" w:firstRow="0" w:lastRow="0" w:firstColumn="1" w:lastColumn="0" w:oddVBand="0" w:evenVBand="0" w:oddHBand="0" w:evenHBand="0" w:firstRowFirstColumn="0" w:firstRowLastColumn="0" w:lastRowFirstColumn="0" w:lastRowLastColumn="0"/>
            <w:tcW w:w="5000" w:type="pct"/>
            <w:gridSpan w:val="5"/>
          </w:tcPr>
          <w:p w14:paraId="18E53CBC" w14:textId="77777777" w:rsidR="009B1B01" w:rsidRPr="00940BEC" w:rsidRDefault="009B1B01" w:rsidP="00C407DD">
            <w:pPr>
              <w:pStyle w:val="TableText0"/>
              <w:keepNext w:val="0"/>
              <w:keepLines/>
              <w:rPr>
                <w:b/>
                <w:bCs w:val="0"/>
              </w:rPr>
            </w:pPr>
            <w:r w:rsidRPr="00940BEC">
              <w:rPr>
                <w:b/>
                <w:bCs w:val="0"/>
              </w:rPr>
              <w:t>Discount rate (base case: 5% for costs and QALYs)</w:t>
            </w:r>
          </w:p>
        </w:tc>
      </w:tr>
      <w:tr w:rsidR="00511CE8" w:rsidRPr="00940BEC" w14:paraId="57832B0C" w14:textId="77777777" w:rsidTr="006D17A4">
        <w:trPr>
          <w:trHeight w:val="130"/>
        </w:trPr>
        <w:tc>
          <w:tcPr>
            <w:cnfStyle w:val="001000000000" w:firstRow="0" w:lastRow="0" w:firstColumn="1" w:lastColumn="0" w:oddVBand="0" w:evenVBand="0" w:oddHBand="0" w:evenHBand="0" w:firstRowFirstColumn="0" w:firstRowLastColumn="0" w:lastRowFirstColumn="0" w:lastRowLastColumn="0"/>
            <w:tcW w:w="2510" w:type="pct"/>
          </w:tcPr>
          <w:p w14:paraId="1BC98A0A" w14:textId="77777777" w:rsidR="009B1B01" w:rsidRPr="00940BEC" w:rsidRDefault="009B1B01" w:rsidP="00C407DD">
            <w:pPr>
              <w:pStyle w:val="TableText0"/>
              <w:keepNext w:val="0"/>
              <w:keepLines/>
            </w:pPr>
            <w:r w:rsidRPr="00940BEC">
              <w:rPr>
                <w:rFonts w:cs="Calibri"/>
                <w:szCs w:val="20"/>
              </w:rPr>
              <w:t>0% for costs and QALYs</w:t>
            </w:r>
          </w:p>
        </w:tc>
        <w:tc>
          <w:tcPr>
            <w:tcW w:w="679" w:type="pct"/>
          </w:tcPr>
          <w:p w14:paraId="1DC15496" w14:textId="2387C717"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81"/>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81"/>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81"/>
                <w14:textFill>
                  <w14:solidFill>
                    <w14:schemeClr w14:val="tx1">
                      <w14:alpha w14:val="100000"/>
                    </w14:schemeClr>
                  </w14:solidFill>
                </w14:textFill>
              </w:rPr>
              <w:t xml:space="preserve">　</w:t>
            </w:r>
          </w:p>
        </w:tc>
        <w:tc>
          <w:tcPr>
            <w:tcW w:w="502" w:type="pct"/>
          </w:tcPr>
          <w:p w14:paraId="1CD6C5C0"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rPr>
                <w:rFonts w:cs="Calibri"/>
                <w:szCs w:val="20"/>
              </w:rPr>
              <w:t>3.93</w:t>
            </w:r>
          </w:p>
        </w:tc>
        <w:tc>
          <w:tcPr>
            <w:tcW w:w="707" w:type="pct"/>
          </w:tcPr>
          <w:p w14:paraId="766D269F" w14:textId="75A67C53"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80"/>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80"/>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80"/>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5</w:t>
            </w:r>
            <w:proofErr w:type="gramEnd"/>
          </w:p>
        </w:tc>
        <w:tc>
          <w:tcPr>
            <w:tcW w:w="601" w:type="pct"/>
          </w:tcPr>
          <w:p w14:paraId="546F93BA" w14:textId="657551D3"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rPr>
                <w:rFonts w:cs="Calibri"/>
                <w:szCs w:val="20"/>
              </w:rPr>
              <w:t>-</w:t>
            </w:r>
            <w:r w:rsidR="003C22C5" w:rsidRPr="003C22C5">
              <w:rPr>
                <w:rFonts w:cs="Calibri"/>
                <w:szCs w:val="20"/>
              </w:rPr>
              <w:t xml:space="preserve"> </w:t>
            </w:r>
            <w:r w:rsidR="00B7116A" w:rsidRPr="00B7116A">
              <w:rPr>
                <w:rFonts w:cs="Calibri"/>
                <w:spacing w:val="55"/>
                <w:szCs w:val="20"/>
                <w:shd w:val="solid" w:color="000000" w:fill="000000"/>
                <w:fitText w:val="238" w:id="-1031540979"/>
                <w14:textFill>
                  <w14:solidFill>
                    <w14:schemeClr w14:val="tx1">
                      <w14:alpha w14:val="100000"/>
                    </w14:schemeClr>
                  </w14:solidFill>
                </w14:textFill>
              </w:rPr>
              <w:t>||</w:t>
            </w:r>
            <w:r w:rsidR="00B7116A" w:rsidRPr="00B7116A">
              <w:rPr>
                <w:rFonts w:cs="Calibri"/>
                <w:spacing w:val="1"/>
                <w:szCs w:val="20"/>
                <w:shd w:val="solid" w:color="000000" w:fill="000000"/>
                <w:fitText w:val="238" w:id="-1031540979"/>
                <w14:textFill>
                  <w14:solidFill>
                    <w14:schemeClr w14:val="tx1">
                      <w14:alpha w14:val="100000"/>
                    </w14:schemeClr>
                  </w14:solidFill>
                </w14:textFill>
              </w:rPr>
              <w:t>|</w:t>
            </w:r>
            <w:r w:rsidRPr="00940BEC">
              <w:rPr>
                <w:rFonts w:cs="Calibri"/>
                <w:szCs w:val="20"/>
              </w:rPr>
              <w:t>%</w:t>
            </w:r>
          </w:p>
        </w:tc>
      </w:tr>
      <w:tr w:rsidR="00511CE8" w:rsidRPr="00940BEC" w14:paraId="0A08F84F" w14:textId="77777777" w:rsidTr="006D17A4">
        <w:trPr>
          <w:trHeight w:val="42"/>
        </w:trPr>
        <w:tc>
          <w:tcPr>
            <w:cnfStyle w:val="001000000000" w:firstRow="0" w:lastRow="0" w:firstColumn="1" w:lastColumn="0" w:oddVBand="0" w:evenVBand="0" w:oddHBand="0" w:evenHBand="0" w:firstRowFirstColumn="0" w:firstRowLastColumn="0" w:lastRowFirstColumn="0" w:lastRowLastColumn="0"/>
            <w:tcW w:w="2510" w:type="pct"/>
          </w:tcPr>
          <w:p w14:paraId="5E175B73" w14:textId="77777777" w:rsidR="009B1B01" w:rsidRPr="00940BEC" w:rsidRDefault="009B1B01" w:rsidP="00C407DD">
            <w:pPr>
              <w:pStyle w:val="TableText0"/>
              <w:keepNext w:val="0"/>
              <w:keepLines/>
            </w:pPr>
            <w:r w:rsidRPr="00940BEC">
              <w:rPr>
                <w:rFonts w:cs="Calibri"/>
                <w:szCs w:val="20"/>
              </w:rPr>
              <w:t>3.5% for costs and QALYs</w:t>
            </w:r>
          </w:p>
        </w:tc>
        <w:tc>
          <w:tcPr>
            <w:tcW w:w="679" w:type="pct"/>
          </w:tcPr>
          <w:p w14:paraId="411C40CA" w14:textId="294D9E70"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978"/>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978"/>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978"/>
                <w14:textFill>
                  <w14:solidFill>
                    <w14:schemeClr w14:val="tx1">
                      <w14:alpha w14:val="100000"/>
                    </w14:schemeClr>
                  </w14:solidFill>
                </w14:textFill>
              </w:rPr>
              <w:t xml:space="preserve">　</w:t>
            </w:r>
          </w:p>
        </w:tc>
        <w:tc>
          <w:tcPr>
            <w:tcW w:w="502" w:type="pct"/>
          </w:tcPr>
          <w:p w14:paraId="73EE6271" w14:textId="7777777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rPr>
                <w:rFonts w:cs="Calibri"/>
                <w:szCs w:val="20"/>
              </w:rPr>
              <w:t>3.08</w:t>
            </w:r>
          </w:p>
        </w:tc>
        <w:tc>
          <w:tcPr>
            <w:tcW w:w="707" w:type="pct"/>
          </w:tcPr>
          <w:p w14:paraId="1B4379D2" w14:textId="76824799" w:rsidR="009B1B01"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977"/>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977"/>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977"/>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1</w:t>
            </w:r>
            <w:proofErr w:type="gramEnd"/>
          </w:p>
        </w:tc>
        <w:tc>
          <w:tcPr>
            <w:tcW w:w="601" w:type="pct"/>
          </w:tcPr>
          <w:p w14:paraId="06A52F01" w14:textId="4F8803E7" w:rsidR="009B1B01" w:rsidRPr="00940BEC" w:rsidRDefault="009B1B01" w:rsidP="00C407DD">
            <w:pPr>
              <w:pStyle w:val="TableText0"/>
              <w:keepNext w:val="0"/>
              <w:keepLines/>
              <w:cnfStyle w:val="000000000000" w:firstRow="0" w:lastRow="0" w:firstColumn="0" w:lastColumn="0" w:oddVBand="0" w:evenVBand="0" w:oddHBand="0" w:evenHBand="0" w:firstRowFirstColumn="0" w:firstRowLastColumn="0" w:lastRowFirstColumn="0" w:lastRowLastColumn="0"/>
            </w:pPr>
            <w:r w:rsidRPr="00940BEC">
              <w:rPr>
                <w:rFonts w:cs="Calibri"/>
                <w:szCs w:val="20"/>
              </w:rPr>
              <w:t>-</w:t>
            </w:r>
            <w:r w:rsidR="003C22C5" w:rsidRPr="003C22C5">
              <w:rPr>
                <w:rFonts w:cs="Calibri"/>
                <w:szCs w:val="20"/>
              </w:rPr>
              <w:t xml:space="preserve"> </w:t>
            </w:r>
            <w:r w:rsidR="00B7116A" w:rsidRPr="00B7116A">
              <w:rPr>
                <w:rFonts w:cs="Calibri"/>
                <w:spacing w:val="55"/>
                <w:szCs w:val="20"/>
                <w:shd w:val="solid" w:color="000000" w:fill="000000"/>
                <w:fitText w:val="238" w:id="-1031540976"/>
                <w14:textFill>
                  <w14:solidFill>
                    <w14:schemeClr w14:val="tx1">
                      <w14:alpha w14:val="100000"/>
                    </w14:schemeClr>
                  </w14:solidFill>
                </w14:textFill>
              </w:rPr>
              <w:t>||</w:t>
            </w:r>
            <w:r w:rsidR="00B7116A" w:rsidRPr="00B7116A">
              <w:rPr>
                <w:rFonts w:cs="Calibri"/>
                <w:spacing w:val="1"/>
                <w:szCs w:val="20"/>
                <w:shd w:val="solid" w:color="000000" w:fill="000000"/>
                <w:fitText w:val="238" w:id="-1031540976"/>
                <w14:textFill>
                  <w14:solidFill>
                    <w14:schemeClr w14:val="tx1">
                      <w14:alpha w14:val="100000"/>
                    </w14:schemeClr>
                  </w14:solidFill>
                </w14:textFill>
              </w:rPr>
              <w:t>|</w:t>
            </w:r>
            <w:r w:rsidRPr="00940BEC">
              <w:rPr>
                <w:rFonts w:cs="Calibri"/>
                <w:szCs w:val="20"/>
              </w:rPr>
              <w:t>%</w:t>
            </w:r>
          </w:p>
        </w:tc>
      </w:tr>
      <w:tr w:rsidR="009B1B01" w:rsidRPr="00940BEC" w14:paraId="1D2F85F5" w14:textId="77777777" w:rsidTr="00511CE8">
        <w:trPr>
          <w:trHeight w:val="80"/>
        </w:trPr>
        <w:tc>
          <w:tcPr>
            <w:cnfStyle w:val="001000000000" w:firstRow="0" w:lastRow="0" w:firstColumn="1" w:lastColumn="0" w:oddVBand="0" w:evenVBand="0" w:oddHBand="0" w:evenHBand="0" w:firstRowFirstColumn="0" w:firstRowLastColumn="0" w:lastRowFirstColumn="0" w:lastRowLastColumn="0"/>
            <w:tcW w:w="5000" w:type="pct"/>
            <w:gridSpan w:val="5"/>
          </w:tcPr>
          <w:p w14:paraId="152A91FE" w14:textId="28835017" w:rsidR="009B1B01" w:rsidRPr="00940BEC" w:rsidRDefault="009B1B01" w:rsidP="00C407DD">
            <w:pPr>
              <w:pStyle w:val="TableText0"/>
              <w:keepNext w:val="0"/>
              <w:keepLines/>
              <w:rPr>
                <w:rFonts w:cs="Calibri"/>
                <w:szCs w:val="20"/>
              </w:rPr>
            </w:pPr>
            <w:r w:rsidRPr="00940BEC">
              <w:rPr>
                <w:rFonts w:cs="Calibri"/>
                <w:b/>
                <w:szCs w:val="20"/>
              </w:rPr>
              <w:t>Multivariate analyses (time horizon, OS benefits)</w:t>
            </w:r>
          </w:p>
        </w:tc>
      </w:tr>
      <w:tr w:rsidR="0098528E" w:rsidRPr="00940BEC" w14:paraId="5BB11437" w14:textId="77777777" w:rsidTr="006D17A4">
        <w:trPr>
          <w:trHeight w:val="283"/>
        </w:trPr>
        <w:tc>
          <w:tcPr>
            <w:cnfStyle w:val="001000000000" w:firstRow="0" w:lastRow="0" w:firstColumn="1" w:lastColumn="0" w:oddVBand="0" w:evenVBand="0" w:oddHBand="0" w:evenHBand="0" w:firstRowFirstColumn="0" w:firstRowLastColumn="0" w:lastRowFirstColumn="0" w:lastRowLastColumn="0"/>
            <w:tcW w:w="2510" w:type="pct"/>
          </w:tcPr>
          <w:p w14:paraId="0243AD49" w14:textId="5EE0BDD1" w:rsidR="0098528E" w:rsidRPr="00940BEC" w:rsidDel="0098528E" w:rsidRDefault="0098528E" w:rsidP="00C407DD">
            <w:pPr>
              <w:pStyle w:val="TableText0"/>
              <w:keepNext w:val="0"/>
              <w:keepLines/>
              <w:rPr>
                <w:rFonts w:cs="Calibri"/>
                <w:szCs w:val="20"/>
              </w:rPr>
            </w:pPr>
            <w:r w:rsidRPr="00940BEC">
              <w:rPr>
                <w:rFonts w:cs="Calibri"/>
                <w:szCs w:val="20"/>
              </w:rPr>
              <w:t xml:space="preserve">Time horizon of </w:t>
            </w:r>
            <w:r w:rsidR="00BB59E1" w:rsidRPr="00940BEC">
              <w:rPr>
                <w:rFonts w:cs="Calibri"/>
                <w:szCs w:val="20"/>
              </w:rPr>
              <w:t xml:space="preserve">7.5 years and </w:t>
            </w:r>
            <w:r w:rsidR="00AE3075" w:rsidRPr="00940BEC">
              <w:rPr>
                <w:rFonts w:cs="Calibri"/>
                <w:szCs w:val="20"/>
              </w:rPr>
              <w:t>MAGNITUDE</w:t>
            </w:r>
            <w:r w:rsidR="00B87979" w:rsidRPr="00940BEC">
              <w:rPr>
                <w:rFonts w:cs="Calibri"/>
                <w:szCs w:val="20"/>
              </w:rPr>
              <w:t xml:space="preserve">-reported </w:t>
            </w:r>
            <w:r w:rsidR="00AE3075" w:rsidRPr="00940BEC">
              <w:rPr>
                <w:rFonts w:cs="Calibri"/>
                <w:szCs w:val="20"/>
              </w:rPr>
              <w:t>HRs for PFS: 0.5</w:t>
            </w:r>
            <w:r w:rsidR="00B87979" w:rsidRPr="00940BEC">
              <w:rPr>
                <w:rFonts w:cs="Calibri"/>
                <w:szCs w:val="20"/>
              </w:rPr>
              <w:t>5</w:t>
            </w:r>
            <w:r w:rsidR="00AE3075" w:rsidRPr="00940BEC">
              <w:rPr>
                <w:rFonts w:cs="Calibri"/>
                <w:szCs w:val="20"/>
              </w:rPr>
              <w:t xml:space="preserve"> and OS: 0.5</w:t>
            </w:r>
            <w:r w:rsidR="00B87979" w:rsidRPr="00940BEC">
              <w:rPr>
                <w:rFonts w:cs="Calibri"/>
                <w:szCs w:val="20"/>
              </w:rPr>
              <w:t>4 (2</w:t>
            </w:r>
            <w:r w:rsidR="00B87979" w:rsidRPr="00940BEC">
              <w:rPr>
                <w:rFonts w:cs="Calibri"/>
                <w:szCs w:val="20"/>
                <w:vertAlign w:val="superscript"/>
              </w:rPr>
              <w:t>nd</w:t>
            </w:r>
            <w:r w:rsidR="00B87979" w:rsidRPr="00940BEC">
              <w:rPr>
                <w:rFonts w:cs="Calibri"/>
                <w:szCs w:val="20"/>
              </w:rPr>
              <w:t xml:space="preserve"> interim analysis)</w:t>
            </w:r>
          </w:p>
        </w:tc>
        <w:tc>
          <w:tcPr>
            <w:tcW w:w="679" w:type="pct"/>
          </w:tcPr>
          <w:p w14:paraId="795B702E" w14:textId="0DA9C73E" w:rsidR="0098528E" w:rsidRPr="005D2AC7" w:rsidDel="0098528E"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736"/>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736"/>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736"/>
                <w14:textFill>
                  <w14:solidFill>
                    <w14:schemeClr w14:val="tx1">
                      <w14:alpha w14:val="100000"/>
                    </w14:schemeClr>
                  </w14:solidFill>
                </w14:textFill>
              </w:rPr>
              <w:t xml:space="preserve">　</w:t>
            </w:r>
          </w:p>
        </w:tc>
        <w:tc>
          <w:tcPr>
            <w:tcW w:w="502" w:type="pct"/>
          </w:tcPr>
          <w:p w14:paraId="43EB8A6D" w14:textId="56EB39B3" w:rsidR="0098528E" w:rsidRPr="00940BEC" w:rsidDel="0098528E" w:rsidRDefault="00C70570"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0.82</w:t>
            </w:r>
          </w:p>
        </w:tc>
        <w:tc>
          <w:tcPr>
            <w:tcW w:w="707" w:type="pct"/>
          </w:tcPr>
          <w:p w14:paraId="3E2A4FCA" w14:textId="025127F4" w:rsidR="00C70570" w:rsidRPr="005D2AC7" w:rsidDel="0098528E" w:rsidRDefault="003C22C5" w:rsidP="00C70570">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735"/>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735"/>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735"/>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6</w:t>
            </w:r>
            <w:proofErr w:type="gramEnd"/>
          </w:p>
        </w:tc>
        <w:tc>
          <w:tcPr>
            <w:tcW w:w="601" w:type="pct"/>
          </w:tcPr>
          <w:p w14:paraId="7843CA34" w14:textId="286865DC" w:rsidR="0098528E" w:rsidRPr="00940BEC" w:rsidDel="0098528E" w:rsidRDefault="00C70570"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734"/>
                <w14:textFill>
                  <w14:solidFill>
                    <w14:schemeClr w14:val="tx1">
                      <w14:alpha w14:val="100000"/>
                    </w14:schemeClr>
                  </w14:solidFill>
                </w14:textFill>
              </w:rPr>
              <w:t>|</w:t>
            </w:r>
            <w:r w:rsidR="00B7116A" w:rsidRPr="00B7116A">
              <w:rPr>
                <w:rFonts w:cs="Calibri"/>
                <w:spacing w:val="1"/>
                <w:szCs w:val="20"/>
                <w:shd w:val="solid" w:color="000000" w:fill="000000"/>
                <w:fitText w:val="250" w:id="-1031540734"/>
                <w14:textFill>
                  <w14:solidFill>
                    <w14:schemeClr w14:val="tx1">
                      <w14:alpha w14:val="100000"/>
                    </w14:schemeClr>
                  </w14:solidFill>
                </w14:textFill>
              </w:rPr>
              <w:t>|</w:t>
            </w:r>
            <w:r w:rsidRPr="00940BEC">
              <w:rPr>
                <w:rFonts w:cs="Calibri"/>
                <w:szCs w:val="20"/>
              </w:rPr>
              <w:t>%</w:t>
            </w:r>
          </w:p>
        </w:tc>
      </w:tr>
      <w:tr w:rsidR="00B87979" w:rsidRPr="00940BEC" w14:paraId="157EBA1D" w14:textId="77777777" w:rsidTr="006D17A4">
        <w:trPr>
          <w:trHeight w:val="283"/>
        </w:trPr>
        <w:tc>
          <w:tcPr>
            <w:cnfStyle w:val="001000000000" w:firstRow="0" w:lastRow="0" w:firstColumn="1" w:lastColumn="0" w:oddVBand="0" w:evenVBand="0" w:oddHBand="0" w:evenHBand="0" w:firstRowFirstColumn="0" w:firstRowLastColumn="0" w:lastRowFirstColumn="0" w:lastRowLastColumn="0"/>
            <w:tcW w:w="2510" w:type="pct"/>
          </w:tcPr>
          <w:p w14:paraId="09FC868B" w14:textId="0D8824CF" w:rsidR="00B87979" w:rsidRPr="00940BEC" w:rsidRDefault="00B87979" w:rsidP="00C407DD">
            <w:pPr>
              <w:pStyle w:val="TableText0"/>
              <w:keepNext w:val="0"/>
              <w:keepLines/>
              <w:rPr>
                <w:rFonts w:cs="Calibri"/>
                <w:szCs w:val="20"/>
              </w:rPr>
            </w:pPr>
            <w:r w:rsidRPr="00940BEC">
              <w:rPr>
                <w:rFonts w:cs="Calibri"/>
                <w:szCs w:val="20"/>
              </w:rPr>
              <w:t>Time horizon of 7.5 years, PROpel-reported HR PFS: 0.23 and MAGNITUDE-reported HR OS: 0.54 (2</w:t>
            </w:r>
            <w:r w:rsidRPr="00940BEC">
              <w:rPr>
                <w:rFonts w:cs="Calibri"/>
                <w:szCs w:val="20"/>
                <w:vertAlign w:val="superscript"/>
              </w:rPr>
              <w:t>nd</w:t>
            </w:r>
            <w:r w:rsidRPr="00940BEC">
              <w:rPr>
                <w:rFonts w:cs="Calibri"/>
                <w:szCs w:val="20"/>
              </w:rPr>
              <w:t xml:space="preserve"> interim analysis)</w:t>
            </w:r>
          </w:p>
        </w:tc>
        <w:tc>
          <w:tcPr>
            <w:tcW w:w="679" w:type="pct"/>
          </w:tcPr>
          <w:p w14:paraId="37C22B08" w14:textId="26C1B5B3" w:rsidR="00B87979" w:rsidRPr="005D2AC7" w:rsidRDefault="003C22C5"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6"/>
                <w:szCs w:val="20"/>
                <w:shd w:val="solid" w:color="000000" w:fill="000000"/>
                <w:fitText w:val="75" w:id="-1031540733"/>
                <w14:textFill>
                  <w14:solidFill>
                    <w14:schemeClr w14:val="tx1">
                      <w14:alpha w14:val="100000"/>
                    </w14:schemeClr>
                  </w14:solidFill>
                </w14:textFill>
              </w:rPr>
              <w:t xml:space="preserve">　</w:t>
            </w:r>
            <w:r w:rsidR="00B7116A" w:rsidRPr="00B7116A">
              <w:rPr>
                <w:rFonts w:cs="Calibri"/>
                <w:w w:val="16"/>
                <w:szCs w:val="20"/>
                <w:shd w:val="solid" w:color="000000" w:fill="000000"/>
                <w:fitText w:val="75" w:id="-1031540733"/>
                <w14:textFill>
                  <w14:solidFill>
                    <w14:schemeClr w14:val="tx1">
                      <w14:alpha w14:val="100000"/>
                    </w14:schemeClr>
                  </w14:solidFill>
                </w14:textFill>
              </w:rPr>
              <w:t>|</w:t>
            </w:r>
            <w:r w:rsidR="00B7116A" w:rsidRPr="00B7116A">
              <w:rPr>
                <w:rFonts w:cs="Calibri" w:hint="eastAsia"/>
                <w:spacing w:val="5"/>
                <w:w w:val="16"/>
                <w:szCs w:val="20"/>
                <w:shd w:val="solid" w:color="000000" w:fill="000000"/>
                <w:fitText w:val="75" w:id="-1031540733"/>
                <w14:textFill>
                  <w14:solidFill>
                    <w14:schemeClr w14:val="tx1">
                      <w14:alpha w14:val="100000"/>
                    </w14:schemeClr>
                  </w14:solidFill>
                </w14:textFill>
              </w:rPr>
              <w:t xml:space="preserve">　</w:t>
            </w:r>
          </w:p>
        </w:tc>
        <w:tc>
          <w:tcPr>
            <w:tcW w:w="502" w:type="pct"/>
          </w:tcPr>
          <w:p w14:paraId="2EF9B603" w14:textId="3F7F2A93" w:rsidR="00B87979" w:rsidRPr="00940BEC" w:rsidRDefault="00B87979"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0.87</w:t>
            </w:r>
          </w:p>
        </w:tc>
        <w:tc>
          <w:tcPr>
            <w:tcW w:w="707" w:type="pct"/>
          </w:tcPr>
          <w:p w14:paraId="3CC85E57" w14:textId="20C859D2" w:rsidR="00B87979" w:rsidRPr="005D2AC7" w:rsidRDefault="003C22C5" w:rsidP="00C70570">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highlight w:val="darkGray"/>
              </w:rPr>
            </w:pPr>
            <w:r w:rsidRPr="003C22C5">
              <w:rPr>
                <w:rFonts w:cs="Calibri"/>
                <w:szCs w:val="20"/>
              </w:rPr>
              <w:t xml:space="preserve"> </w:t>
            </w:r>
            <w:r w:rsidR="00B7116A" w:rsidRPr="00B7116A">
              <w:rPr>
                <w:rFonts w:cs="Calibri" w:hint="eastAsia"/>
                <w:w w:val="19"/>
                <w:szCs w:val="20"/>
                <w:shd w:val="solid" w:color="000000" w:fill="000000"/>
                <w:fitText w:val="88" w:id="-1031540732"/>
                <w14:textFill>
                  <w14:solidFill>
                    <w14:schemeClr w14:val="tx1">
                      <w14:alpha w14:val="100000"/>
                    </w14:schemeClr>
                  </w14:solidFill>
                </w14:textFill>
              </w:rPr>
              <w:t xml:space="preserve">　</w:t>
            </w:r>
            <w:proofErr w:type="gramStart"/>
            <w:r w:rsidR="00B7116A" w:rsidRPr="00B7116A">
              <w:rPr>
                <w:rFonts w:cs="Calibri"/>
                <w:w w:val="19"/>
                <w:szCs w:val="20"/>
                <w:shd w:val="solid" w:color="000000" w:fill="000000"/>
                <w:fitText w:val="88" w:id="-1031540732"/>
                <w14:textFill>
                  <w14:solidFill>
                    <w14:schemeClr w14:val="tx1">
                      <w14:alpha w14:val="100000"/>
                    </w14:schemeClr>
                  </w14:solidFill>
                </w14:textFill>
              </w:rPr>
              <w:t>|</w:t>
            </w:r>
            <w:r w:rsidR="00B7116A" w:rsidRPr="00B7116A">
              <w:rPr>
                <w:rFonts w:cs="Calibri" w:hint="eastAsia"/>
                <w:spacing w:val="4"/>
                <w:w w:val="19"/>
                <w:szCs w:val="20"/>
                <w:shd w:val="solid" w:color="000000" w:fill="000000"/>
                <w:fitText w:val="88" w:id="-1031540732"/>
                <w14:textFill>
                  <w14:solidFill>
                    <w14:schemeClr w14:val="tx1">
                      <w14:alpha w14:val="100000"/>
                    </w14:schemeClr>
                  </w14:solidFill>
                </w14:textFill>
              </w:rPr>
              <w:t xml:space="preserve">　</w:t>
            </w:r>
            <w:r w:rsidRPr="003C22C5">
              <w:rPr>
                <w:rFonts w:cs="Calibri"/>
                <w:szCs w:val="20"/>
              </w:rPr>
              <w:t xml:space="preserve"> </w:t>
            </w:r>
            <w:r w:rsidR="0051639F">
              <w:rPr>
                <w:rFonts w:cs="Calibri"/>
                <w:szCs w:val="20"/>
                <w:vertAlign w:val="superscript"/>
              </w:rPr>
              <w:t>6</w:t>
            </w:r>
            <w:proofErr w:type="gramEnd"/>
          </w:p>
        </w:tc>
        <w:tc>
          <w:tcPr>
            <w:tcW w:w="601" w:type="pct"/>
          </w:tcPr>
          <w:p w14:paraId="6DD813DB" w14:textId="695E99F3" w:rsidR="00B87979" w:rsidRPr="00940BEC" w:rsidRDefault="00B87979" w:rsidP="00C407DD">
            <w:pPr>
              <w:pStyle w:val="TableText0"/>
              <w:keepNext w:val="0"/>
              <w:keepLines/>
              <w:cnfStyle w:val="000000000000" w:firstRow="0" w:lastRow="0" w:firstColumn="0" w:lastColumn="0" w:oddVBand="0" w:evenVBand="0" w:oddHBand="0" w:evenHBand="0" w:firstRowFirstColumn="0" w:firstRowLastColumn="0" w:lastRowFirstColumn="0" w:lastRowLastColumn="0"/>
              <w:rPr>
                <w:rFonts w:cs="Calibri"/>
                <w:szCs w:val="20"/>
              </w:rPr>
            </w:pPr>
            <w:r w:rsidRPr="00940BEC">
              <w:rPr>
                <w:rFonts w:cs="Calibri"/>
                <w:szCs w:val="20"/>
              </w:rPr>
              <w:t>+</w:t>
            </w:r>
            <w:r w:rsidR="003C22C5" w:rsidRPr="003C22C5">
              <w:rPr>
                <w:rFonts w:cs="Calibri"/>
                <w:szCs w:val="20"/>
              </w:rPr>
              <w:t xml:space="preserve"> </w:t>
            </w:r>
            <w:r w:rsidR="00B7116A" w:rsidRPr="00B7116A">
              <w:rPr>
                <w:rFonts w:cs="Calibri"/>
                <w:spacing w:val="164"/>
                <w:szCs w:val="20"/>
                <w:shd w:val="solid" w:color="000000" w:fill="000000"/>
                <w:fitText w:val="250" w:id="-1031540731"/>
                <w14:textFill>
                  <w14:solidFill>
                    <w14:schemeClr w14:val="tx1">
                      <w14:alpha w14:val="100000"/>
                    </w14:schemeClr>
                  </w14:solidFill>
                </w14:textFill>
              </w:rPr>
              <w:t>|</w:t>
            </w:r>
            <w:r w:rsidR="00B7116A" w:rsidRPr="00B7116A">
              <w:rPr>
                <w:rFonts w:cs="Calibri"/>
                <w:spacing w:val="1"/>
                <w:szCs w:val="20"/>
                <w:shd w:val="solid" w:color="000000" w:fill="000000"/>
                <w:fitText w:val="250" w:id="-1031540731"/>
                <w14:textFill>
                  <w14:solidFill>
                    <w14:schemeClr w14:val="tx1">
                      <w14:alpha w14:val="100000"/>
                    </w14:schemeClr>
                  </w14:solidFill>
                </w14:textFill>
              </w:rPr>
              <w:t>|</w:t>
            </w:r>
            <w:r w:rsidRPr="00940BEC">
              <w:rPr>
                <w:rFonts w:cs="Calibri"/>
                <w:szCs w:val="20"/>
              </w:rPr>
              <w:t>%</w:t>
            </w:r>
          </w:p>
        </w:tc>
      </w:tr>
    </w:tbl>
    <w:p w14:paraId="20F62168" w14:textId="77777777" w:rsidR="009B1B01" w:rsidRPr="00B37652" w:rsidRDefault="009B1B01" w:rsidP="009B1B01">
      <w:pPr>
        <w:pStyle w:val="TableFooter"/>
        <w:keepLines/>
        <w:widowControl w:val="0"/>
        <w:jc w:val="both"/>
      </w:pPr>
      <w:r w:rsidRPr="00B37652">
        <w:t>Source: Table 3-30, p1</w:t>
      </w:r>
      <w:r>
        <w:t>53</w:t>
      </w:r>
      <w:r w:rsidRPr="00B37652">
        <w:t xml:space="preserve"> </w:t>
      </w:r>
      <w:r w:rsidRPr="00021AA5">
        <w:t>and compiled during the submission</w:t>
      </w:r>
    </w:p>
    <w:p w14:paraId="1D6C54DF" w14:textId="5A927636" w:rsidR="009B1B01" w:rsidRPr="00021AA5" w:rsidRDefault="009B1B01" w:rsidP="009B1B01">
      <w:pPr>
        <w:pStyle w:val="TableFooter"/>
        <w:keepLines/>
        <w:widowControl w:val="0"/>
        <w:jc w:val="both"/>
        <w:rPr>
          <w:rFonts w:eastAsia="Calibri"/>
          <w:szCs w:val="20"/>
        </w:rPr>
      </w:pPr>
      <w:r>
        <w:t>Cx=comparator,</w:t>
      </w:r>
      <w:r w:rsidRPr="00B37652">
        <w:t xml:space="preserve"> DPMQ=dispensed price for maximum quantity</w:t>
      </w:r>
      <w:r>
        <w:t xml:space="preserve">, </w:t>
      </w:r>
      <w:r w:rsidRPr="00B37652">
        <w:t xml:space="preserve">HR=hazard ratio, ICER=incremental cost-effectiveness ratio, OS=overall survival, QALY=quality-adjusted life year, </w:t>
      </w:r>
      <w:r w:rsidR="00132F22">
        <w:t xml:space="preserve">PD=progressed disease, PF=progression-free, </w:t>
      </w:r>
      <w:r w:rsidRPr="00B37652">
        <w:t>PFS=progression-free survival, ToT=time on treatment</w:t>
      </w:r>
      <w:r>
        <w:t>, Tx=treatment</w:t>
      </w:r>
      <w:r w:rsidRPr="00021AA5">
        <w:rPr>
          <w:rFonts w:eastAsia="Calibri"/>
          <w:szCs w:val="20"/>
        </w:rPr>
        <w:t>.</w:t>
      </w:r>
    </w:p>
    <w:p w14:paraId="3FCDD932" w14:textId="1D3DF2AE" w:rsidR="00916C31" w:rsidRDefault="00916C31" w:rsidP="006A7B62">
      <w:pPr>
        <w:pStyle w:val="TableFooter"/>
        <w:keepLines/>
        <w:widowControl w:val="0"/>
        <w:ind w:left="170" w:hanging="170"/>
        <w:jc w:val="both"/>
        <w:rPr>
          <w:rFonts w:eastAsia="Calibri"/>
          <w:szCs w:val="20"/>
          <w:lang w:val="en-US"/>
        </w:rPr>
      </w:pPr>
      <w:r w:rsidRPr="00021AA5">
        <w:rPr>
          <w:rFonts w:eastAsia="Calibri"/>
          <w:szCs w:val="20"/>
          <w:vertAlign w:val="superscript"/>
        </w:rPr>
        <w:lastRenderedPageBreak/>
        <w:t>a</w:t>
      </w:r>
      <w:r w:rsidR="006A7B62" w:rsidRPr="00021AA5">
        <w:rPr>
          <w:rFonts w:eastAsia="Calibri"/>
          <w:szCs w:val="20"/>
          <w:vertAlign w:val="superscript"/>
        </w:rPr>
        <w:tab/>
      </w:r>
      <w:r w:rsidR="00173F5B" w:rsidRPr="00021AA5">
        <w:rPr>
          <w:rFonts w:eastAsia="Calibri"/>
          <w:szCs w:val="20"/>
        </w:rPr>
        <w:t>In t</w:t>
      </w:r>
      <w:r w:rsidRPr="00021AA5">
        <w:rPr>
          <w:rFonts w:eastAsia="Calibri"/>
          <w:szCs w:val="20"/>
        </w:rPr>
        <w:t>he base case</w:t>
      </w:r>
      <w:r w:rsidR="00173F5B" w:rsidRPr="00021AA5">
        <w:rPr>
          <w:rFonts w:eastAsia="Calibri"/>
          <w:szCs w:val="20"/>
        </w:rPr>
        <w:t>, t</w:t>
      </w:r>
      <w:r w:rsidR="00173F5B" w:rsidRPr="00021AA5">
        <w:rPr>
          <w:rFonts w:eastAsia="Calibri"/>
          <w:szCs w:val="20"/>
          <w:lang w:val="en-US"/>
        </w:rPr>
        <w:t>transition probabilities for each health state were calculated based on the PFS and OS curves from PROpel, independently fitted to each treatment.</w:t>
      </w:r>
    </w:p>
    <w:p w14:paraId="1CECD601" w14:textId="1D407C7E" w:rsidR="005D2AC7" w:rsidRDefault="005D2AC7" w:rsidP="005D2AC7">
      <w:pPr>
        <w:pStyle w:val="TableFooter"/>
        <w:keepLines/>
        <w:widowControl w:val="0"/>
        <w:ind w:left="170" w:hanging="170"/>
        <w:jc w:val="both"/>
        <w:rPr>
          <w:rFonts w:eastAsia="Calibri"/>
          <w:i/>
          <w:szCs w:val="20"/>
        </w:rPr>
      </w:pPr>
      <w:r w:rsidRPr="005D2AC7">
        <w:rPr>
          <w:rFonts w:eastAsia="Calibri"/>
          <w:i/>
          <w:szCs w:val="20"/>
        </w:rPr>
        <w:t xml:space="preserve">The redacted values correspond to the following ranges: </w:t>
      </w:r>
    </w:p>
    <w:p w14:paraId="44DAB30A" w14:textId="0BEC4FA5" w:rsidR="005D2AC7" w:rsidRPr="005D2AC7" w:rsidRDefault="005D2AC7" w:rsidP="005D2AC7">
      <w:pPr>
        <w:pStyle w:val="TableFooter"/>
        <w:keepLines/>
        <w:widowControl w:val="0"/>
        <w:ind w:left="170" w:hanging="170"/>
        <w:jc w:val="both"/>
        <w:rPr>
          <w:rFonts w:eastAsia="Calibri"/>
          <w:i/>
          <w:szCs w:val="20"/>
        </w:rPr>
      </w:pPr>
      <w:r w:rsidRPr="005D2AC7">
        <w:rPr>
          <w:rFonts w:eastAsia="Calibri"/>
          <w:i/>
          <w:szCs w:val="20"/>
          <w:vertAlign w:val="superscript"/>
        </w:rPr>
        <w:t>1</w:t>
      </w:r>
      <w:r w:rsidRPr="005D2AC7">
        <w:rPr>
          <w:rFonts w:eastAsia="Calibri"/>
          <w:i/>
          <w:szCs w:val="20"/>
        </w:rPr>
        <w:t xml:space="preserve"> </w:t>
      </w:r>
      <w:r w:rsidR="0051639F" w:rsidRPr="005D2AC7">
        <w:rPr>
          <w:rFonts w:eastAsia="Calibri"/>
          <w:i/>
          <w:szCs w:val="20"/>
        </w:rPr>
        <w:t xml:space="preserve">$55,000 to &lt; $75,000 </w:t>
      </w:r>
    </w:p>
    <w:p w14:paraId="151355D6" w14:textId="59E6E9F8" w:rsidR="005D2AC7" w:rsidRPr="005D2AC7" w:rsidRDefault="005D2AC7" w:rsidP="005D2AC7">
      <w:pPr>
        <w:pStyle w:val="TableFooter"/>
        <w:keepLines/>
        <w:widowControl w:val="0"/>
        <w:ind w:left="170" w:hanging="170"/>
        <w:jc w:val="both"/>
        <w:rPr>
          <w:rFonts w:eastAsia="Calibri"/>
          <w:i/>
          <w:szCs w:val="20"/>
        </w:rPr>
      </w:pPr>
      <w:r w:rsidRPr="005D2AC7">
        <w:rPr>
          <w:rFonts w:eastAsia="Calibri"/>
          <w:i/>
          <w:szCs w:val="20"/>
          <w:vertAlign w:val="superscript"/>
        </w:rPr>
        <w:t>2</w:t>
      </w:r>
      <w:r w:rsidRPr="005D2AC7">
        <w:rPr>
          <w:rFonts w:eastAsia="Calibri"/>
          <w:i/>
          <w:szCs w:val="20"/>
        </w:rPr>
        <w:t xml:space="preserve"> </w:t>
      </w:r>
      <w:r w:rsidR="0051639F" w:rsidRPr="005D2AC7">
        <w:rPr>
          <w:rFonts w:eastAsia="Calibri"/>
          <w:i/>
          <w:szCs w:val="20"/>
        </w:rPr>
        <w:t>$75,000 to &lt; $95,000</w:t>
      </w:r>
    </w:p>
    <w:p w14:paraId="21D0A5FF" w14:textId="4C6247B4" w:rsidR="005D2AC7" w:rsidRDefault="005D2AC7" w:rsidP="005D2AC7">
      <w:pPr>
        <w:pStyle w:val="TableFooter"/>
        <w:keepLines/>
        <w:widowControl w:val="0"/>
        <w:ind w:left="170" w:hanging="170"/>
        <w:jc w:val="both"/>
        <w:rPr>
          <w:rFonts w:eastAsia="Calibri"/>
          <w:i/>
          <w:szCs w:val="20"/>
        </w:rPr>
      </w:pPr>
      <w:r w:rsidRPr="005D2AC7">
        <w:rPr>
          <w:rFonts w:eastAsia="Calibri"/>
          <w:i/>
          <w:szCs w:val="20"/>
          <w:vertAlign w:val="superscript"/>
        </w:rPr>
        <w:t>3</w:t>
      </w:r>
      <w:r w:rsidRPr="005D2AC7">
        <w:rPr>
          <w:rFonts w:eastAsia="Calibri"/>
          <w:i/>
          <w:szCs w:val="20"/>
        </w:rPr>
        <w:t xml:space="preserve"> </w:t>
      </w:r>
      <w:r w:rsidR="0051639F" w:rsidRPr="00EE4C20">
        <w:rPr>
          <w:rFonts w:eastAsia="Calibri"/>
          <w:i/>
          <w:szCs w:val="20"/>
        </w:rPr>
        <w:t>&gt; $1,055,000</w:t>
      </w:r>
    </w:p>
    <w:p w14:paraId="793DC926" w14:textId="0D5A5AFB" w:rsidR="00EE4C20" w:rsidRPr="00EE4C20" w:rsidRDefault="00EE4C20" w:rsidP="00EE4C20">
      <w:pPr>
        <w:pStyle w:val="TableFooter"/>
        <w:keepLines/>
        <w:widowControl w:val="0"/>
        <w:ind w:left="170" w:hanging="170"/>
        <w:jc w:val="both"/>
        <w:rPr>
          <w:rFonts w:eastAsia="Calibri"/>
          <w:i/>
          <w:szCs w:val="20"/>
        </w:rPr>
      </w:pPr>
      <w:r w:rsidRPr="00EE4C20">
        <w:rPr>
          <w:rFonts w:eastAsia="Calibri"/>
          <w:i/>
          <w:szCs w:val="20"/>
          <w:vertAlign w:val="superscript"/>
        </w:rPr>
        <w:t>4</w:t>
      </w:r>
      <w:r>
        <w:rPr>
          <w:rFonts w:eastAsia="Calibri"/>
          <w:i/>
          <w:szCs w:val="20"/>
        </w:rPr>
        <w:t xml:space="preserve"> </w:t>
      </w:r>
      <w:r w:rsidRPr="00EE4C20">
        <w:rPr>
          <w:rFonts w:eastAsia="Calibri"/>
          <w:i/>
          <w:szCs w:val="20"/>
        </w:rPr>
        <w:t xml:space="preserve">$95,000 to &lt; $115,000 </w:t>
      </w:r>
    </w:p>
    <w:p w14:paraId="33A5E33C" w14:textId="6AF219B3" w:rsidR="00EE4C20" w:rsidRPr="005D2AC7" w:rsidRDefault="00EE4C20" w:rsidP="00EE4C20">
      <w:pPr>
        <w:pStyle w:val="TableFooter"/>
        <w:keepLines/>
        <w:widowControl w:val="0"/>
        <w:ind w:left="170" w:hanging="170"/>
        <w:jc w:val="both"/>
        <w:rPr>
          <w:rFonts w:eastAsia="Calibri"/>
          <w:i/>
          <w:szCs w:val="20"/>
        </w:rPr>
      </w:pPr>
      <w:r w:rsidRPr="00EE4C20">
        <w:rPr>
          <w:rFonts w:eastAsia="Calibri"/>
          <w:i/>
          <w:szCs w:val="20"/>
          <w:vertAlign w:val="superscript"/>
        </w:rPr>
        <w:t>5</w:t>
      </w:r>
      <w:r w:rsidR="003D0610">
        <w:rPr>
          <w:rFonts w:eastAsia="Calibri"/>
          <w:i/>
          <w:szCs w:val="20"/>
          <w:vertAlign w:val="superscript"/>
        </w:rPr>
        <w:t xml:space="preserve"> </w:t>
      </w:r>
      <w:r w:rsidR="0051639F" w:rsidRPr="005D2AC7">
        <w:rPr>
          <w:rFonts w:eastAsia="Calibri"/>
          <w:i/>
          <w:szCs w:val="20"/>
        </w:rPr>
        <w:t>$45,000 to &lt; $55,000</w:t>
      </w:r>
      <w:r w:rsidR="0051639F">
        <w:rPr>
          <w:rFonts w:eastAsia="Calibri"/>
          <w:i/>
          <w:szCs w:val="20"/>
        </w:rPr>
        <w:t xml:space="preserve"> </w:t>
      </w:r>
      <w:r w:rsidR="0051639F">
        <w:rPr>
          <w:rFonts w:eastAsia="Calibri"/>
          <w:i/>
          <w:szCs w:val="20"/>
          <w:vertAlign w:val="superscript"/>
        </w:rPr>
        <w:t xml:space="preserve"> </w:t>
      </w:r>
    </w:p>
    <w:p w14:paraId="6000AA6E" w14:textId="417EC352" w:rsidR="009B1B01" w:rsidRPr="00C55AC2" w:rsidRDefault="00EE4C20" w:rsidP="0051639F">
      <w:pPr>
        <w:pStyle w:val="TableFooter"/>
        <w:keepLines/>
        <w:widowControl w:val="0"/>
        <w:spacing w:after="120"/>
        <w:ind w:left="170" w:hanging="170"/>
        <w:jc w:val="both"/>
      </w:pPr>
      <w:r w:rsidRPr="00EE4C20">
        <w:rPr>
          <w:rFonts w:eastAsia="Calibri"/>
          <w:i/>
          <w:szCs w:val="20"/>
          <w:vertAlign w:val="superscript"/>
        </w:rPr>
        <w:t>6</w:t>
      </w:r>
      <w:r>
        <w:rPr>
          <w:rFonts w:eastAsia="Calibri"/>
          <w:i/>
          <w:szCs w:val="20"/>
        </w:rPr>
        <w:t xml:space="preserve"> </w:t>
      </w:r>
      <w:r w:rsidR="005D2AC7" w:rsidRPr="005D2AC7">
        <w:rPr>
          <w:rFonts w:eastAsia="Calibri"/>
          <w:i/>
          <w:szCs w:val="20"/>
        </w:rPr>
        <w:t>$155,000 to &lt; $255,000</w:t>
      </w:r>
    </w:p>
    <w:p w14:paraId="03B5426F" w14:textId="08721EC5" w:rsidR="009B1B01" w:rsidRPr="00940BEC" w:rsidRDefault="009B1B01" w:rsidP="00C70570">
      <w:pPr>
        <w:pStyle w:val="3-BodyText"/>
      </w:pPr>
      <w:r w:rsidRPr="00940BEC">
        <w:t>Sensitivity analyses demonstrated the model was most sensitive to time horizon, OS benefit, and ToT</w:t>
      </w:r>
      <w:r w:rsidR="0057158B" w:rsidRPr="00940BEC">
        <w:t>, noting that the current model structure did not allow testing of convergence assumptions.</w:t>
      </w:r>
    </w:p>
    <w:p w14:paraId="5BC24589" w14:textId="22E640F2" w:rsidR="009B1B01" w:rsidRDefault="009B1B01" w:rsidP="009B1B01">
      <w:pPr>
        <w:pStyle w:val="4-SubsectionHeading"/>
        <w:spacing w:before="0"/>
      </w:pPr>
      <w:bookmarkStart w:id="66" w:name="_Toc145075511"/>
      <w:r w:rsidRPr="00971ABC">
        <w:t>Drug cost/patient/</w:t>
      </w:r>
      <w:r w:rsidRPr="00A1320D">
        <w:t>course: $</w:t>
      </w:r>
      <w:r w:rsidR="003C22C5" w:rsidRPr="003C22C5">
        <w:t xml:space="preserve"> </w:t>
      </w:r>
      <w:r w:rsidR="00B7116A" w:rsidRPr="00B7116A">
        <w:rPr>
          <w:color w:val="000000"/>
          <w:spacing w:val="0"/>
          <w:w w:val="56"/>
          <w:kern w:val="0"/>
          <w:shd w:val="solid" w:color="000000" w:fill="000000"/>
          <w:fitText w:val="601" w:id="-1031540730"/>
          <w14:textFill>
            <w14:solidFill>
              <w14:srgbClr w14:val="000000">
                <w14:alpha w14:val="100000"/>
              </w14:srgbClr>
            </w14:solidFill>
          </w14:textFill>
        </w:rPr>
        <w:t>|||||||</w:t>
      </w:r>
      <w:r w:rsidR="00B7116A" w:rsidRPr="00B7116A">
        <w:rPr>
          <w:color w:val="000000"/>
          <w:w w:val="56"/>
          <w:kern w:val="0"/>
          <w:shd w:val="solid" w:color="000000" w:fill="000000"/>
          <w:fitText w:val="601" w:id="-1031540730"/>
          <w14:textFill>
            <w14:solidFill>
              <w14:srgbClr w14:val="000000">
                <w14:alpha w14:val="100000"/>
              </w14:srgbClr>
            </w14:solidFill>
          </w14:textFill>
        </w:rPr>
        <w:t>|</w:t>
      </w:r>
      <w:r w:rsidRPr="00A1320D">
        <w:t xml:space="preserve"> (assuming</w:t>
      </w:r>
      <w:r w:rsidRPr="00A0764C">
        <w:t xml:space="preserve"> a treatment duration of </w:t>
      </w:r>
      <w:r>
        <w:t>1,261 days</w:t>
      </w:r>
      <w:r w:rsidR="007E324F">
        <w:t xml:space="preserve"> or 3.45 years</w:t>
      </w:r>
      <w:r w:rsidRPr="00A0764C">
        <w:t>)</w:t>
      </w:r>
      <w:bookmarkEnd w:id="66"/>
    </w:p>
    <w:p w14:paraId="46F26EDD" w14:textId="229D91D0" w:rsidR="009B1B01" w:rsidRPr="00021AA5" w:rsidRDefault="009B1B01" w:rsidP="009B1B01">
      <w:pPr>
        <w:pStyle w:val="3-BodyText"/>
      </w:pPr>
      <w:r>
        <w:fldChar w:fldCharType="begin" w:fldLock="1"/>
      </w:r>
      <w:r>
        <w:instrText xml:space="preserve"> REF _Ref142997069 \h </w:instrText>
      </w:r>
      <w:r>
        <w:fldChar w:fldCharType="separate"/>
      </w:r>
      <w:r w:rsidR="006F331F" w:rsidRPr="008F222C">
        <w:t xml:space="preserve">Table </w:t>
      </w:r>
      <w:r w:rsidR="006F331F">
        <w:rPr>
          <w:noProof/>
        </w:rPr>
        <w:t>13</w:t>
      </w:r>
      <w:r>
        <w:fldChar w:fldCharType="end"/>
      </w:r>
      <w:r>
        <w:t xml:space="preserve"> </w:t>
      </w:r>
      <w:r w:rsidRPr="00CA4838">
        <w:t>outlines the drug cost per patient for both olaparib</w:t>
      </w:r>
      <w:r>
        <w:t xml:space="preserve"> plus abiraterone</w:t>
      </w:r>
      <w:r w:rsidRPr="00CA4838">
        <w:t xml:space="preserve"> and </w:t>
      </w:r>
      <w:r>
        <w:t>NHA monotherapy</w:t>
      </w:r>
      <w:r w:rsidRPr="00CA4838">
        <w:t xml:space="preserve"> across the model and the financial estimates</w:t>
      </w:r>
      <w:r w:rsidR="00CF11D7">
        <w:t xml:space="preserve"> at the price proposed in the submission (DPMQ = $</w:t>
      </w:r>
      <w:r w:rsidR="003C22C5" w:rsidRPr="003C22C5">
        <w:t xml:space="preserve"> </w:t>
      </w:r>
      <w:proofErr w:type="gramStart"/>
      <w:r w:rsidR="00B7116A" w:rsidRPr="0026182E">
        <w:rPr>
          <w:color w:val="000000"/>
          <w:w w:val="15"/>
          <w:shd w:val="solid" w:color="000000" w:fill="000000"/>
          <w:fitText w:val="-20" w:id="-1031540729"/>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729"/>
          <w14:textFill>
            <w14:solidFill>
              <w14:srgbClr w14:val="000000">
                <w14:alpha w14:val="100000"/>
              </w14:srgbClr>
            </w14:solidFill>
          </w14:textFill>
        </w:rPr>
        <w:t>|</w:t>
      </w:r>
      <w:proofErr w:type="gramEnd"/>
      <w:r w:rsidR="00CF11D7">
        <w:t>)</w:t>
      </w:r>
      <w:r w:rsidRPr="00CA4838">
        <w:t xml:space="preserve">. </w:t>
      </w:r>
    </w:p>
    <w:p w14:paraId="5D93E2CF" w14:textId="782C8A76" w:rsidR="009B1B01" w:rsidRPr="008F222C" w:rsidRDefault="009B1B01" w:rsidP="009B1B01">
      <w:pPr>
        <w:pStyle w:val="TableFigureHeading"/>
        <w:rPr>
          <w:rStyle w:val="CommentReference"/>
          <w:b/>
          <w:szCs w:val="24"/>
        </w:rPr>
      </w:pPr>
      <w:bookmarkStart w:id="67" w:name="_Ref142997069"/>
      <w:r w:rsidRPr="008F222C">
        <w:t xml:space="preserve">Table </w:t>
      </w:r>
      <w:fldSimple w:instr=" SEQ Table \* ARABIC " w:fldLock="1">
        <w:r w:rsidR="006F331F">
          <w:rPr>
            <w:noProof/>
          </w:rPr>
          <w:t>13</w:t>
        </w:r>
      </w:fldSimple>
      <w:bookmarkEnd w:id="67"/>
      <w:r w:rsidRPr="008F222C">
        <w:t>:</w:t>
      </w:r>
      <w:r w:rsidRPr="008F222C">
        <w:rPr>
          <w:rStyle w:val="CommentReference"/>
          <w:b/>
          <w:szCs w:val="24"/>
        </w:rPr>
        <w:t xml:space="preserve"> Drug cost per patient (</w:t>
      </w:r>
      <w:r w:rsidR="006C3ED1" w:rsidRPr="006C3ED1">
        <w:rPr>
          <w:rStyle w:val="CommentReference"/>
          <w:b/>
          <w:i/>
          <w:iCs/>
          <w:szCs w:val="24"/>
        </w:rPr>
        <w:t>BRCA1/2</w:t>
      </w:r>
      <w:r w:rsidRPr="008F222C">
        <w:rPr>
          <w:rStyle w:val="CommentReference"/>
          <w:b/>
          <w:szCs w:val="24"/>
        </w:rPr>
        <w:t xml:space="preserve"> subgroup)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914"/>
        <w:gridCol w:w="1529"/>
        <w:gridCol w:w="1518"/>
        <w:gridCol w:w="866"/>
        <w:gridCol w:w="1556"/>
        <w:gridCol w:w="1362"/>
      </w:tblGrid>
      <w:tr w:rsidR="009B1B01" w:rsidRPr="00E2771E" w14:paraId="76098E1A" w14:textId="77777777" w:rsidTr="003A44AB">
        <w:trPr>
          <w:cantSplit/>
          <w:tblHeader/>
          <w:jc w:val="center"/>
        </w:trPr>
        <w:tc>
          <w:tcPr>
            <w:tcW w:w="705" w:type="pct"/>
            <w:tcBorders>
              <w:bottom w:val="nil"/>
            </w:tcBorders>
            <w:shd w:val="clear" w:color="auto" w:fill="auto"/>
            <w:vAlign w:val="center"/>
          </w:tcPr>
          <w:p w14:paraId="0D7106D4" w14:textId="77777777" w:rsidR="009B1B01" w:rsidRPr="00E2771E" w:rsidRDefault="009B1B01" w:rsidP="00C407DD">
            <w:pPr>
              <w:pStyle w:val="TableText0"/>
            </w:pPr>
          </w:p>
        </w:tc>
        <w:tc>
          <w:tcPr>
            <w:tcW w:w="2196" w:type="pct"/>
            <w:gridSpan w:val="3"/>
            <w:shd w:val="clear" w:color="auto" w:fill="auto"/>
            <w:vAlign w:val="center"/>
          </w:tcPr>
          <w:p w14:paraId="441FAE82" w14:textId="77777777" w:rsidR="009B1B01" w:rsidRPr="000B37DF" w:rsidRDefault="009B1B01" w:rsidP="00C407DD">
            <w:pPr>
              <w:pStyle w:val="TableText0"/>
              <w:jc w:val="center"/>
              <w:rPr>
                <w:b/>
                <w:bCs w:val="0"/>
                <w:szCs w:val="20"/>
              </w:rPr>
            </w:pPr>
            <w:r w:rsidRPr="000B37DF">
              <w:rPr>
                <w:b/>
                <w:bCs w:val="0"/>
              </w:rPr>
              <w:t>Olaparib plus abiraterone</w:t>
            </w:r>
          </w:p>
        </w:tc>
        <w:tc>
          <w:tcPr>
            <w:tcW w:w="2098" w:type="pct"/>
            <w:gridSpan w:val="3"/>
            <w:shd w:val="clear" w:color="auto" w:fill="auto"/>
            <w:vAlign w:val="center"/>
          </w:tcPr>
          <w:p w14:paraId="0E76939C" w14:textId="56830182" w:rsidR="009B1B01" w:rsidRPr="000B37DF" w:rsidRDefault="009B1B01" w:rsidP="00C407DD">
            <w:pPr>
              <w:pStyle w:val="TableText0"/>
              <w:jc w:val="center"/>
              <w:rPr>
                <w:b/>
                <w:bCs w:val="0"/>
                <w:szCs w:val="20"/>
              </w:rPr>
            </w:pPr>
            <w:r w:rsidRPr="000B37DF">
              <w:rPr>
                <w:b/>
                <w:bCs w:val="0"/>
              </w:rPr>
              <w:t>NHA monotherapy</w:t>
            </w:r>
            <w:r>
              <w:rPr>
                <w:b/>
                <w:bCs w:val="0"/>
              </w:rPr>
              <w:t xml:space="preserve"> </w:t>
            </w:r>
          </w:p>
        </w:tc>
      </w:tr>
      <w:tr w:rsidR="009B1B01" w:rsidRPr="00E2771E" w14:paraId="23032254" w14:textId="77777777" w:rsidTr="003A44AB">
        <w:trPr>
          <w:cantSplit/>
          <w:tblHeader/>
          <w:jc w:val="center"/>
        </w:trPr>
        <w:tc>
          <w:tcPr>
            <w:tcW w:w="705" w:type="pct"/>
            <w:tcBorders>
              <w:top w:val="nil"/>
            </w:tcBorders>
            <w:shd w:val="clear" w:color="auto" w:fill="auto"/>
            <w:vAlign w:val="center"/>
          </w:tcPr>
          <w:p w14:paraId="679D71C1" w14:textId="77777777" w:rsidR="009B1B01" w:rsidRPr="00E2771E" w:rsidRDefault="009B1B01" w:rsidP="00C407DD">
            <w:pPr>
              <w:pStyle w:val="TableText0"/>
            </w:pPr>
          </w:p>
        </w:tc>
        <w:tc>
          <w:tcPr>
            <w:tcW w:w="507" w:type="pct"/>
            <w:shd w:val="clear" w:color="auto" w:fill="auto"/>
            <w:vAlign w:val="center"/>
          </w:tcPr>
          <w:p w14:paraId="1E21F220" w14:textId="77777777" w:rsidR="009B1B01" w:rsidRPr="00F65EAA" w:rsidRDefault="009B1B01" w:rsidP="00C407DD">
            <w:pPr>
              <w:pStyle w:val="TableText0"/>
              <w:jc w:val="center"/>
            </w:pPr>
            <w:r w:rsidRPr="001745A5">
              <w:rPr>
                <w:b/>
                <w:szCs w:val="20"/>
              </w:rPr>
              <w:t xml:space="preserve">Trial dose </w:t>
            </w:r>
            <w:r>
              <w:rPr>
                <w:b/>
                <w:szCs w:val="20"/>
              </w:rPr>
              <w:t xml:space="preserve">/ </w:t>
            </w:r>
            <w:r w:rsidRPr="001745A5">
              <w:rPr>
                <w:b/>
                <w:szCs w:val="20"/>
              </w:rPr>
              <w:t>duration</w:t>
            </w:r>
          </w:p>
        </w:tc>
        <w:tc>
          <w:tcPr>
            <w:tcW w:w="848" w:type="pct"/>
            <w:shd w:val="clear" w:color="auto" w:fill="auto"/>
            <w:vAlign w:val="center"/>
          </w:tcPr>
          <w:p w14:paraId="17527684" w14:textId="77777777" w:rsidR="009B1B01" w:rsidRPr="00E2771E" w:rsidRDefault="009B1B01" w:rsidP="00C407DD">
            <w:pPr>
              <w:pStyle w:val="TableText0"/>
              <w:jc w:val="center"/>
            </w:pPr>
            <w:r w:rsidRPr="001745A5">
              <w:rPr>
                <w:b/>
                <w:szCs w:val="20"/>
              </w:rPr>
              <w:t>Model</w:t>
            </w:r>
          </w:p>
        </w:tc>
        <w:tc>
          <w:tcPr>
            <w:tcW w:w="842" w:type="pct"/>
            <w:shd w:val="clear" w:color="auto" w:fill="auto"/>
            <w:vAlign w:val="center"/>
          </w:tcPr>
          <w:p w14:paraId="519964F8" w14:textId="77777777" w:rsidR="009B1B01" w:rsidRPr="00E2771E" w:rsidRDefault="009B1B01" w:rsidP="00C407DD">
            <w:pPr>
              <w:pStyle w:val="TableText0"/>
              <w:jc w:val="center"/>
            </w:pPr>
            <w:r w:rsidRPr="001745A5">
              <w:rPr>
                <w:b/>
                <w:szCs w:val="20"/>
              </w:rPr>
              <w:t>Financial estimates</w:t>
            </w:r>
          </w:p>
        </w:tc>
        <w:tc>
          <w:tcPr>
            <w:tcW w:w="480" w:type="pct"/>
            <w:shd w:val="clear" w:color="auto" w:fill="auto"/>
            <w:vAlign w:val="center"/>
          </w:tcPr>
          <w:p w14:paraId="04C34EB8" w14:textId="77777777" w:rsidR="009B1B01" w:rsidRPr="00E2771E" w:rsidRDefault="009B1B01" w:rsidP="00C407DD">
            <w:pPr>
              <w:pStyle w:val="TableText0"/>
              <w:jc w:val="center"/>
            </w:pPr>
            <w:r w:rsidRPr="001745A5">
              <w:rPr>
                <w:b/>
                <w:szCs w:val="20"/>
              </w:rPr>
              <w:t xml:space="preserve">Trial dose </w:t>
            </w:r>
            <w:r>
              <w:rPr>
                <w:b/>
                <w:szCs w:val="20"/>
              </w:rPr>
              <w:t xml:space="preserve">/ </w:t>
            </w:r>
            <w:r w:rsidRPr="001745A5">
              <w:rPr>
                <w:b/>
                <w:szCs w:val="20"/>
              </w:rPr>
              <w:t>duration</w:t>
            </w:r>
          </w:p>
        </w:tc>
        <w:tc>
          <w:tcPr>
            <w:tcW w:w="863" w:type="pct"/>
            <w:shd w:val="clear" w:color="auto" w:fill="auto"/>
            <w:vAlign w:val="center"/>
          </w:tcPr>
          <w:p w14:paraId="53AFAD67" w14:textId="77777777" w:rsidR="009B1B01" w:rsidRPr="00E2771E" w:rsidRDefault="009B1B01" w:rsidP="00C407DD">
            <w:pPr>
              <w:pStyle w:val="TableText0"/>
              <w:jc w:val="center"/>
            </w:pPr>
            <w:r w:rsidRPr="001745A5">
              <w:rPr>
                <w:b/>
                <w:szCs w:val="20"/>
              </w:rPr>
              <w:t>Model</w:t>
            </w:r>
          </w:p>
        </w:tc>
        <w:tc>
          <w:tcPr>
            <w:tcW w:w="755" w:type="pct"/>
            <w:vAlign w:val="center"/>
          </w:tcPr>
          <w:p w14:paraId="159C29FA" w14:textId="77777777" w:rsidR="009B1B01" w:rsidRDefault="009B1B01" w:rsidP="00C407DD">
            <w:pPr>
              <w:pStyle w:val="TableText0"/>
              <w:jc w:val="center"/>
            </w:pPr>
            <w:r w:rsidRPr="001745A5">
              <w:rPr>
                <w:b/>
                <w:szCs w:val="20"/>
              </w:rPr>
              <w:t>Financial estimates</w:t>
            </w:r>
          </w:p>
        </w:tc>
      </w:tr>
      <w:tr w:rsidR="009B1B01" w:rsidRPr="00E2771E" w14:paraId="34110F78" w14:textId="77777777" w:rsidTr="003A44AB">
        <w:trPr>
          <w:cantSplit/>
          <w:jc w:val="center"/>
        </w:trPr>
        <w:tc>
          <w:tcPr>
            <w:tcW w:w="705" w:type="pct"/>
            <w:shd w:val="clear" w:color="auto" w:fill="auto"/>
            <w:vAlign w:val="center"/>
          </w:tcPr>
          <w:p w14:paraId="4A48C76F" w14:textId="77777777" w:rsidR="009B1B01" w:rsidRPr="001F5BDA" w:rsidRDefault="009B1B01" w:rsidP="00C407DD">
            <w:pPr>
              <w:pStyle w:val="TableText0"/>
              <w:rPr>
                <w:lang w:val="en-US"/>
              </w:rPr>
            </w:pPr>
            <w:r w:rsidRPr="001745A5">
              <w:rPr>
                <w:szCs w:val="20"/>
                <w:lang w:val="en-US"/>
              </w:rPr>
              <w:t>Mean dose</w:t>
            </w:r>
          </w:p>
        </w:tc>
        <w:tc>
          <w:tcPr>
            <w:tcW w:w="2196" w:type="pct"/>
            <w:gridSpan w:val="3"/>
            <w:shd w:val="clear" w:color="auto" w:fill="auto"/>
            <w:vAlign w:val="center"/>
          </w:tcPr>
          <w:p w14:paraId="6517BBC6" w14:textId="77777777" w:rsidR="009B1B01" w:rsidRPr="00CE5952" w:rsidRDefault="009B1B01" w:rsidP="00C407DD">
            <w:pPr>
              <w:pStyle w:val="TableText0"/>
              <w:jc w:val="center"/>
            </w:pPr>
            <w:r w:rsidRPr="00D27CEC">
              <w:t>OLA</w:t>
            </w:r>
            <w:r>
              <w:t xml:space="preserve">: </w:t>
            </w:r>
            <w:r w:rsidRPr="00D27CEC">
              <w:t>600mg/day</w:t>
            </w:r>
            <w:r>
              <w:t xml:space="preserve">, </w:t>
            </w:r>
            <w:r w:rsidRPr="00D27CEC">
              <w:t>ABI</w:t>
            </w:r>
            <w:r>
              <w:t xml:space="preserve">: </w:t>
            </w:r>
            <w:r w:rsidRPr="00D27CEC">
              <w:t>1000mg/day</w:t>
            </w:r>
            <w:r>
              <w:t xml:space="preserve">, </w:t>
            </w:r>
            <w:r w:rsidRPr="00D27CEC">
              <w:t>Pred</w:t>
            </w:r>
            <w:r>
              <w:t xml:space="preserve">: </w:t>
            </w:r>
            <w:r w:rsidRPr="00D27CEC">
              <w:t>10mg/day</w:t>
            </w:r>
          </w:p>
        </w:tc>
        <w:tc>
          <w:tcPr>
            <w:tcW w:w="2098" w:type="pct"/>
            <w:gridSpan w:val="3"/>
            <w:shd w:val="clear" w:color="auto" w:fill="auto"/>
            <w:vAlign w:val="center"/>
          </w:tcPr>
          <w:p w14:paraId="5A8B7B96" w14:textId="77777777" w:rsidR="009B1B01" w:rsidRPr="004A3B7F" w:rsidRDefault="009B1B01" w:rsidP="00C407DD">
            <w:pPr>
              <w:pStyle w:val="TableText0"/>
              <w:jc w:val="center"/>
            </w:pPr>
            <w:r w:rsidRPr="00D27CEC">
              <w:t>ABI</w:t>
            </w:r>
            <w:r>
              <w:t>:</w:t>
            </w:r>
            <w:r w:rsidRPr="00D27CEC">
              <w:t>1000mg/day</w:t>
            </w:r>
            <w:r>
              <w:t xml:space="preserve">, </w:t>
            </w:r>
            <w:r w:rsidRPr="00D27CEC">
              <w:t>Pred</w:t>
            </w:r>
            <w:r>
              <w:t>:</w:t>
            </w:r>
            <w:r w:rsidRPr="00D27CEC">
              <w:t>10mg/day</w:t>
            </w:r>
            <w:r>
              <w:t xml:space="preserve">, </w:t>
            </w:r>
            <w:r w:rsidRPr="00D27CEC">
              <w:t>ENZ</w:t>
            </w:r>
            <w:r>
              <w:t>:</w:t>
            </w:r>
            <w:r w:rsidRPr="00D27CEC">
              <w:t>160mg/day</w:t>
            </w:r>
          </w:p>
        </w:tc>
      </w:tr>
      <w:tr w:rsidR="009B1B01" w:rsidRPr="00E2771E" w14:paraId="69305068" w14:textId="77777777" w:rsidTr="003A44AB">
        <w:trPr>
          <w:cantSplit/>
          <w:jc w:val="center"/>
        </w:trPr>
        <w:tc>
          <w:tcPr>
            <w:tcW w:w="705" w:type="pct"/>
            <w:shd w:val="clear" w:color="auto" w:fill="auto"/>
            <w:vAlign w:val="center"/>
          </w:tcPr>
          <w:p w14:paraId="0D8B509A" w14:textId="77777777" w:rsidR="009B1B01" w:rsidRPr="001F5BDA" w:rsidRDefault="009B1B01" w:rsidP="00C407DD">
            <w:pPr>
              <w:pStyle w:val="TableText0"/>
              <w:rPr>
                <w:lang w:val="en-US"/>
              </w:rPr>
            </w:pPr>
            <w:r w:rsidRPr="00D27CEC">
              <w:t>Mean treatment duration (days)</w:t>
            </w:r>
          </w:p>
        </w:tc>
        <w:tc>
          <w:tcPr>
            <w:tcW w:w="507" w:type="pct"/>
            <w:shd w:val="clear" w:color="auto" w:fill="auto"/>
            <w:vAlign w:val="center"/>
          </w:tcPr>
          <w:p w14:paraId="349FEDE7" w14:textId="77777777" w:rsidR="009B1B01" w:rsidRPr="00E2771E" w:rsidRDefault="009B1B01" w:rsidP="00C407DD">
            <w:pPr>
              <w:pStyle w:val="TableText0"/>
              <w:jc w:val="center"/>
              <w:rPr>
                <w:b/>
                <w:lang w:val="en-US"/>
              </w:rPr>
            </w:pPr>
            <w:r>
              <w:rPr>
                <w:iCs/>
              </w:rPr>
              <w:t>NR</w:t>
            </w:r>
            <w:r>
              <w:rPr>
                <w:vertAlign w:val="superscript"/>
              </w:rPr>
              <w:t xml:space="preserve"> a</w:t>
            </w:r>
          </w:p>
        </w:tc>
        <w:tc>
          <w:tcPr>
            <w:tcW w:w="848" w:type="pct"/>
            <w:shd w:val="clear" w:color="auto" w:fill="auto"/>
            <w:vAlign w:val="center"/>
          </w:tcPr>
          <w:p w14:paraId="7676751B" w14:textId="77777777" w:rsidR="009B1B01" w:rsidRDefault="009B1B01" w:rsidP="00C407DD">
            <w:pPr>
              <w:pStyle w:val="TableText0"/>
              <w:jc w:val="center"/>
              <w:rPr>
                <w:b/>
                <w:lang w:val="en-US"/>
              </w:rPr>
            </w:pPr>
            <w:r w:rsidRPr="00D27CEC">
              <w:t>1,261 days</w:t>
            </w:r>
          </w:p>
        </w:tc>
        <w:tc>
          <w:tcPr>
            <w:tcW w:w="842" w:type="pct"/>
            <w:shd w:val="clear" w:color="auto" w:fill="auto"/>
            <w:vAlign w:val="center"/>
          </w:tcPr>
          <w:p w14:paraId="397783DF" w14:textId="77777777" w:rsidR="009B1B01" w:rsidRDefault="009B1B01" w:rsidP="00C407DD">
            <w:pPr>
              <w:pStyle w:val="TableText0"/>
              <w:jc w:val="center"/>
              <w:rPr>
                <w:b/>
                <w:lang w:val="en-US"/>
              </w:rPr>
            </w:pPr>
            <w:r w:rsidRPr="00D27CEC">
              <w:t>1,261 days</w:t>
            </w:r>
          </w:p>
        </w:tc>
        <w:tc>
          <w:tcPr>
            <w:tcW w:w="480" w:type="pct"/>
            <w:shd w:val="clear" w:color="auto" w:fill="auto"/>
            <w:vAlign w:val="center"/>
          </w:tcPr>
          <w:p w14:paraId="390ACD9D" w14:textId="77777777" w:rsidR="009B1B01" w:rsidRDefault="009B1B01" w:rsidP="00C407DD">
            <w:pPr>
              <w:pStyle w:val="TableText0"/>
              <w:jc w:val="center"/>
              <w:rPr>
                <w:b/>
                <w:lang w:val="en-US"/>
              </w:rPr>
            </w:pPr>
            <w:r>
              <w:t>NR</w:t>
            </w:r>
            <w:r w:rsidRPr="006A752C">
              <w:rPr>
                <w:vertAlign w:val="superscript"/>
              </w:rPr>
              <w:t xml:space="preserve"> </w:t>
            </w:r>
            <w:r>
              <w:rPr>
                <w:vertAlign w:val="superscript"/>
              </w:rPr>
              <w:t>a</w:t>
            </w:r>
          </w:p>
        </w:tc>
        <w:tc>
          <w:tcPr>
            <w:tcW w:w="863" w:type="pct"/>
            <w:shd w:val="clear" w:color="auto" w:fill="auto"/>
            <w:vAlign w:val="center"/>
          </w:tcPr>
          <w:p w14:paraId="6E7EE470" w14:textId="77777777" w:rsidR="009B1B01" w:rsidRDefault="009B1B01" w:rsidP="00C407DD">
            <w:pPr>
              <w:pStyle w:val="TableText0"/>
              <w:jc w:val="center"/>
              <w:rPr>
                <w:b/>
                <w:lang w:val="en-US"/>
              </w:rPr>
            </w:pPr>
            <w:r w:rsidRPr="00D27CEC">
              <w:t>433 days</w:t>
            </w:r>
          </w:p>
        </w:tc>
        <w:tc>
          <w:tcPr>
            <w:tcW w:w="755" w:type="pct"/>
            <w:vAlign w:val="center"/>
          </w:tcPr>
          <w:p w14:paraId="150E85D1" w14:textId="77777777" w:rsidR="009B1B01" w:rsidRDefault="009B1B01" w:rsidP="00C407DD">
            <w:pPr>
              <w:pStyle w:val="TableText0"/>
              <w:jc w:val="center"/>
              <w:rPr>
                <w:b/>
                <w:lang w:val="en-US"/>
              </w:rPr>
            </w:pPr>
            <w:r w:rsidRPr="00D27CEC">
              <w:t>433 days</w:t>
            </w:r>
          </w:p>
        </w:tc>
      </w:tr>
      <w:tr w:rsidR="009B1B01" w:rsidRPr="00E2771E" w14:paraId="1170D12F" w14:textId="77777777" w:rsidTr="003A44AB">
        <w:trPr>
          <w:cantSplit/>
          <w:jc w:val="center"/>
        </w:trPr>
        <w:tc>
          <w:tcPr>
            <w:tcW w:w="705" w:type="pct"/>
            <w:shd w:val="clear" w:color="auto" w:fill="auto"/>
            <w:vAlign w:val="center"/>
          </w:tcPr>
          <w:p w14:paraId="7D89896F" w14:textId="77777777" w:rsidR="009B1B01" w:rsidRPr="001745A5" w:rsidRDefault="009B1B01" w:rsidP="00C407DD">
            <w:pPr>
              <w:pStyle w:val="TableText0"/>
              <w:rPr>
                <w:szCs w:val="20"/>
                <w:lang w:val="en-US"/>
              </w:rPr>
            </w:pPr>
            <w:r w:rsidRPr="000E547B">
              <w:rPr>
                <w:rFonts w:eastAsia="Times New Roman" w:cs="Times New Roman"/>
                <w:bCs w:val="0"/>
                <w:szCs w:val="20"/>
                <w:lang w:val="en-US" w:eastAsia="en-GB"/>
              </w:rPr>
              <w:t>Total mg administered</w:t>
            </w:r>
          </w:p>
        </w:tc>
        <w:tc>
          <w:tcPr>
            <w:tcW w:w="507" w:type="pct"/>
            <w:shd w:val="clear" w:color="auto" w:fill="auto"/>
            <w:vAlign w:val="center"/>
          </w:tcPr>
          <w:p w14:paraId="206A577E" w14:textId="77777777" w:rsidR="009B1B01" w:rsidRPr="00D27CEC" w:rsidRDefault="009B1B01" w:rsidP="00C407DD">
            <w:pPr>
              <w:pStyle w:val="TableText0"/>
              <w:jc w:val="center"/>
            </w:pPr>
            <w:r>
              <w:t>NC</w:t>
            </w:r>
          </w:p>
        </w:tc>
        <w:tc>
          <w:tcPr>
            <w:tcW w:w="848" w:type="pct"/>
            <w:shd w:val="clear" w:color="auto" w:fill="auto"/>
            <w:vAlign w:val="center"/>
          </w:tcPr>
          <w:p w14:paraId="2AAB5378" w14:textId="52010DC3" w:rsidR="009B1B01" w:rsidRPr="00021AA5" w:rsidRDefault="009B1B01" w:rsidP="00C407DD">
            <w:pPr>
              <w:pStyle w:val="TableText0"/>
              <w:jc w:val="center"/>
            </w:pPr>
            <w:r w:rsidRPr="00021AA5">
              <w:t>OLA</w:t>
            </w:r>
            <w:r w:rsidRPr="00021AA5">
              <w:rPr>
                <w:vertAlign w:val="superscript"/>
              </w:rPr>
              <w:t>b</w:t>
            </w:r>
            <w:r w:rsidRPr="00021AA5">
              <w:t xml:space="preserve">: </w:t>
            </w:r>
            <w:r w:rsidRPr="00021AA5">
              <w:rPr>
                <w:lang w:val="en-US"/>
              </w:rPr>
              <w:t>693,802</w:t>
            </w:r>
            <w:r w:rsidR="003A44AB" w:rsidRPr="00021AA5">
              <w:rPr>
                <w:lang w:val="en-US"/>
              </w:rPr>
              <w:t xml:space="preserve"> </w:t>
            </w:r>
            <w:r w:rsidRPr="00021AA5">
              <w:rPr>
                <w:lang w:val="en-US"/>
              </w:rPr>
              <w:t>mg</w:t>
            </w:r>
          </w:p>
          <w:p w14:paraId="09ADDC24" w14:textId="491FC429" w:rsidR="009B1B01" w:rsidRPr="00CE5952" w:rsidRDefault="009B1B01" w:rsidP="00C407DD">
            <w:pPr>
              <w:pStyle w:val="TableText0"/>
              <w:jc w:val="center"/>
              <w:rPr>
                <w:i/>
                <w:iCs/>
              </w:rPr>
            </w:pPr>
            <w:r w:rsidRPr="00021AA5">
              <w:t>ABI</w:t>
            </w:r>
            <w:r w:rsidRPr="00021AA5">
              <w:rPr>
                <w:vertAlign w:val="superscript"/>
              </w:rPr>
              <w:t>b</w:t>
            </w:r>
            <w:r w:rsidRPr="00021AA5">
              <w:t>: 1,214,343</w:t>
            </w:r>
            <w:r w:rsidR="003A44AB" w:rsidRPr="00021AA5">
              <w:t xml:space="preserve"> </w:t>
            </w:r>
            <w:r w:rsidRPr="00021AA5">
              <w:t>mg</w:t>
            </w:r>
          </w:p>
        </w:tc>
        <w:tc>
          <w:tcPr>
            <w:tcW w:w="842" w:type="pct"/>
            <w:shd w:val="clear" w:color="auto" w:fill="auto"/>
            <w:vAlign w:val="center"/>
          </w:tcPr>
          <w:p w14:paraId="6DE317BC" w14:textId="7F45A272" w:rsidR="009B1B01" w:rsidRPr="00021AA5" w:rsidRDefault="009B1B01" w:rsidP="00C407DD">
            <w:pPr>
              <w:pStyle w:val="TableText0"/>
              <w:jc w:val="center"/>
            </w:pPr>
            <w:r w:rsidRPr="00021AA5">
              <w:t>OLA</w:t>
            </w:r>
            <w:r w:rsidRPr="00021AA5">
              <w:rPr>
                <w:vertAlign w:val="superscript"/>
              </w:rPr>
              <w:t>c</w:t>
            </w:r>
            <w:r w:rsidRPr="00021AA5">
              <w:t xml:space="preserve">: </w:t>
            </w:r>
            <w:r>
              <w:rPr>
                <w:lang w:val="en-US"/>
              </w:rPr>
              <w:t>696,072</w:t>
            </w:r>
            <w:r w:rsidR="003A44AB">
              <w:rPr>
                <w:lang w:val="en-US"/>
              </w:rPr>
              <w:t xml:space="preserve"> </w:t>
            </w:r>
            <w:r>
              <w:rPr>
                <w:lang w:val="en-US"/>
              </w:rPr>
              <w:t>mg</w:t>
            </w:r>
          </w:p>
          <w:p w14:paraId="3C126C27" w14:textId="6A096302" w:rsidR="009B1B01" w:rsidRDefault="009B1B01" w:rsidP="00C407DD">
            <w:pPr>
              <w:pStyle w:val="TableText0"/>
              <w:jc w:val="center"/>
              <w:rPr>
                <w:lang w:val="en-US"/>
              </w:rPr>
            </w:pPr>
            <w:r w:rsidRPr="00021AA5">
              <w:t>ABI</w:t>
            </w:r>
            <w:r w:rsidRPr="00021AA5">
              <w:rPr>
                <w:vertAlign w:val="superscript"/>
              </w:rPr>
              <w:t>c</w:t>
            </w:r>
            <w:r w:rsidRPr="00021AA5">
              <w:t>: 1,223,170</w:t>
            </w:r>
            <w:r w:rsidR="003A44AB" w:rsidRPr="00021AA5">
              <w:t xml:space="preserve"> </w:t>
            </w:r>
            <w:r w:rsidRPr="00021AA5">
              <w:t>mg</w:t>
            </w:r>
          </w:p>
        </w:tc>
        <w:tc>
          <w:tcPr>
            <w:tcW w:w="480" w:type="pct"/>
            <w:shd w:val="clear" w:color="auto" w:fill="auto"/>
            <w:vAlign w:val="center"/>
          </w:tcPr>
          <w:p w14:paraId="29CBDA87" w14:textId="77777777" w:rsidR="009B1B01" w:rsidRPr="007829B6" w:rsidRDefault="009B1B01" w:rsidP="00C407DD">
            <w:pPr>
              <w:pStyle w:val="TableText0"/>
              <w:jc w:val="center"/>
            </w:pPr>
            <w:r>
              <w:t>NC</w:t>
            </w:r>
          </w:p>
        </w:tc>
        <w:tc>
          <w:tcPr>
            <w:tcW w:w="863" w:type="pct"/>
            <w:shd w:val="clear" w:color="auto" w:fill="auto"/>
            <w:vAlign w:val="center"/>
          </w:tcPr>
          <w:p w14:paraId="0C8B3607" w14:textId="43F45392" w:rsidR="009B1B01" w:rsidRPr="00021AA5" w:rsidRDefault="009B1B01" w:rsidP="00C407DD">
            <w:pPr>
              <w:pStyle w:val="TableText0"/>
              <w:jc w:val="center"/>
            </w:pPr>
            <w:r w:rsidRPr="00021AA5">
              <w:t>ABI: 416,979</w:t>
            </w:r>
            <w:r w:rsidR="003A44AB" w:rsidRPr="00021AA5">
              <w:t xml:space="preserve"> </w:t>
            </w:r>
            <w:r w:rsidRPr="00021AA5">
              <w:t>mg</w:t>
            </w:r>
          </w:p>
          <w:p w14:paraId="53A45ADF" w14:textId="0CF4E5FC" w:rsidR="009B1B01" w:rsidRPr="007829B6" w:rsidRDefault="009B1B01" w:rsidP="00C407DD">
            <w:pPr>
              <w:pStyle w:val="TableText0"/>
              <w:jc w:val="center"/>
            </w:pPr>
            <w:r w:rsidRPr="00021AA5">
              <w:t>ENZ: 66,716</w:t>
            </w:r>
            <w:r w:rsidR="003A44AB" w:rsidRPr="00021AA5">
              <w:t xml:space="preserve"> </w:t>
            </w:r>
            <w:r w:rsidRPr="00021AA5">
              <w:t>mg</w:t>
            </w:r>
          </w:p>
        </w:tc>
        <w:tc>
          <w:tcPr>
            <w:tcW w:w="755" w:type="pct"/>
            <w:vAlign w:val="center"/>
          </w:tcPr>
          <w:p w14:paraId="633EFCEB" w14:textId="56763AFF" w:rsidR="009B1B01" w:rsidRPr="00021AA5" w:rsidRDefault="009B1B01" w:rsidP="00C407DD">
            <w:pPr>
              <w:pStyle w:val="TableText0"/>
              <w:jc w:val="center"/>
            </w:pPr>
            <w:r w:rsidRPr="00021AA5">
              <w:t>ABI: 420,010</w:t>
            </w:r>
            <w:r w:rsidR="003A44AB" w:rsidRPr="00021AA5">
              <w:t xml:space="preserve"> </w:t>
            </w:r>
            <w:r w:rsidRPr="00021AA5">
              <w:t>mg</w:t>
            </w:r>
          </w:p>
          <w:p w14:paraId="0279B065" w14:textId="2385B2A5" w:rsidR="009B1B01" w:rsidRPr="00E2771E" w:rsidRDefault="009B1B01" w:rsidP="00C407DD">
            <w:pPr>
              <w:pStyle w:val="TableText0"/>
              <w:jc w:val="center"/>
              <w:rPr>
                <w:lang w:val="en-US"/>
              </w:rPr>
            </w:pPr>
            <w:r w:rsidRPr="00021AA5">
              <w:t>ENZ: 67,202</w:t>
            </w:r>
            <w:r w:rsidR="003A44AB" w:rsidRPr="00021AA5">
              <w:t xml:space="preserve"> </w:t>
            </w:r>
            <w:r w:rsidRPr="00021AA5">
              <w:t>mg</w:t>
            </w:r>
          </w:p>
        </w:tc>
      </w:tr>
      <w:tr w:rsidR="009B1B01" w:rsidRPr="00E2771E" w14:paraId="2B9BCF3F" w14:textId="77777777" w:rsidTr="003A44AB">
        <w:trPr>
          <w:cantSplit/>
          <w:jc w:val="center"/>
        </w:trPr>
        <w:tc>
          <w:tcPr>
            <w:tcW w:w="705" w:type="pct"/>
            <w:shd w:val="clear" w:color="auto" w:fill="auto"/>
            <w:vAlign w:val="center"/>
          </w:tcPr>
          <w:p w14:paraId="3015BE49" w14:textId="77777777" w:rsidR="009B1B01" w:rsidRPr="00E2771E" w:rsidRDefault="009B1B01" w:rsidP="00C407DD">
            <w:pPr>
              <w:pStyle w:val="TableText0"/>
              <w:rPr>
                <w:lang w:val="en-US"/>
              </w:rPr>
            </w:pPr>
            <w:r w:rsidRPr="001745A5">
              <w:rPr>
                <w:szCs w:val="20"/>
                <w:lang w:val="en-US"/>
              </w:rPr>
              <w:t>Cost/patient/</w:t>
            </w:r>
            <w:r>
              <w:rPr>
                <w:szCs w:val="20"/>
                <w:lang w:val="en-US"/>
              </w:rPr>
              <w:t xml:space="preserve"> </w:t>
            </w:r>
            <w:r w:rsidRPr="001745A5">
              <w:rPr>
                <w:szCs w:val="20"/>
                <w:lang w:val="en-US"/>
              </w:rPr>
              <w:t>month</w:t>
            </w:r>
            <w:r>
              <w:rPr>
                <w:vertAlign w:val="superscript"/>
              </w:rPr>
              <w:t xml:space="preserve"> </w:t>
            </w:r>
          </w:p>
        </w:tc>
        <w:tc>
          <w:tcPr>
            <w:tcW w:w="507" w:type="pct"/>
            <w:shd w:val="clear" w:color="auto" w:fill="auto"/>
            <w:vAlign w:val="center"/>
          </w:tcPr>
          <w:p w14:paraId="4D31C891" w14:textId="77777777" w:rsidR="009B1B01" w:rsidRPr="00E2771E" w:rsidRDefault="009B1B01" w:rsidP="00C407DD">
            <w:pPr>
              <w:pStyle w:val="TableText0"/>
              <w:jc w:val="center"/>
              <w:rPr>
                <w:lang w:val="en-US"/>
              </w:rPr>
            </w:pPr>
            <w:r w:rsidRPr="00D27CEC">
              <w:t>NR</w:t>
            </w:r>
          </w:p>
        </w:tc>
        <w:tc>
          <w:tcPr>
            <w:tcW w:w="848" w:type="pct"/>
            <w:shd w:val="clear" w:color="auto" w:fill="auto"/>
            <w:vAlign w:val="center"/>
          </w:tcPr>
          <w:p w14:paraId="09E8388C" w14:textId="51120A14" w:rsidR="009B1B01" w:rsidRPr="007829B6" w:rsidRDefault="009B1B01" w:rsidP="00C407DD">
            <w:pPr>
              <w:pStyle w:val="TableText0"/>
              <w:jc w:val="center"/>
            </w:pPr>
            <w:r w:rsidRPr="007829B6">
              <w:t>OLA: $</w:t>
            </w:r>
            <w:r w:rsidR="003C22C5" w:rsidRPr="003C22C5">
              <w:t xml:space="preserve"> </w:t>
            </w:r>
            <w:r w:rsidR="00B7116A" w:rsidRPr="00B7116A">
              <w:rPr>
                <w:rFonts w:hint="eastAsia"/>
                <w:color w:val="000000"/>
                <w:w w:val="19"/>
                <w:shd w:val="solid" w:color="000000" w:fill="000000"/>
                <w:fitText w:val="88" w:id="-1031540728"/>
                <w14:textFill>
                  <w14:solidFill>
                    <w14:srgbClr w14:val="000000">
                      <w14:alpha w14:val="100000"/>
                    </w14:srgbClr>
                  </w14:solidFill>
                </w14:textFill>
              </w:rPr>
              <w:t xml:space="preserve">　</w:t>
            </w:r>
            <w:r w:rsidR="00B7116A" w:rsidRPr="00B7116A">
              <w:rPr>
                <w:color w:val="000000"/>
                <w:w w:val="19"/>
                <w:shd w:val="solid" w:color="000000" w:fill="000000"/>
                <w:fitText w:val="88" w:id="-1031540728"/>
                <w14:textFill>
                  <w14:solidFill>
                    <w14:srgbClr w14:val="000000">
                      <w14:alpha w14:val="100000"/>
                    </w14:srgbClr>
                  </w14:solidFill>
                </w14:textFill>
              </w:rPr>
              <w:t>|</w:t>
            </w:r>
            <w:r w:rsidR="00B7116A" w:rsidRPr="00B7116A">
              <w:rPr>
                <w:rFonts w:hint="eastAsia"/>
                <w:color w:val="000000"/>
                <w:spacing w:val="4"/>
                <w:w w:val="19"/>
                <w:shd w:val="solid" w:color="000000" w:fill="000000"/>
                <w:fitText w:val="88" w:id="-1031540728"/>
                <w14:textFill>
                  <w14:solidFill>
                    <w14:srgbClr w14:val="000000">
                      <w14:alpha w14:val="100000"/>
                    </w14:srgbClr>
                  </w14:solidFill>
                </w14:textFill>
              </w:rPr>
              <w:t xml:space="preserve">　</w:t>
            </w:r>
          </w:p>
          <w:p w14:paraId="2CCE0C7B" w14:textId="0B934D0E" w:rsidR="009B1B01" w:rsidRPr="007829B6" w:rsidRDefault="009B1B01" w:rsidP="00C407DD">
            <w:pPr>
              <w:pStyle w:val="TableText0"/>
              <w:jc w:val="center"/>
            </w:pPr>
            <w:r w:rsidRPr="007829B6">
              <w:t>ABI+ Pred: $</w:t>
            </w:r>
            <w:r w:rsidR="003C22C5" w:rsidRPr="003C22C5">
              <w:t xml:space="preserve"> </w:t>
            </w:r>
            <w:r w:rsidR="00B7116A" w:rsidRPr="00B7116A">
              <w:rPr>
                <w:color w:val="000000"/>
                <w:spacing w:val="214"/>
                <w:shd w:val="solid" w:color="000000" w:fill="000000"/>
                <w:fitText w:val="300" w:id="-1031540727"/>
                <w14:textFill>
                  <w14:solidFill>
                    <w14:srgbClr w14:val="000000">
                      <w14:alpha w14:val="100000"/>
                    </w14:srgbClr>
                  </w14:solidFill>
                </w14:textFill>
              </w:rPr>
              <w:t>|</w:t>
            </w:r>
            <w:r w:rsidR="00B7116A" w:rsidRPr="00B7116A">
              <w:rPr>
                <w:color w:val="000000"/>
                <w:spacing w:val="1"/>
                <w:shd w:val="solid" w:color="000000" w:fill="000000"/>
                <w:fitText w:val="300" w:id="-1031540727"/>
                <w14:textFill>
                  <w14:solidFill>
                    <w14:srgbClr w14:val="000000">
                      <w14:alpha w14:val="100000"/>
                    </w14:srgbClr>
                  </w14:solidFill>
                </w14:textFill>
              </w:rPr>
              <w:t>|</w:t>
            </w:r>
          </w:p>
          <w:p w14:paraId="77C1984E" w14:textId="1D7FACAF" w:rsidR="009B1B01" w:rsidRPr="007829B6" w:rsidRDefault="009B1B01" w:rsidP="00C407DD">
            <w:pPr>
              <w:pStyle w:val="TableText0"/>
              <w:jc w:val="center"/>
              <w:rPr>
                <w:lang w:val="en-US"/>
              </w:rPr>
            </w:pPr>
            <w:r w:rsidRPr="007829B6">
              <w:t>Total: $</w:t>
            </w:r>
            <w:r w:rsidR="003C22C5" w:rsidRPr="003C22C5">
              <w:t xml:space="preserve"> </w:t>
            </w:r>
            <w:r w:rsidR="00B7116A" w:rsidRPr="00B7116A">
              <w:rPr>
                <w:rFonts w:hint="eastAsia"/>
                <w:color w:val="000000"/>
                <w:w w:val="22"/>
                <w:shd w:val="solid" w:color="000000" w:fill="000000"/>
                <w:fitText w:val="100" w:id="-1031540726"/>
                <w14:textFill>
                  <w14:solidFill>
                    <w14:srgbClr w14:val="000000">
                      <w14:alpha w14:val="100000"/>
                    </w14:srgbClr>
                  </w14:solidFill>
                </w14:textFill>
              </w:rPr>
              <w:t xml:space="preserve">　</w:t>
            </w:r>
            <w:r w:rsidR="00B7116A" w:rsidRPr="00B7116A">
              <w:rPr>
                <w:color w:val="000000"/>
                <w:w w:val="22"/>
                <w:shd w:val="solid" w:color="000000" w:fill="000000"/>
                <w:fitText w:val="100" w:id="-1031540726"/>
                <w14:textFill>
                  <w14:solidFill>
                    <w14:srgbClr w14:val="000000">
                      <w14:alpha w14:val="100000"/>
                    </w14:srgbClr>
                  </w14:solidFill>
                </w14:textFill>
              </w:rPr>
              <w:t>|</w:t>
            </w:r>
            <w:r w:rsidR="00B7116A" w:rsidRPr="00B7116A">
              <w:rPr>
                <w:rFonts w:hint="eastAsia"/>
                <w:color w:val="000000"/>
                <w:spacing w:val="3"/>
                <w:w w:val="22"/>
                <w:shd w:val="solid" w:color="000000" w:fill="000000"/>
                <w:fitText w:val="100" w:id="-1031540726"/>
                <w14:textFill>
                  <w14:solidFill>
                    <w14:srgbClr w14:val="000000">
                      <w14:alpha w14:val="100000"/>
                    </w14:srgbClr>
                  </w14:solidFill>
                </w14:textFill>
              </w:rPr>
              <w:t xml:space="preserve">　</w:t>
            </w:r>
          </w:p>
        </w:tc>
        <w:tc>
          <w:tcPr>
            <w:tcW w:w="842" w:type="pct"/>
            <w:shd w:val="clear" w:color="auto" w:fill="auto"/>
            <w:vAlign w:val="center"/>
          </w:tcPr>
          <w:p w14:paraId="58FCEF6E" w14:textId="77777777" w:rsidR="009B1B01" w:rsidRPr="007829B6" w:rsidRDefault="009B1B01" w:rsidP="00C407DD">
            <w:pPr>
              <w:pStyle w:val="TableText0"/>
              <w:jc w:val="center"/>
              <w:rPr>
                <w:lang w:val="en-US"/>
              </w:rPr>
            </w:pPr>
            <w:r>
              <w:rPr>
                <w:lang w:val="en-US"/>
              </w:rPr>
              <w:t>NR</w:t>
            </w:r>
          </w:p>
        </w:tc>
        <w:tc>
          <w:tcPr>
            <w:tcW w:w="480" w:type="pct"/>
            <w:shd w:val="clear" w:color="auto" w:fill="auto"/>
            <w:vAlign w:val="center"/>
          </w:tcPr>
          <w:p w14:paraId="7A7A3BFA" w14:textId="77777777" w:rsidR="009B1B01" w:rsidRPr="007829B6" w:rsidRDefault="009B1B01" w:rsidP="00C407DD">
            <w:pPr>
              <w:pStyle w:val="TableText0"/>
              <w:jc w:val="center"/>
              <w:rPr>
                <w:lang w:val="en-US"/>
              </w:rPr>
            </w:pPr>
            <w:r w:rsidRPr="007829B6">
              <w:t>NR</w:t>
            </w:r>
          </w:p>
        </w:tc>
        <w:tc>
          <w:tcPr>
            <w:tcW w:w="863" w:type="pct"/>
            <w:shd w:val="clear" w:color="auto" w:fill="auto"/>
            <w:vAlign w:val="center"/>
          </w:tcPr>
          <w:p w14:paraId="3E5BF10A" w14:textId="77777777" w:rsidR="009B1B01" w:rsidRPr="005E4A16" w:rsidRDefault="009B1B01" w:rsidP="00C407DD">
            <w:pPr>
              <w:pStyle w:val="TableText0"/>
              <w:jc w:val="center"/>
            </w:pPr>
            <w:r w:rsidRPr="005E4A16">
              <w:t>ABI+Pred: $1,278.84</w:t>
            </w:r>
          </w:p>
          <w:p w14:paraId="683AD2FD" w14:textId="77777777" w:rsidR="009B1B01" w:rsidRPr="005E4A16" w:rsidRDefault="009B1B01" w:rsidP="00C407DD">
            <w:pPr>
              <w:pStyle w:val="TableText0"/>
              <w:jc w:val="center"/>
            </w:pPr>
            <w:r w:rsidRPr="005E4A16">
              <w:t>ENZ: $1,329.60</w:t>
            </w:r>
          </w:p>
          <w:p w14:paraId="33BD2341" w14:textId="77777777" w:rsidR="009B1B01" w:rsidRPr="005E4A16" w:rsidRDefault="009B1B01" w:rsidP="00C407DD">
            <w:pPr>
              <w:pStyle w:val="TableText0"/>
              <w:jc w:val="center"/>
              <w:rPr>
                <w:lang w:val="en-US"/>
              </w:rPr>
            </w:pPr>
            <w:r w:rsidRPr="005E4A16">
              <w:t xml:space="preserve">Mean </w:t>
            </w:r>
            <w:r w:rsidRPr="005E4A16">
              <w:rPr>
                <w:vertAlign w:val="superscript"/>
              </w:rPr>
              <w:t>d</w:t>
            </w:r>
            <w:r w:rsidRPr="005E4A16">
              <w:t>: $1,310.82</w:t>
            </w:r>
          </w:p>
        </w:tc>
        <w:tc>
          <w:tcPr>
            <w:tcW w:w="755" w:type="pct"/>
            <w:vMerge w:val="restart"/>
            <w:vAlign w:val="center"/>
          </w:tcPr>
          <w:p w14:paraId="79FE4B4D" w14:textId="77777777" w:rsidR="009B1B01" w:rsidRPr="00E2771E" w:rsidRDefault="009B1B01" w:rsidP="00C407DD">
            <w:pPr>
              <w:pStyle w:val="TableText0"/>
              <w:jc w:val="center"/>
              <w:rPr>
                <w:lang w:val="en-US"/>
              </w:rPr>
            </w:pPr>
            <w:r>
              <w:rPr>
                <w:lang w:val="en-US"/>
              </w:rPr>
              <w:t>NR</w:t>
            </w:r>
          </w:p>
        </w:tc>
      </w:tr>
      <w:tr w:rsidR="009B1B01" w:rsidRPr="00E2771E" w14:paraId="6C6CCEB7" w14:textId="77777777" w:rsidTr="003A44AB">
        <w:trPr>
          <w:cantSplit/>
          <w:trHeight w:val="249"/>
          <w:jc w:val="center"/>
        </w:trPr>
        <w:tc>
          <w:tcPr>
            <w:tcW w:w="705" w:type="pct"/>
            <w:shd w:val="clear" w:color="auto" w:fill="auto"/>
            <w:vAlign w:val="center"/>
          </w:tcPr>
          <w:p w14:paraId="136A6A8C" w14:textId="32D8A2B5" w:rsidR="009B1B01" w:rsidRPr="001745A5" w:rsidRDefault="009B1B01" w:rsidP="00C407DD">
            <w:pPr>
              <w:pStyle w:val="TableText0"/>
              <w:rPr>
                <w:szCs w:val="20"/>
                <w:lang w:val="en-US"/>
              </w:rPr>
            </w:pPr>
            <w:r w:rsidRPr="000B37DF">
              <w:rPr>
                <w:szCs w:val="20"/>
                <w:lang w:val="en-US"/>
              </w:rPr>
              <w:t>Cost/patient/</w:t>
            </w:r>
            <w:r w:rsidR="00CF11D7">
              <w:rPr>
                <w:szCs w:val="20"/>
                <w:lang w:val="en-US"/>
              </w:rPr>
              <w:br/>
            </w:r>
            <w:r w:rsidRPr="000B37DF">
              <w:rPr>
                <w:szCs w:val="20"/>
                <w:lang w:val="en-US"/>
              </w:rPr>
              <w:t>course</w:t>
            </w:r>
          </w:p>
        </w:tc>
        <w:tc>
          <w:tcPr>
            <w:tcW w:w="507" w:type="pct"/>
            <w:shd w:val="clear" w:color="auto" w:fill="auto"/>
            <w:vAlign w:val="center"/>
          </w:tcPr>
          <w:p w14:paraId="74863B59" w14:textId="77777777" w:rsidR="009B1B01" w:rsidRPr="001745A5" w:rsidRDefault="009B1B01" w:rsidP="00C407DD">
            <w:pPr>
              <w:pStyle w:val="TableText0"/>
              <w:jc w:val="center"/>
              <w:rPr>
                <w:lang w:val="en-US"/>
              </w:rPr>
            </w:pPr>
            <w:r w:rsidRPr="00D27CEC">
              <w:t>NR</w:t>
            </w:r>
          </w:p>
        </w:tc>
        <w:tc>
          <w:tcPr>
            <w:tcW w:w="848" w:type="pct"/>
            <w:shd w:val="clear" w:color="auto" w:fill="auto"/>
            <w:vAlign w:val="center"/>
          </w:tcPr>
          <w:p w14:paraId="5C9FB1E7" w14:textId="2FEDE204" w:rsidR="009B1B01" w:rsidRPr="001745A5" w:rsidRDefault="009B1B01" w:rsidP="00C407DD">
            <w:pPr>
              <w:pStyle w:val="TableText0"/>
              <w:jc w:val="center"/>
              <w:rPr>
                <w:lang w:val="en-US"/>
              </w:rPr>
            </w:pPr>
            <w:r w:rsidRPr="00D27CEC">
              <w:t>$</w:t>
            </w:r>
            <w:r w:rsidR="003C22C5" w:rsidRPr="003C22C5">
              <w:t xml:space="preserve"> </w:t>
            </w:r>
            <w:r w:rsidR="00B7116A" w:rsidRPr="00B7116A">
              <w:rPr>
                <w:color w:val="000000"/>
                <w:shd w:val="solid" w:color="000000" w:fill="000000"/>
                <w14:textFill>
                  <w14:solidFill>
                    <w14:srgbClr w14:val="000000">
                      <w14:alpha w14:val="100000"/>
                    </w14:srgbClr>
                  </w14:solidFill>
                </w14:textFill>
              </w:rPr>
              <w:t>|</w:t>
            </w:r>
          </w:p>
        </w:tc>
        <w:tc>
          <w:tcPr>
            <w:tcW w:w="842" w:type="pct"/>
            <w:shd w:val="clear" w:color="auto" w:fill="auto"/>
            <w:vAlign w:val="center"/>
          </w:tcPr>
          <w:p w14:paraId="7578CC66" w14:textId="3EF56B59" w:rsidR="009B1B01" w:rsidRPr="00E8743E" w:rsidRDefault="009B1B01" w:rsidP="00C407DD">
            <w:pPr>
              <w:pStyle w:val="TableText0"/>
              <w:jc w:val="center"/>
            </w:pPr>
            <w:r w:rsidRPr="00E8743E">
              <w:t>$</w:t>
            </w:r>
            <w:r w:rsidR="003C22C5" w:rsidRPr="003C22C5">
              <w:t xml:space="preserve"> </w:t>
            </w:r>
            <w:r w:rsidR="00B7116A" w:rsidRPr="00B7116A">
              <w:rPr>
                <w:color w:val="000000"/>
                <w:shd w:val="solid" w:color="000000" w:fill="000000"/>
                <w14:textFill>
                  <w14:solidFill>
                    <w14:srgbClr w14:val="000000">
                      <w14:alpha w14:val="100000"/>
                    </w14:srgbClr>
                  </w14:solidFill>
                </w14:textFill>
              </w:rPr>
              <w:t>|</w:t>
            </w:r>
            <w:r>
              <w:t xml:space="preserve"> </w:t>
            </w:r>
            <w:r w:rsidRPr="00A0764C">
              <w:rPr>
                <w:vertAlign w:val="superscript"/>
              </w:rPr>
              <w:t>e</w:t>
            </w:r>
            <w:r>
              <w:rPr>
                <w:vertAlign w:val="superscript"/>
              </w:rPr>
              <w:t>, f</w:t>
            </w:r>
          </w:p>
        </w:tc>
        <w:tc>
          <w:tcPr>
            <w:tcW w:w="480" w:type="pct"/>
            <w:shd w:val="clear" w:color="auto" w:fill="auto"/>
            <w:vAlign w:val="center"/>
          </w:tcPr>
          <w:p w14:paraId="36464AF5" w14:textId="77777777" w:rsidR="009B1B01" w:rsidRPr="001745A5" w:rsidRDefault="009B1B01" w:rsidP="00C407DD">
            <w:pPr>
              <w:pStyle w:val="TableText0"/>
              <w:jc w:val="center"/>
              <w:rPr>
                <w:lang w:val="en-US"/>
              </w:rPr>
            </w:pPr>
            <w:r w:rsidRPr="00D27CEC">
              <w:t>NR</w:t>
            </w:r>
          </w:p>
        </w:tc>
        <w:tc>
          <w:tcPr>
            <w:tcW w:w="863" w:type="pct"/>
            <w:shd w:val="clear" w:color="auto" w:fill="auto"/>
            <w:vAlign w:val="center"/>
          </w:tcPr>
          <w:p w14:paraId="41B6740B" w14:textId="3FF824AE" w:rsidR="009B1B01" w:rsidRPr="005E4A16" w:rsidRDefault="009B1B01" w:rsidP="00C407DD">
            <w:pPr>
              <w:pStyle w:val="TableText0"/>
              <w:jc w:val="center"/>
              <w:rPr>
                <w:lang w:val="en-US"/>
              </w:rPr>
            </w:pPr>
            <w:r w:rsidRPr="005E4A16">
              <w:t>$18,58</w:t>
            </w:r>
            <w:r w:rsidR="007E324F" w:rsidRPr="005E4A16">
              <w:t>2</w:t>
            </w:r>
          </w:p>
        </w:tc>
        <w:tc>
          <w:tcPr>
            <w:tcW w:w="755" w:type="pct"/>
            <w:vMerge/>
            <w:vAlign w:val="center"/>
          </w:tcPr>
          <w:p w14:paraId="0F8E9813" w14:textId="77777777" w:rsidR="009B1B01" w:rsidRPr="00E2771E" w:rsidRDefault="009B1B01" w:rsidP="00C407DD">
            <w:pPr>
              <w:pStyle w:val="TableText0"/>
              <w:jc w:val="center"/>
              <w:rPr>
                <w:lang w:val="en-US"/>
              </w:rPr>
            </w:pPr>
          </w:p>
        </w:tc>
      </w:tr>
    </w:tbl>
    <w:p w14:paraId="25433D11" w14:textId="77777777" w:rsidR="009B1B01" w:rsidRPr="000B37DF" w:rsidRDefault="009B1B01" w:rsidP="0051639F">
      <w:pPr>
        <w:pStyle w:val="TableFooter"/>
        <w:jc w:val="both"/>
      </w:pPr>
      <w:r w:rsidRPr="000B37DF">
        <w:t>Source</w:t>
      </w:r>
      <w:r w:rsidRPr="00360274">
        <w:t xml:space="preserve">: </w:t>
      </w:r>
      <w:r>
        <w:t xml:space="preserve">Table 3-16, p140, </w:t>
      </w:r>
      <w:r w:rsidRPr="00360274">
        <w:t>Table 3-25, p1</w:t>
      </w:r>
      <w:r>
        <w:t>48</w:t>
      </w:r>
      <w:r w:rsidRPr="00360274">
        <w:t xml:space="preserve"> of the submission</w:t>
      </w:r>
      <w:r w:rsidRPr="00B14194">
        <w:t xml:space="preserve"> </w:t>
      </w:r>
      <w:r w:rsidRPr="00021AA5">
        <w:t>and compiled during the evaluation</w:t>
      </w:r>
    </w:p>
    <w:p w14:paraId="1F8A6EF3" w14:textId="5DAD0F11" w:rsidR="009B1B01" w:rsidRPr="000B37DF" w:rsidRDefault="009B1B01" w:rsidP="0051639F">
      <w:pPr>
        <w:pStyle w:val="TableFooter"/>
        <w:jc w:val="both"/>
      </w:pPr>
      <w:r w:rsidRPr="000B37DF">
        <w:t xml:space="preserve">ABI=abiraterone, </w:t>
      </w:r>
      <w:r w:rsidR="00A41905" w:rsidRPr="00021AA5">
        <w:t>BRCA</w:t>
      </w:r>
      <w:r w:rsidR="00132F22">
        <w:t xml:space="preserve">=breast cancer gene, </w:t>
      </w:r>
      <w:r w:rsidRPr="000B37DF">
        <w:t xml:space="preserve">cc=concomitant therapies, ENZ=enzalutamide, </w:t>
      </w:r>
      <w:r>
        <w:t xml:space="preserve">NC=not calculatable, </w:t>
      </w:r>
      <w:r w:rsidRPr="000B37DF">
        <w:t>NR=not reported, OLA=olaparib, Pred=methylprednisolone, NHA= novel hormonal agents.</w:t>
      </w:r>
    </w:p>
    <w:p w14:paraId="1CCF157B" w14:textId="6D48E29F" w:rsidR="009B1B01" w:rsidRPr="00021AA5" w:rsidRDefault="009B1B01" w:rsidP="0051639F">
      <w:pPr>
        <w:pStyle w:val="TableFooter"/>
        <w:jc w:val="both"/>
      </w:pPr>
      <w:r w:rsidRPr="00021AA5">
        <w:rPr>
          <w:vertAlign w:val="superscript"/>
        </w:rPr>
        <w:t>a</w:t>
      </w:r>
      <w:r w:rsidRPr="00021AA5">
        <w:rPr>
          <w:vertAlign w:val="superscript"/>
        </w:rPr>
        <w:tab/>
      </w:r>
      <w:r w:rsidRPr="00021AA5">
        <w:t xml:space="preserve">The submission did not present treatment duration or discontinuations in the </w:t>
      </w:r>
      <w:r w:rsidR="006C3ED1" w:rsidRPr="00021AA5">
        <w:t>BRCA1/2</w:t>
      </w:r>
      <w:r w:rsidRPr="00021AA5">
        <w:t xml:space="preserve"> subgroup of PROpel</w:t>
      </w:r>
    </w:p>
    <w:p w14:paraId="4F77C1CF" w14:textId="77777777" w:rsidR="009B1B01" w:rsidRPr="008F222C" w:rsidRDefault="009B1B01" w:rsidP="0051639F">
      <w:pPr>
        <w:pStyle w:val="TableFooter"/>
        <w:jc w:val="both"/>
      </w:pPr>
      <w:r w:rsidRPr="008F222C">
        <w:rPr>
          <w:vertAlign w:val="superscript"/>
        </w:rPr>
        <w:t xml:space="preserve">b </w:t>
      </w:r>
      <w:r>
        <w:rPr>
          <w:vertAlign w:val="superscript"/>
        </w:rPr>
        <w:tab/>
      </w:r>
      <w:r w:rsidRPr="008F222C">
        <w:t>A dose intensity of 91.7% for olaparib and 96.3% for abiraterone and enzalutamide was applied in the economic model.</w:t>
      </w:r>
    </w:p>
    <w:p w14:paraId="40530FE5" w14:textId="77777777" w:rsidR="009B1B01" w:rsidRPr="00630D33" w:rsidRDefault="009B1B01" w:rsidP="0051639F">
      <w:pPr>
        <w:pStyle w:val="TableFooter"/>
        <w:jc w:val="both"/>
      </w:pPr>
      <w:r w:rsidRPr="008F222C">
        <w:rPr>
          <w:vertAlign w:val="superscript"/>
        </w:rPr>
        <w:t>c</w:t>
      </w:r>
      <w:r w:rsidRPr="008F222C">
        <w:t xml:space="preserve"> </w:t>
      </w:r>
      <w:r>
        <w:tab/>
      </w:r>
      <w:r w:rsidRPr="008F222C">
        <w:t>A dose intensity of 92.0% for olaparib and 97.0% for abiraterone and enzalutamide was applied in the financial estimates.</w:t>
      </w:r>
    </w:p>
    <w:p w14:paraId="4D959B08" w14:textId="77777777" w:rsidR="009B1B01" w:rsidRPr="00021AA5" w:rsidRDefault="009B1B01" w:rsidP="0051639F">
      <w:pPr>
        <w:pStyle w:val="TableFooter"/>
        <w:jc w:val="both"/>
      </w:pPr>
      <w:r>
        <w:rPr>
          <w:vertAlign w:val="superscript"/>
        </w:rPr>
        <w:t>d</w:t>
      </w:r>
      <w:r>
        <w:t xml:space="preserve"> </w:t>
      </w:r>
      <w:r>
        <w:tab/>
        <w:t>The submission assumed that 37% of patients would take abiraterone, and 63% would take enzalutamide</w:t>
      </w:r>
      <w:r w:rsidRPr="00021AA5">
        <w:t>.</w:t>
      </w:r>
    </w:p>
    <w:p w14:paraId="7F696FBF" w14:textId="77777777" w:rsidR="009B1B01" w:rsidRPr="00021AA5" w:rsidRDefault="009B1B01" w:rsidP="0051639F">
      <w:pPr>
        <w:pStyle w:val="TableFooter"/>
        <w:ind w:left="170" w:hanging="170"/>
        <w:jc w:val="both"/>
      </w:pPr>
      <w:r w:rsidRPr="00021AA5">
        <w:rPr>
          <w:vertAlign w:val="superscript"/>
        </w:rPr>
        <w:t>e</w:t>
      </w:r>
      <w:r w:rsidRPr="00021AA5">
        <w:rPr>
          <w:vertAlign w:val="superscript"/>
        </w:rPr>
        <w:tab/>
      </w:r>
      <w:r w:rsidRPr="00021AA5">
        <w:t xml:space="preserve">This was calculated based on the PBS/RPBS net cost of patients treated in Year 1, divided by the number of patients initiating and continuing treatment (116). Co-payment cost has been subtracted. </w:t>
      </w:r>
    </w:p>
    <w:p w14:paraId="5A3B09B8" w14:textId="549F5919" w:rsidR="009B1B01" w:rsidRPr="00021AA5" w:rsidRDefault="009B1B01" w:rsidP="0051639F">
      <w:pPr>
        <w:pStyle w:val="TableFooter"/>
        <w:spacing w:after="120"/>
        <w:ind w:left="170" w:hanging="170"/>
        <w:jc w:val="both"/>
      </w:pPr>
      <w:r w:rsidRPr="00021AA5">
        <w:rPr>
          <w:vertAlign w:val="superscript"/>
        </w:rPr>
        <w:t>f</w:t>
      </w:r>
      <w:r w:rsidRPr="00021AA5">
        <w:rPr>
          <w:vertAlign w:val="superscript"/>
        </w:rPr>
        <w:tab/>
      </w:r>
      <w:r w:rsidRPr="00021AA5">
        <w:t xml:space="preserve">The difference in cost/patient/course between the model and the financial estimates </w:t>
      </w:r>
      <w:r w:rsidR="009139E7" w:rsidRPr="00021AA5">
        <w:t>may be</w:t>
      </w:r>
      <w:r w:rsidRPr="00021AA5">
        <w:t xml:space="preserve"> due to some disparities, including the applied dose intensity and abiraterone’s DPMQ (financial estimates did not include the 5% anniversary price reduction)</w:t>
      </w:r>
    </w:p>
    <w:p w14:paraId="24DB8C51" w14:textId="7105BFA4" w:rsidR="00173F5B" w:rsidRPr="00021AA5" w:rsidRDefault="00173F5B" w:rsidP="00173F5B">
      <w:pPr>
        <w:pStyle w:val="3-BodyText"/>
      </w:pPr>
      <w:r w:rsidRPr="00021AA5">
        <w:t>T</w:t>
      </w:r>
      <w:r w:rsidR="00392F97" w:rsidRPr="00021AA5">
        <w:t xml:space="preserve">he </w:t>
      </w:r>
      <w:r w:rsidRPr="00021AA5">
        <w:t>cost per patient per course of treatment was derived from the mean dose and mean treatment duration</w:t>
      </w:r>
      <w:r w:rsidR="00392F97" w:rsidRPr="00021AA5">
        <w:t xml:space="preserve"> in the BRCA1/2 subgroup</w:t>
      </w:r>
      <w:r w:rsidR="007E324F" w:rsidRPr="00021AA5">
        <w:t xml:space="preserve"> in the economic model</w:t>
      </w:r>
      <w:r w:rsidRPr="00021AA5">
        <w:t xml:space="preserve">. </w:t>
      </w:r>
      <w:r w:rsidR="00392F97" w:rsidRPr="00021AA5">
        <w:t>The submission did not report mean treatment</w:t>
      </w:r>
      <w:r w:rsidR="00143111" w:rsidRPr="00021AA5">
        <w:t xml:space="preserve"> </w:t>
      </w:r>
      <w:r w:rsidR="001316D7">
        <w:t>duration</w:t>
      </w:r>
      <w:r w:rsidR="001316D7" w:rsidRPr="00021AA5">
        <w:t xml:space="preserve"> </w:t>
      </w:r>
      <w:r w:rsidR="00392F97" w:rsidRPr="00021AA5">
        <w:t>for the BRCA1/2 subgroup</w:t>
      </w:r>
      <w:r w:rsidR="00143111" w:rsidRPr="00021AA5">
        <w:t>.</w:t>
      </w:r>
      <w:r w:rsidRPr="00021AA5">
        <w:t xml:space="preserve"> </w:t>
      </w:r>
    </w:p>
    <w:p w14:paraId="515F2777" w14:textId="77777777" w:rsidR="00170BFC" w:rsidRPr="00C9624D" w:rsidRDefault="00170BFC" w:rsidP="00170BFC">
      <w:pPr>
        <w:pStyle w:val="4-SubsectionHeading"/>
      </w:pPr>
      <w:bookmarkStart w:id="68" w:name="_Toc22897647"/>
      <w:bookmarkStart w:id="69" w:name="_Toc145075512"/>
      <w:r w:rsidRPr="00C9624D">
        <w:t>Estimated PBS usage &amp; financial implications</w:t>
      </w:r>
      <w:bookmarkEnd w:id="68"/>
      <w:bookmarkEnd w:id="69"/>
    </w:p>
    <w:p w14:paraId="10953600" w14:textId="77777777" w:rsidR="00B11DCB" w:rsidRPr="00940BEC" w:rsidRDefault="00170BFC" w:rsidP="00170BFC">
      <w:pPr>
        <w:pStyle w:val="3-BodyText"/>
      </w:pPr>
      <w:r w:rsidRPr="00940BEC">
        <w:t xml:space="preserve">This submission </w:t>
      </w:r>
      <w:r w:rsidR="00B11DCB" w:rsidRPr="00940BEC">
        <w:t>was</w:t>
      </w:r>
      <w:r w:rsidRPr="00940BEC">
        <w:t xml:space="preserve"> not considered by DUSC.</w:t>
      </w:r>
      <w:r w:rsidR="005E1B84" w:rsidRPr="00940BEC">
        <w:t xml:space="preserve"> </w:t>
      </w:r>
    </w:p>
    <w:p w14:paraId="4A79D0EE" w14:textId="2C0DD324" w:rsidR="00170BFC" w:rsidRPr="00940BEC" w:rsidRDefault="005E1B84" w:rsidP="00170BFC">
      <w:pPr>
        <w:pStyle w:val="3-BodyText"/>
      </w:pPr>
      <w:r w:rsidRPr="00940BEC">
        <w:lastRenderedPageBreak/>
        <w:t>An epidemiological approach was used to determine the number of mCRPC patients with BRCA1/2 mutations who would be eligible for treatment.</w:t>
      </w:r>
      <w:r w:rsidR="00170BFC" w:rsidRPr="00940BEC">
        <w:t xml:space="preserve"> </w:t>
      </w:r>
      <w:r w:rsidR="00170BFC" w:rsidRPr="00940BEC">
        <w:fldChar w:fldCharType="begin" w:fldLock="1"/>
      </w:r>
      <w:r w:rsidR="00170BFC" w:rsidRPr="00940BEC">
        <w:instrText xml:space="preserve"> REF _Ref104805262 \h </w:instrText>
      </w:r>
      <w:r w:rsidR="00C70570" w:rsidRPr="00940BEC">
        <w:instrText xml:space="preserve"> \* MERGEFORMAT </w:instrText>
      </w:r>
      <w:r w:rsidR="00170BFC" w:rsidRPr="00940BEC">
        <w:fldChar w:fldCharType="separate"/>
      </w:r>
      <w:r w:rsidR="006F331F" w:rsidRPr="00940BEC">
        <w:t xml:space="preserve">Table </w:t>
      </w:r>
      <w:r w:rsidR="006F331F" w:rsidRPr="00940BEC">
        <w:rPr>
          <w:noProof/>
        </w:rPr>
        <w:t>14</w:t>
      </w:r>
      <w:r w:rsidR="00170BFC" w:rsidRPr="00940BEC">
        <w:fldChar w:fldCharType="end"/>
      </w:r>
      <w:r w:rsidR="00170BFC" w:rsidRPr="00940BEC">
        <w:t xml:space="preserve"> summarises the parameters and data sources applied in the financial analysis. </w:t>
      </w:r>
    </w:p>
    <w:p w14:paraId="3E5105FD" w14:textId="0E70487B" w:rsidR="00170BFC" w:rsidRPr="00C70570" w:rsidRDefault="00170BFC" w:rsidP="00EF48CF">
      <w:pPr>
        <w:pStyle w:val="Caption"/>
        <w:keepNext w:val="0"/>
        <w:keepLines w:val="0"/>
        <w:rPr>
          <w:rStyle w:val="CommentReference"/>
          <w:b/>
          <w:szCs w:val="24"/>
        </w:rPr>
      </w:pPr>
      <w:bookmarkStart w:id="70" w:name="_Ref104805262"/>
      <w:r w:rsidRPr="00C70570">
        <w:t xml:space="preserve">Table </w:t>
      </w:r>
      <w:fldSimple w:instr=" SEQ Table \* ARABIC " w:fldLock="1">
        <w:r w:rsidR="006F331F">
          <w:rPr>
            <w:noProof/>
          </w:rPr>
          <w:t>14</w:t>
        </w:r>
      </w:fldSimple>
      <w:bookmarkEnd w:id="70"/>
      <w:r w:rsidRPr="00C70570">
        <w:t>:</w:t>
      </w:r>
      <w:r w:rsidRPr="00C70570">
        <w:rPr>
          <w:rStyle w:val="CommentReference"/>
          <w:b/>
          <w:szCs w:val="24"/>
        </w:rPr>
        <w:t xml:space="preserve"> Key inputs for financial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80"/>
        <w:gridCol w:w="4485"/>
        <w:gridCol w:w="3352"/>
      </w:tblGrid>
      <w:tr w:rsidR="00170BFC" w:rsidRPr="0075033B" w14:paraId="15D02D29" w14:textId="77777777" w:rsidTr="00274773">
        <w:trPr>
          <w:cantSplit/>
          <w:trHeight w:val="20"/>
          <w:tblHeader/>
        </w:trPr>
        <w:tc>
          <w:tcPr>
            <w:tcW w:w="0" w:type="auto"/>
            <w:shd w:val="clear" w:color="auto" w:fill="auto"/>
            <w:vAlign w:val="center"/>
          </w:tcPr>
          <w:p w14:paraId="455F9859" w14:textId="77777777" w:rsidR="00170BFC" w:rsidRPr="00940BEC" w:rsidRDefault="00170BFC" w:rsidP="00EF48CF">
            <w:pPr>
              <w:rPr>
                <w:rFonts w:ascii="Arial Narrow" w:hAnsi="Arial Narrow"/>
                <w:b/>
                <w:sz w:val="20"/>
                <w:szCs w:val="20"/>
              </w:rPr>
            </w:pPr>
            <w:r w:rsidRPr="00940BEC">
              <w:rPr>
                <w:rFonts w:ascii="Arial Narrow" w:hAnsi="Arial Narrow"/>
                <w:b/>
                <w:sz w:val="20"/>
                <w:szCs w:val="20"/>
              </w:rPr>
              <w:t>Parameter</w:t>
            </w:r>
          </w:p>
        </w:tc>
        <w:tc>
          <w:tcPr>
            <w:tcW w:w="4485" w:type="dxa"/>
            <w:shd w:val="clear" w:color="auto" w:fill="auto"/>
            <w:vAlign w:val="center"/>
          </w:tcPr>
          <w:p w14:paraId="7F645536" w14:textId="77777777" w:rsidR="00170BFC" w:rsidRPr="00940BEC" w:rsidRDefault="00170BFC" w:rsidP="00EF48CF">
            <w:pPr>
              <w:rPr>
                <w:rFonts w:ascii="Arial Narrow" w:hAnsi="Arial Narrow"/>
                <w:b/>
                <w:sz w:val="20"/>
                <w:szCs w:val="20"/>
              </w:rPr>
            </w:pPr>
            <w:r w:rsidRPr="00940BEC">
              <w:rPr>
                <w:rFonts w:ascii="Arial Narrow" w:hAnsi="Arial Narrow"/>
                <w:b/>
                <w:sz w:val="20"/>
                <w:szCs w:val="20"/>
              </w:rPr>
              <w:t>Value applied and source</w:t>
            </w:r>
          </w:p>
        </w:tc>
        <w:tc>
          <w:tcPr>
            <w:tcW w:w="3352" w:type="dxa"/>
            <w:shd w:val="clear" w:color="auto" w:fill="auto"/>
            <w:vAlign w:val="center"/>
          </w:tcPr>
          <w:p w14:paraId="4725F260" w14:textId="77777777" w:rsidR="00170BFC" w:rsidRPr="00940BEC" w:rsidRDefault="00170BFC" w:rsidP="00EF48CF">
            <w:pPr>
              <w:rPr>
                <w:rFonts w:ascii="Arial Narrow" w:hAnsi="Arial Narrow"/>
                <w:b/>
                <w:sz w:val="20"/>
                <w:szCs w:val="20"/>
              </w:rPr>
            </w:pPr>
            <w:r w:rsidRPr="00940BEC">
              <w:rPr>
                <w:rFonts w:ascii="Arial Narrow" w:hAnsi="Arial Narrow"/>
                <w:b/>
                <w:sz w:val="20"/>
                <w:szCs w:val="20"/>
              </w:rPr>
              <w:t>Comment</w:t>
            </w:r>
          </w:p>
        </w:tc>
      </w:tr>
      <w:tr w:rsidR="00170BFC" w:rsidRPr="0075033B" w14:paraId="2408A028" w14:textId="77777777" w:rsidTr="00274773">
        <w:trPr>
          <w:cantSplit/>
          <w:trHeight w:val="20"/>
        </w:trPr>
        <w:tc>
          <w:tcPr>
            <w:tcW w:w="0" w:type="auto"/>
            <w:gridSpan w:val="3"/>
            <w:shd w:val="clear" w:color="auto" w:fill="auto"/>
            <w:vAlign w:val="center"/>
          </w:tcPr>
          <w:p w14:paraId="6E614107" w14:textId="77777777" w:rsidR="00170BFC" w:rsidRPr="00940BEC" w:rsidRDefault="00170BFC" w:rsidP="00EF48CF">
            <w:pPr>
              <w:rPr>
                <w:rFonts w:ascii="Arial Narrow" w:hAnsi="Arial Narrow"/>
                <w:b/>
                <w:bCs/>
                <w:sz w:val="20"/>
                <w:szCs w:val="20"/>
                <w:lang w:val="en-US"/>
              </w:rPr>
            </w:pPr>
            <w:r w:rsidRPr="00940BEC">
              <w:rPr>
                <w:rFonts w:ascii="Arial Narrow" w:hAnsi="Arial Narrow"/>
                <w:b/>
                <w:bCs/>
                <w:sz w:val="20"/>
                <w:szCs w:val="20"/>
                <w:lang w:val="en-US"/>
              </w:rPr>
              <w:t>Incident population</w:t>
            </w:r>
          </w:p>
        </w:tc>
      </w:tr>
      <w:tr w:rsidR="00170BFC" w:rsidRPr="0075033B" w14:paraId="4F69403E" w14:textId="77777777" w:rsidTr="00274773">
        <w:trPr>
          <w:cantSplit/>
          <w:trHeight w:val="20"/>
        </w:trPr>
        <w:tc>
          <w:tcPr>
            <w:tcW w:w="0" w:type="auto"/>
            <w:shd w:val="clear" w:color="auto" w:fill="auto"/>
            <w:vAlign w:val="center"/>
          </w:tcPr>
          <w:p w14:paraId="79F4E6AF" w14:textId="77777777" w:rsidR="00170BFC" w:rsidRPr="00940BEC" w:rsidRDefault="00170BFC" w:rsidP="00EF48CF">
            <w:pPr>
              <w:rPr>
                <w:rFonts w:ascii="Arial Narrow" w:hAnsi="Arial Narrow"/>
                <w:bCs/>
                <w:sz w:val="20"/>
                <w:szCs w:val="20"/>
                <w:lang w:val="en-US"/>
              </w:rPr>
            </w:pPr>
            <w:r w:rsidRPr="00940BEC">
              <w:rPr>
                <w:rFonts w:ascii="Arial Narrow" w:hAnsi="Arial Narrow"/>
                <w:bCs/>
                <w:sz w:val="20"/>
                <w:szCs w:val="20"/>
              </w:rPr>
              <w:t>Incident patients (based on total NHA initiations in 1L mCRPC)</w:t>
            </w:r>
          </w:p>
        </w:tc>
        <w:tc>
          <w:tcPr>
            <w:tcW w:w="4485" w:type="dxa"/>
            <w:shd w:val="clear" w:color="auto" w:fill="auto"/>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18"/>
              <w:gridCol w:w="627"/>
              <w:gridCol w:w="567"/>
              <w:gridCol w:w="567"/>
              <w:gridCol w:w="567"/>
            </w:tblGrid>
            <w:tr w:rsidR="00170BFC" w:rsidRPr="00940BEC" w14:paraId="3F1F9A91" w14:textId="77777777" w:rsidTr="003A44AB">
              <w:tc>
                <w:tcPr>
                  <w:tcW w:w="567" w:type="dxa"/>
                  <w:vAlign w:val="center"/>
                </w:tcPr>
                <w:p w14:paraId="4342C4B4" w14:textId="77777777" w:rsidR="00170BFC" w:rsidRPr="00940BEC" w:rsidRDefault="00170BFC" w:rsidP="00EF48CF">
                  <w:pPr>
                    <w:rPr>
                      <w:rFonts w:ascii="Arial Narrow" w:hAnsi="Arial Narrow"/>
                      <w:b/>
                      <w:bCs/>
                      <w:sz w:val="20"/>
                      <w:szCs w:val="20"/>
                    </w:rPr>
                  </w:pPr>
                  <w:r w:rsidRPr="00940BEC">
                    <w:rPr>
                      <w:rFonts w:ascii="Arial Narrow" w:hAnsi="Arial Narrow"/>
                      <w:b/>
                      <w:bCs/>
                      <w:sz w:val="20"/>
                      <w:szCs w:val="20"/>
                    </w:rPr>
                    <w:t>2024</w:t>
                  </w:r>
                </w:p>
              </w:tc>
              <w:tc>
                <w:tcPr>
                  <w:tcW w:w="618" w:type="dxa"/>
                  <w:vAlign w:val="center"/>
                </w:tcPr>
                <w:p w14:paraId="7381146A" w14:textId="77777777" w:rsidR="00170BFC" w:rsidRPr="00940BEC" w:rsidRDefault="00170BFC" w:rsidP="00EF48CF">
                  <w:pPr>
                    <w:rPr>
                      <w:rFonts w:ascii="Arial Narrow" w:hAnsi="Arial Narrow"/>
                      <w:b/>
                      <w:bCs/>
                      <w:sz w:val="20"/>
                      <w:szCs w:val="20"/>
                    </w:rPr>
                  </w:pPr>
                  <w:r w:rsidRPr="00940BEC">
                    <w:rPr>
                      <w:rFonts w:ascii="Arial Narrow" w:hAnsi="Arial Narrow"/>
                      <w:b/>
                      <w:bCs/>
                      <w:sz w:val="20"/>
                      <w:szCs w:val="20"/>
                    </w:rPr>
                    <w:t>2025</w:t>
                  </w:r>
                </w:p>
              </w:tc>
              <w:tc>
                <w:tcPr>
                  <w:tcW w:w="627" w:type="dxa"/>
                  <w:vAlign w:val="center"/>
                </w:tcPr>
                <w:p w14:paraId="39F91D58" w14:textId="77777777" w:rsidR="00170BFC" w:rsidRPr="00940BEC" w:rsidRDefault="00170BFC" w:rsidP="00EF48CF">
                  <w:pPr>
                    <w:rPr>
                      <w:rFonts w:ascii="Arial Narrow" w:hAnsi="Arial Narrow"/>
                      <w:b/>
                      <w:bCs/>
                      <w:sz w:val="20"/>
                      <w:szCs w:val="20"/>
                    </w:rPr>
                  </w:pPr>
                  <w:r w:rsidRPr="00940BEC">
                    <w:rPr>
                      <w:rFonts w:ascii="Arial Narrow" w:hAnsi="Arial Narrow"/>
                      <w:b/>
                      <w:bCs/>
                      <w:sz w:val="20"/>
                      <w:szCs w:val="20"/>
                    </w:rPr>
                    <w:t>2026</w:t>
                  </w:r>
                </w:p>
              </w:tc>
              <w:tc>
                <w:tcPr>
                  <w:tcW w:w="567" w:type="dxa"/>
                  <w:vAlign w:val="center"/>
                </w:tcPr>
                <w:p w14:paraId="24E7961B" w14:textId="77777777" w:rsidR="00170BFC" w:rsidRPr="00940BEC" w:rsidRDefault="00170BFC" w:rsidP="00EF48CF">
                  <w:pPr>
                    <w:rPr>
                      <w:rFonts w:ascii="Arial Narrow" w:hAnsi="Arial Narrow"/>
                      <w:b/>
                      <w:bCs/>
                      <w:sz w:val="20"/>
                      <w:szCs w:val="20"/>
                    </w:rPr>
                  </w:pPr>
                  <w:r w:rsidRPr="00940BEC">
                    <w:rPr>
                      <w:rFonts w:ascii="Arial Narrow" w:hAnsi="Arial Narrow"/>
                      <w:b/>
                      <w:bCs/>
                      <w:sz w:val="20"/>
                      <w:szCs w:val="20"/>
                    </w:rPr>
                    <w:t>2027</w:t>
                  </w:r>
                </w:p>
              </w:tc>
              <w:tc>
                <w:tcPr>
                  <w:tcW w:w="567" w:type="dxa"/>
                  <w:vAlign w:val="center"/>
                </w:tcPr>
                <w:p w14:paraId="63765B2E" w14:textId="77777777" w:rsidR="00170BFC" w:rsidRPr="00940BEC" w:rsidRDefault="00170BFC" w:rsidP="00EF48CF">
                  <w:pPr>
                    <w:rPr>
                      <w:rFonts w:ascii="Arial Narrow" w:hAnsi="Arial Narrow"/>
                      <w:b/>
                      <w:bCs/>
                      <w:sz w:val="20"/>
                      <w:szCs w:val="20"/>
                    </w:rPr>
                  </w:pPr>
                  <w:r w:rsidRPr="00940BEC">
                    <w:rPr>
                      <w:rFonts w:ascii="Arial Narrow" w:hAnsi="Arial Narrow"/>
                      <w:b/>
                      <w:bCs/>
                      <w:sz w:val="20"/>
                      <w:szCs w:val="20"/>
                    </w:rPr>
                    <w:t>2028</w:t>
                  </w:r>
                </w:p>
              </w:tc>
              <w:tc>
                <w:tcPr>
                  <w:tcW w:w="567" w:type="dxa"/>
                  <w:vAlign w:val="center"/>
                </w:tcPr>
                <w:p w14:paraId="4E94D797" w14:textId="77777777" w:rsidR="00170BFC" w:rsidRPr="00940BEC" w:rsidRDefault="00170BFC" w:rsidP="00EF48CF">
                  <w:pPr>
                    <w:rPr>
                      <w:rFonts w:ascii="Arial Narrow" w:hAnsi="Arial Narrow"/>
                      <w:b/>
                      <w:bCs/>
                      <w:sz w:val="20"/>
                      <w:szCs w:val="20"/>
                    </w:rPr>
                  </w:pPr>
                  <w:r w:rsidRPr="00940BEC">
                    <w:rPr>
                      <w:rFonts w:ascii="Arial Narrow" w:hAnsi="Arial Narrow"/>
                      <w:b/>
                      <w:bCs/>
                      <w:sz w:val="20"/>
                      <w:szCs w:val="20"/>
                    </w:rPr>
                    <w:t>2029</w:t>
                  </w:r>
                </w:p>
              </w:tc>
            </w:tr>
            <w:tr w:rsidR="00170BFC" w:rsidRPr="00940BEC" w14:paraId="30B44B03" w14:textId="77777777" w:rsidTr="003A44AB">
              <w:trPr>
                <w:trHeight w:val="60"/>
              </w:trPr>
              <w:tc>
                <w:tcPr>
                  <w:tcW w:w="567" w:type="dxa"/>
                  <w:vAlign w:val="center"/>
                </w:tcPr>
                <w:p w14:paraId="3A7976EE" w14:textId="1181427C" w:rsidR="00170BFC" w:rsidRPr="006D17A4" w:rsidRDefault="003C22C5" w:rsidP="00EF48CF">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5"/>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5"/>
                      <w14:textFill>
                        <w14:solidFill>
                          <w14:srgbClr w14:val="000000">
                            <w14:alpha w14:val="100000"/>
                          </w14:srgbClr>
                        </w14:solidFill>
                      </w14:textFill>
                    </w:rPr>
                    <w:t>|</w:t>
                  </w:r>
                  <w:r w:rsidR="004B6088" w:rsidRPr="004B6088">
                    <w:rPr>
                      <w:rFonts w:ascii="Arial Narrow" w:hAnsi="Arial Narrow"/>
                      <w:bCs/>
                      <w:sz w:val="20"/>
                      <w:szCs w:val="20"/>
                      <w:vertAlign w:val="superscript"/>
                    </w:rPr>
                    <w:t>1</w:t>
                  </w:r>
                  <w:r w:rsidRPr="003C22C5">
                    <w:rPr>
                      <w:rFonts w:ascii="Arial Narrow" w:hAnsi="Arial Narrow"/>
                      <w:bCs/>
                      <w:sz w:val="20"/>
                      <w:szCs w:val="20"/>
                    </w:rPr>
                    <w:t xml:space="preserve"> </w:t>
                  </w:r>
                </w:p>
              </w:tc>
              <w:tc>
                <w:tcPr>
                  <w:tcW w:w="618" w:type="dxa"/>
                  <w:vAlign w:val="center"/>
                </w:tcPr>
                <w:p w14:paraId="60D46286" w14:textId="1CBA3230" w:rsidR="00170BFC" w:rsidRPr="006D17A4" w:rsidRDefault="003C22C5" w:rsidP="00EF48CF">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24"/>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24"/>
                      <w14:textFill>
                        <w14:solidFill>
                          <w14:srgbClr w14:val="000000">
                            <w14:alpha w14:val="100000"/>
                          </w14:srgbClr>
                        </w14:solidFill>
                      </w14:textFill>
                    </w:rPr>
                    <w:t>|</w:t>
                  </w:r>
                  <w:r w:rsidR="004B6088" w:rsidRPr="004B6088">
                    <w:rPr>
                      <w:rFonts w:ascii="Arial Narrow" w:hAnsi="Arial Narrow"/>
                      <w:bCs/>
                      <w:sz w:val="20"/>
                      <w:szCs w:val="20"/>
                      <w:vertAlign w:val="superscript"/>
                    </w:rPr>
                    <w:t>1</w:t>
                  </w:r>
                </w:p>
              </w:tc>
              <w:tc>
                <w:tcPr>
                  <w:tcW w:w="627" w:type="dxa"/>
                  <w:vAlign w:val="center"/>
                </w:tcPr>
                <w:p w14:paraId="4ED49542" w14:textId="1975556B" w:rsidR="00170BFC" w:rsidRPr="006D17A4" w:rsidRDefault="003C22C5" w:rsidP="00EF48CF">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6"/>
                      <w:sz w:val="20"/>
                      <w:szCs w:val="20"/>
                      <w:shd w:val="solid" w:color="000000" w:fill="000000"/>
                      <w:fitText w:val="339" w:id="-1031540723"/>
                      <w14:textFill>
                        <w14:solidFill>
                          <w14:srgbClr w14:val="000000">
                            <w14:alpha w14:val="100000"/>
                          </w14:srgbClr>
                        </w14:solidFill>
                      </w14:textFill>
                    </w:rPr>
                    <w:t>|||</w:t>
                  </w:r>
                  <w:r w:rsidR="00B7116A" w:rsidRPr="00B7116A">
                    <w:rPr>
                      <w:rFonts w:ascii="Arial Narrow" w:hAnsi="Arial Narrow"/>
                      <w:bCs/>
                      <w:color w:val="000000"/>
                      <w:spacing w:val="1"/>
                      <w:sz w:val="20"/>
                      <w:szCs w:val="20"/>
                      <w:shd w:val="solid" w:color="000000" w:fill="000000"/>
                      <w:fitText w:val="339" w:id="-1031540723"/>
                      <w14:textFill>
                        <w14:solidFill>
                          <w14:srgbClr w14:val="000000">
                            <w14:alpha w14:val="100000"/>
                          </w14:srgbClr>
                        </w14:solidFill>
                      </w14:textFill>
                    </w:rPr>
                    <w:t>|</w:t>
                  </w:r>
                  <w:r w:rsidR="004B6088" w:rsidRPr="004B6088">
                    <w:rPr>
                      <w:rFonts w:ascii="Arial Narrow" w:hAnsi="Arial Narrow"/>
                      <w:bCs/>
                      <w:sz w:val="20"/>
                      <w:szCs w:val="20"/>
                      <w:vertAlign w:val="superscript"/>
                    </w:rPr>
                    <w:t>1</w:t>
                  </w:r>
                </w:p>
              </w:tc>
              <w:tc>
                <w:tcPr>
                  <w:tcW w:w="567" w:type="dxa"/>
                  <w:vAlign w:val="center"/>
                </w:tcPr>
                <w:p w14:paraId="4C6ED201" w14:textId="65EC8735" w:rsidR="00170BFC" w:rsidRPr="006D17A4" w:rsidRDefault="003C22C5" w:rsidP="00EF48CF">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2"/>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2"/>
                      <w14:textFill>
                        <w14:solidFill>
                          <w14:srgbClr w14:val="000000">
                            <w14:alpha w14:val="100000"/>
                          </w14:srgbClr>
                        </w14:solidFill>
                      </w14:textFill>
                    </w:rPr>
                    <w:t>|</w:t>
                  </w:r>
                  <w:r w:rsidR="004B6088" w:rsidRPr="004B6088">
                    <w:rPr>
                      <w:rFonts w:ascii="Arial Narrow" w:hAnsi="Arial Narrow"/>
                      <w:bCs/>
                      <w:sz w:val="20"/>
                      <w:szCs w:val="20"/>
                      <w:vertAlign w:val="superscript"/>
                    </w:rPr>
                    <w:t>1</w:t>
                  </w:r>
                </w:p>
              </w:tc>
              <w:tc>
                <w:tcPr>
                  <w:tcW w:w="567" w:type="dxa"/>
                  <w:vAlign w:val="center"/>
                </w:tcPr>
                <w:p w14:paraId="527B3FB6" w14:textId="32233D04" w:rsidR="00170BFC" w:rsidRPr="006D17A4" w:rsidRDefault="003C22C5" w:rsidP="00EF48CF">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1"/>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1"/>
                      <w14:textFill>
                        <w14:solidFill>
                          <w14:srgbClr w14:val="000000">
                            <w14:alpha w14:val="100000"/>
                          </w14:srgbClr>
                        </w14:solidFill>
                      </w14:textFill>
                    </w:rPr>
                    <w:t>|</w:t>
                  </w:r>
                  <w:r w:rsidR="002E2E88">
                    <w:rPr>
                      <w:rFonts w:ascii="Arial Narrow" w:hAnsi="Arial Narrow"/>
                      <w:bCs/>
                      <w:sz w:val="20"/>
                      <w:szCs w:val="20"/>
                      <w:vertAlign w:val="superscript"/>
                    </w:rPr>
                    <w:t>2</w:t>
                  </w:r>
                </w:p>
              </w:tc>
              <w:tc>
                <w:tcPr>
                  <w:tcW w:w="567" w:type="dxa"/>
                  <w:vAlign w:val="center"/>
                </w:tcPr>
                <w:p w14:paraId="5D4810AB" w14:textId="6255A959" w:rsidR="00170BFC" w:rsidRPr="006D17A4" w:rsidRDefault="003C22C5" w:rsidP="00EF48CF">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0"/>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0"/>
                      <w14:textFill>
                        <w14:solidFill>
                          <w14:srgbClr w14:val="000000">
                            <w14:alpha w14:val="100000"/>
                          </w14:srgbClr>
                        </w14:solidFill>
                      </w14:textFill>
                    </w:rPr>
                    <w:t>|</w:t>
                  </w:r>
                  <w:r w:rsidR="002E2E88">
                    <w:rPr>
                      <w:rFonts w:ascii="Arial Narrow" w:hAnsi="Arial Narrow"/>
                      <w:bCs/>
                      <w:sz w:val="20"/>
                      <w:szCs w:val="20"/>
                      <w:vertAlign w:val="superscript"/>
                    </w:rPr>
                    <w:t>2</w:t>
                  </w:r>
                </w:p>
              </w:tc>
            </w:tr>
          </w:tbl>
          <w:p w14:paraId="0FAE723B" w14:textId="7ADDBF2D" w:rsidR="00170BFC" w:rsidRPr="00940BEC" w:rsidRDefault="00170BFC" w:rsidP="00EF48CF">
            <w:pPr>
              <w:rPr>
                <w:rFonts w:ascii="Arial Narrow" w:hAnsi="Arial Narrow"/>
                <w:bCs/>
                <w:sz w:val="20"/>
                <w:szCs w:val="20"/>
                <w:lang w:val="en-US"/>
              </w:rPr>
            </w:pPr>
            <w:r w:rsidRPr="00940BEC">
              <w:rPr>
                <w:rFonts w:ascii="Arial Narrow" w:hAnsi="Arial Narrow"/>
                <w:bCs/>
                <w:sz w:val="20"/>
                <w:szCs w:val="20"/>
              </w:rPr>
              <w:t xml:space="preserve">Incident </w:t>
            </w:r>
            <w:proofErr w:type="gramStart"/>
            <w:r w:rsidRPr="00940BEC">
              <w:rPr>
                <w:rFonts w:ascii="Arial Narrow" w:hAnsi="Arial Narrow"/>
                <w:bCs/>
                <w:sz w:val="20"/>
                <w:szCs w:val="20"/>
              </w:rPr>
              <w:t>population</w:t>
            </w:r>
            <w:proofErr w:type="gramEnd"/>
            <w:r w:rsidRPr="00940BEC">
              <w:rPr>
                <w:rFonts w:ascii="Arial Narrow" w:hAnsi="Arial Narrow"/>
                <w:bCs/>
                <w:sz w:val="20"/>
                <w:szCs w:val="20"/>
              </w:rPr>
              <w:t xml:space="preserve"> were calculated using NHA initiations 2016-2020 from 10% PBS sample with average annual growth rate (6.86%). These were as </w:t>
            </w:r>
            <w:r w:rsidR="002F7AB4" w:rsidRPr="00940BEC">
              <w:rPr>
                <w:rFonts w:ascii="Arial Narrow" w:hAnsi="Arial Narrow"/>
                <w:bCs/>
                <w:sz w:val="20"/>
                <w:szCs w:val="20"/>
              </w:rPr>
              <w:t xml:space="preserve">used </w:t>
            </w:r>
            <w:r w:rsidRPr="00940BEC">
              <w:rPr>
                <w:rFonts w:ascii="Arial Narrow" w:hAnsi="Arial Narrow"/>
                <w:bCs/>
                <w:sz w:val="20"/>
                <w:szCs w:val="20"/>
              </w:rPr>
              <w:t>in the previous olaparib submission for 2L mCPRC (Table 16, olaparib, PBAC Minutes, November 2021).</w:t>
            </w:r>
          </w:p>
        </w:tc>
        <w:tc>
          <w:tcPr>
            <w:tcW w:w="3352" w:type="dxa"/>
            <w:shd w:val="clear" w:color="auto" w:fill="auto"/>
            <w:vAlign w:val="center"/>
          </w:tcPr>
          <w:p w14:paraId="3261077E" w14:textId="66395387" w:rsidR="00170BFC" w:rsidRPr="00940BEC" w:rsidRDefault="00170BFC" w:rsidP="00EF48CF">
            <w:pPr>
              <w:rPr>
                <w:rFonts w:ascii="Arial Narrow" w:hAnsi="Arial Narrow"/>
                <w:bCs/>
                <w:sz w:val="20"/>
                <w:szCs w:val="20"/>
                <w:lang w:val="en-US"/>
              </w:rPr>
            </w:pPr>
            <w:r w:rsidRPr="00940BEC">
              <w:rPr>
                <w:rFonts w:ascii="Arial Narrow" w:hAnsi="Arial Narrow"/>
                <w:bCs/>
                <w:sz w:val="20"/>
                <w:szCs w:val="20"/>
                <w:lang w:val="en-US"/>
              </w:rPr>
              <w:t xml:space="preserve">Likely underestimated; as 2020 data, which is likely to be affected by COVID-19, was included in the NHA initiation calculation. </w:t>
            </w:r>
            <w:r w:rsidR="003A44AB" w:rsidRPr="00940BEC">
              <w:rPr>
                <w:rFonts w:ascii="Arial Narrow" w:hAnsi="Arial Narrow"/>
                <w:bCs/>
                <w:sz w:val="20"/>
                <w:szCs w:val="20"/>
                <w:lang w:val="en-US"/>
              </w:rPr>
              <w:t xml:space="preserve">Using </w:t>
            </w:r>
            <w:r w:rsidRPr="00940BEC">
              <w:rPr>
                <w:rFonts w:ascii="Arial Narrow" w:hAnsi="Arial Narrow"/>
                <w:bCs/>
                <w:sz w:val="20"/>
                <w:szCs w:val="20"/>
                <w:lang w:val="en-US"/>
              </w:rPr>
              <w:t>NHA initiations from 2016-2019 and a decreased growth rate of 3.9% (</w:t>
            </w:r>
            <w:r w:rsidR="003A44AB" w:rsidRPr="00940BEC">
              <w:rPr>
                <w:rFonts w:ascii="Arial Narrow" w:hAnsi="Arial Narrow"/>
                <w:bCs/>
                <w:sz w:val="20"/>
                <w:szCs w:val="20"/>
                <w:lang w:val="en-US"/>
              </w:rPr>
              <w:t>as applied as a sensitivity analysis in the olaparib monotherapy submission</w:t>
            </w:r>
            <w:r w:rsidRPr="00940BEC">
              <w:rPr>
                <w:rFonts w:ascii="Arial Narrow" w:hAnsi="Arial Narrow"/>
                <w:bCs/>
                <w:sz w:val="20"/>
                <w:szCs w:val="20"/>
                <w:lang w:val="en-US"/>
              </w:rPr>
              <w:t>) increase</w:t>
            </w:r>
            <w:r w:rsidR="003A44AB" w:rsidRPr="00940BEC">
              <w:rPr>
                <w:rFonts w:ascii="Arial Narrow" w:hAnsi="Arial Narrow"/>
                <w:bCs/>
                <w:sz w:val="20"/>
                <w:szCs w:val="20"/>
                <w:lang w:val="en-US"/>
              </w:rPr>
              <w:t>d</w:t>
            </w:r>
            <w:r w:rsidRPr="00940BEC">
              <w:rPr>
                <w:rFonts w:ascii="Arial Narrow" w:hAnsi="Arial Narrow"/>
                <w:bCs/>
                <w:sz w:val="20"/>
                <w:szCs w:val="20"/>
                <w:lang w:val="en-US"/>
              </w:rPr>
              <w:t xml:space="preserve"> the 6-year budget by </w:t>
            </w:r>
            <w:r w:rsidRPr="00E15FB7">
              <w:rPr>
                <w:rFonts w:ascii="Arial Narrow" w:hAnsi="Arial Narrow"/>
                <w:bCs/>
                <w:sz w:val="20"/>
                <w:szCs w:val="20"/>
                <w:lang w:val="en-US"/>
              </w:rPr>
              <w:t>11.5</w:t>
            </w:r>
            <w:r w:rsidRPr="00940BEC">
              <w:rPr>
                <w:rFonts w:ascii="Arial Narrow" w:hAnsi="Arial Narrow"/>
                <w:bCs/>
                <w:sz w:val="20"/>
                <w:szCs w:val="20"/>
                <w:lang w:val="en-US"/>
              </w:rPr>
              <w:t>% to $</w:t>
            </w:r>
            <w:r w:rsidR="003C22C5" w:rsidRPr="003C22C5">
              <w:rPr>
                <w:rFonts w:ascii="Arial Narrow" w:hAnsi="Arial Narrow"/>
                <w:bCs/>
                <w:sz w:val="20"/>
                <w:szCs w:val="20"/>
                <w:lang w:val="en-US"/>
              </w:rPr>
              <w:t xml:space="preserve"> </w:t>
            </w:r>
            <w:r w:rsidR="00B7116A" w:rsidRPr="0026182E">
              <w:rPr>
                <w:rFonts w:ascii="Arial Narrow" w:hAnsi="Arial Narrow"/>
                <w:bCs/>
                <w:color w:val="000000"/>
                <w:spacing w:val="51"/>
                <w:sz w:val="20"/>
                <w:szCs w:val="20"/>
                <w:shd w:val="solid" w:color="000000" w:fill="000000"/>
                <w:fitText w:val="325" w:id="-1031540735"/>
                <w:lang w:val="en-US"/>
                <w14:textFill>
                  <w14:solidFill>
                    <w14:srgbClr w14:val="000000">
                      <w14:alpha w14:val="100000"/>
                    </w14:srgbClr>
                  </w14:solidFill>
                </w14:textFill>
              </w:rPr>
              <w:t>|||</w:t>
            </w:r>
            <w:r w:rsidR="00B7116A" w:rsidRPr="0026182E">
              <w:rPr>
                <w:rFonts w:ascii="Arial Narrow" w:hAnsi="Arial Narrow"/>
                <w:bCs/>
                <w:color w:val="000000"/>
                <w:spacing w:val="2"/>
                <w:sz w:val="20"/>
                <w:szCs w:val="20"/>
                <w:shd w:val="solid" w:color="000000" w:fill="000000"/>
                <w:fitText w:val="325" w:id="-1031540735"/>
                <w:lang w:val="en-US"/>
                <w14:textFill>
                  <w14:solidFill>
                    <w14:srgbClr w14:val="000000">
                      <w14:alpha w14:val="100000"/>
                    </w14:srgbClr>
                  </w14:solidFill>
                </w14:textFill>
              </w:rPr>
              <w:t>|</w:t>
            </w:r>
            <w:r w:rsidR="00A524DD">
              <w:rPr>
                <w:rFonts w:ascii="Arial Narrow" w:hAnsi="Arial Narrow"/>
                <w:bCs/>
                <w:sz w:val="20"/>
                <w:szCs w:val="20"/>
                <w:vertAlign w:val="superscript"/>
                <w:lang w:val="en-US"/>
              </w:rPr>
              <w:t>3</w:t>
            </w:r>
            <w:r w:rsidRPr="00940BEC">
              <w:rPr>
                <w:rFonts w:ascii="Arial Narrow" w:hAnsi="Arial Narrow"/>
                <w:bCs/>
                <w:sz w:val="20"/>
                <w:szCs w:val="20"/>
                <w:lang w:val="en-US"/>
              </w:rPr>
              <w:t xml:space="preserve">, from </w:t>
            </w:r>
            <w:r w:rsidRPr="00940BEC">
              <w:rPr>
                <w:rFonts w:ascii="Arial Narrow" w:hAnsi="Arial Narrow"/>
                <w:bCs/>
                <w:sz w:val="20"/>
                <w:szCs w:val="20"/>
              </w:rPr>
              <w:t>a base case of $</w:t>
            </w:r>
            <w:r w:rsidR="003C22C5" w:rsidRPr="003C22C5">
              <w:rPr>
                <w:rFonts w:ascii="Arial Narrow" w:hAnsi="Arial Narrow"/>
                <w:bCs/>
                <w:sz w:val="20"/>
                <w:szCs w:val="20"/>
              </w:rPr>
              <w:t xml:space="preserve"> </w:t>
            </w:r>
            <w:r w:rsidR="00B7116A" w:rsidRPr="00CB7CE2">
              <w:rPr>
                <w:rFonts w:ascii="Arial Narrow" w:hAnsi="Arial Narrow"/>
                <w:bCs/>
                <w:color w:val="000000"/>
                <w:spacing w:val="51"/>
                <w:sz w:val="20"/>
                <w:szCs w:val="20"/>
                <w:shd w:val="solid" w:color="000000" w:fill="000000"/>
                <w:fitText w:val="326" w:id="-1031540733"/>
                <w14:textFill>
                  <w14:solidFill>
                    <w14:srgbClr w14:val="000000">
                      <w14:alpha w14:val="100000"/>
                    </w14:srgbClr>
                  </w14:solidFill>
                </w14:textFill>
              </w:rPr>
              <w:t>|||</w:t>
            </w:r>
            <w:r w:rsidR="00B7116A" w:rsidRPr="00CB7CE2">
              <w:rPr>
                <w:rFonts w:ascii="Arial Narrow" w:hAnsi="Arial Narrow"/>
                <w:bCs/>
                <w:color w:val="000000"/>
                <w:spacing w:val="3"/>
                <w:sz w:val="20"/>
                <w:szCs w:val="20"/>
                <w:shd w:val="solid" w:color="000000" w:fill="000000"/>
                <w:fitText w:val="326" w:id="-1031540733"/>
                <w14:textFill>
                  <w14:solidFill>
                    <w14:srgbClr w14:val="000000">
                      <w14:alpha w14:val="100000"/>
                    </w14:srgbClr>
                  </w14:solidFill>
                </w14:textFill>
              </w:rPr>
              <w:t>|</w:t>
            </w:r>
            <w:r w:rsidR="00A524DD" w:rsidRPr="00E952E8">
              <w:rPr>
                <w:rFonts w:ascii="Arial Narrow" w:hAnsi="Arial Narrow"/>
                <w:bCs/>
                <w:sz w:val="20"/>
                <w:szCs w:val="20"/>
                <w:vertAlign w:val="superscript"/>
              </w:rPr>
              <w:t>4</w:t>
            </w:r>
            <w:r w:rsidRPr="00A524DD">
              <w:rPr>
                <w:rFonts w:ascii="Arial Narrow" w:hAnsi="Arial Narrow"/>
                <w:bCs/>
                <w:sz w:val="20"/>
                <w:szCs w:val="20"/>
                <w:lang w:val="en-US"/>
              </w:rPr>
              <w:t>.</w:t>
            </w:r>
          </w:p>
        </w:tc>
      </w:tr>
      <w:tr w:rsidR="00170BFC" w:rsidRPr="00021AA5" w14:paraId="5E381FD3" w14:textId="77777777" w:rsidTr="00274773">
        <w:trPr>
          <w:cantSplit/>
          <w:trHeight w:val="20"/>
        </w:trPr>
        <w:tc>
          <w:tcPr>
            <w:tcW w:w="0" w:type="auto"/>
            <w:shd w:val="clear" w:color="auto" w:fill="auto"/>
            <w:vAlign w:val="center"/>
          </w:tcPr>
          <w:p w14:paraId="13D271B4" w14:textId="77777777" w:rsidR="00170BFC" w:rsidRPr="00940BEC" w:rsidRDefault="00170BFC" w:rsidP="00274773">
            <w:pPr>
              <w:keepNext/>
              <w:rPr>
                <w:rFonts w:ascii="Arial Narrow" w:hAnsi="Arial Narrow"/>
                <w:bCs/>
                <w:sz w:val="20"/>
                <w:szCs w:val="20"/>
              </w:rPr>
            </w:pPr>
            <w:r w:rsidRPr="00940BEC">
              <w:rPr>
                <w:rFonts w:ascii="Arial Narrow" w:hAnsi="Arial Narrow"/>
                <w:bCs/>
                <w:sz w:val="20"/>
                <w:szCs w:val="20"/>
              </w:rPr>
              <w:t>NHA-naïve mCRPC patients</w:t>
            </w:r>
          </w:p>
        </w:tc>
        <w:tc>
          <w:tcPr>
            <w:tcW w:w="4485"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0"/>
              <w:gridCol w:w="535"/>
              <w:gridCol w:w="600"/>
              <w:gridCol w:w="600"/>
              <w:gridCol w:w="600"/>
              <w:gridCol w:w="600"/>
              <w:gridCol w:w="595"/>
            </w:tblGrid>
            <w:tr w:rsidR="00170BFC" w:rsidRPr="00940BEC" w14:paraId="05437322" w14:textId="77777777" w:rsidTr="001079B2">
              <w:tc>
                <w:tcPr>
                  <w:tcW w:w="770" w:type="dxa"/>
                </w:tcPr>
                <w:p w14:paraId="0B60BE71"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Year</w:t>
                  </w:r>
                </w:p>
              </w:tc>
              <w:tc>
                <w:tcPr>
                  <w:tcW w:w="535" w:type="dxa"/>
                  <w:vAlign w:val="center"/>
                </w:tcPr>
                <w:p w14:paraId="1976A36F"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2024</w:t>
                  </w:r>
                </w:p>
              </w:tc>
              <w:tc>
                <w:tcPr>
                  <w:tcW w:w="600" w:type="dxa"/>
                  <w:vAlign w:val="center"/>
                </w:tcPr>
                <w:p w14:paraId="77689D82"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2025</w:t>
                  </w:r>
                </w:p>
              </w:tc>
              <w:tc>
                <w:tcPr>
                  <w:tcW w:w="600" w:type="dxa"/>
                  <w:vAlign w:val="center"/>
                </w:tcPr>
                <w:p w14:paraId="036F694F"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2026</w:t>
                  </w:r>
                </w:p>
              </w:tc>
              <w:tc>
                <w:tcPr>
                  <w:tcW w:w="600" w:type="dxa"/>
                  <w:vAlign w:val="center"/>
                </w:tcPr>
                <w:p w14:paraId="6427B086"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2027</w:t>
                  </w:r>
                </w:p>
              </w:tc>
              <w:tc>
                <w:tcPr>
                  <w:tcW w:w="600" w:type="dxa"/>
                  <w:vAlign w:val="center"/>
                </w:tcPr>
                <w:p w14:paraId="61ABE0B1"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2028</w:t>
                  </w:r>
                </w:p>
              </w:tc>
              <w:tc>
                <w:tcPr>
                  <w:tcW w:w="595" w:type="dxa"/>
                  <w:vAlign w:val="center"/>
                </w:tcPr>
                <w:p w14:paraId="19D7C23E" w14:textId="77777777" w:rsidR="00170BFC" w:rsidRPr="00940BEC" w:rsidRDefault="00170BFC" w:rsidP="00274773">
                  <w:pPr>
                    <w:keepNext/>
                    <w:rPr>
                      <w:rFonts w:ascii="Arial Narrow" w:hAnsi="Arial Narrow"/>
                      <w:b/>
                      <w:bCs/>
                      <w:sz w:val="20"/>
                      <w:szCs w:val="20"/>
                    </w:rPr>
                  </w:pPr>
                  <w:r w:rsidRPr="00940BEC">
                    <w:rPr>
                      <w:rFonts w:ascii="Arial Narrow" w:hAnsi="Arial Narrow"/>
                      <w:b/>
                      <w:bCs/>
                      <w:sz w:val="20"/>
                      <w:szCs w:val="20"/>
                    </w:rPr>
                    <w:t>2029</w:t>
                  </w:r>
                </w:p>
              </w:tc>
            </w:tr>
            <w:tr w:rsidR="00170BFC" w:rsidRPr="00940BEC" w14:paraId="3322E391" w14:textId="77777777" w:rsidTr="001079B2">
              <w:trPr>
                <w:trHeight w:val="60"/>
              </w:trPr>
              <w:tc>
                <w:tcPr>
                  <w:tcW w:w="770" w:type="dxa"/>
                </w:tcPr>
                <w:p w14:paraId="07A49215" w14:textId="4E32B1CC" w:rsidR="00170BFC" w:rsidRPr="00940BEC" w:rsidRDefault="00170BFC" w:rsidP="00274773">
                  <w:pPr>
                    <w:keepNext/>
                    <w:rPr>
                      <w:rFonts w:ascii="Arial Narrow" w:hAnsi="Arial Narrow"/>
                      <w:bCs/>
                      <w:sz w:val="20"/>
                      <w:szCs w:val="20"/>
                    </w:rPr>
                  </w:pPr>
                  <w:r w:rsidRPr="00940BEC">
                    <w:rPr>
                      <w:rFonts w:ascii="Arial Narrow" w:hAnsi="Arial Narrow"/>
                      <w:bCs/>
                      <w:sz w:val="20"/>
                      <w:szCs w:val="20"/>
                    </w:rPr>
                    <w:t xml:space="preserve"> %</w:t>
                  </w:r>
                </w:p>
              </w:tc>
              <w:tc>
                <w:tcPr>
                  <w:tcW w:w="535" w:type="dxa"/>
                  <w:vAlign w:val="center"/>
                </w:tcPr>
                <w:p w14:paraId="4F84E1FB" w14:textId="77777777" w:rsidR="00170BFC" w:rsidRPr="00E15FB7" w:rsidRDefault="00170BFC" w:rsidP="00274773">
                  <w:pPr>
                    <w:keepNext/>
                    <w:rPr>
                      <w:rFonts w:ascii="Arial Narrow" w:hAnsi="Arial Narrow"/>
                      <w:bCs/>
                      <w:sz w:val="20"/>
                      <w:szCs w:val="20"/>
                    </w:rPr>
                  </w:pPr>
                  <w:r w:rsidRPr="00E15FB7">
                    <w:rPr>
                      <w:rFonts w:ascii="Arial Narrow" w:hAnsi="Arial Narrow"/>
                      <w:bCs/>
                      <w:sz w:val="20"/>
                      <w:szCs w:val="20"/>
                    </w:rPr>
                    <w:t>52%</w:t>
                  </w:r>
                </w:p>
              </w:tc>
              <w:tc>
                <w:tcPr>
                  <w:tcW w:w="600" w:type="dxa"/>
                  <w:vAlign w:val="center"/>
                </w:tcPr>
                <w:p w14:paraId="37DE366C" w14:textId="77777777" w:rsidR="00170BFC" w:rsidRPr="00E15FB7" w:rsidRDefault="00170BFC" w:rsidP="00274773">
                  <w:pPr>
                    <w:keepNext/>
                    <w:rPr>
                      <w:rFonts w:ascii="Arial Narrow" w:hAnsi="Arial Narrow"/>
                      <w:bCs/>
                      <w:sz w:val="20"/>
                      <w:szCs w:val="20"/>
                    </w:rPr>
                  </w:pPr>
                  <w:r w:rsidRPr="00E15FB7">
                    <w:rPr>
                      <w:rFonts w:ascii="Arial Narrow" w:hAnsi="Arial Narrow"/>
                      <w:bCs/>
                      <w:sz w:val="20"/>
                      <w:szCs w:val="20"/>
                    </w:rPr>
                    <w:t>47%</w:t>
                  </w:r>
                </w:p>
              </w:tc>
              <w:tc>
                <w:tcPr>
                  <w:tcW w:w="600" w:type="dxa"/>
                  <w:vAlign w:val="center"/>
                </w:tcPr>
                <w:p w14:paraId="62DA97B6" w14:textId="77777777" w:rsidR="00170BFC" w:rsidRPr="00E15FB7" w:rsidRDefault="00170BFC" w:rsidP="00274773">
                  <w:pPr>
                    <w:keepNext/>
                    <w:rPr>
                      <w:rFonts w:ascii="Arial Narrow" w:hAnsi="Arial Narrow"/>
                      <w:bCs/>
                      <w:sz w:val="20"/>
                      <w:szCs w:val="20"/>
                    </w:rPr>
                  </w:pPr>
                  <w:r w:rsidRPr="00E15FB7">
                    <w:rPr>
                      <w:rFonts w:ascii="Arial Narrow" w:hAnsi="Arial Narrow"/>
                      <w:bCs/>
                      <w:sz w:val="20"/>
                      <w:szCs w:val="20"/>
                    </w:rPr>
                    <w:t>43%</w:t>
                  </w:r>
                </w:p>
              </w:tc>
              <w:tc>
                <w:tcPr>
                  <w:tcW w:w="600" w:type="dxa"/>
                  <w:vAlign w:val="center"/>
                </w:tcPr>
                <w:p w14:paraId="76FB1015" w14:textId="77777777" w:rsidR="00170BFC" w:rsidRPr="00E15FB7" w:rsidRDefault="00170BFC" w:rsidP="00274773">
                  <w:pPr>
                    <w:keepNext/>
                    <w:rPr>
                      <w:rFonts w:ascii="Arial Narrow" w:hAnsi="Arial Narrow"/>
                      <w:bCs/>
                      <w:sz w:val="20"/>
                      <w:szCs w:val="20"/>
                    </w:rPr>
                  </w:pPr>
                  <w:r w:rsidRPr="00E15FB7">
                    <w:rPr>
                      <w:rFonts w:ascii="Arial Narrow" w:hAnsi="Arial Narrow"/>
                      <w:bCs/>
                      <w:sz w:val="20"/>
                      <w:szCs w:val="20"/>
                    </w:rPr>
                    <w:t>43%</w:t>
                  </w:r>
                </w:p>
              </w:tc>
              <w:tc>
                <w:tcPr>
                  <w:tcW w:w="600" w:type="dxa"/>
                  <w:vAlign w:val="center"/>
                </w:tcPr>
                <w:p w14:paraId="18A4F635" w14:textId="77777777" w:rsidR="00170BFC" w:rsidRPr="00E15FB7" w:rsidRDefault="00170BFC" w:rsidP="00274773">
                  <w:pPr>
                    <w:keepNext/>
                    <w:rPr>
                      <w:rFonts w:ascii="Arial Narrow" w:hAnsi="Arial Narrow"/>
                      <w:bCs/>
                      <w:sz w:val="20"/>
                      <w:szCs w:val="20"/>
                    </w:rPr>
                  </w:pPr>
                  <w:r w:rsidRPr="00E15FB7">
                    <w:rPr>
                      <w:rFonts w:ascii="Arial Narrow" w:hAnsi="Arial Narrow"/>
                      <w:bCs/>
                      <w:sz w:val="20"/>
                      <w:szCs w:val="20"/>
                    </w:rPr>
                    <w:t>43%</w:t>
                  </w:r>
                </w:p>
              </w:tc>
              <w:tc>
                <w:tcPr>
                  <w:tcW w:w="595" w:type="dxa"/>
                  <w:vAlign w:val="center"/>
                </w:tcPr>
                <w:p w14:paraId="0B861D68" w14:textId="77777777" w:rsidR="00170BFC" w:rsidRPr="00E15FB7" w:rsidRDefault="00170BFC" w:rsidP="00274773">
                  <w:pPr>
                    <w:keepNext/>
                    <w:rPr>
                      <w:rFonts w:ascii="Arial Narrow" w:hAnsi="Arial Narrow"/>
                      <w:bCs/>
                      <w:sz w:val="20"/>
                      <w:szCs w:val="20"/>
                    </w:rPr>
                  </w:pPr>
                  <w:r w:rsidRPr="00E15FB7">
                    <w:rPr>
                      <w:rFonts w:ascii="Arial Narrow" w:hAnsi="Arial Narrow"/>
                      <w:bCs/>
                      <w:sz w:val="20"/>
                      <w:szCs w:val="20"/>
                    </w:rPr>
                    <w:t>43%</w:t>
                  </w:r>
                </w:p>
              </w:tc>
            </w:tr>
            <w:tr w:rsidR="00170BFC" w:rsidRPr="00940BEC" w14:paraId="7964751E" w14:textId="77777777" w:rsidTr="001079B2">
              <w:trPr>
                <w:trHeight w:val="60"/>
              </w:trPr>
              <w:tc>
                <w:tcPr>
                  <w:tcW w:w="770" w:type="dxa"/>
                </w:tcPr>
                <w:p w14:paraId="5C8101C6" w14:textId="77777777" w:rsidR="00170BFC" w:rsidRPr="00940BEC" w:rsidRDefault="00170BFC" w:rsidP="00274773">
                  <w:pPr>
                    <w:keepNext/>
                    <w:rPr>
                      <w:rFonts w:ascii="Arial Narrow" w:hAnsi="Arial Narrow"/>
                      <w:bCs/>
                      <w:sz w:val="20"/>
                      <w:szCs w:val="20"/>
                    </w:rPr>
                  </w:pPr>
                  <w:r w:rsidRPr="00940BEC">
                    <w:rPr>
                      <w:rFonts w:ascii="Arial Narrow" w:hAnsi="Arial Narrow"/>
                      <w:bCs/>
                      <w:sz w:val="20"/>
                      <w:szCs w:val="20"/>
                    </w:rPr>
                    <w:t>N</w:t>
                  </w:r>
                </w:p>
              </w:tc>
              <w:tc>
                <w:tcPr>
                  <w:tcW w:w="535" w:type="dxa"/>
                  <w:vAlign w:val="center"/>
                </w:tcPr>
                <w:p w14:paraId="5C2DE970" w14:textId="15ED4A31" w:rsidR="00170BFC" w:rsidRPr="006D17A4" w:rsidRDefault="003C22C5" w:rsidP="00274773">
                  <w:pPr>
                    <w:keepNext/>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32"/>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32"/>
                      <w14:textFill>
                        <w14:solidFill>
                          <w14:srgbClr w14:val="000000">
                            <w14:alpha w14:val="100000"/>
                          </w14:srgbClr>
                        </w14:solidFill>
                      </w14:textFill>
                    </w:rPr>
                    <w:t>|</w:t>
                  </w:r>
                  <w:r w:rsidR="002E2E88" w:rsidRPr="004B6088">
                    <w:rPr>
                      <w:rFonts w:ascii="Arial Narrow" w:hAnsi="Arial Narrow"/>
                      <w:bCs/>
                      <w:sz w:val="20"/>
                      <w:szCs w:val="20"/>
                      <w:vertAlign w:val="superscript"/>
                    </w:rPr>
                    <w:t>1</w:t>
                  </w:r>
                </w:p>
              </w:tc>
              <w:tc>
                <w:tcPr>
                  <w:tcW w:w="600" w:type="dxa"/>
                  <w:vAlign w:val="center"/>
                </w:tcPr>
                <w:p w14:paraId="686145BA" w14:textId="62919FEC" w:rsidR="00170BFC" w:rsidRPr="006D17A4" w:rsidRDefault="003C22C5" w:rsidP="00274773">
                  <w:pPr>
                    <w:keepNext/>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31"/>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31"/>
                      <w14:textFill>
                        <w14:solidFill>
                          <w14:srgbClr w14:val="000000">
                            <w14:alpha w14:val="100000"/>
                          </w14:srgbClr>
                        </w14:solidFill>
                      </w14:textFill>
                    </w:rPr>
                    <w:t>|</w:t>
                  </w:r>
                  <w:r w:rsidR="002E2E88" w:rsidRPr="004B6088">
                    <w:rPr>
                      <w:rFonts w:ascii="Arial Narrow" w:hAnsi="Arial Narrow"/>
                      <w:bCs/>
                      <w:sz w:val="20"/>
                      <w:szCs w:val="20"/>
                      <w:vertAlign w:val="superscript"/>
                    </w:rPr>
                    <w:t>1</w:t>
                  </w:r>
                </w:p>
              </w:tc>
              <w:tc>
                <w:tcPr>
                  <w:tcW w:w="600" w:type="dxa"/>
                  <w:vAlign w:val="center"/>
                </w:tcPr>
                <w:p w14:paraId="76BCDAD1" w14:textId="47B6F37C" w:rsidR="00170BFC" w:rsidRPr="006D17A4" w:rsidRDefault="003C22C5" w:rsidP="00274773">
                  <w:pPr>
                    <w:keepNext/>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30"/>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30"/>
                      <w14:textFill>
                        <w14:solidFill>
                          <w14:srgbClr w14:val="000000">
                            <w14:alpha w14:val="100000"/>
                          </w14:srgbClr>
                        </w14:solidFill>
                      </w14:textFill>
                    </w:rPr>
                    <w:t>|</w:t>
                  </w:r>
                  <w:r w:rsidR="002E2E88" w:rsidRPr="004B6088">
                    <w:rPr>
                      <w:rFonts w:ascii="Arial Narrow" w:hAnsi="Arial Narrow"/>
                      <w:bCs/>
                      <w:sz w:val="20"/>
                      <w:szCs w:val="20"/>
                      <w:vertAlign w:val="superscript"/>
                    </w:rPr>
                    <w:t>1</w:t>
                  </w:r>
                </w:p>
              </w:tc>
              <w:tc>
                <w:tcPr>
                  <w:tcW w:w="600" w:type="dxa"/>
                  <w:vAlign w:val="center"/>
                </w:tcPr>
                <w:p w14:paraId="4623737E" w14:textId="4F22F523" w:rsidR="00170BFC" w:rsidRPr="006D17A4" w:rsidRDefault="003C22C5" w:rsidP="00274773">
                  <w:pPr>
                    <w:keepNext/>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29"/>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29"/>
                      <w14:textFill>
                        <w14:solidFill>
                          <w14:srgbClr w14:val="000000">
                            <w14:alpha w14:val="100000"/>
                          </w14:srgbClr>
                        </w14:solidFill>
                      </w14:textFill>
                    </w:rPr>
                    <w:t>|</w:t>
                  </w:r>
                  <w:r w:rsidR="002E2E88" w:rsidRPr="004B6088">
                    <w:rPr>
                      <w:rFonts w:ascii="Arial Narrow" w:hAnsi="Arial Narrow"/>
                      <w:bCs/>
                      <w:sz w:val="20"/>
                      <w:szCs w:val="20"/>
                      <w:vertAlign w:val="superscript"/>
                    </w:rPr>
                    <w:t>1</w:t>
                  </w:r>
                </w:p>
              </w:tc>
              <w:tc>
                <w:tcPr>
                  <w:tcW w:w="600" w:type="dxa"/>
                  <w:vAlign w:val="center"/>
                </w:tcPr>
                <w:p w14:paraId="59129472" w14:textId="4665CD97" w:rsidR="00170BFC" w:rsidRPr="006D17A4" w:rsidRDefault="003C22C5" w:rsidP="00274773">
                  <w:pPr>
                    <w:keepNext/>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28"/>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28"/>
                      <w14:textFill>
                        <w14:solidFill>
                          <w14:srgbClr w14:val="000000">
                            <w14:alpha w14:val="100000"/>
                          </w14:srgbClr>
                        </w14:solidFill>
                      </w14:textFill>
                    </w:rPr>
                    <w:t>|</w:t>
                  </w:r>
                  <w:r w:rsidR="002E2E88" w:rsidRPr="004B6088">
                    <w:rPr>
                      <w:rFonts w:ascii="Arial Narrow" w:hAnsi="Arial Narrow"/>
                      <w:bCs/>
                      <w:sz w:val="20"/>
                      <w:szCs w:val="20"/>
                      <w:vertAlign w:val="superscript"/>
                    </w:rPr>
                    <w:t>1</w:t>
                  </w:r>
                </w:p>
              </w:tc>
              <w:tc>
                <w:tcPr>
                  <w:tcW w:w="595" w:type="dxa"/>
                  <w:vAlign w:val="center"/>
                </w:tcPr>
                <w:p w14:paraId="38D5B3EE" w14:textId="363C4BB7" w:rsidR="00170BFC" w:rsidRPr="006D17A4" w:rsidRDefault="003C22C5" w:rsidP="00274773">
                  <w:pPr>
                    <w:keepNext/>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7"/>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7"/>
                      <w14:textFill>
                        <w14:solidFill>
                          <w14:srgbClr w14:val="000000">
                            <w14:alpha w14:val="100000"/>
                          </w14:srgbClr>
                        </w14:solidFill>
                      </w14:textFill>
                    </w:rPr>
                    <w:t>|</w:t>
                  </w:r>
                  <w:r w:rsidR="002E2E88" w:rsidRPr="004B6088">
                    <w:rPr>
                      <w:rFonts w:ascii="Arial Narrow" w:hAnsi="Arial Narrow"/>
                      <w:bCs/>
                      <w:sz w:val="20"/>
                      <w:szCs w:val="20"/>
                      <w:vertAlign w:val="superscript"/>
                    </w:rPr>
                    <w:t>1</w:t>
                  </w:r>
                </w:p>
              </w:tc>
            </w:tr>
          </w:tbl>
          <w:p w14:paraId="1DEE00ED" w14:textId="0C2D4C2A" w:rsidR="00170BFC" w:rsidRPr="00940BEC" w:rsidRDefault="00170BFC" w:rsidP="00274773">
            <w:pPr>
              <w:keepNext/>
              <w:rPr>
                <w:rFonts w:ascii="Arial Narrow" w:hAnsi="Arial Narrow"/>
                <w:bCs/>
                <w:sz w:val="20"/>
                <w:szCs w:val="20"/>
                <w:lang w:val="en-US"/>
              </w:rPr>
            </w:pPr>
            <w:r w:rsidRPr="00940BEC">
              <w:rPr>
                <w:rFonts w:ascii="Arial Narrow" w:hAnsi="Arial Narrow"/>
                <w:bCs/>
                <w:sz w:val="20"/>
                <w:szCs w:val="20"/>
              </w:rPr>
              <w:t>NHA-naïve patients were estimated in two steps</w:t>
            </w:r>
            <w:r w:rsidR="003A44AB" w:rsidRPr="00940BEC">
              <w:rPr>
                <w:rFonts w:ascii="Arial Narrow" w:hAnsi="Arial Narrow"/>
                <w:bCs/>
                <w:sz w:val="20"/>
                <w:szCs w:val="20"/>
              </w:rPr>
              <w:t>:</w:t>
            </w:r>
            <w:r w:rsidRPr="00940BEC">
              <w:rPr>
                <w:rFonts w:ascii="Arial Narrow" w:hAnsi="Arial Narrow"/>
                <w:bCs/>
                <w:sz w:val="20"/>
                <w:szCs w:val="20"/>
              </w:rPr>
              <w:t xml:space="preserve"> i) based on the proportion of patients who progressed from m0HSPC, mHSPC, and m0CRPC to mCRPC (sourced from Sweden registry</w:t>
            </w:r>
            <w:r w:rsidRPr="00940BEC">
              <w:rPr>
                <w:rFonts w:ascii="Arial Narrow" w:hAnsi="Arial Narrow"/>
                <w:bCs/>
                <w:sz w:val="20"/>
                <w:szCs w:val="20"/>
                <w:vertAlign w:val="superscript"/>
              </w:rPr>
              <w:footnoteReference w:id="10"/>
            </w:r>
            <w:r w:rsidRPr="00940BEC">
              <w:rPr>
                <w:rFonts w:ascii="Arial Narrow" w:hAnsi="Arial Narrow"/>
                <w:bCs/>
                <w:sz w:val="20"/>
                <w:szCs w:val="20"/>
              </w:rPr>
              <w:t>)</w:t>
            </w:r>
            <w:r w:rsidR="003A44AB" w:rsidRPr="00940BEC">
              <w:rPr>
                <w:rFonts w:ascii="Arial Narrow" w:hAnsi="Arial Narrow"/>
                <w:bCs/>
                <w:sz w:val="20"/>
                <w:szCs w:val="20"/>
              </w:rPr>
              <w:t>; and</w:t>
            </w:r>
            <w:r w:rsidRPr="00940BEC">
              <w:rPr>
                <w:rFonts w:ascii="Arial Narrow" w:hAnsi="Arial Narrow"/>
                <w:bCs/>
                <w:sz w:val="20"/>
                <w:szCs w:val="20"/>
              </w:rPr>
              <w:t xml:space="preserve"> ii) </w:t>
            </w:r>
            <w:r w:rsidR="003A44AB" w:rsidRPr="00940BEC">
              <w:rPr>
                <w:rFonts w:ascii="Arial Narrow" w:hAnsi="Arial Narrow"/>
                <w:bCs/>
                <w:sz w:val="20"/>
                <w:szCs w:val="20"/>
              </w:rPr>
              <w:t>t</w:t>
            </w:r>
            <w:r w:rsidRPr="00940BEC">
              <w:rPr>
                <w:rFonts w:ascii="Arial Narrow" w:hAnsi="Arial Narrow"/>
                <w:bCs/>
                <w:sz w:val="20"/>
                <w:szCs w:val="20"/>
              </w:rPr>
              <w:t xml:space="preserve">he proportion of NHA-naïve </w:t>
            </w:r>
            <w:r w:rsidR="005E1B84" w:rsidRPr="00940BEC">
              <w:rPr>
                <w:rFonts w:ascii="Arial Narrow" w:hAnsi="Arial Narrow"/>
                <w:bCs/>
                <w:sz w:val="20"/>
                <w:szCs w:val="20"/>
              </w:rPr>
              <w:t xml:space="preserve">patients </w:t>
            </w:r>
            <w:r w:rsidRPr="00940BEC">
              <w:rPr>
                <w:rFonts w:ascii="Arial Narrow" w:hAnsi="Arial Narrow"/>
                <w:bCs/>
                <w:sz w:val="20"/>
                <w:szCs w:val="20"/>
              </w:rPr>
              <w:t>was calculated from the estimated proportions of patients accessing PBS-funded NHAs for each stage of disease (derived from apalutamide PSDs for mHSPC and m0CRPC and assuming 100% m0HSPC patients that develop mCRPC are NHA naïve due to no PBS listed NHAs in this setting).</w:t>
            </w:r>
          </w:p>
        </w:tc>
        <w:tc>
          <w:tcPr>
            <w:tcW w:w="3352" w:type="dxa"/>
            <w:shd w:val="clear" w:color="auto" w:fill="auto"/>
            <w:vAlign w:val="center"/>
          </w:tcPr>
          <w:p w14:paraId="4EA655D8" w14:textId="5BBFC99E" w:rsidR="00170BFC" w:rsidRPr="00940BEC" w:rsidRDefault="00170BFC" w:rsidP="00274773">
            <w:pPr>
              <w:keepNext/>
              <w:rPr>
                <w:rFonts w:ascii="Arial Narrow" w:hAnsi="Arial Narrow"/>
                <w:bCs/>
                <w:sz w:val="20"/>
                <w:szCs w:val="20"/>
                <w:lang w:val="en-US"/>
              </w:rPr>
            </w:pPr>
            <w:r w:rsidRPr="00940BEC">
              <w:rPr>
                <w:rFonts w:ascii="Arial Narrow" w:hAnsi="Arial Narrow"/>
                <w:bCs/>
                <w:sz w:val="20"/>
                <w:szCs w:val="20"/>
                <w:lang w:val="en-US"/>
              </w:rPr>
              <w:t>Likely overestimated</w:t>
            </w:r>
            <w:r w:rsidR="00143111" w:rsidRPr="00940BEC">
              <w:rPr>
                <w:rFonts w:ascii="Arial Narrow" w:hAnsi="Arial Narrow"/>
                <w:bCs/>
                <w:sz w:val="20"/>
                <w:szCs w:val="20"/>
                <w:lang w:val="en-US"/>
              </w:rPr>
              <w:t xml:space="preserve"> the proportion of NHA-naïve patients</w:t>
            </w:r>
            <w:r w:rsidR="002F7AB4" w:rsidRPr="00940BEC">
              <w:rPr>
                <w:rFonts w:ascii="Arial Narrow" w:hAnsi="Arial Narrow"/>
                <w:bCs/>
                <w:sz w:val="20"/>
                <w:szCs w:val="20"/>
              </w:rPr>
              <w:t xml:space="preserve">. </w:t>
            </w:r>
            <w:r w:rsidR="00013101" w:rsidRPr="00940BEC">
              <w:rPr>
                <w:rFonts w:ascii="Arial Narrow" w:hAnsi="Arial Narrow"/>
                <w:bCs/>
                <w:sz w:val="20"/>
                <w:szCs w:val="20"/>
              </w:rPr>
              <w:t>The ESC considered that w</w:t>
            </w:r>
            <w:r w:rsidR="002F7AB4" w:rsidRPr="00940BEC">
              <w:rPr>
                <w:rFonts w:ascii="Arial Narrow" w:hAnsi="Arial Narrow"/>
                <w:bCs/>
                <w:sz w:val="20"/>
                <w:szCs w:val="20"/>
              </w:rPr>
              <w:t>ith the recent PBS listing of</w:t>
            </w:r>
            <w:r w:rsidR="007E324F" w:rsidRPr="00940BEC">
              <w:rPr>
                <w:rFonts w:ascii="Arial Narrow" w:hAnsi="Arial Narrow"/>
                <w:bCs/>
                <w:sz w:val="20"/>
                <w:szCs w:val="20"/>
              </w:rPr>
              <w:t xml:space="preserve"> </w:t>
            </w:r>
            <w:r w:rsidRPr="00940BEC">
              <w:rPr>
                <w:rFonts w:ascii="Arial Narrow" w:hAnsi="Arial Narrow"/>
                <w:bCs/>
                <w:sz w:val="20"/>
                <w:szCs w:val="20"/>
              </w:rPr>
              <w:t>apalutamide</w:t>
            </w:r>
            <w:r w:rsidR="001D77C6" w:rsidRPr="00940BEC">
              <w:rPr>
                <w:rFonts w:ascii="Arial Narrow" w:hAnsi="Arial Narrow"/>
                <w:bCs/>
                <w:sz w:val="20"/>
                <w:szCs w:val="20"/>
              </w:rPr>
              <w:t>, enzalutamide</w:t>
            </w:r>
            <w:r w:rsidRPr="00940BEC">
              <w:rPr>
                <w:rFonts w:ascii="Arial Narrow" w:hAnsi="Arial Narrow"/>
                <w:bCs/>
                <w:sz w:val="20"/>
                <w:szCs w:val="20"/>
              </w:rPr>
              <w:t xml:space="preserve"> and darolutamide earlier in the treatment pathway</w:t>
            </w:r>
            <w:r w:rsidR="00143111" w:rsidRPr="00940BEC">
              <w:rPr>
                <w:rFonts w:ascii="Arial Narrow" w:hAnsi="Arial Narrow"/>
                <w:bCs/>
                <w:sz w:val="20"/>
                <w:szCs w:val="20"/>
              </w:rPr>
              <w:t xml:space="preserve"> </w:t>
            </w:r>
            <w:r w:rsidR="007E324F" w:rsidRPr="00940BEC">
              <w:rPr>
                <w:rFonts w:ascii="Arial Narrow" w:hAnsi="Arial Narrow"/>
                <w:bCs/>
                <w:sz w:val="20"/>
                <w:szCs w:val="20"/>
              </w:rPr>
              <w:t>for</w:t>
            </w:r>
            <w:r w:rsidR="00143111" w:rsidRPr="00940BEC">
              <w:rPr>
                <w:rFonts w:ascii="Arial Narrow" w:hAnsi="Arial Narrow"/>
                <w:bCs/>
                <w:sz w:val="20"/>
                <w:szCs w:val="20"/>
              </w:rPr>
              <w:t xml:space="preserve"> mHSPC and m0CRPC</w:t>
            </w:r>
            <w:r w:rsidR="002F7AB4" w:rsidRPr="00940BEC">
              <w:rPr>
                <w:rFonts w:ascii="Arial Narrow" w:hAnsi="Arial Narrow"/>
                <w:bCs/>
                <w:sz w:val="20"/>
                <w:szCs w:val="20"/>
              </w:rPr>
              <w:t xml:space="preserve">, the </w:t>
            </w:r>
            <w:r w:rsidR="00013101" w:rsidRPr="00940BEC">
              <w:rPr>
                <w:rFonts w:ascii="Arial Narrow" w:hAnsi="Arial Narrow"/>
                <w:bCs/>
                <w:sz w:val="20"/>
                <w:szCs w:val="20"/>
              </w:rPr>
              <w:t>number of</w:t>
            </w:r>
            <w:r w:rsidR="002F7AB4" w:rsidRPr="00940BEC">
              <w:rPr>
                <w:rFonts w:ascii="Arial Narrow" w:hAnsi="Arial Narrow"/>
                <w:bCs/>
                <w:sz w:val="20"/>
                <w:szCs w:val="20"/>
              </w:rPr>
              <w:t xml:space="preserve"> NHA-naïve mCPRC patients</w:t>
            </w:r>
            <w:r w:rsidR="00013101" w:rsidRPr="00940BEC">
              <w:rPr>
                <w:rFonts w:ascii="Arial Narrow" w:hAnsi="Arial Narrow"/>
                <w:bCs/>
                <w:sz w:val="20"/>
                <w:szCs w:val="20"/>
              </w:rPr>
              <w:t xml:space="preserve"> would be expected to decrease over the forward estimates</w:t>
            </w:r>
            <w:r w:rsidR="002F7AB4" w:rsidRPr="00940BEC">
              <w:rPr>
                <w:rFonts w:ascii="Arial Narrow" w:hAnsi="Arial Narrow"/>
                <w:bCs/>
                <w:sz w:val="20"/>
                <w:szCs w:val="20"/>
              </w:rPr>
              <w:t>.</w:t>
            </w:r>
            <w:r w:rsidR="00CF11D7">
              <w:rPr>
                <w:rFonts w:ascii="Arial Narrow" w:hAnsi="Arial Narrow"/>
                <w:bCs/>
                <w:sz w:val="20"/>
                <w:szCs w:val="20"/>
              </w:rPr>
              <w:t xml:space="preserve"> The proportion of NHA-naïve patients was decreased in the pre-PBAC response from Year 3 onwards from 43% to 38%.</w:t>
            </w:r>
          </w:p>
        </w:tc>
      </w:tr>
      <w:tr w:rsidR="00170BFC" w:rsidRPr="00021AA5" w14:paraId="555CFBC4" w14:textId="77777777" w:rsidTr="00274773">
        <w:trPr>
          <w:cantSplit/>
          <w:trHeight w:val="20"/>
        </w:trPr>
        <w:tc>
          <w:tcPr>
            <w:tcW w:w="0" w:type="auto"/>
            <w:shd w:val="clear" w:color="auto" w:fill="auto"/>
            <w:vAlign w:val="center"/>
          </w:tcPr>
          <w:p w14:paraId="2A29D21F" w14:textId="27432DB9" w:rsidR="00170BFC" w:rsidRPr="00940BEC" w:rsidRDefault="006C3ED1" w:rsidP="00C407DD">
            <w:pPr>
              <w:rPr>
                <w:rFonts w:ascii="Arial Narrow" w:hAnsi="Arial Narrow"/>
                <w:bCs/>
                <w:sz w:val="20"/>
                <w:szCs w:val="20"/>
              </w:rPr>
            </w:pPr>
            <w:r w:rsidRPr="00940BEC">
              <w:rPr>
                <w:rFonts w:ascii="Arial Narrow" w:hAnsi="Arial Narrow"/>
                <w:bCs/>
                <w:sz w:val="20"/>
                <w:szCs w:val="20"/>
              </w:rPr>
              <w:t>BRCA1/2</w:t>
            </w:r>
            <w:r w:rsidR="00170BFC" w:rsidRPr="00940BEC">
              <w:rPr>
                <w:rFonts w:ascii="Arial Narrow" w:hAnsi="Arial Narrow"/>
                <w:bCs/>
                <w:sz w:val="20"/>
                <w:szCs w:val="20"/>
              </w:rPr>
              <w:t xml:space="preserve"> positive, NHA-naïve, mCRPC patients (eligible)</w:t>
            </w:r>
          </w:p>
        </w:tc>
        <w:tc>
          <w:tcPr>
            <w:tcW w:w="4485" w:type="dxa"/>
            <w:shd w:val="clear" w:color="auto" w:fill="auto"/>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78"/>
              <w:gridCol w:w="567"/>
              <w:gridCol w:w="567"/>
              <w:gridCol w:w="567"/>
              <w:gridCol w:w="567"/>
            </w:tblGrid>
            <w:tr w:rsidR="00170BFC" w:rsidRPr="00940BEC" w14:paraId="29B66F85" w14:textId="77777777" w:rsidTr="00C407DD">
              <w:tc>
                <w:tcPr>
                  <w:tcW w:w="567" w:type="dxa"/>
                  <w:vAlign w:val="center"/>
                </w:tcPr>
                <w:p w14:paraId="216EBB64"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2024</w:t>
                  </w:r>
                </w:p>
              </w:tc>
              <w:tc>
                <w:tcPr>
                  <w:tcW w:w="678" w:type="dxa"/>
                  <w:vAlign w:val="center"/>
                </w:tcPr>
                <w:p w14:paraId="3017B3C9"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2025</w:t>
                  </w:r>
                </w:p>
              </w:tc>
              <w:tc>
                <w:tcPr>
                  <w:tcW w:w="567" w:type="dxa"/>
                  <w:vAlign w:val="center"/>
                </w:tcPr>
                <w:p w14:paraId="1858F24D"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2026</w:t>
                  </w:r>
                </w:p>
              </w:tc>
              <w:tc>
                <w:tcPr>
                  <w:tcW w:w="567" w:type="dxa"/>
                  <w:vAlign w:val="center"/>
                </w:tcPr>
                <w:p w14:paraId="27542401"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2027</w:t>
                  </w:r>
                </w:p>
              </w:tc>
              <w:tc>
                <w:tcPr>
                  <w:tcW w:w="567" w:type="dxa"/>
                  <w:vAlign w:val="center"/>
                </w:tcPr>
                <w:p w14:paraId="61F5FE65"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2028</w:t>
                  </w:r>
                </w:p>
              </w:tc>
              <w:tc>
                <w:tcPr>
                  <w:tcW w:w="567" w:type="dxa"/>
                  <w:vAlign w:val="center"/>
                </w:tcPr>
                <w:p w14:paraId="352D6633"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2029</w:t>
                  </w:r>
                </w:p>
              </w:tc>
            </w:tr>
            <w:tr w:rsidR="00170BFC" w:rsidRPr="00940BEC" w14:paraId="75A7A3B8" w14:textId="77777777" w:rsidTr="00C407DD">
              <w:trPr>
                <w:trHeight w:val="60"/>
              </w:trPr>
              <w:tc>
                <w:tcPr>
                  <w:tcW w:w="567" w:type="dxa"/>
                  <w:vAlign w:val="center"/>
                </w:tcPr>
                <w:p w14:paraId="56E1159C" w14:textId="407118A7"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6"/>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6"/>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678" w:type="dxa"/>
                  <w:vAlign w:val="center"/>
                </w:tcPr>
                <w:p w14:paraId="1406E8C7" w14:textId="1BE3B6FE"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25"/>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25"/>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681CCB5E" w14:textId="56A427CB"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4"/>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4"/>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33B2D461" w14:textId="1E7FEA0D"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3"/>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3"/>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6E8A510C" w14:textId="135D0894"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2"/>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2"/>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4B5421F5" w14:textId="65C6A1AD"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1"/>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1"/>
                      <w14:textFill>
                        <w14:solidFill>
                          <w14:srgbClr w14:val="000000">
                            <w14:alpha w14:val="100000"/>
                          </w14:srgbClr>
                        </w14:solidFill>
                      </w14:textFill>
                    </w:rPr>
                    <w:t>|</w:t>
                  </w:r>
                  <w:r w:rsidR="009F1604">
                    <w:rPr>
                      <w:rFonts w:ascii="Arial Narrow" w:hAnsi="Arial Narrow"/>
                      <w:bCs/>
                      <w:sz w:val="20"/>
                      <w:szCs w:val="20"/>
                      <w:vertAlign w:val="superscript"/>
                    </w:rPr>
                    <w:t>5</w:t>
                  </w:r>
                </w:p>
              </w:tc>
            </w:tr>
          </w:tbl>
          <w:p w14:paraId="3B40C361" w14:textId="79372C56"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rPr>
              <w:t xml:space="preserve">90% </w:t>
            </w:r>
            <w:r w:rsidR="006C3ED1" w:rsidRPr="00940BEC">
              <w:rPr>
                <w:rFonts w:ascii="Arial Narrow" w:hAnsi="Arial Narrow"/>
                <w:bCs/>
                <w:sz w:val="20"/>
                <w:szCs w:val="20"/>
              </w:rPr>
              <w:t>BRCA1/2</w:t>
            </w:r>
            <w:r w:rsidRPr="00940BEC">
              <w:rPr>
                <w:rFonts w:ascii="Arial Narrow" w:hAnsi="Arial Narrow"/>
                <w:bCs/>
                <w:sz w:val="20"/>
                <w:szCs w:val="20"/>
              </w:rPr>
              <w:t xml:space="preserve"> test uptake and 7% prevalence rates were sourced from the olaparib PSD (para 4.4, olaparib, PSD, November 2021)</w:t>
            </w:r>
          </w:p>
        </w:tc>
        <w:tc>
          <w:tcPr>
            <w:tcW w:w="3352" w:type="dxa"/>
            <w:shd w:val="clear" w:color="auto" w:fill="auto"/>
            <w:vAlign w:val="center"/>
          </w:tcPr>
          <w:p w14:paraId="3E942BB1" w14:textId="0B284EF9" w:rsidR="00170BFC" w:rsidRPr="00940BEC" w:rsidRDefault="00A41905" w:rsidP="00C407DD">
            <w:pPr>
              <w:rPr>
                <w:rFonts w:ascii="Arial Narrow" w:hAnsi="Arial Narrow"/>
                <w:bCs/>
                <w:sz w:val="20"/>
                <w:szCs w:val="20"/>
                <w:lang w:val="en-US"/>
              </w:rPr>
            </w:pPr>
            <w:r w:rsidRPr="00940BEC">
              <w:rPr>
                <w:rFonts w:ascii="Arial Narrow" w:hAnsi="Arial Narrow"/>
                <w:bCs/>
                <w:sz w:val="20"/>
                <w:szCs w:val="20"/>
              </w:rPr>
              <w:t>BRCA</w:t>
            </w:r>
            <w:r w:rsidR="00170BFC" w:rsidRPr="00940BEC">
              <w:rPr>
                <w:rFonts w:ascii="Arial Narrow" w:hAnsi="Arial Narrow"/>
                <w:bCs/>
                <w:sz w:val="20"/>
                <w:szCs w:val="20"/>
              </w:rPr>
              <w:t xml:space="preserve"> test uptake and prevalence rates were appropriate.</w:t>
            </w:r>
          </w:p>
        </w:tc>
      </w:tr>
      <w:tr w:rsidR="00170BFC" w:rsidRPr="0075033B" w14:paraId="31B1D710" w14:textId="77777777" w:rsidTr="00274773">
        <w:trPr>
          <w:cantSplit/>
          <w:trHeight w:val="20"/>
        </w:trPr>
        <w:tc>
          <w:tcPr>
            <w:tcW w:w="0" w:type="auto"/>
            <w:gridSpan w:val="3"/>
            <w:shd w:val="clear" w:color="auto" w:fill="auto"/>
            <w:vAlign w:val="center"/>
          </w:tcPr>
          <w:p w14:paraId="6B337F91" w14:textId="77777777" w:rsidR="00170BFC" w:rsidRPr="00940BEC" w:rsidRDefault="00170BFC" w:rsidP="00C407DD">
            <w:pPr>
              <w:rPr>
                <w:rFonts w:ascii="Arial Narrow" w:hAnsi="Arial Narrow"/>
                <w:b/>
                <w:bCs/>
                <w:sz w:val="20"/>
                <w:szCs w:val="20"/>
                <w:lang w:val="en-US"/>
              </w:rPr>
            </w:pPr>
            <w:r w:rsidRPr="00940BEC">
              <w:rPr>
                <w:rFonts w:ascii="Arial Narrow" w:hAnsi="Arial Narrow"/>
                <w:b/>
                <w:bCs/>
                <w:sz w:val="20"/>
                <w:szCs w:val="20"/>
                <w:lang w:val="en-US"/>
              </w:rPr>
              <w:t>Treated patients</w:t>
            </w:r>
          </w:p>
        </w:tc>
      </w:tr>
      <w:tr w:rsidR="00170BFC" w:rsidRPr="0075033B" w14:paraId="5EDBAABE" w14:textId="77777777" w:rsidTr="00274773">
        <w:trPr>
          <w:cantSplit/>
          <w:trHeight w:val="20"/>
        </w:trPr>
        <w:tc>
          <w:tcPr>
            <w:tcW w:w="0" w:type="auto"/>
            <w:shd w:val="clear" w:color="auto" w:fill="auto"/>
            <w:vAlign w:val="center"/>
          </w:tcPr>
          <w:p w14:paraId="0E943E2F" w14:textId="77777777"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lang w:val="en-US"/>
              </w:rPr>
              <w:t>Uptake and continuation rate</w:t>
            </w:r>
          </w:p>
        </w:tc>
        <w:tc>
          <w:tcPr>
            <w:tcW w:w="4485" w:type="dxa"/>
            <w:shd w:val="clear" w:color="auto" w:fill="auto"/>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78"/>
              <w:gridCol w:w="567"/>
              <w:gridCol w:w="567"/>
              <w:gridCol w:w="567"/>
              <w:gridCol w:w="567"/>
            </w:tblGrid>
            <w:tr w:rsidR="00170BFC" w:rsidRPr="00940BEC" w14:paraId="7B507753" w14:textId="77777777" w:rsidTr="00C407DD">
              <w:tc>
                <w:tcPr>
                  <w:tcW w:w="567" w:type="dxa"/>
                  <w:vAlign w:val="center"/>
                </w:tcPr>
                <w:p w14:paraId="68223B7B"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2024</w:t>
                  </w:r>
                </w:p>
              </w:tc>
              <w:tc>
                <w:tcPr>
                  <w:tcW w:w="678" w:type="dxa"/>
                  <w:vAlign w:val="center"/>
                </w:tcPr>
                <w:p w14:paraId="0450D68C"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2025</w:t>
                  </w:r>
                </w:p>
              </w:tc>
              <w:tc>
                <w:tcPr>
                  <w:tcW w:w="567" w:type="dxa"/>
                  <w:vAlign w:val="center"/>
                </w:tcPr>
                <w:p w14:paraId="2C436BD0"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2026</w:t>
                  </w:r>
                </w:p>
              </w:tc>
              <w:tc>
                <w:tcPr>
                  <w:tcW w:w="567" w:type="dxa"/>
                  <w:vAlign w:val="center"/>
                </w:tcPr>
                <w:p w14:paraId="318BD1D2"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2027</w:t>
                  </w:r>
                </w:p>
              </w:tc>
              <w:tc>
                <w:tcPr>
                  <w:tcW w:w="567" w:type="dxa"/>
                  <w:vAlign w:val="center"/>
                </w:tcPr>
                <w:p w14:paraId="5BFD3529"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2028</w:t>
                  </w:r>
                </w:p>
              </w:tc>
              <w:tc>
                <w:tcPr>
                  <w:tcW w:w="567" w:type="dxa"/>
                  <w:vAlign w:val="center"/>
                </w:tcPr>
                <w:p w14:paraId="1BED57DD"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2029</w:t>
                  </w:r>
                </w:p>
              </w:tc>
            </w:tr>
            <w:tr w:rsidR="00170BFC" w:rsidRPr="00940BEC" w14:paraId="05A1C778" w14:textId="77777777" w:rsidTr="00C407DD">
              <w:trPr>
                <w:trHeight w:val="60"/>
              </w:trPr>
              <w:tc>
                <w:tcPr>
                  <w:tcW w:w="567" w:type="dxa"/>
                  <w:vAlign w:val="center"/>
                </w:tcPr>
                <w:p w14:paraId="58FE9447" w14:textId="57E9FE81"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0"/>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0"/>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678" w:type="dxa"/>
                  <w:vAlign w:val="center"/>
                </w:tcPr>
                <w:p w14:paraId="398B3BA3" w14:textId="02275524"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36"/>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36"/>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2D7BBFDF" w14:textId="2CD3CDA4"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35"/>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35"/>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7F7C97D0" w14:textId="17CED49A"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4"/>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4"/>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69D9038A" w14:textId="0867F1B6"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3"/>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3"/>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4569C470" w14:textId="582246F9"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2"/>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2"/>
                      <w14:textFill>
                        <w14:solidFill>
                          <w14:srgbClr w14:val="000000">
                            <w14:alpha w14:val="100000"/>
                          </w14:srgbClr>
                        </w14:solidFill>
                      </w14:textFill>
                    </w:rPr>
                    <w:t>|</w:t>
                  </w:r>
                  <w:r w:rsidR="009F1604">
                    <w:rPr>
                      <w:rFonts w:ascii="Arial Narrow" w:hAnsi="Arial Narrow"/>
                      <w:bCs/>
                      <w:sz w:val="20"/>
                      <w:szCs w:val="20"/>
                      <w:vertAlign w:val="superscript"/>
                    </w:rPr>
                    <w:t>5</w:t>
                  </w:r>
                </w:p>
              </w:tc>
            </w:tr>
          </w:tbl>
          <w:p w14:paraId="2A6E04B6" w14:textId="652E99DB"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Uptake of </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1"/>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1"/>
                <w14:textFill>
                  <w14:solidFill>
                    <w14:srgbClr w14:val="000000">
                      <w14:alpha w14:val="100000"/>
                    </w14:srgbClr>
                  </w14:solidFill>
                </w14:textFill>
              </w:rPr>
              <w:t>|</w:t>
            </w:r>
            <w:r w:rsidRPr="00940BEC">
              <w:rPr>
                <w:rFonts w:ascii="Arial Narrow" w:hAnsi="Arial Narrow"/>
                <w:bCs/>
                <w:sz w:val="20"/>
                <w:szCs w:val="20"/>
              </w:rPr>
              <w:t xml:space="preserve">% and continuation rate of 100% across Years 1 to 6 was a submission assumption. </w:t>
            </w:r>
            <w:r w:rsidRPr="00940BEC">
              <w:rPr>
                <w:rFonts w:ascii="Arial Narrow" w:hAnsi="Arial Narrow"/>
                <w:bCs/>
                <w:sz w:val="20"/>
                <w:szCs w:val="20"/>
              </w:rPr>
              <w:br/>
              <w:t>No grandfathered or prevalent patients were included.</w:t>
            </w:r>
          </w:p>
        </w:tc>
        <w:tc>
          <w:tcPr>
            <w:tcW w:w="3352" w:type="dxa"/>
            <w:shd w:val="clear" w:color="auto" w:fill="auto"/>
            <w:vAlign w:val="center"/>
          </w:tcPr>
          <w:p w14:paraId="59B783D8" w14:textId="77777777" w:rsidR="00170BFC" w:rsidRPr="00940BEC" w:rsidRDefault="00170BFC" w:rsidP="00C407DD">
            <w:pPr>
              <w:rPr>
                <w:rFonts w:ascii="Arial Narrow" w:hAnsi="Arial Narrow"/>
                <w:bCs/>
                <w:sz w:val="20"/>
                <w:szCs w:val="20"/>
              </w:rPr>
            </w:pPr>
            <w:r w:rsidRPr="00940BEC">
              <w:rPr>
                <w:rFonts w:ascii="Arial Narrow" w:hAnsi="Arial Narrow"/>
                <w:bCs/>
                <w:sz w:val="20"/>
                <w:szCs w:val="20"/>
              </w:rPr>
              <w:t>Calculations were correct.</w:t>
            </w:r>
          </w:p>
          <w:p w14:paraId="7049EB7A" w14:textId="56949CD2"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rPr>
              <w:t>A 100% treatment continuation was justified because discontinuations were already accounted for in the ToT data. Further discussion below.</w:t>
            </w:r>
          </w:p>
        </w:tc>
      </w:tr>
      <w:tr w:rsidR="00170BFC" w:rsidRPr="00021AA5" w14:paraId="6AB15EEF" w14:textId="77777777" w:rsidTr="00274773">
        <w:trPr>
          <w:cantSplit/>
          <w:trHeight w:val="20"/>
        </w:trPr>
        <w:tc>
          <w:tcPr>
            <w:tcW w:w="0" w:type="auto"/>
            <w:shd w:val="clear" w:color="auto" w:fill="auto"/>
            <w:vAlign w:val="center"/>
          </w:tcPr>
          <w:p w14:paraId="2C322BF1" w14:textId="1E50F810"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lang w:val="en-US"/>
              </w:rPr>
              <w:t xml:space="preserve">Duration of treatment &amp; </w:t>
            </w:r>
            <w:r w:rsidR="003A44AB" w:rsidRPr="00940BEC">
              <w:rPr>
                <w:rFonts w:ascii="Arial Narrow" w:hAnsi="Arial Narrow"/>
                <w:bCs/>
                <w:sz w:val="20"/>
                <w:szCs w:val="20"/>
                <w:lang w:val="en-US"/>
              </w:rPr>
              <w:t>s</w:t>
            </w:r>
            <w:r w:rsidRPr="00940BEC">
              <w:rPr>
                <w:rFonts w:ascii="Arial Narrow" w:hAnsi="Arial Narrow"/>
                <w:bCs/>
                <w:sz w:val="20"/>
                <w:szCs w:val="20"/>
                <w:lang w:val="en-US"/>
              </w:rPr>
              <w:t>cripts dispensed</w:t>
            </w:r>
          </w:p>
        </w:tc>
        <w:tc>
          <w:tcPr>
            <w:tcW w:w="4485" w:type="dxa"/>
            <w:shd w:val="clear" w:color="auto" w:fill="auto"/>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78"/>
              <w:gridCol w:w="567"/>
              <w:gridCol w:w="567"/>
              <w:gridCol w:w="567"/>
              <w:gridCol w:w="567"/>
            </w:tblGrid>
            <w:tr w:rsidR="00170BFC" w:rsidRPr="00940BEC" w14:paraId="10D822EE" w14:textId="77777777" w:rsidTr="00C407DD">
              <w:tc>
                <w:tcPr>
                  <w:tcW w:w="567" w:type="dxa"/>
                  <w:vAlign w:val="center"/>
                </w:tcPr>
                <w:p w14:paraId="1BCC8C21"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2024</w:t>
                  </w:r>
                </w:p>
              </w:tc>
              <w:tc>
                <w:tcPr>
                  <w:tcW w:w="678" w:type="dxa"/>
                  <w:vAlign w:val="center"/>
                </w:tcPr>
                <w:p w14:paraId="11287DB9"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2025</w:t>
                  </w:r>
                </w:p>
              </w:tc>
              <w:tc>
                <w:tcPr>
                  <w:tcW w:w="567" w:type="dxa"/>
                  <w:vAlign w:val="center"/>
                </w:tcPr>
                <w:p w14:paraId="596BCA5E"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2026</w:t>
                  </w:r>
                </w:p>
              </w:tc>
              <w:tc>
                <w:tcPr>
                  <w:tcW w:w="567" w:type="dxa"/>
                  <w:vAlign w:val="center"/>
                </w:tcPr>
                <w:p w14:paraId="173F5FC7"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2027</w:t>
                  </w:r>
                </w:p>
              </w:tc>
              <w:tc>
                <w:tcPr>
                  <w:tcW w:w="567" w:type="dxa"/>
                  <w:vAlign w:val="center"/>
                </w:tcPr>
                <w:p w14:paraId="754A10C8"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2028</w:t>
                  </w:r>
                </w:p>
              </w:tc>
              <w:tc>
                <w:tcPr>
                  <w:tcW w:w="567" w:type="dxa"/>
                  <w:vAlign w:val="center"/>
                </w:tcPr>
                <w:p w14:paraId="3572D167"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2029</w:t>
                  </w:r>
                </w:p>
              </w:tc>
            </w:tr>
            <w:tr w:rsidR="00170BFC" w:rsidRPr="00940BEC" w14:paraId="019EB8AA" w14:textId="77777777" w:rsidTr="00C407DD">
              <w:trPr>
                <w:trHeight w:val="60"/>
              </w:trPr>
              <w:tc>
                <w:tcPr>
                  <w:tcW w:w="567" w:type="dxa"/>
                  <w:vAlign w:val="center"/>
                </w:tcPr>
                <w:p w14:paraId="4EC0B504" w14:textId="3EF39D9D"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30"/>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30"/>
                      <w14:textFill>
                        <w14:solidFill>
                          <w14:srgbClr w14:val="000000">
                            <w14:alpha w14:val="100000"/>
                          </w14:srgbClr>
                        </w14:solidFill>
                      </w14:textFill>
                    </w:rPr>
                    <w:t>|</w:t>
                  </w:r>
                  <w:r w:rsidR="002E2E88" w:rsidRPr="002E2E88">
                    <w:rPr>
                      <w:rFonts w:ascii="Arial Narrow" w:hAnsi="Arial Narrow"/>
                      <w:bCs/>
                      <w:sz w:val="20"/>
                      <w:szCs w:val="20"/>
                      <w:vertAlign w:val="superscript"/>
                    </w:rPr>
                    <w:t>1</w:t>
                  </w:r>
                </w:p>
              </w:tc>
              <w:tc>
                <w:tcPr>
                  <w:tcW w:w="678" w:type="dxa"/>
                  <w:vAlign w:val="center"/>
                </w:tcPr>
                <w:p w14:paraId="51ED28E7" w14:textId="5E46FFBB"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5"/>
                      <w:sz w:val="20"/>
                      <w:szCs w:val="20"/>
                      <w:shd w:val="solid" w:color="000000" w:fill="000000"/>
                      <w:fitText w:val="338" w:id="-1031540729"/>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38" w:id="-1031540729"/>
                      <w14:textFill>
                        <w14:solidFill>
                          <w14:srgbClr w14:val="000000">
                            <w14:alpha w14:val="100000"/>
                          </w14:srgbClr>
                        </w14:solidFill>
                      </w14:textFill>
                    </w:rPr>
                    <w:t>|</w:t>
                  </w:r>
                  <w:r w:rsidR="002E2E88">
                    <w:rPr>
                      <w:rFonts w:ascii="Arial Narrow" w:hAnsi="Arial Narrow"/>
                      <w:bCs/>
                      <w:sz w:val="20"/>
                      <w:szCs w:val="20"/>
                      <w:vertAlign w:val="superscript"/>
                    </w:rPr>
                    <w:t>2</w:t>
                  </w:r>
                </w:p>
              </w:tc>
              <w:tc>
                <w:tcPr>
                  <w:tcW w:w="567" w:type="dxa"/>
                  <w:vAlign w:val="center"/>
                </w:tcPr>
                <w:p w14:paraId="12470694" w14:textId="1DFDBBAE"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8"/>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8"/>
                      <w14:textFill>
                        <w14:solidFill>
                          <w14:srgbClr w14:val="000000">
                            <w14:alpha w14:val="100000"/>
                          </w14:srgbClr>
                        </w14:solidFill>
                      </w14:textFill>
                    </w:rPr>
                    <w:t>|</w:t>
                  </w:r>
                  <w:r w:rsidR="002E2E88">
                    <w:rPr>
                      <w:rFonts w:ascii="Arial Narrow" w:hAnsi="Arial Narrow"/>
                      <w:bCs/>
                      <w:sz w:val="20"/>
                      <w:szCs w:val="20"/>
                      <w:vertAlign w:val="superscript"/>
                    </w:rPr>
                    <w:t>2</w:t>
                  </w:r>
                </w:p>
              </w:tc>
              <w:tc>
                <w:tcPr>
                  <w:tcW w:w="567" w:type="dxa"/>
                  <w:vAlign w:val="center"/>
                </w:tcPr>
                <w:p w14:paraId="49D41B61" w14:textId="00EEE910"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7"/>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7"/>
                      <w14:textFill>
                        <w14:solidFill>
                          <w14:srgbClr w14:val="000000">
                            <w14:alpha w14:val="100000"/>
                          </w14:srgbClr>
                        </w14:solidFill>
                      </w14:textFill>
                    </w:rPr>
                    <w:t>|</w:t>
                  </w:r>
                  <w:r w:rsidR="002E2E88">
                    <w:rPr>
                      <w:rFonts w:ascii="Arial Narrow" w:hAnsi="Arial Narrow"/>
                      <w:bCs/>
                      <w:sz w:val="20"/>
                      <w:szCs w:val="20"/>
                      <w:vertAlign w:val="superscript"/>
                    </w:rPr>
                    <w:t>2</w:t>
                  </w:r>
                </w:p>
              </w:tc>
              <w:tc>
                <w:tcPr>
                  <w:tcW w:w="567" w:type="dxa"/>
                  <w:vAlign w:val="center"/>
                </w:tcPr>
                <w:p w14:paraId="692B3A3E" w14:textId="4CA62651"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6"/>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6"/>
                      <w14:textFill>
                        <w14:solidFill>
                          <w14:srgbClr w14:val="000000">
                            <w14:alpha w14:val="100000"/>
                          </w14:srgbClr>
                        </w14:solidFill>
                      </w14:textFill>
                    </w:rPr>
                    <w:t>|</w:t>
                  </w:r>
                  <w:r w:rsidR="002E2E88">
                    <w:rPr>
                      <w:rFonts w:ascii="Arial Narrow" w:hAnsi="Arial Narrow"/>
                      <w:bCs/>
                      <w:sz w:val="20"/>
                      <w:szCs w:val="20"/>
                      <w:vertAlign w:val="superscript"/>
                    </w:rPr>
                    <w:t>2</w:t>
                  </w:r>
                </w:p>
              </w:tc>
              <w:tc>
                <w:tcPr>
                  <w:tcW w:w="567" w:type="dxa"/>
                  <w:vAlign w:val="center"/>
                </w:tcPr>
                <w:p w14:paraId="3A664CD7" w14:textId="37A87621" w:rsidR="00170BFC" w:rsidRPr="006D17A4" w:rsidRDefault="003C22C5" w:rsidP="00C407DD">
                  <w:pPr>
                    <w:rPr>
                      <w:rFonts w:ascii="Arial Narrow" w:hAnsi="Arial Narrow"/>
                      <w:bCs/>
                      <w:sz w:val="20"/>
                      <w:szCs w:val="20"/>
                      <w:highlight w:val="darkGray"/>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5"/>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5"/>
                      <w14:textFill>
                        <w14:solidFill>
                          <w14:srgbClr w14:val="000000">
                            <w14:alpha w14:val="100000"/>
                          </w14:srgbClr>
                        </w14:solidFill>
                      </w14:textFill>
                    </w:rPr>
                    <w:t>|</w:t>
                  </w:r>
                  <w:r w:rsidR="00A1608C" w:rsidRPr="00A1608C">
                    <w:rPr>
                      <w:rFonts w:ascii="Arial Narrow" w:hAnsi="Arial Narrow"/>
                      <w:bCs/>
                      <w:sz w:val="20"/>
                      <w:szCs w:val="20"/>
                      <w:vertAlign w:val="superscript"/>
                    </w:rPr>
                    <w:t>6</w:t>
                  </w:r>
                </w:p>
              </w:tc>
            </w:tr>
          </w:tbl>
          <w:p w14:paraId="411EFC18" w14:textId="77777777" w:rsidR="00170BFC" w:rsidRPr="00940BEC" w:rsidRDefault="00170BFC" w:rsidP="00C407DD">
            <w:pPr>
              <w:rPr>
                <w:rFonts w:ascii="Arial Narrow" w:hAnsi="Arial Narrow"/>
                <w:sz w:val="20"/>
                <w:szCs w:val="20"/>
              </w:rPr>
            </w:pPr>
            <w:r w:rsidRPr="00940BEC">
              <w:rPr>
                <w:rFonts w:ascii="Arial Narrow" w:hAnsi="Arial Narrow"/>
                <w:sz w:val="20"/>
                <w:szCs w:val="20"/>
              </w:rPr>
              <w:t xml:space="preserve">The treatment duration for olaparib and NHA was sourced from the extrapolated ToT curves reported in the economic model. ToT for OLA plus ABI: 1,261 days, NHA: 433.5 days.  </w:t>
            </w:r>
          </w:p>
          <w:p w14:paraId="5CB9F03F" w14:textId="77777777" w:rsidR="00170BFC" w:rsidRPr="00940BEC" w:rsidRDefault="00170BFC" w:rsidP="00C407DD">
            <w:pPr>
              <w:rPr>
                <w:rFonts w:ascii="Arial Narrow" w:hAnsi="Arial Narrow"/>
                <w:sz w:val="20"/>
                <w:szCs w:val="20"/>
              </w:rPr>
            </w:pPr>
            <w:r w:rsidRPr="00940BEC">
              <w:rPr>
                <w:rFonts w:ascii="Arial Narrow" w:hAnsi="Arial Narrow"/>
                <w:sz w:val="20"/>
                <w:szCs w:val="20"/>
              </w:rPr>
              <w:t xml:space="preserve">Dose intensity was 92% for olaparib, and 97% for NHA, as per ITT data in PROpel. </w:t>
            </w:r>
          </w:p>
          <w:p w14:paraId="644289C9" w14:textId="6D3E3572"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Scripts per course of </w:t>
            </w:r>
            <w:r w:rsidR="003A44AB" w:rsidRPr="00940BEC">
              <w:rPr>
                <w:rFonts w:ascii="Arial Narrow" w:hAnsi="Arial Narrow"/>
                <w:bCs/>
                <w:sz w:val="20"/>
                <w:szCs w:val="20"/>
              </w:rPr>
              <w:t xml:space="preserve">OLA+ABI </w:t>
            </w:r>
            <w:r w:rsidRPr="00940BEC">
              <w:rPr>
                <w:rFonts w:ascii="Arial Narrow" w:hAnsi="Arial Narrow"/>
                <w:bCs/>
                <w:sz w:val="20"/>
                <w:szCs w:val="20"/>
              </w:rPr>
              <w:t>treatment per patient: OLA: 41.43, ABI: 40.77</w:t>
            </w:r>
          </w:p>
        </w:tc>
        <w:tc>
          <w:tcPr>
            <w:tcW w:w="3352" w:type="dxa"/>
            <w:shd w:val="clear" w:color="auto" w:fill="auto"/>
            <w:vAlign w:val="center"/>
          </w:tcPr>
          <w:p w14:paraId="67ACC93F" w14:textId="729AAFE1"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The source of ToT in the </w:t>
            </w:r>
            <w:r w:rsidR="006C3ED1" w:rsidRPr="00940BEC">
              <w:rPr>
                <w:rFonts w:ascii="Arial Narrow" w:hAnsi="Arial Narrow"/>
                <w:bCs/>
                <w:sz w:val="20"/>
                <w:szCs w:val="20"/>
              </w:rPr>
              <w:t>BRCA1/2</w:t>
            </w:r>
            <w:r w:rsidRPr="00940BEC">
              <w:rPr>
                <w:rFonts w:ascii="Arial Narrow" w:hAnsi="Arial Narrow"/>
                <w:bCs/>
                <w:sz w:val="20"/>
                <w:szCs w:val="20"/>
              </w:rPr>
              <w:t xml:space="preserve"> subgroup could not be verified. ToT extrapolated data were used to estimate mean ToT.</w:t>
            </w:r>
            <w:r w:rsidR="00CF11D7">
              <w:rPr>
                <w:rFonts w:ascii="Arial Narrow" w:hAnsi="Arial Narrow"/>
                <w:bCs/>
                <w:sz w:val="20"/>
                <w:szCs w:val="20"/>
              </w:rPr>
              <w:t xml:space="preserve"> The duration of NHA monotherapy was reduced to 359.2 days (11.8 months) in the pre-PBAC response. The duration of OLA plus ABI was adjusted to align with the revised economic model.</w:t>
            </w:r>
          </w:p>
        </w:tc>
      </w:tr>
      <w:tr w:rsidR="00170BFC" w:rsidRPr="00021AA5" w14:paraId="17F50375" w14:textId="77777777" w:rsidTr="00274773">
        <w:trPr>
          <w:cantSplit/>
          <w:trHeight w:val="20"/>
        </w:trPr>
        <w:tc>
          <w:tcPr>
            <w:tcW w:w="0" w:type="auto"/>
            <w:shd w:val="clear" w:color="auto" w:fill="auto"/>
            <w:vAlign w:val="center"/>
          </w:tcPr>
          <w:p w14:paraId="3193E9FD" w14:textId="77777777"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rPr>
              <w:lastRenderedPageBreak/>
              <w:t>Concomitant treatments</w:t>
            </w:r>
          </w:p>
        </w:tc>
        <w:tc>
          <w:tcPr>
            <w:tcW w:w="4485" w:type="dxa"/>
            <w:shd w:val="clear" w:color="auto" w:fill="auto"/>
            <w:vAlign w:val="center"/>
          </w:tcPr>
          <w:p w14:paraId="12846FB8" w14:textId="77777777" w:rsidR="00170BFC" w:rsidRPr="00940BEC" w:rsidRDefault="00170BFC" w:rsidP="00C407DD">
            <w:pPr>
              <w:rPr>
                <w:rFonts w:ascii="Arial Narrow" w:hAnsi="Arial Narrow"/>
                <w:b/>
                <w:bCs/>
                <w:sz w:val="20"/>
                <w:szCs w:val="20"/>
              </w:rPr>
            </w:pPr>
            <w:r w:rsidRPr="00940BEC">
              <w:rPr>
                <w:rFonts w:ascii="Arial Narrow" w:hAnsi="Arial Narrow"/>
                <w:bCs/>
                <w:sz w:val="20"/>
                <w:szCs w:val="20"/>
              </w:rPr>
              <w:t>MP was assumed to be dispensed with ABI, as part of the Yonsa MPRED® formulation.</w:t>
            </w:r>
          </w:p>
        </w:tc>
        <w:tc>
          <w:tcPr>
            <w:tcW w:w="3352" w:type="dxa"/>
            <w:shd w:val="clear" w:color="auto" w:fill="auto"/>
            <w:vAlign w:val="center"/>
          </w:tcPr>
          <w:p w14:paraId="7DBEB364" w14:textId="70D180AE"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This was consistent with </w:t>
            </w:r>
            <w:r w:rsidR="001079B2">
              <w:rPr>
                <w:rFonts w:ascii="Arial Narrow" w:hAnsi="Arial Narrow"/>
                <w:bCs/>
                <w:sz w:val="20"/>
                <w:szCs w:val="20"/>
              </w:rPr>
              <w:t>the economic model</w:t>
            </w:r>
            <w:r w:rsidRPr="00940BEC">
              <w:rPr>
                <w:rFonts w:ascii="Arial Narrow" w:hAnsi="Arial Narrow"/>
                <w:bCs/>
                <w:sz w:val="20"/>
                <w:szCs w:val="20"/>
              </w:rPr>
              <w:t>.</w:t>
            </w:r>
          </w:p>
        </w:tc>
      </w:tr>
      <w:tr w:rsidR="00170BFC" w:rsidRPr="00021AA5" w14:paraId="439AB09E" w14:textId="77777777" w:rsidTr="00274773">
        <w:trPr>
          <w:cantSplit/>
          <w:trHeight w:val="20"/>
        </w:trPr>
        <w:tc>
          <w:tcPr>
            <w:tcW w:w="0" w:type="auto"/>
            <w:shd w:val="clear" w:color="auto" w:fill="auto"/>
            <w:vAlign w:val="center"/>
          </w:tcPr>
          <w:p w14:paraId="2D926A5C" w14:textId="77777777"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rPr>
              <w:t>Reduction in numbers of patients initiating subsequent olaparib in 2L</w:t>
            </w:r>
          </w:p>
        </w:tc>
        <w:tc>
          <w:tcPr>
            <w:tcW w:w="4485" w:type="dxa"/>
            <w:shd w:val="clear" w:color="auto" w:fill="auto"/>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78"/>
              <w:gridCol w:w="567"/>
              <w:gridCol w:w="567"/>
              <w:gridCol w:w="567"/>
              <w:gridCol w:w="567"/>
            </w:tblGrid>
            <w:tr w:rsidR="00170BFC" w:rsidRPr="00940BEC" w14:paraId="6A273100" w14:textId="77777777" w:rsidTr="00C407DD">
              <w:tc>
                <w:tcPr>
                  <w:tcW w:w="567" w:type="dxa"/>
                  <w:vAlign w:val="center"/>
                </w:tcPr>
                <w:p w14:paraId="65071081"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2024</w:t>
                  </w:r>
                </w:p>
              </w:tc>
              <w:tc>
                <w:tcPr>
                  <w:tcW w:w="678" w:type="dxa"/>
                  <w:vAlign w:val="center"/>
                </w:tcPr>
                <w:p w14:paraId="5B1110D5"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2025</w:t>
                  </w:r>
                </w:p>
              </w:tc>
              <w:tc>
                <w:tcPr>
                  <w:tcW w:w="567" w:type="dxa"/>
                  <w:vAlign w:val="center"/>
                </w:tcPr>
                <w:p w14:paraId="38BFB1C4"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2026</w:t>
                  </w:r>
                </w:p>
              </w:tc>
              <w:tc>
                <w:tcPr>
                  <w:tcW w:w="567" w:type="dxa"/>
                  <w:vAlign w:val="center"/>
                </w:tcPr>
                <w:p w14:paraId="2D1385BE"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2027</w:t>
                  </w:r>
                </w:p>
              </w:tc>
              <w:tc>
                <w:tcPr>
                  <w:tcW w:w="567" w:type="dxa"/>
                  <w:vAlign w:val="center"/>
                </w:tcPr>
                <w:p w14:paraId="60FEA62F"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2028</w:t>
                  </w:r>
                </w:p>
              </w:tc>
              <w:tc>
                <w:tcPr>
                  <w:tcW w:w="567" w:type="dxa"/>
                  <w:vAlign w:val="center"/>
                </w:tcPr>
                <w:p w14:paraId="243A42F3"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2029</w:t>
                  </w:r>
                </w:p>
              </w:tc>
            </w:tr>
            <w:tr w:rsidR="00170BFC" w:rsidRPr="00940BEC" w14:paraId="226AD4D8" w14:textId="77777777" w:rsidTr="00C407DD">
              <w:trPr>
                <w:trHeight w:val="60"/>
              </w:trPr>
              <w:tc>
                <w:tcPr>
                  <w:tcW w:w="567" w:type="dxa"/>
                  <w:vAlign w:val="center"/>
                </w:tcPr>
                <w:p w14:paraId="7C8FCD33" w14:textId="5EE85F16" w:rsidR="00170BFC" w:rsidRPr="009F1604" w:rsidRDefault="003C22C5" w:rsidP="00C407DD">
                  <w:pPr>
                    <w:rPr>
                      <w:rFonts w:ascii="Arial Narrow" w:hAnsi="Arial Narrow"/>
                      <w:bCs/>
                      <w:sz w:val="20"/>
                      <w:szCs w:val="20"/>
                    </w:rPr>
                  </w:pPr>
                  <w:r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4"/>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4"/>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678" w:type="dxa"/>
                  <w:vAlign w:val="center"/>
                </w:tcPr>
                <w:p w14:paraId="33C01590" w14:textId="6D53C516"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3"/>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3"/>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6B080ED9" w14:textId="4A8D835A"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22"/>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22"/>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2F2E9D5C" w14:textId="58CF6433"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1"/>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1"/>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2A579615" w14:textId="69BDE7A0"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20"/>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20"/>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7D257E4A" w14:textId="30ACABA3"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6"/>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6"/>
                      <w14:textFill>
                        <w14:solidFill>
                          <w14:srgbClr w14:val="000000">
                            <w14:alpha w14:val="100000"/>
                          </w14:srgbClr>
                        </w14:solidFill>
                      </w14:textFill>
                    </w:rPr>
                    <w:t>|</w:t>
                  </w:r>
                  <w:r w:rsidR="009F1604">
                    <w:rPr>
                      <w:rFonts w:ascii="Arial Narrow" w:hAnsi="Arial Narrow"/>
                      <w:bCs/>
                      <w:sz w:val="20"/>
                      <w:szCs w:val="20"/>
                      <w:vertAlign w:val="superscript"/>
                    </w:rPr>
                    <w:t>5</w:t>
                  </w:r>
                </w:p>
              </w:tc>
            </w:tr>
          </w:tbl>
          <w:p w14:paraId="777434F6" w14:textId="17B1D27A" w:rsidR="00170BFC" w:rsidRPr="00940BEC" w:rsidRDefault="00170BFC" w:rsidP="00C407DD">
            <w:pPr>
              <w:pStyle w:val="Tabletext"/>
              <w:rPr>
                <w:b/>
              </w:rPr>
            </w:pPr>
            <w:r w:rsidRPr="00940BEC">
              <w:t>Calculated from the eligible population and assuming 80% disease progression rate (Table 16, olaparib, PBAC minutes, November 2021) and olaparib uptake rate in 2L of 95% (Table 16, Olaparib, PSD, November 2021). Mean duration of treatment 332 days from Table 15, PSD, olaparib, Nov</w:t>
            </w:r>
            <w:r w:rsidR="00B11B05" w:rsidRPr="00940BEC">
              <w:t>ember</w:t>
            </w:r>
            <w:r w:rsidRPr="00940BEC">
              <w:t xml:space="preserve"> 2021.</w:t>
            </w:r>
          </w:p>
        </w:tc>
        <w:tc>
          <w:tcPr>
            <w:tcW w:w="3352" w:type="dxa"/>
            <w:shd w:val="clear" w:color="auto" w:fill="auto"/>
            <w:vAlign w:val="center"/>
          </w:tcPr>
          <w:p w14:paraId="4020C10C" w14:textId="5D1B6BC6"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No other subsequent treatments were costed in the financial estimates. This was inconsistent with </w:t>
            </w:r>
            <w:r w:rsidR="00013101" w:rsidRPr="00940BEC">
              <w:rPr>
                <w:rFonts w:ascii="Arial Narrow" w:hAnsi="Arial Narrow"/>
                <w:bCs/>
                <w:sz w:val="20"/>
                <w:szCs w:val="20"/>
              </w:rPr>
              <w:t>the economic model</w:t>
            </w:r>
            <w:r w:rsidRPr="00940BEC">
              <w:rPr>
                <w:rFonts w:ascii="Arial Narrow" w:hAnsi="Arial Narrow"/>
                <w:bCs/>
                <w:sz w:val="20"/>
                <w:szCs w:val="20"/>
              </w:rPr>
              <w:t xml:space="preserve">, </w:t>
            </w:r>
            <w:r w:rsidR="005E1B84" w:rsidRPr="00940BEC">
              <w:rPr>
                <w:rFonts w:ascii="Arial Narrow" w:hAnsi="Arial Narrow"/>
                <w:bCs/>
                <w:sz w:val="20"/>
                <w:szCs w:val="20"/>
              </w:rPr>
              <w:t xml:space="preserve">in which </w:t>
            </w:r>
            <w:r w:rsidRPr="00940BEC">
              <w:rPr>
                <w:rFonts w:ascii="Arial Narrow" w:hAnsi="Arial Narrow"/>
                <w:bCs/>
                <w:sz w:val="20"/>
                <w:szCs w:val="20"/>
              </w:rPr>
              <w:t>cabazitaxel and docetaxel-based subsequent therapies and their administration costs were included.</w:t>
            </w:r>
          </w:p>
        </w:tc>
      </w:tr>
      <w:tr w:rsidR="00170BFC" w:rsidRPr="00021AA5" w14:paraId="6C465E6C" w14:textId="77777777" w:rsidTr="00274773">
        <w:trPr>
          <w:cantSplit/>
          <w:trHeight w:val="20"/>
        </w:trPr>
        <w:tc>
          <w:tcPr>
            <w:tcW w:w="0" w:type="auto"/>
            <w:shd w:val="clear" w:color="auto" w:fill="auto"/>
            <w:vAlign w:val="center"/>
          </w:tcPr>
          <w:p w14:paraId="20766D46" w14:textId="77777777"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rPr>
              <w:t>Reduction in numbers of patients initiating ABI and ENZA monotherapy</w:t>
            </w:r>
          </w:p>
        </w:tc>
        <w:tc>
          <w:tcPr>
            <w:tcW w:w="4485" w:type="dxa"/>
            <w:shd w:val="clear" w:color="auto" w:fill="auto"/>
            <w:vAlign w:val="center"/>
          </w:tcPr>
          <w:tbl>
            <w:tblPr>
              <w:tblW w:w="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7"/>
              <w:gridCol w:w="678"/>
              <w:gridCol w:w="567"/>
              <w:gridCol w:w="567"/>
              <w:gridCol w:w="567"/>
              <w:gridCol w:w="567"/>
            </w:tblGrid>
            <w:tr w:rsidR="00170BFC" w:rsidRPr="00940BEC" w14:paraId="535BC56B" w14:textId="77777777" w:rsidTr="00C407DD">
              <w:tc>
                <w:tcPr>
                  <w:tcW w:w="567" w:type="dxa"/>
                  <w:vAlign w:val="center"/>
                </w:tcPr>
                <w:p w14:paraId="7A4AE207"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2024</w:t>
                  </w:r>
                </w:p>
              </w:tc>
              <w:tc>
                <w:tcPr>
                  <w:tcW w:w="678" w:type="dxa"/>
                  <w:vAlign w:val="center"/>
                </w:tcPr>
                <w:p w14:paraId="25CE3150"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2025</w:t>
                  </w:r>
                </w:p>
              </w:tc>
              <w:tc>
                <w:tcPr>
                  <w:tcW w:w="567" w:type="dxa"/>
                  <w:vAlign w:val="center"/>
                </w:tcPr>
                <w:p w14:paraId="72468CD2"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2026</w:t>
                  </w:r>
                </w:p>
              </w:tc>
              <w:tc>
                <w:tcPr>
                  <w:tcW w:w="567" w:type="dxa"/>
                  <w:vAlign w:val="center"/>
                </w:tcPr>
                <w:p w14:paraId="17954E6D"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2027</w:t>
                  </w:r>
                </w:p>
              </w:tc>
              <w:tc>
                <w:tcPr>
                  <w:tcW w:w="567" w:type="dxa"/>
                  <w:vAlign w:val="center"/>
                </w:tcPr>
                <w:p w14:paraId="55EE6212"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2028</w:t>
                  </w:r>
                </w:p>
              </w:tc>
              <w:tc>
                <w:tcPr>
                  <w:tcW w:w="567" w:type="dxa"/>
                  <w:vAlign w:val="center"/>
                </w:tcPr>
                <w:p w14:paraId="35352867"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2029</w:t>
                  </w:r>
                </w:p>
              </w:tc>
            </w:tr>
            <w:tr w:rsidR="00170BFC" w:rsidRPr="00940BEC" w14:paraId="5D2F85E2" w14:textId="77777777" w:rsidTr="00C407DD">
              <w:trPr>
                <w:trHeight w:val="60"/>
              </w:trPr>
              <w:tc>
                <w:tcPr>
                  <w:tcW w:w="567" w:type="dxa"/>
                  <w:vAlign w:val="center"/>
                </w:tcPr>
                <w:p w14:paraId="02B17716" w14:textId="0675AEF2"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35"/>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35"/>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678" w:type="dxa"/>
                  <w:vAlign w:val="center"/>
                </w:tcPr>
                <w:p w14:paraId="6D3238F8" w14:textId="7D469E50"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34"/>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34"/>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3AC061DB" w14:textId="26A87FAF"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5" w:id="-1031540733"/>
                      <w14:textFill>
                        <w14:solidFill>
                          <w14:srgbClr w14:val="000000">
                            <w14:alpha w14:val="100000"/>
                          </w14:srgbClr>
                        </w14:solidFill>
                      </w14:textFill>
                    </w:rPr>
                    <w:t>|||</w:t>
                  </w:r>
                  <w:r w:rsidR="00B7116A" w:rsidRPr="00B7116A">
                    <w:rPr>
                      <w:rFonts w:ascii="Arial Narrow" w:hAnsi="Arial Narrow"/>
                      <w:bCs/>
                      <w:color w:val="000000"/>
                      <w:spacing w:val="2"/>
                      <w:sz w:val="20"/>
                      <w:szCs w:val="20"/>
                      <w:shd w:val="solid" w:color="000000" w:fill="000000"/>
                      <w:fitText w:val="325" w:id="-1031540733"/>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0176DE5D" w14:textId="3F2598F6"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2"/>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2"/>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483D340E" w14:textId="38379872"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1"/>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1"/>
                      <w14:textFill>
                        <w14:solidFill>
                          <w14:srgbClr w14:val="000000">
                            <w14:alpha w14:val="100000"/>
                          </w14:srgbClr>
                        </w14:solidFill>
                      </w14:textFill>
                    </w:rPr>
                    <w:t>|</w:t>
                  </w:r>
                  <w:r w:rsidR="009F1604">
                    <w:rPr>
                      <w:rFonts w:ascii="Arial Narrow" w:hAnsi="Arial Narrow"/>
                      <w:bCs/>
                      <w:sz w:val="20"/>
                      <w:szCs w:val="20"/>
                      <w:vertAlign w:val="superscript"/>
                    </w:rPr>
                    <w:t>5</w:t>
                  </w:r>
                </w:p>
              </w:tc>
              <w:tc>
                <w:tcPr>
                  <w:tcW w:w="567" w:type="dxa"/>
                  <w:vAlign w:val="center"/>
                </w:tcPr>
                <w:p w14:paraId="6F02E59C" w14:textId="61FBAE7D" w:rsidR="00170BFC" w:rsidRPr="009F1604" w:rsidRDefault="00170BFC" w:rsidP="00C407DD">
                  <w:pPr>
                    <w:rPr>
                      <w:rFonts w:ascii="Arial Narrow" w:hAnsi="Arial Narrow"/>
                      <w:bCs/>
                      <w:sz w:val="20"/>
                      <w:szCs w:val="20"/>
                    </w:rPr>
                  </w:pPr>
                  <w:r w:rsidRPr="009F1604">
                    <w:rPr>
                      <w:rFonts w:ascii="Arial Narrow" w:hAnsi="Arial Narrow"/>
                      <w:bCs/>
                      <w:sz w:val="20"/>
                      <w:szCs w:val="20"/>
                    </w:rPr>
                    <w:t>-</w:t>
                  </w:r>
                  <w:r w:rsidR="003C22C5" w:rsidRPr="003C22C5">
                    <w:rPr>
                      <w:rFonts w:ascii="Arial Narrow" w:hAnsi="Arial Narrow"/>
                      <w:bCs/>
                      <w:sz w:val="20"/>
                      <w:szCs w:val="20"/>
                    </w:rPr>
                    <w:t xml:space="preserve"> </w:t>
                  </w:r>
                  <w:r w:rsidR="00B7116A" w:rsidRPr="00B7116A">
                    <w:rPr>
                      <w:rFonts w:ascii="Arial Narrow" w:hAnsi="Arial Narrow"/>
                      <w:bCs/>
                      <w:color w:val="000000"/>
                      <w:spacing w:val="51"/>
                      <w:sz w:val="20"/>
                      <w:szCs w:val="20"/>
                      <w:shd w:val="solid" w:color="000000" w:fill="000000"/>
                      <w:fitText w:val="326" w:id="-1031540730"/>
                      <w14:textFill>
                        <w14:solidFill>
                          <w14:srgbClr w14:val="000000">
                            <w14:alpha w14:val="100000"/>
                          </w14:srgbClr>
                        </w14:solidFill>
                      </w14:textFill>
                    </w:rPr>
                    <w:t>|||</w:t>
                  </w:r>
                  <w:r w:rsidR="00B7116A" w:rsidRPr="00B7116A">
                    <w:rPr>
                      <w:rFonts w:ascii="Arial Narrow" w:hAnsi="Arial Narrow"/>
                      <w:bCs/>
                      <w:color w:val="000000"/>
                      <w:spacing w:val="3"/>
                      <w:sz w:val="20"/>
                      <w:szCs w:val="20"/>
                      <w:shd w:val="solid" w:color="000000" w:fill="000000"/>
                      <w:fitText w:val="326" w:id="-1031540730"/>
                      <w14:textFill>
                        <w14:solidFill>
                          <w14:srgbClr w14:val="000000">
                            <w14:alpha w14:val="100000"/>
                          </w14:srgbClr>
                        </w14:solidFill>
                      </w14:textFill>
                    </w:rPr>
                    <w:t>|</w:t>
                  </w:r>
                  <w:r w:rsidR="009F1604">
                    <w:rPr>
                      <w:rFonts w:ascii="Arial Narrow" w:hAnsi="Arial Narrow"/>
                      <w:bCs/>
                      <w:sz w:val="20"/>
                      <w:szCs w:val="20"/>
                      <w:vertAlign w:val="superscript"/>
                    </w:rPr>
                    <w:t>5</w:t>
                  </w:r>
                </w:p>
              </w:tc>
            </w:tr>
          </w:tbl>
          <w:p w14:paraId="033024D1" w14:textId="77777777" w:rsidR="00170BFC" w:rsidRPr="00940BEC" w:rsidRDefault="00170BFC" w:rsidP="00C407DD">
            <w:pPr>
              <w:rPr>
                <w:rFonts w:ascii="Arial Narrow" w:hAnsi="Arial Narrow"/>
                <w:b/>
                <w:bCs/>
                <w:sz w:val="20"/>
                <w:szCs w:val="20"/>
              </w:rPr>
            </w:pPr>
            <w:r w:rsidRPr="00940BEC">
              <w:rPr>
                <w:rFonts w:ascii="Arial Narrow" w:hAnsi="Arial Narrow"/>
                <w:bCs/>
                <w:sz w:val="20"/>
                <w:szCs w:val="20"/>
              </w:rPr>
              <w:t xml:space="preserve">Assuming 37% ABI and 63% ENZA share (10% PBS Sample) and based on mean duration of treatment of 433 days (14.3 months) as estimated from Section 3. </w:t>
            </w:r>
          </w:p>
        </w:tc>
        <w:tc>
          <w:tcPr>
            <w:tcW w:w="3352" w:type="dxa"/>
            <w:shd w:val="clear" w:color="auto" w:fill="auto"/>
            <w:vAlign w:val="center"/>
          </w:tcPr>
          <w:p w14:paraId="6901271C" w14:textId="2A88CC89"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This was consistent with </w:t>
            </w:r>
            <w:r w:rsidR="00013101" w:rsidRPr="00940BEC">
              <w:rPr>
                <w:rFonts w:ascii="Arial Narrow" w:hAnsi="Arial Narrow"/>
                <w:bCs/>
                <w:sz w:val="20"/>
                <w:szCs w:val="20"/>
              </w:rPr>
              <w:t>the economic model</w:t>
            </w:r>
            <w:r w:rsidRPr="00940BEC">
              <w:rPr>
                <w:rFonts w:ascii="Arial Narrow" w:hAnsi="Arial Narrow"/>
                <w:bCs/>
                <w:sz w:val="20"/>
                <w:szCs w:val="20"/>
              </w:rPr>
              <w:t>. However, the duration of treatment for ABI and ENZA may be overestimated. A recent DUSC analysis in April 2022</w:t>
            </w:r>
            <w:r w:rsidR="005E1B84" w:rsidRPr="00940BEC">
              <w:rPr>
                <w:rFonts w:ascii="Arial Narrow" w:hAnsi="Arial Narrow"/>
                <w:bCs/>
                <w:sz w:val="20"/>
                <w:szCs w:val="20"/>
              </w:rPr>
              <w:t xml:space="preserve"> </w:t>
            </w:r>
            <w:r w:rsidRPr="00940BEC">
              <w:rPr>
                <w:rFonts w:ascii="Arial Narrow" w:hAnsi="Arial Narrow"/>
                <w:bCs/>
                <w:sz w:val="20"/>
                <w:szCs w:val="20"/>
              </w:rPr>
              <w:t xml:space="preserve">suggested the average PBS treatment durations for abiraterone and enzalutamide were 9 and 12 months respectively or 11.8 months combined (assuming zero treatment breaks). However, the DUSC estimates were not specific to a </w:t>
            </w:r>
            <w:r w:rsidR="006C3ED1" w:rsidRPr="00940BEC">
              <w:rPr>
                <w:rFonts w:ascii="Arial Narrow" w:hAnsi="Arial Narrow"/>
                <w:bCs/>
                <w:sz w:val="20"/>
                <w:szCs w:val="20"/>
              </w:rPr>
              <w:t>BRCA1/2</w:t>
            </w:r>
            <w:r w:rsidRPr="00940BEC">
              <w:rPr>
                <w:rFonts w:ascii="Arial Narrow" w:hAnsi="Arial Narrow"/>
                <w:bCs/>
                <w:sz w:val="20"/>
                <w:szCs w:val="20"/>
              </w:rPr>
              <w:t xml:space="preserve"> population (para 6.26, </w:t>
            </w:r>
            <w:r w:rsidR="00B11B05" w:rsidRPr="00940BEC">
              <w:rPr>
                <w:rFonts w:ascii="Arial Narrow" w:hAnsi="Arial Narrow"/>
                <w:bCs/>
                <w:sz w:val="20"/>
                <w:szCs w:val="20"/>
              </w:rPr>
              <w:t>a</w:t>
            </w:r>
            <w:r w:rsidRPr="00940BEC">
              <w:rPr>
                <w:rFonts w:ascii="Arial Narrow" w:hAnsi="Arial Narrow"/>
                <w:bCs/>
                <w:sz w:val="20"/>
                <w:szCs w:val="20"/>
              </w:rPr>
              <w:t xml:space="preserve">palutamide, PSD, July 2022). </w:t>
            </w:r>
            <w:r w:rsidR="00013101" w:rsidRPr="00940BEC">
              <w:rPr>
                <w:rFonts w:ascii="Arial Narrow" w:hAnsi="Arial Narrow"/>
                <w:bCs/>
                <w:sz w:val="20"/>
                <w:szCs w:val="20"/>
              </w:rPr>
              <w:t>The ESC considered that NHA monotherapy would potentially be shorter than 11.8 months as patients with BRCA1/2 mutation are less responsive to NHAs.</w:t>
            </w:r>
          </w:p>
        </w:tc>
      </w:tr>
      <w:tr w:rsidR="00170BFC" w:rsidRPr="0075033B" w14:paraId="61F00017" w14:textId="77777777" w:rsidTr="00274773">
        <w:trPr>
          <w:cantSplit/>
          <w:trHeight w:val="20"/>
        </w:trPr>
        <w:tc>
          <w:tcPr>
            <w:tcW w:w="0" w:type="auto"/>
            <w:gridSpan w:val="3"/>
            <w:shd w:val="clear" w:color="auto" w:fill="auto"/>
            <w:vAlign w:val="center"/>
          </w:tcPr>
          <w:p w14:paraId="62A152BD" w14:textId="77777777" w:rsidR="00170BFC" w:rsidRPr="00940BEC" w:rsidRDefault="00170BFC" w:rsidP="00C407DD">
            <w:pPr>
              <w:rPr>
                <w:rFonts w:ascii="Arial Narrow" w:hAnsi="Arial Narrow"/>
                <w:b/>
                <w:bCs/>
                <w:sz w:val="20"/>
                <w:szCs w:val="20"/>
              </w:rPr>
            </w:pPr>
            <w:r w:rsidRPr="00940BEC">
              <w:rPr>
                <w:rFonts w:ascii="Arial Narrow" w:hAnsi="Arial Narrow"/>
                <w:b/>
                <w:bCs/>
                <w:sz w:val="20"/>
                <w:szCs w:val="20"/>
              </w:rPr>
              <w:t>PBS/RPBS Costs (DPMQ, effective)</w:t>
            </w:r>
          </w:p>
        </w:tc>
      </w:tr>
      <w:tr w:rsidR="00170BFC" w:rsidRPr="0075033B" w14:paraId="37877311" w14:textId="77777777" w:rsidTr="00274773">
        <w:trPr>
          <w:cantSplit/>
          <w:trHeight w:val="834"/>
        </w:trPr>
        <w:tc>
          <w:tcPr>
            <w:tcW w:w="0" w:type="auto"/>
            <w:shd w:val="clear" w:color="auto" w:fill="auto"/>
            <w:vAlign w:val="center"/>
          </w:tcPr>
          <w:p w14:paraId="4F404D9E" w14:textId="77777777" w:rsidR="00170BFC" w:rsidRPr="00940BEC" w:rsidRDefault="00170BFC" w:rsidP="00C407DD">
            <w:pPr>
              <w:rPr>
                <w:rFonts w:ascii="Arial Narrow" w:hAnsi="Arial Narrow"/>
                <w:bCs/>
                <w:sz w:val="20"/>
                <w:szCs w:val="20"/>
                <w:lang w:val="en-US"/>
              </w:rPr>
            </w:pPr>
            <w:r w:rsidRPr="00940BEC">
              <w:rPr>
                <w:rFonts w:ascii="Arial Narrow" w:hAnsi="Arial Narrow"/>
                <w:bCs/>
                <w:sz w:val="20"/>
                <w:szCs w:val="20"/>
              </w:rPr>
              <w:t>Olaparib</w:t>
            </w:r>
          </w:p>
        </w:tc>
        <w:tc>
          <w:tcPr>
            <w:tcW w:w="4485" w:type="dxa"/>
            <w:shd w:val="clear" w:color="auto" w:fill="auto"/>
            <w:vAlign w:val="center"/>
          </w:tcPr>
          <w:p w14:paraId="70EE8960" w14:textId="186A3F0E" w:rsidR="00170BFC" w:rsidRPr="00940BEC" w:rsidRDefault="00170BFC" w:rsidP="00C407DD">
            <w:pPr>
              <w:rPr>
                <w:rFonts w:ascii="Arial Narrow" w:hAnsi="Arial Narrow"/>
                <w:bCs/>
                <w:sz w:val="20"/>
                <w:szCs w:val="20"/>
              </w:rPr>
            </w:pPr>
            <w:r w:rsidRPr="00940BEC">
              <w:rPr>
                <w:rFonts w:ascii="Arial Narrow" w:hAnsi="Arial Narrow"/>
                <w:sz w:val="20"/>
                <w:szCs w:val="20"/>
              </w:rPr>
              <w:t>OLA: $</w:t>
            </w:r>
            <w:r w:rsidR="003C22C5" w:rsidRPr="003C22C5">
              <w:rPr>
                <w:rFonts w:ascii="Arial Narrow" w:hAnsi="Arial Narrow"/>
                <w:sz w:val="20"/>
                <w:szCs w:val="20"/>
              </w:rPr>
              <w:t xml:space="preserve"> </w:t>
            </w:r>
            <w:r w:rsidR="00B7116A" w:rsidRPr="001645FB">
              <w:rPr>
                <w:rFonts w:ascii="Arial Narrow" w:hAnsi="Arial Narrow"/>
                <w:color w:val="000000"/>
                <w:spacing w:val="51"/>
                <w:sz w:val="20"/>
                <w:szCs w:val="20"/>
                <w:shd w:val="solid" w:color="000000" w:fill="000000"/>
                <w:fitText w:val="326" w:id="-1031540729"/>
                <w14:textFill>
                  <w14:solidFill>
                    <w14:srgbClr w14:val="000000">
                      <w14:alpha w14:val="100000"/>
                    </w14:srgbClr>
                  </w14:solidFill>
                </w14:textFill>
              </w:rPr>
              <w:t>|||</w:t>
            </w:r>
            <w:r w:rsidR="00B7116A" w:rsidRPr="001645FB">
              <w:rPr>
                <w:rFonts w:ascii="Arial Narrow" w:hAnsi="Arial Narrow"/>
                <w:color w:val="000000"/>
                <w:spacing w:val="3"/>
                <w:sz w:val="20"/>
                <w:szCs w:val="20"/>
                <w:shd w:val="solid" w:color="000000" w:fill="000000"/>
                <w:fitText w:val="326" w:id="-1031540729"/>
                <w14:textFill>
                  <w14:solidFill>
                    <w14:srgbClr w14:val="000000">
                      <w14:alpha w14:val="100000"/>
                    </w14:srgbClr>
                  </w14:solidFill>
                </w14:textFill>
              </w:rPr>
              <w:t>|</w:t>
            </w:r>
            <w:r w:rsidRPr="00940BEC">
              <w:rPr>
                <w:rFonts w:ascii="Arial Narrow" w:hAnsi="Arial Narrow"/>
                <w:sz w:val="20"/>
                <w:szCs w:val="20"/>
              </w:rPr>
              <w:t xml:space="preserve"> per </w:t>
            </w:r>
            <w:r w:rsidRPr="00940BEC">
              <w:rPr>
                <w:rFonts w:ascii="Arial Narrow" w:hAnsi="Arial Narrow"/>
                <w:bCs/>
                <w:sz w:val="20"/>
                <w:szCs w:val="20"/>
              </w:rPr>
              <w:t>28-day supply (requested effective DPMQ)</w:t>
            </w:r>
          </w:p>
        </w:tc>
        <w:tc>
          <w:tcPr>
            <w:tcW w:w="3352" w:type="dxa"/>
            <w:vMerge w:val="restart"/>
            <w:shd w:val="clear" w:color="auto" w:fill="auto"/>
            <w:vAlign w:val="center"/>
          </w:tcPr>
          <w:p w14:paraId="0A19260F" w14:textId="53AB978F" w:rsidR="00170BFC" w:rsidRPr="00940BEC" w:rsidRDefault="00170BFC" w:rsidP="00C407DD">
            <w:pPr>
              <w:rPr>
                <w:rFonts w:ascii="Arial Narrow" w:hAnsi="Arial Narrow"/>
                <w:sz w:val="20"/>
                <w:szCs w:val="20"/>
              </w:rPr>
            </w:pPr>
            <w:r w:rsidRPr="00940BEC">
              <w:rPr>
                <w:rFonts w:ascii="Arial Narrow" w:hAnsi="Arial Narrow"/>
                <w:sz w:val="20"/>
                <w:szCs w:val="20"/>
              </w:rPr>
              <w:t>DPMQ for olaparib was slightly higher than the actual DPMQ requested in Section 1 ($</w:t>
            </w:r>
            <w:r w:rsidR="00B7116A" w:rsidRPr="00B7116A">
              <w:rPr>
                <w:rFonts w:ascii="Arial Narrow" w:hAnsi="Arial Narrow"/>
                <w:color w:val="000000"/>
                <w:spacing w:val="51"/>
                <w:sz w:val="20"/>
                <w:szCs w:val="20"/>
                <w:shd w:val="solid" w:color="000000" w:fill="000000"/>
                <w:fitText w:val="326" w:id="-1031540728"/>
                <w14:textFill>
                  <w14:solidFill>
                    <w14:srgbClr w14:val="000000">
                      <w14:alpha w14:val="100000"/>
                    </w14:srgbClr>
                  </w14:solidFill>
                </w14:textFill>
              </w:rPr>
              <w:t>|||</w:t>
            </w:r>
            <w:r w:rsidR="00B7116A" w:rsidRPr="00B7116A">
              <w:rPr>
                <w:rFonts w:ascii="Arial Narrow" w:hAnsi="Arial Narrow"/>
                <w:color w:val="000000"/>
                <w:spacing w:val="3"/>
                <w:sz w:val="20"/>
                <w:szCs w:val="20"/>
                <w:shd w:val="solid" w:color="000000" w:fill="000000"/>
                <w:fitText w:val="326" w:id="-1031540728"/>
                <w14:textFill>
                  <w14:solidFill>
                    <w14:srgbClr w14:val="000000">
                      <w14:alpha w14:val="100000"/>
                    </w14:srgbClr>
                  </w14:solidFill>
                </w14:textFill>
              </w:rPr>
              <w:t>|</w:t>
            </w:r>
            <w:r w:rsidRPr="00940BEC">
              <w:rPr>
                <w:rFonts w:ascii="Arial Narrow" w:hAnsi="Arial Narrow"/>
                <w:sz w:val="20"/>
                <w:szCs w:val="20"/>
              </w:rPr>
              <w:t>).</w:t>
            </w:r>
            <w:r w:rsidR="00CF11D7">
              <w:rPr>
                <w:rFonts w:ascii="Arial Narrow" w:hAnsi="Arial Narrow"/>
                <w:sz w:val="20"/>
                <w:szCs w:val="20"/>
              </w:rPr>
              <w:t xml:space="preserve"> This was reduced to $</w:t>
            </w:r>
            <w:r w:rsidR="003C22C5" w:rsidRPr="003C22C5">
              <w:rPr>
                <w:rFonts w:ascii="Arial Narrow" w:hAnsi="Arial Narrow"/>
                <w:sz w:val="20"/>
                <w:szCs w:val="20"/>
              </w:rPr>
              <w:t xml:space="preserve"> </w:t>
            </w:r>
            <w:r w:rsidR="00B7116A" w:rsidRPr="00B7116A">
              <w:rPr>
                <w:rFonts w:ascii="Arial Narrow" w:hAnsi="Arial Narrow"/>
                <w:color w:val="000000"/>
                <w:spacing w:val="51"/>
                <w:sz w:val="20"/>
                <w:szCs w:val="20"/>
                <w:shd w:val="solid" w:color="000000" w:fill="000000"/>
                <w:fitText w:val="326" w:id="-1031540727"/>
                <w14:textFill>
                  <w14:solidFill>
                    <w14:srgbClr w14:val="000000">
                      <w14:alpha w14:val="100000"/>
                    </w14:srgbClr>
                  </w14:solidFill>
                </w14:textFill>
              </w:rPr>
              <w:t>|||</w:t>
            </w:r>
            <w:r w:rsidR="00B7116A" w:rsidRPr="00B7116A">
              <w:rPr>
                <w:rFonts w:ascii="Arial Narrow" w:hAnsi="Arial Narrow"/>
                <w:color w:val="000000"/>
                <w:spacing w:val="3"/>
                <w:sz w:val="20"/>
                <w:szCs w:val="20"/>
                <w:shd w:val="solid" w:color="000000" w:fill="000000"/>
                <w:fitText w:val="326" w:id="-1031540727"/>
                <w14:textFill>
                  <w14:solidFill>
                    <w14:srgbClr w14:val="000000">
                      <w14:alpha w14:val="100000"/>
                    </w14:srgbClr>
                  </w14:solidFill>
                </w14:textFill>
              </w:rPr>
              <w:t>|</w:t>
            </w:r>
            <w:r w:rsidR="00CF11D7">
              <w:rPr>
                <w:rFonts w:ascii="Arial Narrow" w:hAnsi="Arial Narrow"/>
                <w:sz w:val="20"/>
                <w:szCs w:val="20"/>
              </w:rPr>
              <w:t xml:space="preserve"> in the pre-PBAC response.</w:t>
            </w:r>
          </w:p>
          <w:p w14:paraId="01D5BC6F" w14:textId="77777777" w:rsidR="00170BFC" w:rsidRPr="00940BEC" w:rsidRDefault="00170BFC" w:rsidP="00C407DD">
            <w:pPr>
              <w:rPr>
                <w:rFonts w:ascii="Arial Narrow" w:hAnsi="Arial Narrow"/>
                <w:sz w:val="20"/>
                <w:szCs w:val="20"/>
              </w:rPr>
            </w:pPr>
            <w:r w:rsidRPr="00940BEC">
              <w:rPr>
                <w:rFonts w:ascii="Arial Narrow" w:hAnsi="Arial Narrow"/>
                <w:sz w:val="20"/>
                <w:szCs w:val="20"/>
              </w:rPr>
              <w:t>Some discrepancies were noted between the economic model and financial estimates:</w:t>
            </w:r>
          </w:p>
          <w:p w14:paraId="7FAA9D87" w14:textId="77777777" w:rsidR="00170BFC" w:rsidRPr="00940BEC" w:rsidRDefault="00170BFC" w:rsidP="005B3CCC">
            <w:pPr>
              <w:numPr>
                <w:ilvl w:val="0"/>
                <w:numId w:val="8"/>
              </w:numPr>
              <w:ind w:left="255" w:hanging="247"/>
              <w:rPr>
                <w:rFonts w:ascii="Arial Narrow" w:hAnsi="Arial Narrow"/>
                <w:sz w:val="20"/>
                <w:szCs w:val="20"/>
              </w:rPr>
            </w:pPr>
            <w:r w:rsidRPr="00940BEC">
              <w:rPr>
                <w:rFonts w:ascii="Arial Narrow" w:hAnsi="Arial Narrow"/>
                <w:sz w:val="20"/>
                <w:szCs w:val="20"/>
              </w:rPr>
              <w:t>The economic model factored in a 5% anniversary-related price reduction for abiraterone, which was absent from the financial analysis.</w:t>
            </w:r>
          </w:p>
          <w:p w14:paraId="4F6A2E85" w14:textId="77777777" w:rsidR="00170BFC" w:rsidRPr="00940BEC" w:rsidRDefault="00170BFC" w:rsidP="005B3CCC">
            <w:pPr>
              <w:numPr>
                <w:ilvl w:val="0"/>
                <w:numId w:val="8"/>
              </w:numPr>
              <w:ind w:left="255" w:hanging="247"/>
              <w:rPr>
                <w:rFonts w:ascii="Arial Narrow" w:hAnsi="Arial Narrow"/>
                <w:sz w:val="20"/>
                <w:szCs w:val="20"/>
              </w:rPr>
            </w:pPr>
            <w:r w:rsidRPr="00940BEC">
              <w:rPr>
                <w:rFonts w:ascii="Arial Narrow" w:hAnsi="Arial Narrow"/>
                <w:sz w:val="20"/>
                <w:szCs w:val="20"/>
              </w:rPr>
              <w:t>Olaparib's dose intensity was 91.7% (economic) vs. 92% (financial), and for NHA it was 96.3% (economic) vs. 97% (financial).</w:t>
            </w:r>
          </w:p>
        </w:tc>
      </w:tr>
      <w:tr w:rsidR="00170BFC" w:rsidRPr="0075033B" w14:paraId="3DB7E2BE" w14:textId="77777777" w:rsidTr="00274773">
        <w:trPr>
          <w:cantSplit/>
          <w:trHeight w:val="1351"/>
        </w:trPr>
        <w:tc>
          <w:tcPr>
            <w:tcW w:w="0" w:type="auto"/>
            <w:shd w:val="clear" w:color="auto" w:fill="auto"/>
            <w:vAlign w:val="center"/>
          </w:tcPr>
          <w:p w14:paraId="62562957" w14:textId="2AB9D13A" w:rsidR="00170BFC" w:rsidRPr="00940BEC" w:rsidRDefault="00170BFC" w:rsidP="00C407DD">
            <w:pPr>
              <w:rPr>
                <w:rFonts w:ascii="Arial Narrow" w:hAnsi="Arial Narrow"/>
                <w:bCs/>
                <w:sz w:val="20"/>
                <w:szCs w:val="20"/>
              </w:rPr>
            </w:pPr>
            <w:r w:rsidRPr="00940BEC">
              <w:rPr>
                <w:rFonts w:ascii="Arial Narrow" w:hAnsi="Arial Narrow"/>
                <w:bCs/>
                <w:sz w:val="20"/>
                <w:szCs w:val="20"/>
              </w:rPr>
              <w:t>ABI</w:t>
            </w:r>
          </w:p>
        </w:tc>
        <w:tc>
          <w:tcPr>
            <w:tcW w:w="4485" w:type="dxa"/>
            <w:shd w:val="clear" w:color="auto" w:fill="auto"/>
            <w:vAlign w:val="center"/>
          </w:tcPr>
          <w:p w14:paraId="4A30CDDD" w14:textId="0A95BA4A" w:rsidR="002F26B4" w:rsidRPr="00940BEC" w:rsidRDefault="00170BFC" w:rsidP="002F26B4">
            <w:pPr>
              <w:keepLines/>
              <w:widowControl w:val="0"/>
              <w:rPr>
                <w:rFonts w:ascii="Arial Narrow" w:hAnsi="Arial Narrow"/>
                <w:bCs/>
                <w:sz w:val="20"/>
                <w:szCs w:val="20"/>
              </w:rPr>
            </w:pPr>
            <w:r w:rsidRPr="00940BEC">
              <w:rPr>
                <w:rFonts w:ascii="Arial Narrow" w:hAnsi="Arial Narrow"/>
                <w:bCs/>
                <w:sz w:val="20"/>
                <w:szCs w:val="20"/>
              </w:rPr>
              <w:t>ABI</w:t>
            </w:r>
            <w:r w:rsidR="00CB44E4" w:rsidRPr="00940BEC">
              <w:rPr>
                <w:rFonts w:ascii="Arial Narrow" w:hAnsi="Arial Narrow"/>
                <w:bCs/>
                <w:sz w:val="20"/>
                <w:szCs w:val="20"/>
              </w:rPr>
              <w:t>:</w:t>
            </w:r>
            <w:r w:rsidRPr="00940BEC">
              <w:rPr>
                <w:rFonts w:ascii="Arial Narrow" w:hAnsi="Arial Narrow"/>
                <w:bCs/>
                <w:sz w:val="20"/>
                <w:szCs w:val="20"/>
              </w:rPr>
              <w:t xml:space="preserve"> $</w:t>
            </w:r>
            <w:r w:rsidRPr="009F1604">
              <w:rPr>
                <w:rFonts w:ascii="Arial Narrow" w:hAnsi="Arial Narrow"/>
                <w:bCs/>
                <w:sz w:val="20"/>
                <w:szCs w:val="20"/>
              </w:rPr>
              <w:t>1,356.21</w:t>
            </w:r>
            <w:r w:rsidRPr="00940BEC">
              <w:rPr>
                <w:rFonts w:ascii="Arial Narrow" w:hAnsi="Arial Narrow"/>
                <w:bCs/>
                <w:sz w:val="20"/>
                <w:szCs w:val="20"/>
              </w:rPr>
              <w:t xml:space="preserve"> per 30-day supply (sponsor’s assumption) </w:t>
            </w:r>
          </w:p>
          <w:p w14:paraId="1E7CEA77" w14:textId="24324F6E" w:rsidR="00170BFC" w:rsidRPr="00940BEC" w:rsidRDefault="00AA1FD4" w:rsidP="00AA1FD4">
            <w:pPr>
              <w:keepLines/>
              <w:widowControl w:val="0"/>
              <w:rPr>
                <w:rFonts w:ascii="Arial Narrow" w:hAnsi="Arial Narrow" w:cs="Times New Roman"/>
                <w:sz w:val="20"/>
                <w:lang w:eastAsia="en-GB"/>
              </w:rPr>
            </w:pPr>
            <w:r w:rsidRPr="00940BEC">
              <w:rPr>
                <w:rFonts w:ascii="Arial Narrow" w:hAnsi="Arial Narrow" w:cs="Times New Roman"/>
                <w:sz w:val="20"/>
                <w:lang w:eastAsia="en-GB"/>
              </w:rPr>
              <w:t>Note M</w:t>
            </w:r>
            <w:r w:rsidR="002F26B4" w:rsidRPr="00940BEC">
              <w:rPr>
                <w:rFonts w:ascii="Arial Narrow" w:hAnsi="Arial Narrow" w:cs="Times New Roman"/>
                <w:sz w:val="20"/>
                <w:lang w:eastAsia="en-GB"/>
              </w:rPr>
              <w:t xml:space="preserve">P </w:t>
            </w:r>
            <w:r w:rsidRPr="00940BEC">
              <w:rPr>
                <w:rFonts w:ascii="Arial Narrow" w:hAnsi="Arial Narrow" w:cs="Times New Roman"/>
                <w:sz w:val="20"/>
                <w:lang w:eastAsia="en-GB"/>
              </w:rPr>
              <w:t>cost</w:t>
            </w:r>
            <w:r w:rsidR="002F26B4" w:rsidRPr="00940BEC">
              <w:rPr>
                <w:rFonts w:ascii="Arial Narrow" w:hAnsi="Arial Narrow" w:cs="Times New Roman"/>
                <w:sz w:val="20"/>
                <w:lang w:eastAsia="en-GB"/>
              </w:rPr>
              <w:t xml:space="preserve"> </w:t>
            </w:r>
            <w:r w:rsidR="00514A5A" w:rsidRPr="00940BEC">
              <w:rPr>
                <w:rFonts w:ascii="Arial Narrow" w:hAnsi="Arial Narrow" w:cs="Times New Roman"/>
                <w:sz w:val="20"/>
                <w:lang w:eastAsia="en-GB"/>
              </w:rPr>
              <w:t xml:space="preserve">($3.39) </w:t>
            </w:r>
            <w:r w:rsidR="002F26B4" w:rsidRPr="00940BEC">
              <w:rPr>
                <w:rFonts w:ascii="Arial Narrow" w:hAnsi="Arial Narrow" w:cs="Times New Roman"/>
                <w:sz w:val="20"/>
                <w:lang w:eastAsia="en-GB"/>
              </w:rPr>
              <w:t>was not included in the model.</w:t>
            </w:r>
            <w:r w:rsidRPr="00940BEC">
              <w:rPr>
                <w:rFonts w:ascii="Arial Narrow" w:hAnsi="Arial Narrow" w:cs="Times New Roman"/>
                <w:sz w:val="20"/>
                <w:lang w:eastAsia="en-GB"/>
              </w:rPr>
              <w:t xml:space="preserve"> This had minimal impact.</w:t>
            </w:r>
          </w:p>
        </w:tc>
        <w:tc>
          <w:tcPr>
            <w:tcW w:w="3352" w:type="dxa"/>
            <w:vMerge/>
            <w:shd w:val="clear" w:color="auto" w:fill="auto"/>
            <w:vAlign w:val="center"/>
          </w:tcPr>
          <w:p w14:paraId="393B945F" w14:textId="77777777" w:rsidR="00170BFC" w:rsidRPr="00940BEC" w:rsidRDefault="00170BFC" w:rsidP="00C407DD">
            <w:pPr>
              <w:rPr>
                <w:rFonts w:ascii="Arial Narrow" w:hAnsi="Arial Narrow"/>
                <w:bCs/>
                <w:sz w:val="20"/>
                <w:szCs w:val="20"/>
                <w:lang w:val="en-US"/>
              </w:rPr>
            </w:pPr>
          </w:p>
        </w:tc>
      </w:tr>
      <w:tr w:rsidR="00170BFC" w:rsidRPr="0075033B" w14:paraId="74D477D8" w14:textId="77777777" w:rsidTr="00274773">
        <w:trPr>
          <w:cantSplit/>
          <w:trHeight w:val="20"/>
        </w:trPr>
        <w:tc>
          <w:tcPr>
            <w:tcW w:w="0" w:type="auto"/>
            <w:shd w:val="clear" w:color="auto" w:fill="auto"/>
            <w:vAlign w:val="center"/>
          </w:tcPr>
          <w:p w14:paraId="528271E2" w14:textId="77777777" w:rsidR="00170BFC" w:rsidRPr="00940BEC" w:rsidRDefault="00170BFC" w:rsidP="00C407DD">
            <w:pPr>
              <w:rPr>
                <w:rFonts w:ascii="Arial Narrow" w:hAnsi="Arial Narrow"/>
                <w:bCs/>
                <w:sz w:val="20"/>
                <w:szCs w:val="20"/>
              </w:rPr>
            </w:pPr>
            <w:r w:rsidRPr="00940BEC">
              <w:rPr>
                <w:rFonts w:ascii="Arial Narrow" w:hAnsi="Arial Narrow"/>
                <w:bCs/>
                <w:sz w:val="20"/>
                <w:szCs w:val="20"/>
              </w:rPr>
              <w:t>NHA monotherapy</w:t>
            </w:r>
          </w:p>
        </w:tc>
        <w:tc>
          <w:tcPr>
            <w:tcW w:w="4485" w:type="dxa"/>
            <w:shd w:val="clear" w:color="auto" w:fill="auto"/>
            <w:vAlign w:val="center"/>
          </w:tcPr>
          <w:p w14:paraId="7157C34A" w14:textId="7B29B5A1" w:rsidR="00170BFC" w:rsidRPr="009F1604" w:rsidRDefault="00170BFC" w:rsidP="00C407DD">
            <w:pPr>
              <w:rPr>
                <w:rFonts w:ascii="Arial Narrow" w:hAnsi="Arial Narrow"/>
                <w:sz w:val="20"/>
                <w:szCs w:val="20"/>
              </w:rPr>
            </w:pPr>
            <w:r w:rsidRPr="009F1604">
              <w:rPr>
                <w:rFonts w:ascii="Arial Narrow" w:hAnsi="Arial Narrow"/>
                <w:sz w:val="20"/>
                <w:szCs w:val="20"/>
              </w:rPr>
              <w:t>ABI: $1,356.21 per 30-day supply (sponsor’s assumption)</w:t>
            </w:r>
          </w:p>
          <w:p w14:paraId="4EEBE611" w14:textId="0A29EA9C" w:rsidR="00170BFC" w:rsidRPr="009F1604" w:rsidRDefault="00170BFC" w:rsidP="00C407DD">
            <w:pPr>
              <w:rPr>
                <w:rFonts w:ascii="Arial Narrow" w:hAnsi="Arial Narrow"/>
                <w:sz w:val="20"/>
                <w:szCs w:val="20"/>
              </w:rPr>
            </w:pPr>
            <w:r w:rsidRPr="009F1604">
              <w:rPr>
                <w:rFonts w:ascii="Arial Narrow" w:hAnsi="Arial Narrow"/>
                <w:sz w:val="20"/>
                <w:szCs w:val="20"/>
              </w:rPr>
              <w:t>ENZA: $1,270.12 per 30-day supply (sponsor’s assumption)</w:t>
            </w:r>
          </w:p>
        </w:tc>
        <w:tc>
          <w:tcPr>
            <w:tcW w:w="3352" w:type="dxa"/>
            <w:vMerge/>
            <w:shd w:val="clear" w:color="auto" w:fill="auto"/>
            <w:vAlign w:val="center"/>
          </w:tcPr>
          <w:p w14:paraId="4AE60180" w14:textId="77777777" w:rsidR="00170BFC" w:rsidRPr="00940BEC" w:rsidRDefault="00170BFC" w:rsidP="00C407DD">
            <w:pPr>
              <w:rPr>
                <w:rFonts w:ascii="Arial Narrow" w:hAnsi="Arial Narrow"/>
                <w:bCs/>
                <w:sz w:val="20"/>
                <w:szCs w:val="20"/>
              </w:rPr>
            </w:pPr>
          </w:p>
        </w:tc>
      </w:tr>
      <w:tr w:rsidR="00170BFC" w:rsidRPr="00021AA5" w14:paraId="485741C2" w14:textId="77777777" w:rsidTr="00274773">
        <w:trPr>
          <w:cantSplit/>
          <w:trHeight w:val="20"/>
        </w:trPr>
        <w:tc>
          <w:tcPr>
            <w:tcW w:w="0" w:type="auto"/>
            <w:shd w:val="clear" w:color="auto" w:fill="auto"/>
            <w:vAlign w:val="center"/>
          </w:tcPr>
          <w:p w14:paraId="16068C56" w14:textId="77777777" w:rsidR="00170BFC" w:rsidRPr="00940BEC" w:rsidRDefault="00170BFC" w:rsidP="00C407DD">
            <w:pPr>
              <w:rPr>
                <w:rFonts w:ascii="Arial Narrow" w:hAnsi="Arial Narrow"/>
                <w:bCs/>
                <w:sz w:val="20"/>
                <w:szCs w:val="20"/>
              </w:rPr>
            </w:pPr>
            <w:r w:rsidRPr="00940BEC">
              <w:rPr>
                <w:rFonts w:ascii="Arial Narrow" w:hAnsi="Arial Narrow"/>
                <w:bCs/>
                <w:sz w:val="20"/>
                <w:szCs w:val="20"/>
              </w:rPr>
              <w:t>PBS/RPBS split</w:t>
            </w:r>
          </w:p>
        </w:tc>
        <w:tc>
          <w:tcPr>
            <w:tcW w:w="4485" w:type="dxa"/>
            <w:shd w:val="clear" w:color="auto" w:fill="auto"/>
            <w:vAlign w:val="center"/>
          </w:tcPr>
          <w:p w14:paraId="14428441" w14:textId="77777777" w:rsidR="00170BFC" w:rsidRPr="009F1604" w:rsidRDefault="00170BFC" w:rsidP="00C407DD">
            <w:pPr>
              <w:rPr>
                <w:rFonts w:ascii="Arial Narrow" w:hAnsi="Arial Narrow"/>
                <w:sz w:val="20"/>
                <w:szCs w:val="20"/>
              </w:rPr>
            </w:pPr>
            <w:r w:rsidRPr="009F1604">
              <w:rPr>
                <w:rFonts w:ascii="Arial Narrow" w:hAnsi="Arial Narrow"/>
                <w:sz w:val="20"/>
                <w:szCs w:val="20"/>
              </w:rPr>
              <w:t>PBS=95.8% &amp; RPBS=4.2%, based on existing PBS/RPBS Item statistics for ABI and ENZA in 1L mCRPC</w:t>
            </w:r>
          </w:p>
        </w:tc>
        <w:tc>
          <w:tcPr>
            <w:tcW w:w="3352" w:type="dxa"/>
            <w:shd w:val="clear" w:color="auto" w:fill="auto"/>
            <w:vAlign w:val="center"/>
          </w:tcPr>
          <w:p w14:paraId="56D87041" w14:textId="391DFC10" w:rsidR="00170BFC" w:rsidRPr="00940BEC" w:rsidRDefault="00170BFC" w:rsidP="00C407DD">
            <w:pPr>
              <w:rPr>
                <w:rFonts w:ascii="Arial Narrow" w:hAnsi="Arial Narrow"/>
                <w:bCs/>
                <w:sz w:val="20"/>
                <w:szCs w:val="20"/>
              </w:rPr>
            </w:pPr>
            <w:r w:rsidRPr="00940BEC">
              <w:rPr>
                <w:rFonts w:ascii="Arial Narrow" w:hAnsi="Arial Narrow"/>
                <w:bCs/>
                <w:sz w:val="20"/>
                <w:szCs w:val="20"/>
              </w:rPr>
              <w:t xml:space="preserve">The split was consistent with PBS data for olaparib monotherapy (item 12929L, 95.98% / 4.02%). </w:t>
            </w:r>
          </w:p>
        </w:tc>
      </w:tr>
      <w:tr w:rsidR="00170BFC" w:rsidRPr="00021AA5" w14:paraId="751E6E81" w14:textId="77777777" w:rsidTr="00274773">
        <w:trPr>
          <w:cantSplit/>
          <w:trHeight w:val="20"/>
        </w:trPr>
        <w:tc>
          <w:tcPr>
            <w:tcW w:w="0" w:type="auto"/>
            <w:shd w:val="clear" w:color="auto" w:fill="auto"/>
            <w:vAlign w:val="center"/>
          </w:tcPr>
          <w:p w14:paraId="568288A4" w14:textId="77777777" w:rsidR="00170BFC" w:rsidRPr="00940BEC" w:rsidRDefault="00170BFC" w:rsidP="00C407DD">
            <w:pPr>
              <w:rPr>
                <w:rFonts w:ascii="Arial Narrow" w:hAnsi="Arial Narrow"/>
                <w:bCs/>
                <w:sz w:val="20"/>
                <w:szCs w:val="20"/>
              </w:rPr>
            </w:pPr>
            <w:r w:rsidRPr="00940BEC">
              <w:rPr>
                <w:rFonts w:ascii="Arial Narrow" w:hAnsi="Arial Narrow"/>
                <w:bCs/>
                <w:sz w:val="20"/>
                <w:szCs w:val="20"/>
              </w:rPr>
              <w:t>Patient co-payment</w:t>
            </w:r>
          </w:p>
        </w:tc>
        <w:tc>
          <w:tcPr>
            <w:tcW w:w="4485" w:type="dxa"/>
            <w:shd w:val="clear" w:color="auto" w:fill="auto"/>
            <w:vAlign w:val="center"/>
          </w:tcPr>
          <w:p w14:paraId="68C0DB42" w14:textId="77777777" w:rsidR="00170BFC" w:rsidRPr="009F1604" w:rsidRDefault="00170BFC" w:rsidP="00C407DD">
            <w:pPr>
              <w:rPr>
                <w:rFonts w:ascii="Arial Narrow" w:hAnsi="Arial Narrow"/>
                <w:sz w:val="20"/>
                <w:szCs w:val="20"/>
              </w:rPr>
            </w:pPr>
            <w:r w:rsidRPr="009F1604">
              <w:rPr>
                <w:rFonts w:ascii="Arial Narrow" w:hAnsi="Arial Narrow"/>
                <w:sz w:val="20"/>
                <w:szCs w:val="20"/>
              </w:rPr>
              <w:t>PBS=$9.93 &amp; RPBS=$4.93</w:t>
            </w:r>
          </w:p>
          <w:p w14:paraId="49A87175" w14:textId="77777777" w:rsidR="00170BFC" w:rsidRPr="009F1604" w:rsidRDefault="00170BFC" w:rsidP="00C407DD">
            <w:pPr>
              <w:rPr>
                <w:rFonts w:ascii="Arial Narrow" w:hAnsi="Arial Narrow"/>
                <w:sz w:val="20"/>
                <w:szCs w:val="20"/>
              </w:rPr>
            </w:pPr>
            <w:r w:rsidRPr="009F1604">
              <w:rPr>
                <w:rFonts w:ascii="Arial Narrow" w:hAnsi="Arial Narrow"/>
                <w:sz w:val="20"/>
                <w:szCs w:val="20"/>
              </w:rPr>
              <w:t>Average co-payment, for both drugs, was based on the current weighted mean co-payment of abiraterone and enzalutamide</w:t>
            </w:r>
          </w:p>
        </w:tc>
        <w:tc>
          <w:tcPr>
            <w:tcW w:w="3352" w:type="dxa"/>
            <w:shd w:val="clear" w:color="auto" w:fill="auto"/>
            <w:vAlign w:val="center"/>
          </w:tcPr>
          <w:p w14:paraId="5E15605B" w14:textId="4E5BC821" w:rsidR="00170BFC" w:rsidRPr="00940BEC" w:rsidRDefault="001079B2" w:rsidP="00C407DD">
            <w:pPr>
              <w:rPr>
                <w:rFonts w:ascii="Arial Narrow" w:hAnsi="Arial Narrow"/>
                <w:bCs/>
                <w:sz w:val="20"/>
                <w:szCs w:val="20"/>
              </w:rPr>
            </w:pPr>
            <w:r>
              <w:rPr>
                <w:rFonts w:ascii="Arial Narrow" w:hAnsi="Arial Narrow"/>
                <w:bCs/>
                <w:sz w:val="20"/>
                <w:szCs w:val="20"/>
              </w:rPr>
              <w:t>-</w:t>
            </w:r>
          </w:p>
        </w:tc>
      </w:tr>
    </w:tbl>
    <w:p w14:paraId="2B8236D6" w14:textId="77777777" w:rsidR="00170BFC" w:rsidRPr="0010529A" w:rsidRDefault="00170BFC" w:rsidP="00170BFC">
      <w:pPr>
        <w:pStyle w:val="TableFigureFooter"/>
        <w:jc w:val="both"/>
      </w:pPr>
      <w:r w:rsidRPr="0010529A">
        <w:t>Source: Table 4-3, p160, Table 4-8, p163, Table 4-9, p63, Table 4-10, p164, Table 4-12, p165, Table 4-18, p168, and compiled during the evaluation.</w:t>
      </w:r>
    </w:p>
    <w:p w14:paraId="3D7E7FD7" w14:textId="20B95825" w:rsidR="00170BFC" w:rsidRDefault="00170BFC" w:rsidP="00170BFC">
      <w:pPr>
        <w:pStyle w:val="TableFigureFooter"/>
        <w:jc w:val="both"/>
      </w:pPr>
      <w:r w:rsidRPr="0010529A">
        <w:t xml:space="preserve">1L=first line, 2L=second line, ABI=abiraterone, </w:t>
      </w:r>
      <w:r>
        <w:t xml:space="preserve">BI=budget impact, </w:t>
      </w:r>
      <w:r w:rsidR="006C3ED1" w:rsidRPr="006C3ED1">
        <w:rPr>
          <w:i/>
          <w:iCs/>
        </w:rPr>
        <w:t>BRCA1/2</w:t>
      </w:r>
      <w:r w:rsidRPr="0010529A">
        <w:t xml:space="preserve">=breast cancer gene, </w:t>
      </w:r>
      <w:r>
        <w:t xml:space="preserve">DPMQ=dispensed price for maximum quantity, </w:t>
      </w:r>
      <w:r w:rsidRPr="0010529A">
        <w:t xml:space="preserve">m0CRPC=non-metastatic castrate resistant prostate cancer, mCRPC=metastatic castrate resistant prostate cancer, </w:t>
      </w:r>
      <w:r w:rsidRPr="003A6F56">
        <w:t>MP=methylprednisolone</w:t>
      </w:r>
      <w:r>
        <w:t xml:space="preserve">, </w:t>
      </w:r>
      <w:r w:rsidRPr="0010529A">
        <w:t>NHA=novel hormonal agent, OLA=olaparib, PBS=Pharmaceutical Benefits Scheme, RPBS=Repatriation Schedule of Pharmaceutical Benefits</w:t>
      </w:r>
      <w:r>
        <w:t>, ToT=time on treatment.</w:t>
      </w:r>
    </w:p>
    <w:p w14:paraId="467D772A" w14:textId="6847F1F9" w:rsidR="004B6088" w:rsidRDefault="004B6088" w:rsidP="00CB1F03">
      <w:pPr>
        <w:pStyle w:val="TableFigureFooter"/>
        <w:spacing w:after="0"/>
        <w:jc w:val="both"/>
        <w:rPr>
          <w:i/>
        </w:rPr>
      </w:pPr>
      <w:r w:rsidRPr="004B6088">
        <w:rPr>
          <w:i/>
        </w:rPr>
        <w:t xml:space="preserve">The redacted values correspond to the following ranges: </w:t>
      </w:r>
    </w:p>
    <w:p w14:paraId="1BBE2864" w14:textId="324D0DD8" w:rsidR="002E2E88" w:rsidRPr="002E2E88" w:rsidRDefault="002E2E88" w:rsidP="00CB1F03">
      <w:pPr>
        <w:pStyle w:val="TableFigureFooter"/>
        <w:spacing w:after="0"/>
        <w:rPr>
          <w:i/>
        </w:rPr>
      </w:pPr>
      <w:r>
        <w:rPr>
          <w:i/>
          <w:vertAlign w:val="superscript"/>
        </w:rPr>
        <w:lastRenderedPageBreak/>
        <w:t>1</w:t>
      </w:r>
      <w:r w:rsidRPr="002E2E88">
        <w:rPr>
          <w:i/>
          <w:vertAlign w:val="superscript"/>
        </w:rPr>
        <w:t xml:space="preserve"> </w:t>
      </w:r>
      <w:r w:rsidRPr="002E2E88">
        <w:rPr>
          <w:i/>
        </w:rPr>
        <w:t>500 to &lt; 5,000</w:t>
      </w:r>
    </w:p>
    <w:p w14:paraId="69203A80" w14:textId="60CDC163" w:rsidR="002E2E88" w:rsidRDefault="002E2E88" w:rsidP="00CB1F03">
      <w:pPr>
        <w:pStyle w:val="TableFigureFooter"/>
        <w:spacing w:after="0"/>
        <w:rPr>
          <w:i/>
        </w:rPr>
      </w:pPr>
      <w:r>
        <w:rPr>
          <w:i/>
          <w:vertAlign w:val="superscript"/>
        </w:rPr>
        <w:t>2</w:t>
      </w:r>
      <w:r w:rsidRPr="002E2E88">
        <w:rPr>
          <w:i/>
        </w:rPr>
        <w:t xml:space="preserve"> 5,000 to &lt; 10,000</w:t>
      </w:r>
    </w:p>
    <w:p w14:paraId="729FBD2D" w14:textId="2088C457" w:rsidR="002E2E88" w:rsidRDefault="002E2E88" w:rsidP="00CB1F03">
      <w:pPr>
        <w:pStyle w:val="TableFigureFooter"/>
        <w:spacing w:after="0"/>
        <w:rPr>
          <w:i/>
        </w:rPr>
      </w:pPr>
      <w:r>
        <w:rPr>
          <w:i/>
          <w:vertAlign w:val="superscript"/>
        </w:rPr>
        <w:t>3</w:t>
      </w:r>
      <w:r w:rsidRPr="002E2E88">
        <w:rPr>
          <w:i/>
        </w:rPr>
        <w:t xml:space="preserve"> $100 million to &lt; $200 million</w:t>
      </w:r>
    </w:p>
    <w:p w14:paraId="2A5DFF8B" w14:textId="7619A13C" w:rsidR="002E2E88" w:rsidRPr="002E2E88" w:rsidRDefault="002E2E88" w:rsidP="00CB1F03">
      <w:pPr>
        <w:pStyle w:val="TableFigureFooter"/>
        <w:spacing w:after="0"/>
        <w:rPr>
          <w:i/>
        </w:rPr>
      </w:pPr>
      <w:r w:rsidRPr="004B6088">
        <w:rPr>
          <w:i/>
          <w:vertAlign w:val="superscript"/>
        </w:rPr>
        <w:t xml:space="preserve">4 </w:t>
      </w:r>
      <w:r w:rsidRPr="004B6088">
        <w:rPr>
          <w:i/>
        </w:rPr>
        <w:t>$90 million to &lt; $100 million</w:t>
      </w:r>
    </w:p>
    <w:p w14:paraId="565170A8" w14:textId="61C1B0CF" w:rsidR="004B6088" w:rsidRDefault="002E2E88" w:rsidP="00CB1F03">
      <w:pPr>
        <w:pStyle w:val="TableFigureFooter"/>
        <w:spacing w:after="0"/>
        <w:jc w:val="both"/>
        <w:rPr>
          <w:i/>
        </w:rPr>
      </w:pPr>
      <w:r>
        <w:rPr>
          <w:i/>
          <w:vertAlign w:val="superscript"/>
        </w:rPr>
        <w:t>5</w:t>
      </w:r>
      <w:r w:rsidR="006B3E1B">
        <w:rPr>
          <w:i/>
          <w:vertAlign w:val="superscript"/>
        </w:rPr>
        <w:t xml:space="preserve"> </w:t>
      </w:r>
      <w:r w:rsidR="004B6088" w:rsidRPr="004B6088">
        <w:rPr>
          <w:i/>
        </w:rPr>
        <w:t>&lt; 500</w:t>
      </w:r>
    </w:p>
    <w:p w14:paraId="017756C4" w14:textId="0210E881" w:rsidR="004B6088" w:rsidRDefault="006B3E1B" w:rsidP="00170BFC">
      <w:pPr>
        <w:pStyle w:val="TableFigureFooter"/>
        <w:jc w:val="both"/>
      </w:pPr>
      <w:r>
        <w:rPr>
          <w:i/>
          <w:vertAlign w:val="superscript"/>
        </w:rPr>
        <w:t xml:space="preserve">6 </w:t>
      </w:r>
      <w:r>
        <w:rPr>
          <w:i/>
        </w:rPr>
        <w:t>10</w:t>
      </w:r>
      <w:r w:rsidR="001440B1">
        <w:rPr>
          <w:i/>
        </w:rPr>
        <w:t xml:space="preserve">,000 to </w:t>
      </w:r>
      <w:r w:rsidRPr="004B6088">
        <w:rPr>
          <w:i/>
        </w:rPr>
        <w:t>&lt;</w:t>
      </w:r>
      <w:r w:rsidR="001440B1">
        <w:rPr>
          <w:i/>
        </w:rPr>
        <w:t>20,0</w:t>
      </w:r>
      <w:r w:rsidRPr="004B6088">
        <w:rPr>
          <w:i/>
        </w:rPr>
        <w:t>00</w:t>
      </w:r>
    </w:p>
    <w:p w14:paraId="38FB3B9D" w14:textId="680E1A27" w:rsidR="00170BFC" w:rsidRPr="00021AA5" w:rsidRDefault="00170BFC" w:rsidP="00170BFC">
      <w:pPr>
        <w:pStyle w:val="3-BodyText"/>
      </w:pPr>
      <w:bookmarkStart w:id="71" w:name="_Ref148004836"/>
      <w:r w:rsidRPr="0075033B">
        <w:t>Only incident patients were included</w:t>
      </w:r>
      <w:r w:rsidRPr="00021AA5">
        <w:t>, which was a deviation from the preferred approach recommended by DUSC of a combined incident and prevalent approach</w:t>
      </w:r>
      <w:r w:rsidRPr="0075033B">
        <w:t xml:space="preserve">. The submission explained it was expected that patients would commence treatment shortly after their mCRPC diagnosis, and as such there would not be a pool of untreated prevalent patients who would be eligible to commence treatment. </w:t>
      </w:r>
      <w:r w:rsidRPr="00021AA5">
        <w:t xml:space="preserve">The submission also indicated that there </w:t>
      </w:r>
      <w:r w:rsidR="00385D69" w:rsidRPr="00021AA5">
        <w:t>wa</w:t>
      </w:r>
      <w:r w:rsidRPr="00021AA5">
        <w:t>s no patient access program established at the time of submission, so no grandfathering was included in the estimates.</w:t>
      </w:r>
      <w:bookmarkEnd w:id="71"/>
    </w:p>
    <w:p w14:paraId="192ACE14" w14:textId="2BB53E04" w:rsidR="00170BFC" w:rsidRPr="00A8254D" w:rsidRDefault="00170BFC" w:rsidP="00170BFC">
      <w:pPr>
        <w:pStyle w:val="3-BodyText"/>
      </w:pPr>
      <w:r w:rsidRPr="00A8254D">
        <w:fldChar w:fldCharType="begin" w:fldLock="1"/>
      </w:r>
      <w:r w:rsidRPr="00A8254D">
        <w:instrText xml:space="preserve"> REF _Ref104805295 \h </w:instrText>
      </w:r>
      <w:r>
        <w:instrText xml:space="preserve"> \* MERGEFORMAT </w:instrText>
      </w:r>
      <w:r w:rsidRPr="00A8254D">
        <w:fldChar w:fldCharType="separate"/>
      </w:r>
      <w:r w:rsidR="006F331F">
        <w:t>Table 15</w:t>
      </w:r>
      <w:r w:rsidRPr="00A8254D">
        <w:fldChar w:fldCharType="end"/>
      </w:r>
      <w:r w:rsidRPr="00A8254D">
        <w:t xml:space="preserve"> presents the estimated use and financial impact of olaparib plus abiraterone.</w:t>
      </w:r>
    </w:p>
    <w:p w14:paraId="1A309927" w14:textId="62FE2449" w:rsidR="00170BFC" w:rsidRPr="00606FBA" w:rsidRDefault="00170BFC" w:rsidP="00D626D3">
      <w:pPr>
        <w:pStyle w:val="Caption"/>
      </w:pPr>
      <w:bookmarkStart w:id="72" w:name="_Ref104805295"/>
      <w:r>
        <w:lastRenderedPageBreak/>
        <w:t xml:space="preserve">Table </w:t>
      </w:r>
      <w:fldSimple w:instr=" SEQ Table \* ARABIC " w:fldLock="1">
        <w:r w:rsidR="006F331F">
          <w:rPr>
            <w:noProof/>
          </w:rPr>
          <w:t>15</w:t>
        </w:r>
      </w:fldSimple>
      <w:bookmarkEnd w:id="72"/>
      <w:r>
        <w:t>:</w:t>
      </w:r>
      <w:r w:rsidRPr="00606FBA">
        <w:rPr>
          <w:rStyle w:val="CommentReference"/>
          <w:b/>
          <w:szCs w:val="24"/>
        </w:rPr>
        <w:t xml:space="preserve"> Estimated use and financial implications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40"/>
        <w:gridCol w:w="983"/>
        <w:gridCol w:w="983"/>
        <w:gridCol w:w="983"/>
        <w:gridCol w:w="983"/>
        <w:gridCol w:w="983"/>
        <w:gridCol w:w="986"/>
        <w:gridCol w:w="1026"/>
      </w:tblGrid>
      <w:tr w:rsidR="00170BFC" w:rsidRPr="000511F3" w14:paraId="360025D8" w14:textId="77777777" w:rsidTr="00CF11D7">
        <w:trPr>
          <w:tblHeader/>
        </w:trPr>
        <w:tc>
          <w:tcPr>
            <w:tcW w:w="1180" w:type="pct"/>
            <w:shd w:val="clear" w:color="auto" w:fill="auto"/>
            <w:vAlign w:val="center"/>
          </w:tcPr>
          <w:p w14:paraId="5570365F" w14:textId="77777777" w:rsidR="00170BFC" w:rsidRPr="000511F3" w:rsidRDefault="00170BFC" w:rsidP="00D626D3">
            <w:pPr>
              <w:pStyle w:val="TableText0"/>
              <w:keepLines/>
              <w:jc w:val="center"/>
              <w:rPr>
                <w:b/>
                <w:bCs w:val="0"/>
              </w:rPr>
            </w:pPr>
          </w:p>
        </w:tc>
        <w:tc>
          <w:tcPr>
            <w:tcW w:w="542" w:type="pct"/>
            <w:shd w:val="clear" w:color="auto" w:fill="auto"/>
            <w:vAlign w:val="center"/>
          </w:tcPr>
          <w:p w14:paraId="4CE2C61C" w14:textId="77777777" w:rsidR="00170BFC" w:rsidRPr="000511F3" w:rsidRDefault="00170BFC" w:rsidP="00D626D3">
            <w:pPr>
              <w:pStyle w:val="TableText0"/>
              <w:keepLines/>
              <w:rPr>
                <w:b/>
                <w:bCs w:val="0"/>
              </w:rPr>
            </w:pPr>
            <w:r w:rsidRPr="000511F3">
              <w:rPr>
                <w:b/>
                <w:bCs w:val="0"/>
              </w:rPr>
              <w:t>Year 1</w:t>
            </w:r>
          </w:p>
        </w:tc>
        <w:tc>
          <w:tcPr>
            <w:tcW w:w="542" w:type="pct"/>
            <w:shd w:val="clear" w:color="auto" w:fill="auto"/>
            <w:vAlign w:val="center"/>
          </w:tcPr>
          <w:p w14:paraId="32D6F3B8" w14:textId="77777777" w:rsidR="00170BFC" w:rsidRPr="000511F3" w:rsidRDefault="00170BFC" w:rsidP="00D626D3">
            <w:pPr>
              <w:pStyle w:val="TableText0"/>
              <w:keepLines/>
              <w:rPr>
                <w:b/>
                <w:bCs w:val="0"/>
              </w:rPr>
            </w:pPr>
            <w:r w:rsidRPr="000511F3">
              <w:rPr>
                <w:b/>
                <w:bCs w:val="0"/>
              </w:rPr>
              <w:t>Year 2</w:t>
            </w:r>
          </w:p>
        </w:tc>
        <w:tc>
          <w:tcPr>
            <w:tcW w:w="542" w:type="pct"/>
            <w:shd w:val="clear" w:color="auto" w:fill="auto"/>
            <w:vAlign w:val="center"/>
          </w:tcPr>
          <w:p w14:paraId="7B50A19F" w14:textId="77777777" w:rsidR="00170BFC" w:rsidRPr="000511F3" w:rsidRDefault="00170BFC" w:rsidP="00D626D3">
            <w:pPr>
              <w:pStyle w:val="TableText0"/>
              <w:keepLines/>
              <w:rPr>
                <w:b/>
                <w:bCs w:val="0"/>
              </w:rPr>
            </w:pPr>
            <w:r w:rsidRPr="000511F3">
              <w:rPr>
                <w:b/>
                <w:bCs w:val="0"/>
              </w:rPr>
              <w:t>Year 3</w:t>
            </w:r>
          </w:p>
        </w:tc>
        <w:tc>
          <w:tcPr>
            <w:tcW w:w="542" w:type="pct"/>
            <w:shd w:val="clear" w:color="auto" w:fill="auto"/>
            <w:vAlign w:val="center"/>
          </w:tcPr>
          <w:p w14:paraId="5F555169" w14:textId="77777777" w:rsidR="00170BFC" w:rsidRPr="000511F3" w:rsidRDefault="00170BFC" w:rsidP="00D626D3">
            <w:pPr>
              <w:pStyle w:val="TableText0"/>
              <w:keepLines/>
              <w:rPr>
                <w:b/>
                <w:bCs w:val="0"/>
              </w:rPr>
            </w:pPr>
            <w:r w:rsidRPr="000511F3">
              <w:rPr>
                <w:b/>
                <w:bCs w:val="0"/>
              </w:rPr>
              <w:t>Year 4</w:t>
            </w:r>
          </w:p>
        </w:tc>
        <w:tc>
          <w:tcPr>
            <w:tcW w:w="542" w:type="pct"/>
            <w:shd w:val="clear" w:color="auto" w:fill="auto"/>
            <w:vAlign w:val="center"/>
          </w:tcPr>
          <w:p w14:paraId="672124B3" w14:textId="77777777" w:rsidR="00170BFC" w:rsidRPr="000511F3" w:rsidRDefault="00170BFC" w:rsidP="00D626D3">
            <w:pPr>
              <w:pStyle w:val="TableText0"/>
              <w:keepLines/>
              <w:rPr>
                <w:b/>
                <w:bCs w:val="0"/>
              </w:rPr>
            </w:pPr>
            <w:r w:rsidRPr="000511F3">
              <w:rPr>
                <w:b/>
                <w:bCs w:val="0"/>
              </w:rPr>
              <w:t>Year 5</w:t>
            </w:r>
          </w:p>
        </w:tc>
        <w:tc>
          <w:tcPr>
            <w:tcW w:w="543" w:type="pct"/>
          </w:tcPr>
          <w:p w14:paraId="7D89D505" w14:textId="77777777" w:rsidR="00170BFC" w:rsidRPr="000511F3" w:rsidRDefault="00170BFC" w:rsidP="00D626D3">
            <w:pPr>
              <w:pStyle w:val="TableText0"/>
              <w:keepLines/>
              <w:rPr>
                <w:b/>
                <w:bCs w:val="0"/>
              </w:rPr>
            </w:pPr>
            <w:r w:rsidRPr="000511F3">
              <w:rPr>
                <w:b/>
                <w:bCs w:val="0"/>
              </w:rPr>
              <w:t>Year 6</w:t>
            </w:r>
          </w:p>
        </w:tc>
        <w:tc>
          <w:tcPr>
            <w:tcW w:w="566" w:type="pct"/>
          </w:tcPr>
          <w:p w14:paraId="2BBE1388" w14:textId="77777777" w:rsidR="00170BFC" w:rsidRPr="000511F3" w:rsidRDefault="00170BFC" w:rsidP="00D626D3">
            <w:pPr>
              <w:pStyle w:val="TableText0"/>
              <w:keepLines/>
              <w:rPr>
                <w:b/>
                <w:bCs w:val="0"/>
              </w:rPr>
            </w:pPr>
            <w:r>
              <w:rPr>
                <w:b/>
                <w:bCs w:val="0"/>
              </w:rPr>
              <w:t>Total</w:t>
            </w:r>
          </w:p>
        </w:tc>
      </w:tr>
      <w:tr w:rsidR="00170BFC" w:rsidRPr="00D1078F" w14:paraId="4A6CCE17" w14:textId="77777777" w:rsidTr="004C21F9">
        <w:tc>
          <w:tcPr>
            <w:tcW w:w="5000" w:type="pct"/>
            <w:gridSpan w:val="8"/>
            <w:shd w:val="clear" w:color="auto" w:fill="auto"/>
            <w:vAlign w:val="center"/>
          </w:tcPr>
          <w:p w14:paraId="3EB8965A" w14:textId="77777777" w:rsidR="00170BFC" w:rsidRPr="000511F3" w:rsidRDefault="00170BFC" w:rsidP="00D626D3">
            <w:pPr>
              <w:pStyle w:val="TableText0"/>
              <w:keepLines/>
              <w:rPr>
                <w:b/>
                <w:bCs w:val="0"/>
                <w:color w:val="000000"/>
              </w:rPr>
            </w:pPr>
            <w:r w:rsidRPr="000511F3">
              <w:rPr>
                <w:b/>
                <w:bCs w:val="0"/>
                <w:color w:val="000000"/>
              </w:rPr>
              <w:t>Estimated extent of use</w:t>
            </w:r>
          </w:p>
        </w:tc>
      </w:tr>
      <w:tr w:rsidR="00170BFC" w:rsidRPr="003639A6" w14:paraId="213FC2B0" w14:textId="77777777" w:rsidTr="00CF11D7">
        <w:tc>
          <w:tcPr>
            <w:tcW w:w="1180" w:type="pct"/>
            <w:shd w:val="clear" w:color="auto" w:fill="auto"/>
            <w:vAlign w:val="center"/>
          </w:tcPr>
          <w:p w14:paraId="4B2B2890" w14:textId="77777777" w:rsidR="00170BFC" w:rsidRPr="000511F3" w:rsidRDefault="00170BFC" w:rsidP="00D626D3">
            <w:pPr>
              <w:pStyle w:val="TableText0"/>
              <w:keepLines/>
            </w:pPr>
            <w:r w:rsidRPr="005C2B78">
              <w:rPr>
                <w:rFonts w:cs="Times New Roman"/>
                <w:sz w:val="19"/>
                <w:szCs w:val="19"/>
                <w:lang w:val="en-US" w:eastAsia="en-GB"/>
              </w:rPr>
              <w:t>NHA initiations in 1L mCRPC</w:t>
            </w:r>
          </w:p>
        </w:tc>
        <w:tc>
          <w:tcPr>
            <w:tcW w:w="542" w:type="pct"/>
            <w:shd w:val="clear" w:color="auto" w:fill="auto"/>
            <w:vAlign w:val="center"/>
          </w:tcPr>
          <w:p w14:paraId="51BFFED8" w14:textId="54CBD44F" w:rsidR="00170BFC" w:rsidRPr="00E952E8" w:rsidRDefault="003C22C5" w:rsidP="00D626D3">
            <w:pPr>
              <w:pStyle w:val="TableText0"/>
              <w:keepLines/>
              <w:rPr>
                <w:rFonts w:cs="Arial"/>
                <w:color w:val="000000"/>
                <w:sz w:val="18"/>
                <w:szCs w:val="18"/>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6"/>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6"/>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4DA078D6" w14:textId="4F7589EA" w:rsidR="00170BFC" w:rsidRPr="00E952E8" w:rsidRDefault="003C22C5" w:rsidP="00D626D3">
            <w:pPr>
              <w:pStyle w:val="TableText0"/>
              <w:keepLines/>
              <w:rPr>
                <w:rFonts w:cs="Arial"/>
                <w:color w:val="000000"/>
                <w:sz w:val="18"/>
                <w:szCs w:val="18"/>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5"/>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5"/>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204897D0" w14:textId="2D59ED11" w:rsidR="00170BFC" w:rsidRPr="00E952E8" w:rsidRDefault="003C22C5" w:rsidP="00D626D3">
            <w:pPr>
              <w:pStyle w:val="TableText0"/>
              <w:keepLines/>
              <w:rPr>
                <w:rFonts w:cs="Arial"/>
                <w:color w:val="000000"/>
                <w:sz w:val="18"/>
                <w:szCs w:val="18"/>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4"/>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4"/>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1BF4D9E3" w14:textId="05B4FD11" w:rsidR="00170BFC" w:rsidRPr="00E952E8" w:rsidRDefault="003C22C5" w:rsidP="00D626D3">
            <w:pPr>
              <w:pStyle w:val="TableText0"/>
              <w:keepLines/>
              <w:rPr>
                <w:rFonts w:cs="Arial"/>
                <w:color w:val="000000"/>
                <w:sz w:val="18"/>
                <w:szCs w:val="18"/>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3"/>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3"/>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1B578C58" w14:textId="690C1EA5" w:rsidR="00170BFC" w:rsidRPr="00E952E8" w:rsidRDefault="003C22C5" w:rsidP="00D626D3">
            <w:pPr>
              <w:pStyle w:val="TableText0"/>
              <w:keepLines/>
              <w:rPr>
                <w:rFonts w:cs="Arial"/>
                <w:color w:val="000000"/>
                <w:sz w:val="18"/>
                <w:szCs w:val="18"/>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2"/>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2"/>
                <w:lang w:eastAsia="en-GB"/>
                <w14:textFill>
                  <w14:solidFill>
                    <w14:srgbClr w14:val="000000">
                      <w14:alpha w14:val="100000"/>
                    </w14:srgbClr>
                  </w14:solidFill>
                </w14:textFill>
              </w:rPr>
              <w:t>|</w:t>
            </w:r>
            <w:r w:rsidRPr="003C22C5">
              <w:rPr>
                <w:rFonts w:cs="Times New Roman"/>
                <w:sz w:val="19"/>
                <w:szCs w:val="19"/>
                <w:lang w:eastAsia="en-GB"/>
              </w:rPr>
              <w:t xml:space="preserve"> </w:t>
            </w:r>
            <w:r w:rsidR="00EE48AF" w:rsidRPr="00EE48AF">
              <w:rPr>
                <w:rFonts w:cs="Times New Roman"/>
                <w:sz w:val="19"/>
                <w:szCs w:val="19"/>
                <w:vertAlign w:val="superscript"/>
                <w:lang w:eastAsia="en-GB"/>
              </w:rPr>
              <w:t>2</w:t>
            </w:r>
          </w:p>
        </w:tc>
        <w:tc>
          <w:tcPr>
            <w:tcW w:w="543" w:type="pct"/>
            <w:vAlign w:val="center"/>
          </w:tcPr>
          <w:p w14:paraId="08AFCC43" w14:textId="3998F251" w:rsidR="00170BFC" w:rsidRPr="00E952E8" w:rsidRDefault="003C22C5" w:rsidP="00D626D3">
            <w:pPr>
              <w:pStyle w:val="TableText0"/>
              <w:keepLines/>
              <w:rPr>
                <w:rFonts w:cs="Arial"/>
                <w:color w:val="000000"/>
                <w:sz w:val="18"/>
                <w:szCs w:val="18"/>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1"/>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1"/>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2</w:t>
            </w:r>
          </w:p>
        </w:tc>
        <w:tc>
          <w:tcPr>
            <w:tcW w:w="566" w:type="pct"/>
            <w:vAlign w:val="center"/>
          </w:tcPr>
          <w:p w14:paraId="5B3BD3F8" w14:textId="0B24B957"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0"/>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0"/>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3</w:t>
            </w:r>
          </w:p>
        </w:tc>
      </w:tr>
      <w:tr w:rsidR="00170BFC" w:rsidRPr="003639A6" w14:paraId="3DF0BA03" w14:textId="77777777" w:rsidTr="00CF11D7">
        <w:tc>
          <w:tcPr>
            <w:tcW w:w="1180" w:type="pct"/>
            <w:shd w:val="clear" w:color="auto" w:fill="auto"/>
            <w:vAlign w:val="center"/>
          </w:tcPr>
          <w:p w14:paraId="261C9B80" w14:textId="77777777" w:rsidR="00170BFC" w:rsidRPr="000511F3" w:rsidRDefault="00170BFC" w:rsidP="00D626D3">
            <w:pPr>
              <w:pStyle w:val="TableText0"/>
              <w:keepLines/>
            </w:pPr>
            <w:r>
              <w:rPr>
                <w:rFonts w:cs="Times New Roman"/>
                <w:sz w:val="19"/>
                <w:szCs w:val="19"/>
                <w:lang w:eastAsia="en-GB"/>
              </w:rPr>
              <w:t>NHA-naïve patients</w:t>
            </w:r>
            <w:r w:rsidRPr="00864046">
              <w:rPr>
                <w:rFonts w:cs="Times New Roman"/>
                <w:sz w:val="19"/>
                <w:szCs w:val="19"/>
                <w:lang w:eastAsia="en-GB"/>
              </w:rPr>
              <w:t xml:space="preserve"> </w:t>
            </w:r>
          </w:p>
        </w:tc>
        <w:tc>
          <w:tcPr>
            <w:tcW w:w="542" w:type="pct"/>
            <w:shd w:val="clear" w:color="auto" w:fill="auto"/>
            <w:vAlign w:val="center"/>
          </w:tcPr>
          <w:p w14:paraId="328654DE" w14:textId="6C98E713"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6"/>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6"/>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66729A8B" w14:textId="5E15562D"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5"/>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5"/>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559FB4CA" w14:textId="7750DDAF"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4"/>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4"/>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6AE7919B" w14:textId="09B570B1"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3"/>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3"/>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50C9DA8C" w14:textId="282775F1"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2"/>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2"/>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3" w:type="pct"/>
            <w:vAlign w:val="center"/>
          </w:tcPr>
          <w:p w14:paraId="6AD214C8" w14:textId="243FFA8C"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1"/>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1"/>
                <w:lang w:eastAsia="en-GB"/>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66" w:type="pct"/>
            <w:vAlign w:val="center"/>
          </w:tcPr>
          <w:p w14:paraId="18743A64" w14:textId="694457A2"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0"/>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0"/>
                <w:lang w:eastAsia="en-GB"/>
                <w14:textFill>
                  <w14:solidFill>
                    <w14:srgbClr w14:val="000000">
                      <w14:alpha w14:val="100000"/>
                    </w14:srgbClr>
                  </w14:solidFill>
                </w14:textFill>
              </w:rPr>
              <w:t>|</w:t>
            </w:r>
            <w:r w:rsidRPr="003C22C5">
              <w:rPr>
                <w:rFonts w:cs="Times New Roman"/>
                <w:sz w:val="19"/>
                <w:szCs w:val="19"/>
                <w:lang w:eastAsia="en-GB"/>
              </w:rPr>
              <w:t xml:space="preserve"> </w:t>
            </w:r>
            <w:r w:rsidR="0098299D" w:rsidRPr="0098299D">
              <w:rPr>
                <w:rFonts w:cs="Arial"/>
                <w:color w:val="000000"/>
                <w:sz w:val="18"/>
                <w:szCs w:val="18"/>
                <w:vertAlign w:val="superscript"/>
              </w:rPr>
              <w:t>4</w:t>
            </w:r>
          </w:p>
        </w:tc>
      </w:tr>
      <w:tr w:rsidR="00170BFC" w:rsidRPr="003639A6" w14:paraId="5ACE34D1" w14:textId="77777777" w:rsidTr="00CF11D7">
        <w:tc>
          <w:tcPr>
            <w:tcW w:w="1180" w:type="pct"/>
            <w:shd w:val="clear" w:color="auto" w:fill="auto"/>
            <w:vAlign w:val="center"/>
          </w:tcPr>
          <w:p w14:paraId="571CDAF5" w14:textId="68080199" w:rsidR="00170BFC" w:rsidRPr="000511F3" w:rsidRDefault="006C3ED1" w:rsidP="00D626D3">
            <w:pPr>
              <w:pStyle w:val="TableText0"/>
              <w:keepLines/>
            </w:pPr>
            <w:r w:rsidRPr="006C3ED1">
              <w:rPr>
                <w:rFonts w:cs="Times New Roman"/>
                <w:i/>
                <w:iCs/>
                <w:sz w:val="19"/>
                <w:szCs w:val="19"/>
                <w:lang w:eastAsia="en-GB"/>
              </w:rPr>
              <w:t>BRCA1/2</w:t>
            </w:r>
            <w:r w:rsidR="00170BFC">
              <w:rPr>
                <w:rFonts w:cs="Times New Roman"/>
                <w:sz w:val="19"/>
                <w:szCs w:val="19"/>
                <w:lang w:eastAsia="en-GB"/>
              </w:rPr>
              <w:t>-positive patients</w:t>
            </w:r>
          </w:p>
        </w:tc>
        <w:tc>
          <w:tcPr>
            <w:tcW w:w="542" w:type="pct"/>
            <w:shd w:val="clear" w:color="auto" w:fill="auto"/>
            <w:vAlign w:val="center"/>
          </w:tcPr>
          <w:p w14:paraId="0908C8FE" w14:textId="42C48FD7"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9"/>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9"/>
                <w:lang w:eastAsia="en-GB"/>
                <w14:textFill>
                  <w14:solidFill>
                    <w14:srgbClr w14:val="000000">
                      <w14:alpha w14:val="100000"/>
                    </w14:srgbClr>
                  </w14:solidFill>
                </w14:textFill>
              </w:rPr>
              <w:t>|</w:t>
            </w:r>
            <w:r w:rsidRPr="003C22C5">
              <w:rPr>
                <w:rFonts w:cs="Times New Roman"/>
                <w:iCs/>
                <w:sz w:val="19"/>
                <w:szCs w:val="19"/>
                <w:lang w:eastAsia="en-GB"/>
              </w:rPr>
              <w:t xml:space="preserve"> </w:t>
            </w:r>
            <w:r w:rsidR="00EE48AF" w:rsidRPr="00EE48AF">
              <w:rPr>
                <w:rFonts w:cs="Times New Roman"/>
                <w:iCs/>
                <w:sz w:val="19"/>
                <w:szCs w:val="19"/>
                <w:vertAlign w:val="superscript"/>
                <w:lang w:eastAsia="en-GB"/>
              </w:rPr>
              <w:t>5</w:t>
            </w:r>
          </w:p>
        </w:tc>
        <w:tc>
          <w:tcPr>
            <w:tcW w:w="542" w:type="pct"/>
            <w:shd w:val="clear" w:color="auto" w:fill="auto"/>
            <w:vAlign w:val="center"/>
          </w:tcPr>
          <w:p w14:paraId="31135F89" w14:textId="47D97EB8"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8"/>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8"/>
                <w:lang w:eastAsia="en-GB"/>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4F44EB80" w14:textId="3F1F9A02"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7"/>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7"/>
                <w:lang w:eastAsia="en-GB"/>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220B7A73" w14:textId="1B557AFD"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6"/>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6"/>
                <w:lang w:eastAsia="en-GB"/>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2D65454D" w14:textId="2EF5B823"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5"/>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5"/>
                <w:lang w:eastAsia="en-GB"/>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3" w:type="pct"/>
            <w:vAlign w:val="center"/>
          </w:tcPr>
          <w:p w14:paraId="2120654E" w14:textId="1DC70BBC" w:rsidR="00170BFC" w:rsidRPr="00E952E8" w:rsidRDefault="003C22C5" w:rsidP="00D626D3">
            <w:pPr>
              <w:pStyle w:val="TableText0"/>
              <w:keepLines/>
              <w:rPr>
                <w:rFonts w:cs="Arial"/>
                <w:color w:val="000000"/>
                <w:sz w:val="18"/>
                <w:szCs w:val="18"/>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4"/>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4"/>
                <w:lang w:eastAsia="en-GB"/>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66" w:type="pct"/>
            <w:vAlign w:val="center"/>
          </w:tcPr>
          <w:p w14:paraId="72DB1C01" w14:textId="14536751"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3"/>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3"/>
                <w:lang w:eastAsia="en-GB"/>
                <w14:textFill>
                  <w14:solidFill>
                    <w14:srgbClr w14:val="000000">
                      <w14:alpha w14:val="100000"/>
                    </w14:srgbClr>
                  </w14:solidFill>
                </w14:textFill>
              </w:rPr>
              <w:t>|</w:t>
            </w:r>
            <w:r w:rsidRPr="003C22C5">
              <w:rPr>
                <w:rFonts w:cs="Times New Roman"/>
                <w:sz w:val="19"/>
                <w:szCs w:val="19"/>
                <w:lang w:eastAsia="en-GB"/>
              </w:rPr>
              <w:t xml:space="preserve"> </w:t>
            </w:r>
            <w:r w:rsidR="0098299D">
              <w:rPr>
                <w:rFonts w:cs="Times New Roman"/>
                <w:sz w:val="19"/>
                <w:szCs w:val="19"/>
                <w:vertAlign w:val="superscript"/>
                <w:lang w:eastAsia="en-GB"/>
              </w:rPr>
              <w:t>2</w:t>
            </w:r>
          </w:p>
        </w:tc>
      </w:tr>
      <w:tr w:rsidR="00170BFC" w:rsidRPr="003639A6" w14:paraId="5CBB7055" w14:textId="77777777" w:rsidTr="00CF11D7">
        <w:tc>
          <w:tcPr>
            <w:tcW w:w="1180" w:type="pct"/>
            <w:shd w:val="clear" w:color="auto" w:fill="auto"/>
            <w:vAlign w:val="center"/>
          </w:tcPr>
          <w:p w14:paraId="33CD29D7" w14:textId="77777777" w:rsidR="00170BFC" w:rsidRPr="000511F3" w:rsidRDefault="00170BFC" w:rsidP="00D626D3">
            <w:pPr>
              <w:pStyle w:val="TableText0"/>
              <w:keepLines/>
              <w:rPr>
                <w:rFonts w:ascii="Times" w:hAnsi="Times"/>
              </w:rPr>
            </w:pPr>
            <w:r w:rsidRPr="000511F3">
              <w:t>Number of patients treated</w:t>
            </w:r>
          </w:p>
        </w:tc>
        <w:tc>
          <w:tcPr>
            <w:tcW w:w="542" w:type="pct"/>
            <w:shd w:val="clear" w:color="auto" w:fill="auto"/>
            <w:vAlign w:val="center"/>
          </w:tcPr>
          <w:p w14:paraId="60CAF6DE" w14:textId="20B3041A"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223"/>
                <w:sz w:val="18"/>
                <w:szCs w:val="18"/>
                <w:shd w:val="solid" w:color="000000" w:fill="000000"/>
                <w:fitText w:val="300" w:id="-1031540722"/>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0" w:id="-1031540722"/>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656D93B7" w14:textId="7BC70605"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21"/>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21"/>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37C8B0FE" w14:textId="29A44D31"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20"/>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20"/>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293ACE20" w14:textId="614F7F71"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36"/>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36"/>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2" w:type="pct"/>
            <w:shd w:val="clear" w:color="auto" w:fill="auto"/>
            <w:vAlign w:val="center"/>
          </w:tcPr>
          <w:p w14:paraId="500270E6" w14:textId="4A54C8C4"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35"/>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35"/>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43" w:type="pct"/>
            <w:vAlign w:val="center"/>
          </w:tcPr>
          <w:p w14:paraId="08B20824" w14:textId="28466BD9"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34"/>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34"/>
                <w14:textFill>
                  <w14:solidFill>
                    <w14:srgbClr w14:val="000000">
                      <w14:alpha w14:val="100000"/>
                    </w14:srgbClr>
                  </w14:solidFill>
                </w14:textFill>
              </w:rPr>
              <w:t>|</w:t>
            </w:r>
            <w:r w:rsidR="00EE48AF" w:rsidRPr="00EE48AF">
              <w:rPr>
                <w:rFonts w:cs="Times New Roman"/>
                <w:iCs/>
                <w:sz w:val="19"/>
                <w:szCs w:val="19"/>
                <w:vertAlign w:val="superscript"/>
                <w:lang w:eastAsia="en-GB"/>
              </w:rPr>
              <w:t>5</w:t>
            </w:r>
          </w:p>
        </w:tc>
        <w:tc>
          <w:tcPr>
            <w:tcW w:w="566" w:type="pct"/>
            <w:vAlign w:val="center"/>
          </w:tcPr>
          <w:p w14:paraId="30EF05BA" w14:textId="1F4968E6"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3"/>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3"/>
                <w:lang w:eastAsia="en-GB"/>
                <w14:textFill>
                  <w14:solidFill>
                    <w14:srgbClr w14:val="000000">
                      <w14:alpha w14:val="100000"/>
                    </w14:srgbClr>
                  </w14:solidFill>
                </w14:textFill>
              </w:rPr>
              <w:t>|</w:t>
            </w:r>
            <w:r w:rsidRPr="003C22C5">
              <w:rPr>
                <w:rFonts w:cs="Times New Roman"/>
                <w:sz w:val="19"/>
                <w:szCs w:val="19"/>
                <w:lang w:eastAsia="en-GB"/>
              </w:rPr>
              <w:t xml:space="preserve"> </w:t>
            </w:r>
            <w:r w:rsidR="0098299D">
              <w:rPr>
                <w:rFonts w:cs="Times New Roman"/>
                <w:sz w:val="19"/>
                <w:szCs w:val="19"/>
                <w:vertAlign w:val="superscript"/>
                <w:lang w:eastAsia="en-GB"/>
              </w:rPr>
              <w:t>2</w:t>
            </w:r>
          </w:p>
        </w:tc>
      </w:tr>
      <w:tr w:rsidR="00170BFC" w:rsidRPr="003639A6" w14:paraId="33584C81" w14:textId="77777777" w:rsidTr="00CF11D7">
        <w:tc>
          <w:tcPr>
            <w:tcW w:w="1180" w:type="pct"/>
            <w:shd w:val="clear" w:color="auto" w:fill="auto"/>
            <w:vAlign w:val="center"/>
          </w:tcPr>
          <w:p w14:paraId="1DD15CD3" w14:textId="77777777" w:rsidR="00170BFC" w:rsidRPr="000511F3" w:rsidRDefault="00170BFC" w:rsidP="00D626D3">
            <w:pPr>
              <w:pStyle w:val="TableText0"/>
              <w:keepLines/>
              <w:rPr>
                <w:rFonts w:ascii="Times" w:hAnsi="Times"/>
              </w:rPr>
            </w:pPr>
            <w:r w:rsidRPr="000511F3">
              <w:t>Number of scripts dispensed</w:t>
            </w:r>
            <w:r>
              <w:t xml:space="preserve"> </w:t>
            </w:r>
            <w:r w:rsidRPr="000511F3">
              <w:rPr>
                <w:vertAlign w:val="superscript"/>
              </w:rPr>
              <w:t>a</w:t>
            </w:r>
          </w:p>
        </w:tc>
        <w:tc>
          <w:tcPr>
            <w:tcW w:w="542" w:type="pct"/>
            <w:shd w:val="clear" w:color="auto" w:fill="auto"/>
            <w:vAlign w:val="center"/>
          </w:tcPr>
          <w:p w14:paraId="03E2CC5E" w14:textId="7FE9EF6C"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223"/>
                <w:sz w:val="18"/>
                <w:szCs w:val="18"/>
                <w:shd w:val="solid" w:color="000000" w:fill="000000"/>
                <w:fitText w:val="300" w:id="-1031540732"/>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0" w:id="-1031540732"/>
                <w14:textFill>
                  <w14:solidFill>
                    <w14:srgbClr w14:val="000000">
                      <w14:alpha w14:val="100000"/>
                    </w14:srgbClr>
                  </w14:solidFill>
                </w14:textFill>
              </w:rPr>
              <w:t>|</w:t>
            </w:r>
            <w:r w:rsidR="00EE48AF" w:rsidRPr="00EE48AF">
              <w:rPr>
                <w:rFonts w:cs="Times New Roman"/>
                <w:sz w:val="19"/>
                <w:szCs w:val="19"/>
                <w:vertAlign w:val="superscript"/>
                <w:lang w:eastAsia="en-GB"/>
              </w:rPr>
              <w:t>1</w:t>
            </w:r>
          </w:p>
        </w:tc>
        <w:tc>
          <w:tcPr>
            <w:tcW w:w="542" w:type="pct"/>
            <w:shd w:val="clear" w:color="auto" w:fill="auto"/>
            <w:vAlign w:val="center"/>
          </w:tcPr>
          <w:p w14:paraId="2EC6F117" w14:textId="779959AF"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31"/>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31"/>
                <w14:textFill>
                  <w14:solidFill>
                    <w14:srgbClr w14:val="000000">
                      <w14:alpha w14:val="100000"/>
                    </w14:srgbClr>
                  </w14:solidFill>
                </w14:textFill>
              </w:rPr>
              <w:t>|</w:t>
            </w:r>
            <w:r w:rsidR="00EE48AF" w:rsidRPr="00EE48AF">
              <w:rPr>
                <w:rFonts w:cs="Times New Roman"/>
                <w:sz w:val="19"/>
                <w:szCs w:val="19"/>
                <w:vertAlign w:val="superscript"/>
                <w:lang w:eastAsia="en-GB"/>
              </w:rPr>
              <w:t>2</w:t>
            </w:r>
          </w:p>
        </w:tc>
        <w:tc>
          <w:tcPr>
            <w:tcW w:w="542" w:type="pct"/>
            <w:shd w:val="clear" w:color="auto" w:fill="auto"/>
            <w:vAlign w:val="center"/>
          </w:tcPr>
          <w:p w14:paraId="211BC903" w14:textId="05523618"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30"/>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30"/>
                <w14:textFill>
                  <w14:solidFill>
                    <w14:srgbClr w14:val="000000">
                      <w14:alpha w14:val="100000"/>
                    </w14:srgbClr>
                  </w14:solidFill>
                </w14:textFill>
              </w:rPr>
              <w:t>|</w:t>
            </w:r>
            <w:r w:rsidR="00EE48AF" w:rsidRPr="00EE48AF">
              <w:rPr>
                <w:rFonts w:cs="Times New Roman"/>
                <w:sz w:val="19"/>
                <w:szCs w:val="19"/>
                <w:vertAlign w:val="superscript"/>
                <w:lang w:eastAsia="en-GB"/>
              </w:rPr>
              <w:t>2</w:t>
            </w:r>
          </w:p>
        </w:tc>
        <w:tc>
          <w:tcPr>
            <w:tcW w:w="542" w:type="pct"/>
            <w:shd w:val="clear" w:color="auto" w:fill="auto"/>
            <w:vAlign w:val="center"/>
          </w:tcPr>
          <w:p w14:paraId="41FB40C5" w14:textId="249C3309"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29"/>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29"/>
                <w14:textFill>
                  <w14:solidFill>
                    <w14:srgbClr w14:val="000000">
                      <w14:alpha w14:val="100000"/>
                    </w14:srgbClr>
                  </w14:solidFill>
                </w14:textFill>
              </w:rPr>
              <w:t>|</w:t>
            </w:r>
            <w:r w:rsidR="00EE48AF" w:rsidRPr="00EE48AF">
              <w:rPr>
                <w:rFonts w:cs="Times New Roman"/>
                <w:sz w:val="19"/>
                <w:szCs w:val="19"/>
                <w:vertAlign w:val="superscript"/>
                <w:lang w:eastAsia="en-GB"/>
              </w:rPr>
              <w:t>2</w:t>
            </w:r>
          </w:p>
        </w:tc>
        <w:tc>
          <w:tcPr>
            <w:tcW w:w="542" w:type="pct"/>
            <w:shd w:val="clear" w:color="auto" w:fill="auto"/>
            <w:vAlign w:val="center"/>
          </w:tcPr>
          <w:p w14:paraId="5EF0A6BF" w14:textId="50A422C6"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28"/>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28"/>
                <w14:textFill>
                  <w14:solidFill>
                    <w14:srgbClr w14:val="000000">
                      <w14:alpha w14:val="100000"/>
                    </w14:srgbClr>
                  </w14:solidFill>
                </w14:textFill>
              </w:rPr>
              <w:t>|</w:t>
            </w:r>
            <w:r w:rsidR="00EE48AF" w:rsidRPr="00EE48AF">
              <w:rPr>
                <w:rFonts w:cs="Times New Roman"/>
                <w:sz w:val="19"/>
                <w:szCs w:val="19"/>
                <w:vertAlign w:val="superscript"/>
                <w:lang w:eastAsia="en-GB"/>
              </w:rPr>
              <w:t>2</w:t>
            </w:r>
          </w:p>
        </w:tc>
        <w:tc>
          <w:tcPr>
            <w:tcW w:w="543" w:type="pct"/>
            <w:vAlign w:val="center"/>
          </w:tcPr>
          <w:p w14:paraId="5139DDC7" w14:textId="6C869054" w:rsidR="00170BFC" w:rsidRPr="00E952E8" w:rsidRDefault="003C22C5" w:rsidP="00D626D3">
            <w:pPr>
              <w:pStyle w:val="TableText0"/>
              <w:keepLines/>
              <w:rPr>
                <w:color w:val="000000"/>
                <w:highlight w:val="darkGray"/>
              </w:rPr>
            </w:pPr>
            <w:r w:rsidRPr="003C22C5">
              <w:rPr>
                <w:rFonts w:cs="Arial"/>
                <w:color w:val="000000"/>
                <w:sz w:val="18"/>
                <w:szCs w:val="18"/>
              </w:rPr>
              <w:t xml:space="preserve"> </w:t>
            </w:r>
            <w:r w:rsidR="00B7116A" w:rsidRPr="00B7116A">
              <w:rPr>
                <w:rFonts w:cs="Arial"/>
                <w:color w:val="000000"/>
                <w:spacing w:val="49"/>
                <w:sz w:val="18"/>
                <w:szCs w:val="18"/>
                <w:shd w:val="solid" w:color="000000" w:fill="000000"/>
                <w:fitText w:val="301" w:id="-1031540727"/>
                <w14:textFill>
                  <w14:solidFill>
                    <w14:srgbClr w14:val="000000">
                      <w14:alpha w14:val="100000"/>
                    </w14:srgbClr>
                  </w14:solidFill>
                </w14:textFill>
              </w:rPr>
              <w:t>|||</w:t>
            </w:r>
            <w:r w:rsidR="00B7116A" w:rsidRPr="00B7116A">
              <w:rPr>
                <w:rFonts w:cs="Arial"/>
                <w:color w:val="000000"/>
                <w:spacing w:val="1"/>
                <w:sz w:val="18"/>
                <w:szCs w:val="18"/>
                <w:shd w:val="solid" w:color="000000" w:fill="000000"/>
                <w:fitText w:val="301" w:id="-1031540727"/>
                <w14:textFill>
                  <w14:solidFill>
                    <w14:srgbClr w14:val="000000">
                      <w14:alpha w14:val="100000"/>
                    </w14:srgbClr>
                  </w14:solidFill>
                </w14:textFill>
              </w:rPr>
              <w:t>|</w:t>
            </w:r>
            <w:r w:rsidRPr="003C22C5">
              <w:rPr>
                <w:rFonts w:cs="Arial"/>
                <w:color w:val="000000"/>
                <w:sz w:val="18"/>
                <w:szCs w:val="18"/>
              </w:rPr>
              <w:t xml:space="preserve"> </w:t>
            </w:r>
            <w:r w:rsidR="0098299D" w:rsidRPr="0098299D">
              <w:rPr>
                <w:rFonts w:cs="Arial"/>
                <w:color w:val="000000"/>
                <w:sz w:val="18"/>
                <w:szCs w:val="18"/>
                <w:vertAlign w:val="superscript"/>
              </w:rPr>
              <w:t>4</w:t>
            </w:r>
          </w:p>
        </w:tc>
        <w:tc>
          <w:tcPr>
            <w:tcW w:w="566" w:type="pct"/>
            <w:vAlign w:val="center"/>
          </w:tcPr>
          <w:p w14:paraId="33FE06D1" w14:textId="163ED7A5"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6"/>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6"/>
                <w:lang w:eastAsia="en-GB"/>
                <w14:textFill>
                  <w14:solidFill>
                    <w14:srgbClr w14:val="000000">
                      <w14:alpha w14:val="100000"/>
                    </w14:srgbClr>
                  </w14:solidFill>
                </w14:textFill>
              </w:rPr>
              <w:t>|</w:t>
            </w:r>
            <w:r w:rsidR="00FD0B1C" w:rsidRPr="00FD0B1C">
              <w:rPr>
                <w:rFonts w:cs="Times New Roman"/>
                <w:sz w:val="19"/>
                <w:szCs w:val="19"/>
                <w:vertAlign w:val="superscript"/>
                <w:lang w:eastAsia="en-GB"/>
              </w:rPr>
              <w:t>6</w:t>
            </w:r>
          </w:p>
        </w:tc>
      </w:tr>
      <w:tr w:rsidR="00170BFC" w:rsidRPr="00D1078F" w14:paraId="6F05851D" w14:textId="77777777" w:rsidTr="004C21F9">
        <w:tc>
          <w:tcPr>
            <w:tcW w:w="5000" w:type="pct"/>
            <w:gridSpan w:val="8"/>
            <w:shd w:val="clear" w:color="auto" w:fill="auto"/>
            <w:vAlign w:val="center"/>
          </w:tcPr>
          <w:p w14:paraId="5D7BBCC4" w14:textId="77777777" w:rsidR="00170BFC" w:rsidRPr="000511F3" w:rsidRDefault="00170BFC" w:rsidP="00D626D3">
            <w:pPr>
              <w:pStyle w:val="TableText0"/>
              <w:keepLines/>
              <w:rPr>
                <w:b/>
                <w:bCs w:val="0"/>
              </w:rPr>
            </w:pPr>
            <w:r w:rsidRPr="000511F3">
              <w:rPr>
                <w:b/>
                <w:bCs w:val="0"/>
              </w:rPr>
              <w:t>Estimated financial implications of olaparib plus abiraterone</w:t>
            </w:r>
          </w:p>
        </w:tc>
      </w:tr>
      <w:tr w:rsidR="00170BFC" w:rsidRPr="00F21E97" w14:paraId="0EA51E55" w14:textId="77777777" w:rsidTr="00CF11D7">
        <w:tc>
          <w:tcPr>
            <w:tcW w:w="1180" w:type="pct"/>
            <w:shd w:val="clear" w:color="auto" w:fill="auto"/>
            <w:vAlign w:val="center"/>
          </w:tcPr>
          <w:p w14:paraId="41D0A88A" w14:textId="77777777" w:rsidR="00170BFC" w:rsidRPr="00F21E97" w:rsidRDefault="00170BFC" w:rsidP="00D626D3">
            <w:pPr>
              <w:pStyle w:val="TableText0"/>
              <w:keepLines/>
              <w:rPr>
                <w:sz w:val="19"/>
                <w:szCs w:val="19"/>
              </w:rPr>
            </w:pPr>
            <w:r w:rsidRPr="00F21E97">
              <w:rPr>
                <w:sz w:val="19"/>
                <w:szCs w:val="19"/>
              </w:rPr>
              <w:t xml:space="preserve">Net cost to PBS/RPBS </w:t>
            </w:r>
          </w:p>
        </w:tc>
        <w:tc>
          <w:tcPr>
            <w:tcW w:w="542" w:type="pct"/>
            <w:shd w:val="clear" w:color="auto" w:fill="auto"/>
            <w:vAlign w:val="center"/>
          </w:tcPr>
          <w:p w14:paraId="7CDE8B79" w14:textId="546CB0B8" w:rsidR="00170BFC" w:rsidRPr="00E952E8" w:rsidRDefault="003C22C5" w:rsidP="00D626D3">
            <w:pPr>
              <w:pStyle w:val="TableText0"/>
              <w:keepLines/>
              <w:rPr>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5"/>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5"/>
                <w:lang w:eastAsia="en-GB"/>
                <w14:textFill>
                  <w14:solidFill>
                    <w14:srgbClr w14:val="000000">
                      <w14:alpha w14:val="100000"/>
                    </w14:srgbClr>
                  </w14:solidFill>
                </w14:textFill>
              </w:rPr>
              <w:t>|</w:t>
            </w:r>
            <w:r w:rsidR="00FD0B1C">
              <w:rPr>
                <w:rFonts w:cs="Times New Roman"/>
                <w:sz w:val="19"/>
                <w:szCs w:val="19"/>
                <w:vertAlign w:val="superscript"/>
                <w:lang w:eastAsia="en-GB"/>
              </w:rPr>
              <w:t>7</w:t>
            </w:r>
          </w:p>
        </w:tc>
        <w:tc>
          <w:tcPr>
            <w:tcW w:w="542" w:type="pct"/>
            <w:shd w:val="clear" w:color="auto" w:fill="auto"/>
            <w:vAlign w:val="center"/>
          </w:tcPr>
          <w:p w14:paraId="00999CE5" w14:textId="344DE3D9" w:rsidR="00170BFC" w:rsidRPr="00E952E8" w:rsidRDefault="003C22C5" w:rsidP="00D626D3">
            <w:pPr>
              <w:pStyle w:val="TableText0"/>
              <w:keepLines/>
              <w:rPr>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4"/>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4"/>
                <w:lang w:eastAsia="en-GB"/>
                <w14:textFill>
                  <w14:solidFill>
                    <w14:srgbClr w14:val="000000">
                      <w14:alpha w14:val="100000"/>
                    </w14:srgbClr>
                  </w14:solidFill>
                </w14:textFill>
              </w:rPr>
              <w:t>|</w:t>
            </w:r>
            <w:r w:rsidR="00FD0B1C" w:rsidRPr="00FD0B1C">
              <w:rPr>
                <w:rFonts w:cs="Times New Roman"/>
                <w:sz w:val="19"/>
                <w:szCs w:val="19"/>
                <w:vertAlign w:val="superscript"/>
                <w:lang w:eastAsia="en-GB"/>
              </w:rPr>
              <w:t>8</w:t>
            </w:r>
          </w:p>
        </w:tc>
        <w:tc>
          <w:tcPr>
            <w:tcW w:w="542" w:type="pct"/>
            <w:shd w:val="clear" w:color="auto" w:fill="auto"/>
            <w:vAlign w:val="center"/>
          </w:tcPr>
          <w:p w14:paraId="20249B17" w14:textId="2971E6BD" w:rsidR="00170BFC" w:rsidRPr="00E952E8" w:rsidRDefault="003C22C5" w:rsidP="00D626D3">
            <w:pPr>
              <w:pStyle w:val="TableText0"/>
              <w:keepLines/>
              <w:rPr>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3"/>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3"/>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2" w:type="pct"/>
            <w:shd w:val="clear" w:color="auto" w:fill="auto"/>
            <w:vAlign w:val="center"/>
          </w:tcPr>
          <w:p w14:paraId="375E870A" w14:textId="08EBA423" w:rsidR="00170BFC" w:rsidRPr="00E952E8" w:rsidRDefault="003C22C5" w:rsidP="00D626D3">
            <w:pPr>
              <w:pStyle w:val="TableText0"/>
              <w:keepLines/>
              <w:rPr>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2"/>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2"/>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2" w:type="pct"/>
            <w:shd w:val="clear" w:color="auto" w:fill="auto"/>
            <w:vAlign w:val="center"/>
          </w:tcPr>
          <w:p w14:paraId="406F6D20" w14:textId="3134FEA9" w:rsidR="00170BFC" w:rsidRPr="00E952E8" w:rsidRDefault="003C22C5" w:rsidP="00D626D3">
            <w:pPr>
              <w:pStyle w:val="TableText0"/>
              <w:keepLines/>
              <w:rPr>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1"/>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1"/>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3" w:type="pct"/>
            <w:vAlign w:val="center"/>
          </w:tcPr>
          <w:p w14:paraId="0DBA48BC" w14:textId="74761492" w:rsidR="00170BFC" w:rsidRPr="00E952E8" w:rsidRDefault="003C22C5" w:rsidP="00D626D3">
            <w:pPr>
              <w:pStyle w:val="TableText0"/>
              <w:keepLines/>
              <w:rPr>
                <w:highlight w:val="darkGray"/>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0"/>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0"/>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66" w:type="pct"/>
          </w:tcPr>
          <w:p w14:paraId="3E84FB2F" w14:textId="1179B3D2"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6"/>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6"/>
                <w:lang w:eastAsia="en-GB"/>
                <w14:textFill>
                  <w14:solidFill>
                    <w14:srgbClr w14:val="000000">
                      <w14:alpha w14:val="100000"/>
                    </w14:srgbClr>
                  </w14:solidFill>
                </w14:textFill>
              </w:rPr>
              <w:t>|</w:t>
            </w:r>
            <w:r w:rsidR="008A5A3A" w:rsidRPr="008A5A3A">
              <w:rPr>
                <w:rFonts w:cs="Times New Roman"/>
                <w:sz w:val="19"/>
                <w:szCs w:val="19"/>
                <w:vertAlign w:val="superscript"/>
                <w:lang w:eastAsia="en-GB"/>
              </w:rPr>
              <w:t>1</w:t>
            </w:r>
            <w:r w:rsidR="001F68D5">
              <w:rPr>
                <w:rFonts w:cs="Times New Roman"/>
                <w:sz w:val="19"/>
                <w:szCs w:val="19"/>
                <w:vertAlign w:val="superscript"/>
                <w:lang w:eastAsia="en-GB"/>
              </w:rPr>
              <w:t>0</w:t>
            </w:r>
          </w:p>
        </w:tc>
      </w:tr>
      <w:tr w:rsidR="00170BFC" w:rsidRPr="003639A6" w14:paraId="4342FB5B" w14:textId="77777777" w:rsidTr="004C21F9">
        <w:tc>
          <w:tcPr>
            <w:tcW w:w="4434" w:type="pct"/>
            <w:gridSpan w:val="7"/>
            <w:shd w:val="clear" w:color="auto" w:fill="auto"/>
            <w:vAlign w:val="center"/>
          </w:tcPr>
          <w:p w14:paraId="6F8957B3" w14:textId="77777777" w:rsidR="00170BFC" w:rsidRPr="000511F3" w:rsidRDefault="00170BFC" w:rsidP="00D626D3">
            <w:pPr>
              <w:pStyle w:val="TableText0"/>
              <w:keepLines/>
              <w:rPr>
                <w:b/>
                <w:bCs w:val="0"/>
              </w:rPr>
            </w:pPr>
            <w:r w:rsidRPr="000511F3">
              <w:rPr>
                <w:b/>
                <w:bCs w:val="0"/>
              </w:rPr>
              <w:t>Estimation changes in financial impact of currently listed treatments</w:t>
            </w:r>
            <w:r>
              <w:rPr>
                <w:b/>
                <w:bCs w:val="0"/>
              </w:rPr>
              <w:t xml:space="preserve"> </w:t>
            </w:r>
            <w:r w:rsidRPr="00331CAC">
              <w:rPr>
                <w:vertAlign w:val="superscript"/>
              </w:rPr>
              <w:t>b</w:t>
            </w:r>
            <w:r w:rsidRPr="000511F3">
              <w:rPr>
                <w:b/>
                <w:bCs w:val="0"/>
              </w:rPr>
              <w:t xml:space="preserve"> </w:t>
            </w:r>
          </w:p>
        </w:tc>
        <w:tc>
          <w:tcPr>
            <w:tcW w:w="566" w:type="pct"/>
          </w:tcPr>
          <w:p w14:paraId="02F67068" w14:textId="77777777" w:rsidR="00170BFC" w:rsidRPr="000511F3" w:rsidRDefault="00170BFC" w:rsidP="00D626D3">
            <w:pPr>
              <w:pStyle w:val="TableText0"/>
              <w:keepLines/>
              <w:rPr>
                <w:b/>
                <w:bCs w:val="0"/>
              </w:rPr>
            </w:pPr>
          </w:p>
        </w:tc>
      </w:tr>
      <w:tr w:rsidR="00170BFC" w:rsidRPr="009F43DA" w14:paraId="164A46D0" w14:textId="77777777" w:rsidTr="00CF11D7">
        <w:tc>
          <w:tcPr>
            <w:tcW w:w="1180" w:type="pct"/>
            <w:shd w:val="clear" w:color="auto" w:fill="auto"/>
            <w:vAlign w:val="center"/>
          </w:tcPr>
          <w:p w14:paraId="7BB1A707" w14:textId="6E3F3208" w:rsidR="00170BFC" w:rsidRPr="009F43DA" w:rsidRDefault="00170BFC" w:rsidP="00D626D3">
            <w:pPr>
              <w:pStyle w:val="TableText0"/>
              <w:keepLines/>
              <w:rPr>
                <w:sz w:val="19"/>
                <w:szCs w:val="19"/>
              </w:rPr>
            </w:pPr>
            <w:r w:rsidRPr="009F43DA">
              <w:rPr>
                <w:rFonts w:cs="Times New Roman"/>
                <w:sz w:val="19"/>
                <w:szCs w:val="19"/>
                <w:lang w:eastAsia="en-GB"/>
              </w:rPr>
              <w:t>Cost offsets for NHAs (ABI+ENZA)</w:t>
            </w:r>
          </w:p>
        </w:tc>
        <w:tc>
          <w:tcPr>
            <w:tcW w:w="542" w:type="pct"/>
            <w:shd w:val="clear" w:color="auto" w:fill="auto"/>
            <w:vAlign w:val="center"/>
          </w:tcPr>
          <w:p w14:paraId="6961A7A2" w14:textId="636546B1"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5"/>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5"/>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6268E7DD" w14:textId="1B7CA444"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4"/>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4"/>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6D93E658" w14:textId="28FA55BC"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3"/>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3"/>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5DF8AEBC" w14:textId="6B38F70B"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2"/>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2"/>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28544A60" w14:textId="26CCAE69"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1"/>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1"/>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3" w:type="pct"/>
            <w:vAlign w:val="center"/>
          </w:tcPr>
          <w:p w14:paraId="44B603D1" w14:textId="4F70D5D7"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30"/>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30"/>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66" w:type="pct"/>
            <w:vAlign w:val="center"/>
          </w:tcPr>
          <w:p w14:paraId="15BD3295" w14:textId="71D4C882"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9"/>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9"/>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r>
      <w:tr w:rsidR="00170BFC" w:rsidRPr="009F43DA" w14:paraId="1AB37FC6" w14:textId="77777777" w:rsidTr="00CF11D7">
        <w:tc>
          <w:tcPr>
            <w:tcW w:w="1180" w:type="pct"/>
            <w:shd w:val="clear" w:color="auto" w:fill="auto"/>
            <w:vAlign w:val="center"/>
          </w:tcPr>
          <w:p w14:paraId="3A8B5462" w14:textId="77777777" w:rsidR="00170BFC" w:rsidRPr="009F43DA" w:rsidRDefault="00170BFC" w:rsidP="00D626D3">
            <w:pPr>
              <w:pStyle w:val="TableText0"/>
              <w:keepLines/>
              <w:rPr>
                <w:sz w:val="19"/>
                <w:szCs w:val="19"/>
              </w:rPr>
            </w:pPr>
            <w:r w:rsidRPr="009F43DA">
              <w:rPr>
                <w:rFonts w:cs="Times New Roman"/>
                <w:sz w:val="19"/>
                <w:szCs w:val="19"/>
                <w:lang w:eastAsia="en-GB"/>
              </w:rPr>
              <w:t>Cost offsets for OLA (2L)</w:t>
            </w:r>
          </w:p>
        </w:tc>
        <w:tc>
          <w:tcPr>
            <w:tcW w:w="542" w:type="pct"/>
            <w:shd w:val="clear" w:color="auto" w:fill="auto"/>
            <w:vAlign w:val="center"/>
          </w:tcPr>
          <w:p w14:paraId="0E30FDA2" w14:textId="28494386"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8"/>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8"/>
                <w:lang w:eastAsia="en-GB"/>
                <w14:textFill>
                  <w14:solidFill>
                    <w14:srgbClr w14:val="000000">
                      <w14:alpha w14:val="100000"/>
                    </w14:srgbClr>
                  </w14:solidFill>
                </w14:textFill>
              </w:rPr>
              <w:t>|</w:t>
            </w:r>
            <w:r w:rsidR="00FD0B1C" w:rsidRPr="00FD0B1C">
              <w:rPr>
                <w:rFonts w:cs="Times New Roman"/>
                <w:sz w:val="19"/>
                <w:szCs w:val="19"/>
                <w:vertAlign w:val="superscript"/>
                <w:lang w:eastAsia="en-GB"/>
              </w:rPr>
              <w:t>7</w:t>
            </w:r>
          </w:p>
        </w:tc>
        <w:tc>
          <w:tcPr>
            <w:tcW w:w="542" w:type="pct"/>
            <w:shd w:val="clear" w:color="auto" w:fill="auto"/>
            <w:vAlign w:val="center"/>
          </w:tcPr>
          <w:p w14:paraId="087EF504" w14:textId="5A7C6F02"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7"/>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7"/>
                <w:lang w:eastAsia="en-GB"/>
                <w14:textFill>
                  <w14:solidFill>
                    <w14:srgbClr w14:val="000000">
                      <w14:alpha w14:val="100000"/>
                    </w14:srgbClr>
                  </w14:solidFill>
                </w14:textFill>
              </w:rPr>
              <w:t>|</w:t>
            </w:r>
            <w:r w:rsidR="001F6C14" w:rsidRPr="00581FC5">
              <w:rPr>
                <w:rFonts w:cs="Times New Roman"/>
                <w:sz w:val="19"/>
                <w:szCs w:val="19"/>
                <w:vertAlign w:val="superscript"/>
                <w:lang w:eastAsia="en-GB"/>
              </w:rPr>
              <w:t>11</w:t>
            </w:r>
          </w:p>
        </w:tc>
        <w:tc>
          <w:tcPr>
            <w:tcW w:w="542" w:type="pct"/>
            <w:shd w:val="clear" w:color="auto" w:fill="auto"/>
            <w:vAlign w:val="center"/>
          </w:tcPr>
          <w:p w14:paraId="098A40AC" w14:textId="04EE7D56"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6"/>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6"/>
                <w:lang w:eastAsia="en-GB"/>
                <w14:textFill>
                  <w14:solidFill>
                    <w14:srgbClr w14:val="000000">
                      <w14:alpha w14:val="100000"/>
                    </w14:srgbClr>
                  </w14:solidFill>
                </w14:textFill>
              </w:rPr>
              <w:t>|</w:t>
            </w:r>
            <w:r w:rsidR="001F6C14" w:rsidRPr="00581FC5">
              <w:rPr>
                <w:rFonts w:cs="Times New Roman"/>
                <w:sz w:val="19"/>
                <w:szCs w:val="19"/>
                <w:vertAlign w:val="superscript"/>
                <w:lang w:eastAsia="en-GB"/>
              </w:rPr>
              <w:t>11</w:t>
            </w:r>
          </w:p>
        </w:tc>
        <w:tc>
          <w:tcPr>
            <w:tcW w:w="542" w:type="pct"/>
            <w:shd w:val="clear" w:color="auto" w:fill="auto"/>
            <w:vAlign w:val="center"/>
          </w:tcPr>
          <w:p w14:paraId="17DFAC07" w14:textId="240959E3"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5"/>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5"/>
                <w:lang w:eastAsia="en-GB"/>
                <w14:textFill>
                  <w14:solidFill>
                    <w14:srgbClr w14:val="000000">
                      <w14:alpha w14:val="100000"/>
                    </w14:srgbClr>
                  </w14:solidFill>
                </w14:textFill>
              </w:rPr>
              <w:t>|</w:t>
            </w:r>
            <w:r w:rsidR="001F6C14" w:rsidRPr="00581FC5">
              <w:rPr>
                <w:rFonts w:cs="Times New Roman"/>
                <w:sz w:val="19"/>
                <w:szCs w:val="19"/>
                <w:vertAlign w:val="superscript"/>
                <w:lang w:eastAsia="en-GB"/>
              </w:rPr>
              <w:t>11</w:t>
            </w:r>
          </w:p>
        </w:tc>
        <w:tc>
          <w:tcPr>
            <w:tcW w:w="542" w:type="pct"/>
            <w:shd w:val="clear" w:color="auto" w:fill="auto"/>
            <w:vAlign w:val="center"/>
          </w:tcPr>
          <w:p w14:paraId="7AD73C17" w14:textId="6FDCA21D"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4"/>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4"/>
                <w:lang w:eastAsia="en-GB"/>
                <w14:textFill>
                  <w14:solidFill>
                    <w14:srgbClr w14:val="000000">
                      <w14:alpha w14:val="100000"/>
                    </w14:srgbClr>
                  </w14:solidFill>
                </w14:textFill>
              </w:rPr>
              <w:t>|</w:t>
            </w:r>
            <w:r w:rsidR="001F6C14" w:rsidRPr="00581FC5">
              <w:rPr>
                <w:rFonts w:cs="Times New Roman"/>
                <w:sz w:val="19"/>
                <w:szCs w:val="19"/>
                <w:vertAlign w:val="superscript"/>
                <w:lang w:eastAsia="en-GB"/>
              </w:rPr>
              <w:t>11</w:t>
            </w:r>
          </w:p>
        </w:tc>
        <w:tc>
          <w:tcPr>
            <w:tcW w:w="543" w:type="pct"/>
            <w:vAlign w:val="center"/>
          </w:tcPr>
          <w:p w14:paraId="2E293D5C" w14:textId="16438DCF"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3"/>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3"/>
                <w:lang w:eastAsia="en-GB"/>
                <w14:textFill>
                  <w14:solidFill>
                    <w14:srgbClr w14:val="000000">
                      <w14:alpha w14:val="100000"/>
                    </w14:srgbClr>
                  </w14:solidFill>
                </w14:textFill>
              </w:rPr>
              <w:t>|</w:t>
            </w:r>
            <w:r w:rsidR="001F6C14" w:rsidRPr="00581FC5">
              <w:rPr>
                <w:rFonts w:cs="Times New Roman"/>
                <w:sz w:val="19"/>
                <w:szCs w:val="19"/>
                <w:vertAlign w:val="superscript"/>
                <w:lang w:eastAsia="en-GB"/>
              </w:rPr>
              <w:t>11</w:t>
            </w:r>
          </w:p>
        </w:tc>
        <w:tc>
          <w:tcPr>
            <w:tcW w:w="566" w:type="pct"/>
            <w:vAlign w:val="center"/>
          </w:tcPr>
          <w:p w14:paraId="7F23C7C3" w14:textId="406AAFB1" w:rsidR="00170BFC" w:rsidRPr="00E952E8" w:rsidRDefault="003C22C5" w:rsidP="00D626D3">
            <w:pPr>
              <w:pStyle w:val="TableText0"/>
              <w:keepLines/>
              <w:rPr>
                <w:rFonts w:cs="Times New Roman"/>
                <w:sz w:val="19"/>
                <w:szCs w:val="19"/>
                <w:highlight w:val="darkGray"/>
                <w:lang w:eastAsia="en-GB"/>
              </w:rPr>
            </w:pPr>
            <w:r w:rsidRPr="003C22C5">
              <w:rPr>
                <w:rFonts w:cs="Times New Roman"/>
                <w:sz w:val="19"/>
                <w:szCs w:val="19"/>
                <w:lang w:eastAsia="en-GB"/>
              </w:rPr>
              <w:t xml:space="preserve"> </w:t>
            </w:r>
            <w:r w:rsidR="00B7116A" w:rsidRPr="00B7116A">
              <w:rPr>
                <w:rFonts w:cs="Times New Roman"/>
                <w:color w:val="000000"/>
                <w:spacing w:val="50"/>
                <w:sz w:val="19"/>
                <w:szCs w:val="19"/>
                <w:shd w:val="solid" w:color="000000" w:fill="000000"/>
                <w:fitText w:val="313" w:id="-1031540722"/>
                <w:lang w:eastAsia="en-GB"/>
                <w14:textFill>
                  <w14:solidFill>
                    <w14:srgbClr w14:val="000000">
                      <w14:alpha w14:val="100000"/>
                    </w14:srgbClr>
                  </w14:solidFill>
                </w14:textFill>
              </w:rPr>
              <w:t>|||</w:t>
            </w:r>
            <w:r w:rsidR="00B7116A" w:rsidRPr="00B7116A">
              <w:rPr>
                <w:rFonts w:cs="Times New Roman"/>
                <w:color w:val="000000"/>
                <w:spacing w:val="2"/>
                <w:sz w:val="19"/>
                <w:szCs w:val="19"/>
                <w:shd w:val="solid" w:color="000000" w:fill="000000"/>
                <w:fitText w:val="313" w:id="-1031540722"/>
                <w:lang w:eastAsia="en-GB"/>
                <w14:textFill>
                  <w14:solidFill>
                    <w14:srgbClr w14:val="000000">
                      <w14:alpha w14:val="100000"/>
                    </w14:srgbClr>
                  </w14:solidFill>
                </w14:textFill>
              </w:rPr>
              <w:t>|</w:t>
            </w:r>
            <w:r w:rsidR="001F6C14" w:rsidRPr="00581FC5">
              <w:rPr>
                <w:rFonts w:cs="Times New Roman"/>
                <w:sz w:val="19"/>
                <w:szCs w:val="19"/>
                <w:vertAlign w:val="superscript"/>
                <w:lang w:eastAsia="en-GB"/>
              </w:rPr>
              <w:t>11</w:t>
            </w:r>
          </w:p>
        </w:tc>
      </w:tr>
      <w:tr w:rsidR="00170BFC" w:rsidRPr="003639A6" w14:paraId="13BA6123" w14:textId="77777777" w:rsidTr="00CF11D7">
        <w:tc>
          <w:tcPr>
            <w:tcW w:w="1180" w:type="pct"/>
            <w:shd w:val="clear" w:color="auto" w:fill="auto"/>
            <w:vAlign w:val="center"/>
          </w:tcPr>
          <w:p w14:paraId="73399330" w14:textId="3C70F07F" w:rsidR="00170BFC" w:rsidRPr="000511F3" w:rsidRDefault="00170BFC" w:rsidP="00D626D3">
            <w:pPr>
              <w:pStyle w:val="TableText0"/>
              <w:keepLines/>
              <w:rPr>
                <w:sz w:val="19"/>
                <w:szCs w:val="19"/>
              </w:rPr>
            </w:pPr>
            <w:r w:rsidRPr="000511F3">
              <w:rPr>
                <w:sz w:val="19"/>
                <w:szCs w:val="19"/>
              </w:rPr>
              <w:t xml:space="preserve">Net cost </w:t>
            </w:r>
            <w:r w:rsidR="003A44AB">
              <w:rPr>
                <w:sz w:val="19"/>
                <w:szCs w:val="19"/>
              </w:rPr>
              <w:t xml:space="preserve">offsets </w:t>
            </w:r>
            <w:r w:rsidRPr="000511F3">
              <w:rPr>
                <w:sz w:val="19"/>
                <w:szCs w:val="19"/>
              </w:rPr>
              <w:t>to PBS/RPBS</w:t>
            </w:r>
          </w:p>
        </w:tc>
        <w:tc>
          <w:tcPr>
            <w:tcW w:w="542" w:type="pct"/>
            <w:shd w:val="clear" w:color="auto" w:fill="auto"/>
            <w:vAlign w:val="center"/>
          </w:tcPr>
          <w:p w14:paraId="02D0847D" w14:textId="47ED74CA"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1"/>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1"/>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14776031" w14:textId="3EBD88F1"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0"/>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0"/>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42B1F4CB" w14:textId="6DA5D513"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6"/>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6"/>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4008FB0B" w14:textId="451E5136"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5"/>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5"/>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2" w:type="pct"/>
            <w:shd w:val="clear" w:color="auto" w:fill="auto"/>
            <w:vAlign w:val="center"/>
          </w:tcPr>
          <w:p w14:paraId="3393B308" w14:textId="09D88FD6"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4"/>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4"/>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43" w:type="pct"/>
            <w:vAlign w:val="center"/>
          </w:tcPr>
          <w:p w14:paraId="4448122C" w14:textId="6B6BFD86"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3"/>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3"/>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c>
          <w:tcPr>
            <w:tcW w:w="566" w:type="pct"/>
          </w:tcPr>
          <w:p w14:paraId="1BEDFAC7" w14:textId="1B7E03ED" w:rsidR="00170BFC" w:rsidRPr="00E952E8" w:rsidRDefault="003C22C5" w:rsidP="00D626D3">
            <w:pPr>
              <w:pStyle w:val="TableText0"/>
              <w:keepLines/>
              <w:rPr>
                <w:rFonts w:cs="Times New Roman"/>
                <w:iCs/>
                <w:sz w:val="19"/>
                <w:szCs w:val="19"/>
                <w:highlight w:val="darkGray"/>
                <w:lang w:eastAsia="en-GB"/>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32"/>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32"/>
                <w:lang w:eastAsia="en-GB"/>
                <w14:textFill>
                  <w14:solidFill>
                    <w14:srgbClr w14:val="000000">
                      <w14:alpha w14:val="100000"/>
                    </w14:srgbClr>
                  </w14:solidFill>
                </w14:textFill>
              </w:rPr>
              <w:t>|</w:t>
            </w:r>
            <w:r w:rsidR="00581FC5" w:rsidRPr="00581FC5">
              <w:rPr>
                <w:rFonts w:cs="Times New Roman"/>
                <w:sz w:val="19"/>
                <w:szCs w:val="19"/>
                <w:vertAlign w:val="superscript"/>
                <w:lang w:eastAsia="en-GB"/>
              </w:rPr>
              <w:t>11</w:t>
            </w:r>
          </w:p>
        </w:tc>
      </w:tr>
      <w:tr w:rsidR="00170BFC" w:rsidRPr="00FC22AB" w14:paraId="7D0503F1" w14:textId="77777777" w:rsidTr="004C21F9">
        <w:tc>
          <w:tcPr>
            <w:tcW w:w="4434" w:type="pct"/>
            <w:gridSpan w:val="7"/>
            <w:shd w:val="clear" w:color="auto" w:fill="auto"/>
            <w:vAlign w:val="center"/>
          </w:tcPr>
          <w:p w14:paraId="702D4212" w14:textId="77777777" w:rsidR="00170BFC" w:rsidRPr="000511F3" w:rsidRDefault="00170BFC" w:rsidP="00D626D3">
            <w:pPr>
              <w:pStyle w:val="TableText0"/>
              <w:keepLines/>
              <w:rPr>
                <w:b/>
                <w:bCs w:val="0"/>
              </w:rPr>
            </w:pPr>
            <w:r w:rsidRPr="000511F3">
              <w:rPr>
                <w:b/>
                <w:bCs w:val="0"/>
              </w:rPr>
              <w:t>Net financial implications</w:t>
            </w:r>
            <w:r w:rsidRPr="000511F3">
              <w:rPr>
                <w:b/>
                <w:bCs w:val="0"/>
                <w:color w:val="4BACC6" w:themeColor="accent5"/>
              </w:rPr>
              <w:t xml:space="preserve"> </w:t>
            </w:r>
          </w:p>
        </w:tc>
        <w:tc>
          <w:tcPr>
            <w:tcW w:w="566" w:type="pct"/>
          </w:tcPr>
          <w:p w14:paraId="134C9BE3" w14:textId="77777777" w:rsidR="00170BFC" w:rsidRPr="000511F3" w:rsidRDefault="00170BFC" w:rsidP="00D626D3">
            <w:pPr>
              <w:pStyle w:val="TableText0"/>
              <w:keepLines/>
              <w:rPr>
                <w:b/>
                <w:bCs w:val="0"/>
              </w:rPr>
            </w:pPr>
          </w:p>
        </w:tc>
      </w:tr>
      <w:tr w:rsidR="00170BFC" w:rsidRPr="003A44AB" w14:paraId="49DD80F1" w14:textId="77777777" w:rsidTr="00CF11D7">
        <w:tc>
          <w:tcPr>
            <w:tcW w:w="1180" w:type="pct"/>
            <w:shd w:val="clear" w:color="auto" w:fill="auto"/>
            <w:vAlign w:val="center"/>
          </w:tcPr>
          <w:p w14:paraId="44752265" w14:textId="77777777" w:rsidR="00170BFC" w:rsidRPr="003A44AB" w:rsidRDefault="00170BFC" w:rsidP="00D626D3">
            <w:pPr>
              <w:pStyle w:val="TableText0"/>
              <w:keepLines/>
              <w:rPr>
                <w:b/>
                <w:bCs w:val="0"/>
                <w:sz w:val="19"/>
                <w:szCs w:val="19"/>
              </w:rPr>
            </w:pPr>
            <w:r w:rsidRPr="003A44AB">
              <w:rPr>
                <w:b/>
                <w:bCs w:val="0"/>
                <w:sz w:val="19"/>
                <w:szCs w:val="19"/>
              </w:rPr>
              <w:t>Net cost to PBS/RPBS</w:t>
            </w:r>
          </w:p>
        </w:tc>
        <w:tc>
          <w:tcPr>
            <w:tcW w:w="542" w:type="pct"/>
            <w:shd w:val="clear" w:color="auto" w:fill="auto"/>
            <w:vAlign w:val="center"/>
          </w:tcPr>
          <w:p w14:paraId="5CB5619E" w14:textId="60C10249" w:rsidR="00170BFC" w:rsidRPr="00E952E8" w:rsidRDefault="003C22C5" w:rsidP="00D626D3">
            <w:pPr>
              <w:pStyle w:val="TableText0"/>
              <w:keepLines/>
              <w:rPr>
                <w:b/>
                <w:bCs w:val="0"/>
                <w:highlight w:val="darkGray"/>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731"/>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731"/>
                <w:lang w:eastAsia="en-GB"/>
                <w14:textFill>
                  <w14:solidFill>
                    <w14:srgbClr w14:val="000000">
                      <w14:alpha w14:val="100000"/>
                    </w14:srgbClr>
                  </w14:solidFill>
                </w14:textFill>
              </w:rPr>
              <w:t>|</w:t>
            </w:r>
            <w:r w:rsidRPr="003C22C5">
              <w:rPr>
                <w:rFonts w:cs="Times New Roman"/>
                <w:b/>
                <w:bCs w:val="0"/>
                <w:iCs/>
                <w:sz w:val="19"/>
                <w:szCs w:val="19"/>
                <w:lang w:eastAsia="en-GB"/>
              </w:rPr>
              <w:t xml:space="preserve"> </w:t>
            </w:r>
            <w:r w:rsidR="00FD0B1C">
              <w:rPr>
                <w:rFonts w:cs="Times New Roman"/>
                <w:b/>
                <w:bCs w:val="0"/>
                <w:iCs/>
                <w:sz w:val="19"/>
                <w:szCs w:val="19"/>
                <w:vertAlign w:val="superscript"/>
                <w:lang w:eastAsia="en-GB"/>
              </w:rPr>
              <w:t>7</w:t>
            </w:r>
          </w:p>
        </w:tc>
        <w:tc>
          <w:tcPr>
            <w:tcW w:w="542" w:type="pct"/>
            <w:shd w:val="clear" w:color="auto" w:fill="auto"/>
            <w:vAlign w:val="center"/>
          </w:tcPr>
          <w:p w14:paraId="356EDDF0" w14:textId="23A5AB56" w:rsidR="00170BFC" w:rsidRPr="00E952E8" w:rsidRDefault="003C22C5" w:rsidP="00D626D3">
            <w:pPr>
              <w:pStyle w:val="TableText0"/>
              <w:keepLines/>
              <w:rPr>
                <w:b/>
                <w:bCs w:val="0"/>
                <w:highlight w:val="darkGray"/>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730"/>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730"/>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79451D78" w14:textId="7065EFCB" w:rsidR="00170BFC" w:rsidRPr="00E952E8" w:rsidRDefault="003C22C5" w:rsidP="00D626D3">
            <w:pPr>
              <w:pStyle w:val="TableText0"/>
              <w:keepLines/>
              <w:rPr>
                <w:b/>
                <w:bCs w:val="0"/>
                <w:highlight w:val="darkGray"/>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729"/>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729"/>
                <w:lang w:eastAsia="en-GB"/>
                <w14:textFill>
                  <w14:solidFill>
                    <w14:srgbClr w14:val="000000">
                      <w14:alpha w14:val="100000"/>
                    </w14:srgbClr>
                  </w14:solidFill>
                </w14:textFill>
              </w:rPr>
              <w:t>|</w:t>
            </w:r>
            <w:r w:rsidR="001F68D5" w:rsidRPr="00FD0B1C">
              <w:rPr>
                <w:rFonts w:cs="Times New Roman"/>
                <w:sz w:val="19"/>
                <w:szCs w:val="19"/>
                <w:vertAlign w:val="superscript"/>
                <w:lang w:eastAsia="en-GB"/>
              </w:rPr>
              <w:t>8</w:t>
            </w:r>
          </w:p>
        </w:tc>
        <w:tc>
          <w:tcPr>
            <w:tcW w:w="542" w:type="pct"/>
            <w:shd w:val="clear" w:color="auto" w:fill="auto"/>
            <w:vAlign w:val="center"/>
          </w:tcPr>
          <w:p w14:paraId="6B888A43" w14:textId="795D9C7D" w:rsidR="00170BFC" w:rsidRPr="00E952E8" w:rsidRDefault="003C22C5" w:rsidP="00D626D3">
            <w:pPr>
              <w:pStyle w:val="TableText0"/>
              <w:keepLines/>
              <w:rPr>
                <w:b/>
                <w:bCs w:val="0"/>
                <w:highlight w:val="darkGray"/>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728"/>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728"/>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2" w:type="pct"/>
            <w:shd w:val="clear" w:color="auto" w:fill="auto"/>
            <w:vAlign w:val="center"/>
          </w:tcPr>
          <w:p w14:paraId="702D2E56" w14:textId="4AAAA6DC" w:rsidR="00170BFC" w:rsidRPr="00E952E8" w:rsidRDefault="003C22C5" w:rsidP="00D626D3">
            <w:pPr>
              <w:pStyle w:val="TableText0"/>
              <w:keepLines/>
              <w:rPr>
                <w:b/>
                <w:bCs w:val="0"/>
                <w:highlight w:val="darkGray"/>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727"/>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727"/>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3" w:type="pct"/>
            <w:vAlign w:val="center"/>
          </w:tcPr>
          <w:p w14:paraId="10579F24" w14:textId="6A9A2180" w:rsidR="00170BFC" w:rsidRPr="00E952E8" w:rsidRDefault="003C22C5" w:rsidP="00D626D3">
            <w:pPr>
              <w:pStyle w:val="TableText0"/>
              <w:keepLines/>
              <w:rPr>
                <w:b/>
                <w:bCs w:val="0"/>
                <w:highlight w:val="darkGray"/>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726"/>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726"/>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66" w:type="pct"/>
          </w:tcPr>
          <w:p w14:paraId="0C80F256" w14:textId="060A0348" w:rsidR="00170BFC" w:rsidRPr="00E952E8" w:rsidRDefault="003C22C5" w:rsidP="00D626D3">
            <w:pPr>
              <w:pStyle w:val="TableText0"/>
              <w:keepLines/>
              <w:rPr>
                <w:rFonts w:cs="Times New Roman"/>
                <w:b/>
                <w:bCs w:val="0"/>
                <w:iCs/>
                <w:sz w:val="19"/>
                <w:szCs w:val="19"/>
                <w:highlight w:val="darkGray"/>
                <w:lang w:eastAsia="en-GB"/>
              </w:rPr>
            </w:pPr>
            <w:r w:rsidRPr="003C22C5">
              <w:rPr>
                <w:b/>
                <w:bCs w:val="0"/>
              </w:rPr>
              <w:t xml:space="preserve"> </w:t>
            </w:r>
            <w:r w:rsidR="00B7116A" w:rsidRPr="00B7116A">
              <w:rPr>
                <w:b/>
                <w:bCs w:val="0"/>
                <w:color w:val="000000"/>
                <w:spacing w:val="55"/>
                <w:shd w:val="solid" w:color="000000" w:fill="000000"/>
                <w:fitText w:val="351" w:id="-1031540725"/>
                <w14:textFill>
                  <w14:solidFill>
                    <w14:srgbClr w14:val="000000">
                      <w14:alpha w14:val="100000"/>
                    </w14:srgbClr>
                  </w14:solidFill>
                </w14:textFill>
              </w:rPr>
              <w:t>|||</w:t>
            </w:r>
            <w:r w:rsidR="00B7116A" w:rsidRPr="00B7116A">
              <w:rPr>
                <w:b/>
                <w:bCs w:val="0"/>
                <w:color w:val="000000"/>
                <w:spacing w:val="3"/>
                <w:shd w:val="solid" w:color="000000" w:fill="000000"/>
                <w:fitText w:val="351" w:id="-1031540725"/>
                <w14:textFill>
                  <w14:solidFill>
                    <w14:srgbClr w14:val="000000">
                      <w14:alpha w14:val="100000"/>
                    </w14:srgbClr>
                  </w14:solidFill>
                </w14:textFill>
              </w:rPr>
              <w:t>|</w:t>
            </w:r>
            <w:r w:rsidR="00581FC5" w:rsidRPr="00581FC5">
              <w:rPr>
                <w:vertAlign w:val="superscript"/>
              </w:rPr>
              <w:t>12</w:t>
            </w:r>
          </w:p>
        </w:tc>
      </w:tr>
      <w:tr w:rsidR="00170BFC" w:rsidRPr="003639A6" w14:paraId="392ED419" w14:textId="77777777" w:rsidTr="00CF11D7">
        <w:tc>
          <w:tcPr>
            <w:tcW w:w="1180" w:type="pct"/>
            <w:shd w:val="clear" w:color="auto" w:fill="auto"/>
            <w:vAlign w:val="center"/>
          </w:tcPr>
          <w:p w14:paraId="51A88420" w14:textId="77777777" w:rsidR="00170BFC" w:rsidRPr="000511F3" w:rsidRDefault="00170BFC" w:rsidP="00D626D3">
            <w:pPr>
              <w:pStyle w:val="TableText0"/>
              <w:keepLines/>
              <w:rPr>
                <w:rFonts w:ascii="Times" w:hAnsi="Times"/>
              </w:rPr>
            </w:pPr>
            <w:r w:rsidRPr="000511F3">
              <w:rPr>
                <w:sz w:val="19"/>
                <w:szCs w:val="19"/>
              </w:rPr>
              <w:t>Net cost to MBS</w:t>
            </w:r>
            <w:r>
              <w:rPr>
                <w:sz w:val="19"/>
                <w:szCs w:val="19"/>
              </w:rPr>
              <w:t xml:space="preserve"> </w:t>
            </w:r>
            <w:r w:rsidRPr="00331CAC">
              <w:rPr>
                <w:sz w:val="19"/>
                <w:szCs w:val="19"/>
                <w:vertAlign w:val="superscript"/>
              </w:rPr>
              <w:t>c</w:t>
            </w:r>
          </w:p>
        </w:tc>
        <w:tc>
          <w:tcPr>
            <w:tcW w:w="542" w:type="pct"/>
            <w:shd w:val="clear" w:color="auto" w:fill="auto"/>
            <w:vAlign w:val="center"/>
          </w:tcPr>
          <w:p w14:paraId="48E1B304" w14:textId="04E8AFCB"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724"/>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724"/>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159D6FCE" w14:textId="21F58D65"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80"/>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80"/>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53D6F306" w14:textId="225E75B4"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9"/>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9"/>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78360811" w14:textId="6A9BA207"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8"/>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8"/>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4BE05AAD" w14:textId="41748D8E"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7"/>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7"/>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3" w:type="pct"/>
            <w:vAlign w:val="center"/>
          </w:tcPr>
          <w:p w14:paraId="79038B44" w14:textId="1F9F985B"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6"/>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6"/>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66" w:type="pct"/>
          </w:tcPr>
          <w:p w14:paraId="1802A98A" w14:textId="5F025689" w:rsidR="00170BFC" w:rsidRPr="00E952E8" w:rsidRDefault="003C22C5" w:rsidP="00D626D3">
            <w:pPr>
              <w:pStyle w:val="TableText0"/>
              <w:keepLines/>
              <w:rPr>
                <w:rFonts w:cs="Times New Roman"/>
                <w:iCs/>
                <w:sz w:val="19"/>
                <w:szCs w:val="19"/>
                <w:highlight w:val="darkGray"/>
                <w:lang w:eastAsia="en-GB"/>
              </w:rPr>
            </w:pPr>
            <w:r w:rsidRPr="003C22C5">
              <w:t xml:space="preserve"> </w:t>
            </w:r>
            <w:r w:rsidR="00B7116A" w:rsidRPr="00B7116A">
              <w:rPr>
                <w:color w:val="000000"/>
                <w:spacing w:val="55"/>
                <w:shd w:val="solid" w:color="000000" w:fill="000000"/>
                <w:fitText w:val="338" w:id="-1031540475"/>
                <w14:textFill>
                  <w14:solidFill>
                    <w14:srgbClr w14:val="000000">
                      <w14:alpha w14:val="100000"/>
                    </w14:srgbClr>
                  </w14:solidFill>
                </w14:textFill>
              </w:rPr>
              <w:t>|||</w:t>
            </w:r>
            <w:r w:rsidR="00B7116A" w:rsidRPr="00B7116A">
              <w:rPr>
                <w:color w:val="000000"/>
                <w:spacing w:val="3"/>
                <w:shd w:val="solid" w:color="000000" w:fill="000000"/>
                <w:fitText w:val="338" w:id="-1031540475"/>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r>
      <w:tr w:rsidR="00170BFC" w:rsidRPr="003639A6" w14:paraId="5021B46C" w14:textId="77777777" w:rsidTr="00CF11D7">
        <w:tc>
          <w:tcPr>
            <w:tcW w:w="1180" w:type="pct"/>
            <w:shd w:val="clear" w:color="auto" w:fill="auto"/>
            <w:vAlign w:val="center"/>
          </w:tcPr>
          <w:p w14:paraId="548B8910" w14:textId="77777777" w:rsidR="00170BFC" w:rsidRPr="000511F3" w:rsidRDefault="00170BFC" w:rsidP="00D626D3">
            <w:pPr>
              <w:pStyle w:val="TableText0"/>
              <w:keepLines/>
              <w:rPr>
                <w:sz w:val="19"/>
                <w:szCs w:val="19"/>
              </w:rPr>
            </w:pPr>
            <w:r w:rsidRPr="000511F3">
              <w:rPr>
                <w:rFonts w:cs="Times New Roman"/>
                <w:sz w:val="19"/>
                <w:szCs w:val="19"/>
                <w:lang w:eastAsia="en-GB"/>
              </w:rPr>
              <w:t xml:space="preserve">Net change to health budget </w:t>
            </w:r>
          </w:p>
        </w:tc>
        <w:tc>
          <w:tcPr>
            <w:tcW w:w="542" w:type="pct"/>
            <w:shd w:val="clear" w:color="auto" w:fill="auto"/>
            <w:vAlign w:val="center"/>
          </w:tcPr>
          <w:p w14:paraId="08161DAE" w14:textId="667909A5"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4"/>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4"/>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537D6125" w14:textId="4E59D3C2"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3"/>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3"/>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0C04A67B" w14:textId="53CF2685"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2"/>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2"/>
                <w:lang w:eastAsia="en-GB"/>
                <w14:textFill>
                  <w14:solidFill>
                    <w14:srgbClr w14:val="000000">
                      <w14:alpha w14:val="100000"/>
                    </w14:srgbClr>
                  </w14:solidFill>
                </w14:textFill>
              </w:rPr>
              <w:t>|</w:t>
            </w:r>
            <w:r w:rsidR="001F68D5" w:rsidRPr="00FD0B1C">
              <w:rPr>
                <w:rFonts w:cs="Times New Roman"/>
                <w:sz w:val="19"/>
                <w:szCs w:val="19"/>
                <w:vertAlign w:val="superscript"/>
                <w:lang w:eastAsia="en-GB"/>
              </w:rPr>
              <w:t>8</w:t>
            </w:r>
          </w:p>
        </w:tc>
        <w:tc>
          <w:tcPr>
            <w:tcW w:w="542" w:type="pct"/>
            <w:shd w:val="clear" w:color="auto" w:fill="auto"/>
            <w:vAlign w:val="center"/>
          </w:tcPr>
          <w:p w14:paraId="29736E96" w14:textId="14FBB3C8" w:rsidR="00170BFC" w:rsidRPr="008A5A3A" w:rsidRDefault="003C22C5" w:rsidP="00D626D3">
            <w:pPr>
              <w:pStyle w:val="TableText0"/>
              <w:keepLines/>
              <w:rPr>
                <w:highlight w:val="darkGray"/>
                <w:vertAlign w:val="superscript"/>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1"/>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1"/>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2" w:type="pct"/>
            <w:shd w:val="clear" w:color="auto" w:fill="auto"/>
            <w:vAlign w:val="center"/>
          </w:tcPr>
          <w:p w14:paraId="4C664948" w14:textId="10B6D76C"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70"/>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70"/>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43" w:type="pct"/>
            <w:vAlign w:val="center"/>
          </w:tcPr>
          <w:p w14:paraId="0B16325D" w14:textId="60096137" w:rsidR="00170BFC" w:rsidRPr="00E952E8" w:rsidRDefault="003C22C5" w:rsidP="00D626D3">
            <w:pPr>
              <w:pStyle w:val="TableText0"/>
              <w:keepLines/>
              <w:rPr>
                <w:highlight w:val="darkGray"/>
              </w:rPr>
            </w:pPr>
            <w:r w:rsidRPr="003C22C5">
              <w:rPr>
                <w:rFonts w:cs="Times New Roman"/>
                <w:iCs/>
                <w:sz w:val="19"/>
                <w:szCs w:val="19"/>
                <w:lang w:eastAsia="en-GB"/>
              </w:rPr>
              <w:t xml:space="preserve"> </w:t>
            </w:r>
            <w:r w:rsidR="00B7116A" w:rsidRPr="00B7116A">
              <w:rPr>
                <w:rFonts w:cs="Times New Roman"/>
                <w:iCs/>
                <w:color w:val="000000"/>
                <w:spacing w:val="50"/>
                <w:sz w:val="19"/>
                <w:szCs w:val="19"/>
                <w:shd w:val="solid" w:color="000000" w:fill="000000"/>
                <w:fitText w:val="313" w:id="-1031540469"/>
                <w:lang w:eastAsia="en-GB"/>
                <w14:textFill>
                  <w14:solidFill>
                    <w14:srgbClr w14:val="000000">
                      <w14:alpha w14:val="100000"/>
                    </w14:srgbClr>
                  </w14:solidFill>
                </w14:textFill>
              </w:rPr>
              <w:t>|||</w:t>
            </w:r>
            <w:r w:rsidR="00B7116A" w:rsidRPr="00B7116A">
              <w:rPr>
                <w:rFonts w:cs="Times New Roman"/>
                <w:iCs/>
                <w:color w:val="000000"/>
                <w:spacing w:val="2"/>
                <w:sz w:val="19"/>
                <w:szCs w:val="19"/>
                <w:shd w:val="solid" w:color="000000" w:fill="000000"/>
                <w:fitText w:val="313" w:id="-1031540469"/>
                <w:lang w:eastAsia="en-GB"/>
                <w14:textFill>
                  <w14:solidFill>
                    <w14:srgbClr w14:val="000000">
                      <w14:alpha w14:val="100000"/>
                    </w14:srgbClr>
                  </w14:solidFill>
                </w14:textFill>
              </w:rPr>
              <w:t>|</w:t>
            </w:r>
            <w:r w:rsidR="001F68D5" w:rsidRPr="001F68D5">
              <w:rPr>
                <w:rFonts w:cs="Times New Roman"/>
                <w:sz w:val="19"/>
                <w:szCs w:val="19"/>
                <w:vertAlign w:val="superscript"/>
                <w:lang w:eastAsia="en-GB"/>
              </w:rPr>
              <w:t>9</w:t>
            </w:r>
          </w:p>
        </w:tc>
        <w:tc>
          <w:tcPr>
            <w:tcW w:w="566" w:type="pct"/>
          </w:tcPr>
          <w:p w14:paraId="6D96E024" w14:textId="2D965BF4" w:rsidR="00170BFC" w:rsidRPr="00E952E8" w:rsidRDefault="003C22C5" w:rsidP="00D626D3">
            <w:pPr>
              <w:pStyle w:val="TableText0"/>
              <w:keepLines/>
              <w:rPr>
                <w:rFonts w:cs="Times New Roman"/>
                <w:iCs/>
                <w:sz w:val="19"/>
                <w:szCs w:val="19"/>
                <w:highlight w:val="darkGray"/>
                <w:lang w:eastAsia="en-GB"/>
              </w:rPr>
            </w:pPr>
            <w:r w:rsidRPr="003C22C5">
              <w:t xml:space="preserve"> </w:t>
            </w:r>
            <w:r w:rsidR="00B7116A" w:rsidRPr="00B7116A">
              <w:rPr>
                <w:color w:val="000000"/>
                <w:spacing w:val="55"/>
                <w:shd w:val="solid" w:color="000000" w:fill="000000"/>
                <w:fitText w:val="338" w:id="-1031540468"/>
                <w14:textFill>
                  <w14:solidFill>
                    <w14:srgbClr w14:val="000000">
                      <w14:alpha w14:val="100000"/>
                    </w14:srgbClr>
                  </w14:solidFill>
                </w14:textFill>
              </w:rPr>
              <w:t>|||</w:t>
            </w:r>
            <w:r w:rsidR="00B7116A" w:rsidRPr="00B7116A">
              <w:rPr>
                <w:color w:val="000000"/>
                <w:spacing w:val="3"/>
                <w:shd w:val="solid" w:color="000000" w:fill="000000"/>
                <w:fitText w:val="338" w:id="-1031540468"/>
                <w14:textFill>
                  <w14:solidFill>
                    <w14:srgbClr w14:val="000000">
                      <w14:alpha w14:val="100000"/>
                    </w14:srgbClr>
                  </w14:solidFill>
                </w14:textFill>
              </w:rPr>
              <w:t>|</w:t>
            </w:r>
            <w:r w:rsidR="00581FC5" w:rsidRPr="00581FC5">
              <w:rPr>
                <w:vertAlign w:val="superscript"/>
              </w:rPr>
              <w:t>12</w:t>
            </w:r>
          </w:p>
        </w:tc>
      </w:tr>
      <w:tr w:rsidR="00CF11D7" w:rsidRPr="00CF11D7" w14:paraId="64D46341" w14:textId="77777777" w:rsidTr="00CF11D7">
        <w:tc>
          <w:tcPr>
            <w:tcW w:w="5000" w:type="pct"/>
            <w:gridSpan w:val="8"/>
            <w:shd w:val="clear" w:color="auto" w:fill="auto"/>
            <w:vAlign w:val="center"/>
          </w:tcPr>
          <w:p w14:paraId="0F37A57D" w14:textId="68B3D4E6" w:rsidR="00CF11D7" w:rsidRPr="00CF11D7" w:rsidRDefault="00CF11D7" w:rsidP="00D626D3">
            <w:pPr>
              <w:pStyle w:val="TableText0"/>
              <w:keepLines/>
              <w:rPr>
                <w:b/>
                <w:bCs w:val="0"/>
              </w:rPr>
            </w:pPr>
            <w:r w:rsidRPr="00CF11D7">
              <w:rPr>
                <w:b/>
                <w:bCs w:val="0"/>
              </w:rPr>
              <w:t>Pre-PBAC revised net financial implications</w:t>
            </w:r>
          </w:p>
        </w:tc>
      </w:tr>
      <w:tr w:rsidR="00CF11D7" w:rsidRPr="00CF11D7" w14:paraId="70E04443" w14:textId="77777777" w:rsidTr="00CF11D7">
        <w:tc>
          <w:tcPr>
            <w:tcW w:w="1180" w:type="pct"/>
            <w:shd w:val="clear" w:color="auto" w:fill="auto"/>
            <w:vAlign w:val="center"/>
          </w:tcPr>
          <w:p w14:paraId="56EF3160" w14:textId="7E55203C" w:rsidR="00CF11D7" w:rsidRPr="00CF11D7" w:rsidRDefault="00CF11D7" w:rsidP="00D626D3">
            <w:pPr>
              <w:pStyle w:val="TableText0"/>
              <w:keepLines/>
              <w:rPr>
                <w:rFonts w:cs="Times New Roman"/>
                <w:b/>
                <w:bCs w:val="0"/>
                <w:sz w:val="19"/>
                <w:szCs w:val="19"/>
                <w:lang w:eastAsia="en-GB"/>
              </w:rPr>
            </w:pPr>
            <w:r w:rsidRPr="00CF11D7">
              <w:rPr>
                <w:rFonts w:cs="Times New Roman"/>
                <w:b/>
                <w:bCs w:val="0"/>
                <w:sz w:val="19"/>
                <w:szCs w:val="19"/>
                <w:lang w:eastAsia="en-GB"/>
              </w:rPr>
              <w:t>Net cost to PBS/RPBS</w:t>
            </w:r>
          </w:p>
        </w:tc>
        <w:tc>
          <w:tcPr>
            <w:tcW w:w="542" w:type="pct"/>
            <w:shd w:val="clear" w:color="auto" w:fill="auto"/>
            <w:vAlign w:val="center"/>
          </w:tcPr>
          <w:p w14:paraId="314610AF" w14:textId="0747EC51" w:rsidR="00CF11D7" w:rsidRPr="00E952E8" w:rsidRDefault="003C22C5" w:rsidP="00D626D3">
            <w:pPr>
              <w:pStyle w:val="TableText0"/>
              <w:keepLines/>
              <w:rPr>
                <w:rFonts w:cs="Times New Roman"/>
                <w:b/>
                <w:bCs w:val="0"/>
                <w:iCs/>
                <w:sz w:val="19"/>
                <w:szCs w:val="19"/>
                <w:highlight w:val="darkGray"/>
                <w:lang w:eastAsia="en-GB"/>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467"/>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467"/>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67FAD71F" w14:textId="21ECAC65" w:rsidR="00CF11D7" w:rsidRPr="00E952E8" w:rsidRDefault="003C22C5" w:rsidP="00D626D3">
            <w:pPr>
              <w:pStyle w:val="TableText0"/>
              <w:keepLines/>
              <w:rPr>
                <w:rFonts w:cs="Times New Roman"/>
                <w:b/>
                <w:bCs w:val="0"/>
                <w:iCs/>
                <w:sz w:val="19"/>
                <w:szCs w:val="19"/>
                <w:highlight w:val="darkGray"/>
                <w:lang w:eastAsia="en-GB"/>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466"/>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466"/>
                <w:lang w:eastAsia="en-GB"/>
                <w14:textFill>
                  <w14:solidFill>
                    <w14:srgbClr w14:val="000000">
                      <w14:alpha w14:val="100000"/>
                    </w14:srgbClr>
                  </w14:solidFill>
                </w14:textFill>
              </w:rPr>
              <w:t>|</w:t>
            </w:r>
            <w:r w:rsidR="00FD0B1C">
              <w:rPr>
                <w:rFonts w:cs="Times New Roman"/>
                <w:b/>
                <w:bCs w:val="0"/>
                <w:iCs/>
                <w:sz w:val="19"/>
                <w:szCs w:val="19"/>
                <w:vertAlign w:val="superscript"/>
                <w:lang w:eastAsia="en-GB"/>
              </w:rPr>
              <w:t>7</w:t>
            </w:r>
          </w:p>
        </w:tc>
        <w:tc>
          <w:tcPr>
            <w:tcW w:w="542" w:type="pct"/>
            <w:shd w:val="clear" w:color="auto" w:fill="auto"/>
            <w:vAlign w:val="center"/>
          </w:tcPr>
          <w:p w14:paraId="1D1BC064" w14:textId="56DAF3CE" w:rsidR="00CF11D7" w:rsidRPr="00E952E8" w:rsidRDefault="003C22C5" w:rsidP="00D626D3">
            <w:pPr>
              <w:pStyle w:val="TableText0"/>
              <w:keepLines/>
              <w:rPr>
                <w:rFonts w:cs="Times New Roman"/>
                <w:b/>
                <w:bCs w:val="0"/>
                <w:iCs/>
                <w:sz w:val="19"/>
                <w:szCs w:val="19"/>
                <w:highlight w:val="darkGray"/>
                <w:lang w:eastAsia="en-GB"/>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465"/>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465"/>
                <w:lang w:eastAsia="en-GB"/>
                <w14:textFill>
                  <w14:solidFill>
                    <w14:srgbClr w14:val="000000">
                      <w14:alpha w14:val="100000"/>
                    </w14:srgbClr>
                  </w14:solidFill>
                </w14:textFill>
              </w:rPr>
              <w:t>|</w:t>
            </w:r>
            <w:r w:rsidR="001F68D5" w:rsidRPr="00FD0B1C">
              <w:rPr>
                <w:rFonts w:cs="Times New Roman"/>
                <w:sz w:val="19"/>
                <w:szCs w:val="19"/>
                <w:vertAlign w:val="superscript"/>
                <w:lang w:eastAsia="en-GB"/>
              </w:rPr>
              <w:t>8</w:t>
            </w:r>
          </w:p>
        </w:tc>
        <w:tc>
          <w:tcPr>
            <w:tcW w:w="542" w:type="pct"/>
            <w:shd w:val="clear" w:color="auto" w:fill="auto"/>
            <w:vAlign w:val="center"/>
          </w:tcPr>
          <w:p w14:paraId="4CB08708" w14:textId="40D5142B" w:rsidR="00CF11D7" w:rsidRPr="00E952E8" w:rsidRDefault="003C22C5" w:rsidP="00D626D3">
            <w:pPr>
              <w:pStyle w:val="TableText0"/>
              <w:keepLines/>
              <w:rPr>
                <w:rFonts w:cs="Times New Roman"/>
                <w:b/>
                <w:bCs w:val="0"/>
                <w:iCs/>
                <w:sz w:val="19"/>
                <w:szCs w:val="19"/>
                <w:highlight w:val="darkGray"/>
                <w:lang w:eastAsia="en-GB"/>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464"/>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464"/>
                <w:lang w:eastAsia="en-GB"/>
                <w14:textFill>
                  <w14:solidFill>
                    <w14:srgbClr w14:val="000000">
                      <w14:alpha w14:val="100000"/>
                    </w14:srgbClr>
                  </w14:solidFill>
                </w14:textFill>
              </w:rPr>
              <w:t>|</w:t>
            </w:r>
            <w:r w:rsidR="001F68D5" w:rsidRPr="00FD0B1C">
              <w:rPr>
                <w:rFonts w:cs="Times New Roman"/>
                <w:sz w:val="19"/>
                <w:szCs w:val="19"/>
                <w:vertAlign w:val="superscript"/>
                <w:lang w:eastAsia="en-GB"/>
              </w:rPr>
              <w:t>8</w:t>
            </w:r>
          </w:p>
        </w:tc>
        <w:tc>
          <w:tcPr>
            <w:tcW w:w="542" w:type="pct"/>
            <w:shd w:val="clear" w:color="auto" w:fill="auto"/>
            <w:vAlign w:val="center"/>
          </w:tcPr>
          <w:p w14:paraId="2B391B6B" w14:textId="5A7266FC" w:rsidR="00CF11D7" w:rsidRPr="00E952E8" w:rsidRDefault="003C22C5" w:rsidP="00D626D3">
            <w:pPr>
              <w:pStyle w:val="TableText0"/>
              <w:keepLines/>
              <w:rPr>
                <w:rFonts w:cs="Times New Roman"/>
                <w:b/>
                <w:bCs w:val="0"/>
                <w:iCs/>
                <w:sz w:val="19"/>
                <w:szCs w:val="19"/>
                <w:highlight w:val="darkGray"/>
                <w:lang w:eastAsia="en-GB"/>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480"/>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480"/>
                <w:lang w:eastAsia="en-GB"/>
                <w14:textFill>
                  <w14:solidFill>
                    <w14:srgbClr w14:val="000000">
                      <w14:alpha w14:val="100000"/>
                    </w14:srgbClr>
                  </w14:solidFill>
                </w14:textFill>
              </w:rPr>
              <w:t>|</w:t>
            </w:r>
            <w:r w:rsidR="001F68D5" w:rsidRPr="00FD0B1C">
              <w:rPr>
                <w:rFonts w:cs="Times New Roman"/>
                <w:sz w:val="19"/>
                <w:szCs w:val="19"/>
                <w:vertAlign w:val="superscript"/>
                <w:lang w:eastAsia="en-GB"/>
              </w:rPr>
              <w:t>8</w:t>
            </w:r>
          </w:p>
        </w:tc>
        <w:tc>
          <w:tcPr>
            <w:tcW w:w="543" w:type="pct"/>
            <w:vAlign w:val="center"/>
          </w:tcPr>
          <w:p w14:paraId="48DDA5B9" w14:textId="31F72B16" w:rsidR="00CF11D7" w:rsidRPr="00E952E8" w:rsidRDefault="003C22C5" w:rsidP="00D626D3">
            <w:pPr>
              <w:pStyle w:val="TableText0"/>
              <w:keepLines/>
              <w:rPr>
                <w:rFonts w:cs="Times New Roman"/>
                <w:b/>
                <w:bCs w:val="0"/>
                <w:iCs/>
                <w:sz w:val="19"/>
                <w:szCs w:val="19"/>
                <w:highlight w:val="darkGray"/>
                <w:lang w:eastAsia="en-GB"/>
              </w:rPr>
            </w:pPr>
            <w:r w:rsidRPr="003C22C5">
              <w:rPr>
                <w:rFonts w:cs="Times New Roman"/>
                <w:b/>
                <w:bCs w:val="0"/>
                <w:iCs/>
                <w:sz w:val="19"/>
                <w:szCs w:val="19"/>
                <w:lang w:eastAsia="en-GB"/>
              </w:rPr>
              <w:t xml:space="preserve"> </w:t>
            </w:r>
            <w:r w:rsidR="00B7116A" w:rsidRPr="00B7116A">
              <w:rPr>
                <w:rFonts w:cs="Times New Roman"/>
                <w:b/>
                <w:bCs w:val="0"/>
                <w:iCs/>
                <w:color w:val="000000"/>
                <w:spacing w:val="54"/>
                <w:sz w:val="19"/>
                <w:szCs w:val="19"/>
                <w:shd w:val="solid" w:color="000000" w:fill="000000"/>
                <w:fitText w:val="338" w:id="-1031540479"/>
                <w:lang w:eastAsia="en-GB"/>
                <w14:textFill>
                  <w14:solidFill>
                    <w14:srgbClr w14:val="000000">
                      <w14:alpha w14:val="100000"/>
                    </w14:srgbClr>
                  </w14:solidFill>
                </w14:textFill>
              </w:rPr>
              <w:t>|||</w:t>
            </w:r>
            <w:r w:rsidR="00B7116A" w:rsidRPr="00B7116A">
              <w:rPr>
                <w:rFonts w:cs="Times New Roman"/>
                <w:b/>
                <w:bCs w:val="0"/>
                <w:iCs/>
                <w:color w:val="000000"/>
                <w:spacing w:val="2"/>
                <w:sz w:val="19"/>
                <w:szCs w:val="19"/>
                <w:shd w:val="solid" w:color="000000" w:fill="000000"/>
                <w:fitText w:val="338" w:id="-1031540479"/>
                <w:lang w:eastAsia="en-GB"/>
                <w14:textFill>
                  <w14:solidFill>
                    <w14:srgbClr w14:val="000000">
                      <w14:alpha w14:val="100000"/>
                    </w14:srgbClr>
                  </w14:solidFill>
                </w14:textFill>
              </w:rPr>
              <w:t>|</w:t>
            </w:r>
            <w:r w:rsidR="001F68D5" w:rsidRPr="00FD0B1C">
              <w:rPr>
                <w:rFonts w:cs="Times New Roman"/>
                <w:sz w:val="19"/>
                <w:szCs w:val="19"/>
                <w:vertAlign w:val="superscript"/>
                <w:lang w:eastAsia="en-GB"/>
              </w:rPr>
              <w:t>8</w:t>
            </w:r>
          </w:p>
        </w:tc>
        <w:tc>
          <w:tcPr>
            <w:tcW w:w="566" w:type="pct"/>
          </w:tcPr>
          <w:p w14:paraId="7A2B797A" w14:textId="3FEA75BD" w:rsidR="00CF11D7" w:rsidRPr="00E952E8" w:rsidRDefault="003C22C5" w:rsidP="00D626D3">
            <w:pPr>
              <w:pStyle w:val="TableText0"/>
              <w:keepLines/>
              <w:rPr>
                <w:b/>
                <w:bCs w:val="0"/>
                <w:highlight w:val="darkGray"/>
              </w:rPr>
            </w:pPr>
            <w:r w:rsidRPr="003C22C5">
              <w:rPr>
                <w:b/>
                <w:bCs w:val="0"/>
              </w:rPr>
              <w:t xml:space="preserve"> </w:t>
            </w:r>
            <w:r w:rsidR="00B7116A" w:rsidRPr="00B7116A">
              <w:rPr>
                <w:b/>
                <w:bCs w:val="0"/>
                <w:color w:val="000000"/>
                <w:spacing w:val="55"/>
                <w:shd w:val="solid" w:color="000000" w:fill="000000"/>
                <w:fitText w:val="351" w:id="-1031540478"/>
                <w14:textFill>
                  <w14:solidFill>
                    <w14:srgbClr w14:val="000000">
                      <w14:alpha w14:val="100000"/>
                    </w14:srgbClr>
                  </w14:solidFill>
                </w14:textFill>
              </w:rPr>
              <w:t>|||</w:t>
            </w:r>
            <w:r w:rsidR="00B7116A" w:rsidRPr="00B7116A">
              <w:rPr>
                <w:b/>
                <w:bCs w:val="0"/>
                <w:color w:val="000000"/>
                <w:spacing w:val="3"/>
                <w:shd w:val="solid" w:color="000000" w:fill="000000"/>
                <w:fitText w:val="351" w:id="-1031540478"/>
                <w14:textFill>
                  <w14:solidFill>
                    <w14:srgbClr w14:val="000000">
                      <w14:alpha w14:val="100000"/>
                    </w14:srgbClr>
                  </w14:solidFill>
                </w14:textFill>
              </w:rPr>
              <w:t>|</w:t>
            </w:r>
            <w:r w:rsidR="00581FC5">
              <w:rPr>
                <w:vertAlign w:val="superscript"/>
              </w:rPr>
              <w:t>13</w:t>
            </w:r>
          </w:p>
        </w:tc>
      </w:tr>
    </w:tbl>
    <w:p w14:paraId="38136A14" w14:textId="096F4210" w:rsidR="00170BFC" w:rsidRPr="000800F6" w:rsidRDefault="00170BFC" w:rsidP="00D626D3">
      <w:pPr>
        <w:pStyle w:val="TableFooter"/>
        <w:keepNext/>
        <w:keepLines/>
        <w:jc w:val="both"/>
      </w:pPr>
      <w:r w:rsidRPr="000800F6">
        <w:t>Source</w:t>
      </w:r>
      <w:r>
        <w:t xml:space="preserve">: </w:t>
      </w:r>
      <w:r w:rsidRPr="000800F6">
        <w:t>Table 4-3, p16</w:t>
      </w:r>
      <w:r>
        <w:t>0</w:t>
      </w:r>
      <w:r w:rsidRPr="000800F6">
        <w:t>, Table 4-8, p1</w:t>
      </w:r>
      <w:r>
        <w:t>63</w:t>
      </w:r>
      <w:r w:rsidRPr="000800F6">
        <w:t>, Table 4-10, p1</w:t>
      </w:r>
      <w:r>
        <w:t>64</w:t>
      </w:r>
      <w:r w:rsidRPr="000800F6">
        <w:t>, Table 4-13, p1</w:t>
      </w:r>
      <w:r>
        <w:t>66</w:t>
      </w:r>
      <w:r w:rsidRPr="000800F6">
        <w:t>, Table 4-21, p1</w:t>
      </w:r>
      <w:r>
        <w:t>69</w:t>
      </w:r>
      <w:r w:rsidRPr="000800F6">
        <w:t>, Table 4-27, p1</w:t>
      </w:r>
      <w:r>
        <w:t>74</w:t>
      </w:r>
      <w:r w:rsidRPr="000800F6">
        <w:t>, Table 4-29, p1</w:t>
      </w:r>
      <w:r>
        <w:t>75</w:t>
      </w:r>
      <w:r w:rsidRPr="000800F6">
        <w:t>,</w:t>
      </w:r>
      <w:r>
        <w:t xml:space="preserve"> and</w:t>
      </w:r>
      <w:r w:rsidRPr="000800F6">
        <w:t xml:space="preserve"> Table 4-33, p1</w:t>
      </w:r>
      <w:r>
        <w:t>77</w:t>
      </w:r>
      <w:r w:rsidRPr="000800F6">
        <w:t>, and compiled during the evaluation</w:t>
      </w:r>
    </w:p>
    <w:p w14:paraId="5BD948BF" w14:textId="2503CD0C" w:rsidR="00170BFC" w:rsidRDefault="00170BFC" w:rsidP="00D626D3">
      <w:pPr>
        <w:pStyle w:val="TableFooter"/>
        <w:keepNext/>
        <w:keepLines/>
        <w:jc w:val="both"/>
      </w:pPr>
      <w:r>
        <w:t xml:space="preserve">1L=first line, 2L=second line, ABI=abiraterone, </w:t>
      </w:r>
      <w:r w:rsidR="00A41905" w:rsidRPr="00A41905">
        <w:rPr>
          <w:i/>
          <w:iCs/>
        </w:rPr>
        <w:t>BRCA</w:t>
      </w:r>
      <w:r w:rsidRPr="000800F6">
        <w:t>=</w:t>
      </w:r>
      <w:r>
        <w:rPr>
          <w:i/>
          <w:iCs/>
        </w:rPr>
        <w:t>breast cancer gene</w:t>
      </w:r>
      <w:r w:rsidRPr="000800F6">
        <w:t xml:space="preserve">, </w:t>
      </w:r>
      <w:bookmarkStart w:id="73" w:name="_Hlk143248257"/>
      <w:r>
        <w:t xml:space="preserve">ENZA=enzalutamide, </w:t>
      </w:r>
      <w:bookmarkEnd w:id="73"/>
      <w:r w:rsidRPr="000800F6">
        <w:t>MBS=Medicare Benefits Schedule,</w:t>
      </w:r>
      <w:r w:rsidRPr="00A710AC">
        <w:t xml:space="preserve"> </w:t>
      </w:r>
      <w:r w:rsidRPr="000800F6">
        <w:t>mCRPC=metastatic castrate resistant prostate cancer, NHA=novel hormonal agent</w:t>
      </w:r>
      <w:r>
        <w:t>,</w:t>
      </w:r>
      <w:r w:rsidRPr="000800F6">
        <w:t xml:space="preserve"> </w:t>
      </w:r>
      <w:r>
        <w:t xml:space="preserve">OLA=olaparib, </w:t>
      </w:r>
      <w:r w:rsidRPr="000800F6">
        <w:t>PBS=Pharmaceutical Benefits Scheme, RPBS=Repatriation Schedule of Pharmaceutical Benefits</w:t>
      </w:r>
    </w:p>
    <w:p w14:paraId="39C8AC2A" w14:textId="77777777" w:rsidR="00170BFC" w:rsidRDefault="00170BFC" w:rsidP="00D626D3">
      <w:pPr>
        <w:pStyle w:val="TableFooter"/>
        <w:keepNext/>
        <w:keepLines/>
        <w:ind w:left="165" w:hanging="165"/>
        <w:jc w:val="both"/>
      </w:pPr>
      <w:r w:rsidRPr="005C0820">
        <w:rPr>
          <w:vertAlign w:val="superscript"/>
        </w:rPr>
        <w:t>a</w:t>
      </w:r>
      <w:r>
        <w:tab/>
        <w:t>Calculated, a</w:t>
      </w:r>
      <w:r w:rsidRPr="005C0820">
        <w:t xml:space="preserve">ssuming 12 olaparib and 11.81 abiraterone scripts </w:t>
      </w:r>
      <w:r>
        <w:t xml:space="preserve">per patient </w:t>
      </w:r>
      <w:r w:rsidRPr="005C0820">
        <w:t>per year</w:t>
      </w:r>
      <w:r>
        <w:t>, for the treatment</w:t>
      </w:r>
      <w:r w:rsidRPr="005C0820">
        <w:t xml:space="preserve"> </w:t>
      </w:r>
      <w:r>
        <w:t>duration (based on mean extrapolated ToT)</w:t>
      </w:r>
      <w:r w:rsidRPr="005C0820">
        <w:t>.</w:t>
      </w:r>
    </w:p>
    <w:p w14:paraId="6281ACDC" w14:textId="77777777" w:rsidR="00170BFC" w:rsidRDefault="00170BFC" w:rsidP="00D626D3">
      <w:pPr>
        <w:pStyle w:val="TableFooter"/>
        <w:keepNext/>
        <w:keepLines/>
        <w:jc w:val="both"/>
      </w:pPr>
      <w:r w:rsidRPr="00331CAC">
        <w:rPr>
          <w:vertAlign w:val="superscript"/>
        </w:rPr>
        <w:t>b</w:t>
      </w:r>
      <w:r>
        <w:tab/>
        <w:t>This includes changes to the number of abiraterone, enzalutamide and olaparib monotherapy (2L mCRPC) scripts.</w:t>
      </w:r>
    </w:p>
    <w:p w14:paraId="23D15974" w14:textId="372E65A7" w:rsidR="00170BFC" w:rsidRDefault="00170BFC" w:rsidP="00D626D3">
      <w:pPr>
        <w:pStyle w:val="TableFooter"/>
        <w:keepNext/>
        <w:keepLines/>
        <w:jc w:val="both"/>
      </w:pPr>
      <w:r w:rsidRPr="00021AA5">
        <w:rPr>
          <w:vertAlign w:val="superscript"/>
        </w:rPr>
        <w:t>c</w:t>
      </w:r>
      <w:r w:rsidRPr="00021AA5">
        <w:rPr>
          <w:vertAlign w:val="superscript"/>
        </w:rPr>
        <w:tab/>
      </w:r>
      <w:r w:rsidRPr="00021AA5">
        <w:t xml:space="preserve">This could have included the cost of </w:t>
      </w:r>
      <w:r w:rsidR="003A44AB" w:rsidRPr="00021AA5">
        <w:t xml:space="preserve">administration of </w:t>
      </w:r>
      <w:r w:rsidRPr="00021AA5">
        <w:t>the affected subsequent chemotherapies, including docetaxel and cabazitaxel.</w:t>
      </w:r>
    </w:p>
    <w:p w14:paraId="5206E630" w14:textId="77777777" w:rsidR="0098299D" w:rsidRPr="006D17A4" w:rsidRDefault="0098299D" w:rsidP="00D626D3">
      <w:pPr>
        <w:pStyle w:val="FootnoteText"/>
        <w:keepNext/>
        <w:keepLines/>
        <w:rPr>
          <w:rFonts w:ascii="Arial Narrow" w:hAnsi="Arial Narrow"/>
          <w:i/>
          <w:snapToGrid w:val="0"/>
          <w:sz w:val="18"/>
          <w:szCs w:val="22"/>
        </w:rPr>
      </w:pPr>
      <w:bookmarkStart w:id="74" w:name="_Hlk155959717"/>
      <w:r w:rsidRPr="006D17A4">
        <w:rPr>
          <w:rFonts w:ascii="Arial Narrow" w:hAnsi="Arial Narrow"/>
          <w:i/>
          <w:snapToGrid w:val="0"/>
          <w:sz w:val="18"/>
          <w:szCs w:val="22"/>
        </w:rPr>
        <w:t xml:space="preserve">The redacted values correspond to the following ranges: </w:t>
      </w:r>
    </w:p>
    <w:p w14:paraId="032BD6A0" w14:textId="2822D632" w:rsidR="0098299D" w:rsidRPr="006D17A4" w:rsidRDefault="00EE48AF" w:rsidP="00D626D3">
      <w:pPr>
        <w:pStyle w:val="FootnoteText"/>
        <w:keepNext/>
        <w:keepLines/>
        <w:rPr>
          <w:rFonts w:ascii="Arial Narrow" w:hAnsi="Arial Narrow"/>
          <w:i/>
          <w:snapToGrid w:val="0"/>
          <w:sz w:val="18"/>
          <w:szCs w:val="22"/>
        </w:rPr>
      </w:pPr>
      <w:r>
        <w:rPr>
          <w:rFonts w:ascii="Arial Narrow" w:hAnsi="Arial Narrow"/>
          <w:i/>
          <w:snapToGrid w:val="0"/>
          <w:sz w:val="18"/>
          <w:szCs w:val="22"/>
          <w:vertAlign w:val="superscript"/>
        </w:rPr>
        <w:t>1</w:t>
      </w:r>
      <w:r w:rsidR="0098299D" w:rsidRPr="00E952E8">
        <w:rPr>
          <w:rFonts w:ascii="Arial Narrow" w:hAnsi="Arial Narrow"/>
          <w:i/>
          <w:snapToGrid w:val="0"/>
          <w:sz w:val="18"/>
          <w:szCs w:val="22"/>
          <w:vertAlign w:val="superscript"/>
        </w:rPr>
        <w:t xml:space="preserve"> </w:t>
      </w:r>
      <w:r w:rsidR="0098299D" w:rsidRPr="006D17A4">
        <w:rPr>
          <w:rFonts w:ascii="Arial Narrow" w:hAnsi="Arial Narrow"/>
          <w:i/>
          <w:snapToGrid w:val="0"/>
          <w:sz w:val="18"/>
          <w:szCs w:val="22"/>
        </w:rPr>
        <w:t>500 to &lt; 5,000</w:t>
      </w:r>
    </w:p>
    <w:p w14:paraId="43D56EE6" w14:textId="3B8B3A7B" w:rsidR="0098299D" w:rsidRDefault="00EE48AF" w:rsidP="00D626D3">
      <w:pPr>
        <w:pStyle w:val="FootnoteText"/>
        <w:keepNext/>
        <w:keepLines/>
        <w:rPr>
          <w:rFonts w:ascii="Arial Narrow" w:hAnsi="Arial Narrow"/>
          <w:i/>
          <w:snapToGrid w:val="0"/>
          <w:sz w:val="18"/>
          <w:szCs w:val="22"/>
        </w:rPr>
      </w:pPr>
      <w:r>
        <w:rPr>
          <w:rFonts w:ascii="Arial Narrow" w:hAnsi="Arial Narrow"/>
          <w:i/>
          <w:snapToGrid w:val="0"/>
          <w:sz w:val="18"/>
          <w:szCs w:val="22"/>
          <w:vertAlign w:val="superscript"/>
        </w:rPr>
        <w:t>2</w:t>
      </w:r>
      <w:r w:rsidR="0098299D">
        <w:rPr>
          <w:rFonts w:ascii="Arial Narrow" w:hAnsi="Arial Narrow"/>
          <w:i/>
          <w:snapToGrid w:val="0"/>
          <w:sz w:val="18"/>
          <w:szCs w:val="22"/>
        </w:rPr>
        <w:t xml:space="preserve"> </w:t>
      </w:r>
      <w:r w:rsidR="0098299D" w:rsidRPr="006D17A4">
        <w:rPr>
          <w:rFonts w:ascii="Arial Narrow" w:hAnsi="Arial Narrow"/>
          <w:i/>
          <w:snapToGrid w:val="0"/>
          <w:sz w:val="18"/>
          <w:szCs w:val="22"/>
        </w:rPr>
        <w:t>5,000 to &lt; 10,000</w:t>
      </w:r>
    </w:p>
    <w:p w14:paraId="7C856880" w14:textId="27DC2ACB" w:rsidR="00EE48AF" w:rsidRDefault="00EE48AF" w:rsidP="00D626D3">
      <w:pPr>
        <w:pStyle w:val="FootnoteText"/>
        <w:keepNext/>
        <w:keepLines/>
        <w:rPr>
          <w:rFonts w:ascii="Arial Narrow" w:hAnsi="Arial Narrow"/>
          <w:i/>
          <w:snapToGrid w:val="0"/>
          <w:sz w:val="18"/>
          <w:szCs w:val="22"/>
        </w:rPr>
      </w:pPr>
      <w:r w:rsidRPr="00EE48AF">
        <w:rPr>
          <w:rFonts w:ascii="Arial Narrow" w:hAnsi="Arial Narrow"/>
          <w:i/>
          <w:snapToGrid w:val="0"/>
          <w:sz w:val="18"/>
          <w:szCs w:val="22"/>
          <w:vertAlign w:val="superscript"/>
        </w:rPr>
        <w:t>3</w:t>
      </w:r>
      <w:r>
        <w:rPr>
          <w:rFonts w:ascii="Arial Narrow" w:hAnsi="Arial Narrow"/>
          <w:i/>
          <w:snapToGrid w:val="0"/>
          <w:sz w:val="18"/>
          <w:szCs w:val="22"/>
        </w:rPr>
        <w:t xml:space="preserve"> </w:t>
      </w:r>
      <w:r w:rsidRPr="00EE48AF">
        <w:rPr>
          <w:rFonts w:ascii="Arial Narrow" w:hAnsi="Arial Narrow"/>
          <w:i/>
          <w:snapToGrid w:val="0"/>
          <w:sz w:val="18"/>
          <w:szCs w:val="22"/>
        </w:rPr>
        <w:t>20,000 to &lt; 30,000</w:t>
      </w:r>
    </w:p>
    <w:p w14:paraId="721CA89F" w14:textId="77777777" w:rsidR="00EE48AF" w:rsidRPr="00EE48AF" w:rsidRDefault="00EE48AF" w:rsidP="00D626D3">
      <w:pPr>
        <w:pStyle w:val="FootnoteText"/>
        <w:keepNext/>
        <w:keepLines/>
        <w:rPr>
          <w:rFonts w:ascii="Arial Narrow" w:hAnsi="Arial Narrow"/>
          <w:i/>
          <w:snapToGrid w:val="0"/>
          <w:sz w:val="18"/>
          <w:szCs w:val="22"/>
        </w:rPr>
      </w:pPr>
      <w:r w:rsidRPr="00EE48AF">
        <w:rPr>
          <w:rFonts w:ascii="Arial Narrow" w:hAnsi="Arial Narrow"/>
          <w:i/>
          <w:snapToGrid w:val="0"/>
          <w:sz w:val="18"/>
          <w:szCs w:val="22"/>
          <w:vertAlign w:val="superscript"/>
        </w:rPr>
        <w:t xml:space="preserve">4 </w:t>
      </w:r>
      <w:r w:rsidRPr="00EE48AF">
        <w:rPr>
          <w:rFonts w:ascii="Arial Narrow" w:hAnsi="Arial Narrow"/>
          <w:i/>
          <w:snapToGrid w:val="0"/>
          <w:sz w:val="18"/>
          <w:szCs w:val="22"/>
        </w:rPr>
        <w:t>10,000 to &lt; 20,000</w:t>
      </w:r>
    </w:p>
    <w:p w14:paraId="6210CCC5" w14:textId="5FA32C84" w:rsidR="00EE48AF" w:rsidRPr="00EE48AF" w:rsidRDefault="00EE48AF" w:rsidP="00D626D3">
      <w:pPr>
        <w:pStyle w:val="FootnoteText"/>
        <w:keepNext/>
        <w:keepLines/>
        <w:rPr>
          <w:rFonts w:ascii="Arial Narrow" w:hAnsi="Arial Narrow"/>
          <w:i/>
          <w:snapToGrid w:val="0"/>
          <w:sz w:val="18"/>
          <w:szCs w:val="22"/>
        </w:rPr>
      </w:pPr>
      <w:r w:rsidRPr="00EE48AF">
        <w:rPr>
          <w:rFonts w:ascii="Arial Narrow" w:hAnsi="Arial Narrow"/>
          <w:i/>
          <w:snapToGrid w:val="0"/>
          <w:sz w:val="18"/>
          <w:szCs w:val="22"/>
          <w:vertAlign w:val="superscript"/>
        </w:rPr>
        <w:t>5</w:t>
      </w:r>
      <w:r w:rsidR="003F68CE">
        <w:rPr>
          <w:rFonts w:ascii="Arial Narrow" w:hAnsi="Arial Narrow"/>
          <w:i/>
          <w:snapToGrid w:val="0"/>
          <w:sz w:val="18"/>
          <w:szCs w:val="22"/>
          <w:vertAlign w:val="superscript"/>
        </w:rPr>
        <w:t xml:space="preserve"> </w:t>
      </w:r>
      <w:r w:rsidRPr="00EE48AF">
        <w:rPr>
          <w:rFonts w:ascii="Arial Narrow" w:hAnsi="Arial Narrow"/>
          <w:i/>
          <w:snapToGrid w:val="0"/>
          <w:sz w:val="18"/>
          <w:szCs w:val="22"/>
        </w:rPr>
        <w:t>&lt; 500</w:t>
      </w:r>
    </w:p>
    <w:p w14:paraId="164DA834" w14:textId="22FDB77F" w:rsidR="0098299D" w:rsidRDefault="00FD0B1C" w:rsidP="00D626D3">
      <w:pPr>
        <w:pStyle w:val="FootnoteText"/>
        <w:keepNext/>
        <w:keepLines/>
        <w:rPr>
          <w:rFonts w:ascii="Arial Narrow" w:hAnsi="Arial Narrow"/>
          <w:i/>
          <w:snapToGrid w:val="0"/>
          <w:sz w:val="18"/>
          <w:szCs w:val="22"/>
        </w:rPr>
      </w:pPr>
      <w:r>
        <w:rPr>
          <w:rFonts w:ascii="Arial Narrow" w:hAnsi="Arial Narrow"/>
          <w:i/>
          <w:snapToGrid w:val="0"/>
          <w:sz w:val="18"/>
          <w:szCs w:val="22"/>
          <w:vertAlign w:val="superscript"/>
        </w:rPr>
        <w:t>6</w:t>
      </w:r>
      <w:r w:rsidR="0098299D">
        <w:rPr>
          <w:rFonts w:ascii="Arial Narrow" w:hAnsi="Arial Narrow"/>
          <w:i/>
          <w:snapToGrid w:val="0"/>
          <w:sz w:val="18"/>
          <w:szCs w:val="22"/>
        </w:rPr>
        <w:t xml:space="preserve"> </w:t>
      </w:r>
      <w:r w:rsidR="0098299D" w:rsidRPr="0098299D">
        <w:rPr>
          <w:rFonts w:ascii="Arial Narrow" w:hAnsi="Arial Narrow"/>
          <w:i/>
          <w:snapToGrid w:val="0"/>
          <w:sz w:val="18"/>
          <w:szCs w:val="22"/>
        </w:rPr>
        <w:t>40,000 to &lt; 50,000</w:t>
      </w:r>
    </w:p>
    <w:p w14:paraId="5F639171" w14:textId="7733FC98" w:rsidR="0098299D" w:rsidRPr="0098299D" w:rsidRDefault="00FD0B1C" w:rsidP="00D626D3">
      <w:pPr>
        <w:pStyle w:val="FootnoteText"/>
        <w:keepNext/>
        <w:keepLines/>
        <w:rPr>
          <w:rFonts w:ascii="Arial Narrow" w:hAnsi="Arial Narrow"/>
          <w:i/>
          <w:snapToGrid w:val="0"/>
          <w:sz w:val="18"/>
          <w:szCs w:val="22"/>
        </w:rPr>
      </w:pPr>
      <w:r>
        <w:rPr>
          <w:rFonts w:ascii="Arial Narrow" w:hAnsi="Arial Narrow"/>
          <w:i/>
          <w:snapToGrid w:val="0"/>
          <w:sz w:val="18"/>
          <w:szCs w:val="22"/>
          <w:vertAlign w:val="superscript"/>
        </w:rPr>
        <w:t>7</w:t>
      </w:r>
      <w:r w:rsidR="0098299D" w:rsidRPr="008A5A3A">
        <w:rPr>
          <w:rFonts w:ascii="Arial Narrow" w:hAnsi="Arial Narrow"/>
          <w:i/>
          <w:snapToGrid w:val="0"/>
          <w:sz w:val="18"/>
          <w:szCs w:val="22"/>
          <w:vertAlign w:val="superscript"/>
        </w:rPr>
        <w:t xml:space="preserve"> </w:t>
      </w:r>
      <w:r w:rsidR="0098299D" w:rsidRPr="0098299D">
        <w:rPr>
          <w:rFonts w:ascii="Arial Narrow" w:hAnsi="Arial Narrow"/>
          <w:i/>
          <w:snapToGrid w:val="0"/>
          <w:sz w:val="18"/>
          <w:szCs w:val="22"/>
        </w:rPr>
        <w:t>$0 to &lt; $10 million</w:t>
      </w:r>
    </w:p>
    <w:p w14:paraId="06A44701" w14:textId="4DE72038" w:rsidR="0098299D" w:rsidRPr="0098299D" w:rsidRDefault="00FD0B1C" w:rsidP="00D626D3">
      <w:pPr>
        <w:pStyle w:val="FootnoteText"/>
        <w:keepNext/>
        <w:keepLines/>
        <w:rPr>
          <w:rFonts w:ascii="Arial Narrow" w:hAnsi="Arial Narrow"/>
          <w:i/>
          <w:snapToGrid w:val="0"/>
          <w:sz w:val="18"/>
          <w:szCs w:val="22"/>
        </w:rPr>
      </w:pPr>
      <w:r>
        <w:rPr>
          <w:rFonts w:ascii="Arial Narrow" w:hAnsi="Arial Narrow"/>
          <w:i/>
          <w:snapToGrid w:val="0"/>
          <w:sz w:val="18"/>
          <w:szCs w:val="22"/>
          <w:vertAlign w:val="superscript"/>
        </w:rPr>
        <w:t>8</w:t>
      </w:r>
      <w:r w:rsidR="003F68CE">
        <w:rPr>
          <w:rFonts w:ascii="Arial Narrow" w:hAnsi="Arial Narrow"/>
          <w:i/>
          <w:snapToGrid w:val="0"/>
          <w:sz w:val="18"/>
          <w:szCs w:val="22"/>
          <w:vertAlign w:val="superscript"/>
        </w:rPr>
        <w:t xml:space="preserve"> </w:t>
      </w:r>
      <w:r w:rsidR="0098299D" w:rsidRPr="0098299D">
        <w:rPr>
          <w:rFonts w:ascii="Arial Narrow" w:hAnsi="Arial Narrow"/>
          <w:i/>
          <w:snapToGrid w:val="0"/>
          <w:sz w:val="18"/>
          <w:szCs w:val="22"/>
        </w:rPr>
        <w:t>$10 million to &lt; $20 million</w:t>
      </w:r>
    </w:p>
    <w:p w14:paraId="6744AFED" w14:textId="6FA1F838" w:rsidR="0098299D" w:rsidRDefault="001F68D5" w:rsidP="00D626D3">
      <w:pPr>
        <w:pStyle w:val="FootnoteText"/>
        <w:keepNext/>
        <w:keepLines/>
        <w:rPr>
          <w:rFonts w:ascii="Arial Narrow" w:hAnsi="Arial Narrow"/>
          <w:i/>
          <w:snapToGrid w:val="0"/>
          <w:sz w:val="18"/>
          <w:szCs w:val="22"/>
        </w:rPr>
      </w:pPr>
      <w:r>
        <w:rPr>
          <w:rFonts w:ascii="Arial Narrow" w:hAnsi="Arial Narrow"/>
          <w:i/>
          <w:snapToGrid w:val="0"/>
          <w:sz w:val="18"/>
          <w:szCs w:val="22"/>
          <w:vertAlign w:val="superscript"/>
        </w:rPr>
        <w:t>9</w:t>
      </w:r>
      <w:r w:rsidR="008A5A3A" w:rsidRPr="008A5A3A">
        <w:rPr>
          <w:rFonts w:ascii="Arial Narrow" w:hAnsi="Arial Narrow"/>
          <w:i/>
          <w:snapToGrid w:val="0"/>
          <w:sz w:val="18"/>
          <w:szCs w:val="22"/>
          <w:vertAlign w:val="superscript"/>
        </w:rPr>
        <w:t xml:space="preserve"> </w:t>
      </w:r>
      <w:r w:rsidR="0098299D" w:rsidRPr="0098299D">
        <w:rPr>
          <w:rFonts w:ascii="Arial Narrow" w:hAnsi="Arial Narrow"/>
          <w:i/>
          <w:snapToGrid w:val="0"/>
          <w:sz w:val="18"/>
          <w:szCs w:val="22"/>
        </w:rPr>
        <w:t>$20 million to &lt; $30 million</w:t>
      </w:r>
    </w:p>
    <w:p w14:paraId="58A1FDF9" w14:textId="51E41279" w:rsidR="001F68D5" w:rsidRPr="001F68D5" w:rsidRDefault="001F68D5" w:rsidP="00D626D3">
      <w:pPr>
        <w:pStyle w:val="FootnoteText"/>
        <w:keepNext/>
        <w:keepLines/>
        <w:rPr>
          <w:rFonts w:ascii="Arial Narrow" w:hAnsi="Arial Narrow"/>
          <w:i/>
          <w:snapToGrid w:val="0"/>
          <w:sz w:val="18"/>
          <w:szCs w:val="22"/>
        </w:rPr>
      </w:pPr>
      <w:r w:rsidRPr="001F68D5">
        <w:rPr>
          <w:rFonts w:ascii="Arial Narrow" w:hAnsi="Arial Narrow"/>
          <w:i/>
          <w:snapToGrid w:val="0"/>
          <w:sz w:val="18"/>
          <w:szCs w:val="22"/>
          <w:vertAlign w:val="superscript"/>
        </w:rPr>
        <w:t>1</w:t>
      </w:r>
      <w:r w:rsidR="00581FC5">
        <w:rPr>
          <w:rFonts w:ascii="Arial Narrow" w:hAnsi="Arial Narrow"/>
          <w:i/>
          <w:snapToGrid w:val="0"/>
          <w:sz w:val="18"/>
          <w:szCs w:val="22"/>
          <w:vertAlign w:val="superscript"/>
        </w:rPr>
        <w:t>0</w:t>
      </w:r>
      <w:r w:rsidRPr="001F68D5">
        <w:rPr>
          <w:rFonts w:ascii="Arial Narrow" w:hAnsi="Arial Narrow"/>
          <w:i/>
          <w:snapToGrid w:val="0"/>
          <w:sz w:val="18"/>
          <w:szCs w:val="22"/>
        </w:rPr>
        <w:t xml:space="preserve"> $100 million to &lt; $200 million</w:t>
      </w:r>
    </w:p>
    <w:p w14:paraId="42346D99" w14:textId="35F8C6FA" w:rsidR="00581FC5" w:rsidRPr="00581FC5" w:rsidRDefault="00581FC5" w:rsidP="00D626D3">
      <w:pPr>
        <w:pStyle w:val="FootnoteText"/>
        <w:keepNext/>
        <w:keepLines/>
        <w:rPr>
          <w:rFonts w:ascii="Arial Narrow" w:hAnsi="Arial Narrow"/>
          <w:i/>
          <w:snapToGrid w:val="0"/>
          <w:sz w:val="18"/>
          <w:szCs w:val="22"/>
        </w:rPr>
      </w:pPr>
      <w:r w:rsidRPr="00581FC5">
        <w:rPr>
          <w:rFonts w:ascii="Arial Narrow" w:hAnsi="Arial Narrow"/>
          <w:i/>
          <w:snapToGrid w:val="0"/>
          <w:sz w:val="18"/>
          <w:szCs w:val="22"/>
          <w:vertAlign w:val="superscript"/>
        </w:rPr>
        <w:t>1</w:t>
      </w:r>
      <w:r>
        <w:rPr>
          <w:rFonts w:ascii="Arial Narrow" w:hAnsi="Arial Narrow"/>
          <w:i/>
          <w:snapToGrid w:val="0"/>
          <w:sz w:val="18"/>
          <w:szCs w:val="22"/>
          <w:vertAlign w:val="superscript"/>
        </w:rPr>
        <w:t>1</w:t>
      </w:r>
      <w:r w:rsidRPr="00581FC5">
        <w:rPr>
          <w:rFonts w:ascii="Arial Narrow" w:hAnsi="Arial Narrow"/>
          <w:i/>
          <w:snapToGrid w:val="0"/>
          <w:sz w:val="18"/>
          <w:szCs w:val="22"/>
          <w:vertAlign w:val="superscript"/>
        </w:rPr>
        <w:t xml:space="preserve"> </w:t>
      </w:r>
      <w:r w:rsidRPr="00581FC5">
        <w:rPr>
          <w:rFonts w:ascii="Arial Narrow" w:hAnsi="Arial Narrow"/>
          <w:i/>
          <w:snapToGrid w:val="0"/>
          <w:sz w:val="18"/>
          <w:szCs w:val="22"/>
        </w:rPr>
        <w:t>net cost saving</w:t>
      </w:r>
    </w:p>
    <w:p w14:paraId="6DE48B26" w14:textId="3A7989AB" w:rsidR="00581FC5" w:rsidRPr="00581FC5" w:rsidRDefault="00581FC5" w:rsidP="00D626D3">
      <w:pPr>
        <w:pStyle w:val="FootnoteText"/>
        <w:keepNext/>
        <w:keepLines/>
        <w:rPr>
          <w:rFonts w:ascii="Arial Narrow" w:hAnsi="Arial Narrow"/>
          <w:i/>
          <w:snapToGrid w:val="0"/>
          <w:sz w:val="18"/>
          <w:szCs w:val="22"/>
        </w:rPr>
      </w:pPr>
      <w:r w:rsidRPr="00581FC5">
        <w:rPr>
          <w:rFonts w:ascii="Arial Narrow" w:hAnsi="Arial Narrow"/>
          <w:i/>
          <w:snapToGrid w:val="0"/>
          <w:sz w:val="18"/>
          <w:szCs w:val="22"/>
          <w:vertAlign w:val="superscript"/>
        </w:rPr>
        <w:t>1</w:t>
      </w:r>
      <w:r>
        <w:rPr>
          <w:rFonts w:ascii="Arial Narrow" w:hAnsi="Arial Narrow"/>
          <w:i/>
          <w:snapToGrid w:val="0"/>
          <w:sz w:val="18"/>
          <w:szCs w:val="22"/>
          <w:vertAlign w:val="superscript"/>
        </w:rPr>
        <w:t>2</w:t>
      </w:r>
      <w:r w:rsidRPr="00581FC5">
        <w:rPr>
          <w:rFonts w:ascii="Arial Narrow" w:hAnsi="Arial Narrow"/>
          <w:i/>
          <w:snapToGrid w:val="0"/>
          <w:sz w:val="18"/>
          <w:szCs w:val="22"/>
          <w:vertAlign w:val="superscript"/>
        </w:rPr>
        <w:t xml:space="preserve"> </w:t>
      </w:r>
      <w:r w:rsidRPr="00581FC5">
        <w:rPr>
          <w:rFonts w:ascii="Arial Narrow" w:hAnsi="Arial Narrow"/>
          <w:i/>
          <w:snapToGrid w:val="0"/>
          <w:sz w:val="18"/>
          <w:szCs w:val="22"/>
        </w:rPr>
        <w:t>$90 million to &lt; $100 million</w:t>
      </w:r>
    </w:p>
    <w:p w14:paraId="2727E81A" w14:textId="436E6AF3" w:rsidR="0098299D" w:rsidRPr="0098299D" w:rsidRDefault="00581FC5" w:rsidP="00D626D3">
      <w:pPr>
        <w:pStyle w:val="FootnoteText"/>
        <w:spacing w:after="120"/>
        <w:rPr>
          <w:rFonts w:ascii="Arial Narrow" w:hAnsi="Arial Narrow"/>
          <w:i/>
          <w:snapToGrid w:val="0"/>
          <w:sz w:val="18"/>
          <w:szCs w:val="22"/>
        </w:rPr>
      </w:pPr>
      <w:r>
        <w:rPr>
          <w:rFonts w:ascii="Arial Narrow" w:hAnsi="Arial Narrow"/>
          <w:i/>
          <w:snapToGrid w:val="0"/>
          <w:sz w:val="18"/>
          <w:szCs w:val="22"/>
          <w:vertAlign w:val="superscript"/>
        </w:rPr>
        <w:t>13</w:t>
      </w:r>
      <w:r w:rsidR="008A5A3A" w:rsidRPr="008A5A3A">
        <w:rPr>
          <w:rFonts w:ascii="Arial Narrow" w:hAnsi="Arial Narrow"/>
          <w:i/>
          <w:snapToGrid w:val="0"/>
          <w:sz w:val="18"/>
          <w:szCs w:val="22"/>
          <w:vertAlign w:val="superscript"/>
        </w:rPr>
        <w:t xml:space="preserve"> </w:t>
      </w:r>
      <w:r w:rsidR="0098299D" w:rsidRPr="0098299D">
        <w:rPr>
          <w:rFonts w:ascii="Arial Narrow" w:hAnsi="Arial Narrow"/>
          <w:i/>
          <w:snapToGrid w:val="0"/>
          <w:sz w:val="18"/>
          <w:szCs w:val="22"/>
        </w:rPr>
        <w:t>$80 million to &lt; $90 million</w:t>
      </w:r>
    </w:p>
    <w:bookmarkEnd w:id="74"/>
    <w:p w14:paraId="31616F57" w14:textId="2111E150" w:rsidR="00170BFC" w:rsidRPr="00D021A4" w:rsidRDefault="00170BFC" w:rsidP="00170BFC">
      <w:pPr>
        <w:pStyle w:val="3-BodyText"/>
      </w:pPr>
      <w:r w:rsidRPr="000902D9">
        <w:t xml:space="preserve">The total cost to the PBS/RPBS of listing </w:t>
      </w:r>
      <w:r w:rsidRPr="0075033B">
        <w:t xml:space="preserve">olaparib plus abiraterone </w:t>
      </w:r>
      <w:r w:rsidRPr="000902D9">
        <w:t xml:space="preserve">was estimated </w:t>
      </w:r>
      <w:r>
        <w:t>to be</w:t>
      </w:r>
      <w:r w:rsidRPr="000902D9">
        <w:t xml:space="preserve"> </w:t>
      </w:r>
      <w:r>
        <w:t>$</w:t>
      </w:r>
      <w:r w:rsidR="00F80570" w:rsidRPr="00F80570">
        <w:t>20 million to &lt; $30 </w:t>
      </w:r>
      <w:r w:rsidRPr="000902D9">
        <w:t xml:space="preserve">million in Year </w:t>
      </w:r>
      <w:r>
        <w:t xml:space="preserve">6, and </w:t>
      </w:r>
      <w:r w:rsidRPr="000902D9">
        <w:t>a total of $</w:t>
      </w:r>
      <w:r w:rsidR="00F80570" w:rsidRPr="00F80570">
        <w:t>90 million to &lt; $100 </w:t>
      </w:r>
      <w:r w:rsidRPr="000902D9">
        <w:t>million in the first 6 years of listin</w:t>
      </w:r>
      <w:r>
        <w:t>g.</w:t>
      </w:r>
      <w:r w:rsidR="00CF11D7">
        <w:t xml:space="preserve"> This was reduced by</w:t>
      </w:r>
      <w:r w:rsidR="009A282E">
        <w:t xml:space="preserve"> </w:t>
      </w:r>
      <w:proofErr w:type="gramStart"/>
      <w:r w:rsidR="009A282E" w:rsidRPr="0026182E">
        <w:rPr>
          <w:color w:val="000000"/>
          <w:w w:val="15"/>
          <w:shd w:val="solid" w:color="000000" w:fill="000000"/>
          <w:fitText w:val="-20" w:id="-1031540477"/>
          <w14:textFill>
            <w14:solidFill>
              <w14:srgbClr w14:val="000000">
                <w14:alpha w14:val="100000"/>
              </w14:srgbClr>
            </w14:solidFill>
          </w14:textFill>
        </w:rPr>
        <w:t xml:space="preserve">|  </w:t>
      </w:r>
      <w:r w:rsidR="009A282E" w:rsidRPr="0026182E">
        <w:rPr>
          <w:color w:val="000000"/>
          <w:spacing w:val="-69"/>
          <w:w w:val="15"/>
          <w:shd w:val="solid" w:color="000000" w:fill="000000"/>
          <w:fitText w:val="-20" w:id="-1031540477"/>
          <w14:textFill>
            <w14:solidFill>
              <w14:srgbClr w14:val="000000">
                <w14:alpha w14:val="100000"/>
              </w14:srgbClr>
            </w14:solidFill>
          </w14:textFill>
        </w:rPr>
        <w:t>|</w:t>
      </w:r>
      <w:proofErr w:type="gramEnd"/>
      <w:r w:rsidR="009A282E" w:rsidRPr="00C34A5D">
        <w:t xml:space="preserve">% </w:t>
      </w:r>
      <w:r w:rsidR="00CF11D7">
        <w:t xml:space="preserve">in the pre-PBAC response to </w:t>
      </w:r>
      <w:r w:rsidR="00CF11D7" w:rsidRPr="00A82887">
        <w:rPr>
          <w:rFonts w:cstheme="minorHAnsi"/>
        </w:rPr>
        <w:t>$</w:t>
      </w:r>
      <w:r w:rsidR="00F80570" w:rsidRPr="00A82887">
        <w:rPr>
          <w:rFonts w:cstheme="minorHAnsi"/>
          <w:color w:val="333333"/>
        </w:rPr>
        <w:t>80 million to &lt; $90 </w:t>
      </w:r>
      <w:r w:rsidR="00CF11D7" w:rsidRPr="00A82887">
        <w:rPr>
          <w:rFonts w:cstheme="minorHAnsi"/>
        </w:rPr>
        <w:t>million</w:t>
      </w:r>
      <w:r w:rsidR="00CF11D7">
        <w:t xml:space="preserve"> over the first 6 years of listing</w:t>
      </w:r>
      <w:r w:rsidR="001316D7">
        <w:t xml:space="preserve"> due to the reduction in the price and to the treatment duration</w:t>
      </w:r>
      <w:r w:rsidR="00CF11D7">
        <w:t>.</w:t>
      </w:r>
    </w:p>
    <w:p w14:paraId="01F918ED" w14:textId="77777777" w:rsidR="00170BFC" w:rsidRPr="00940BEC" w:rsidRDefault="00170BFC" w:rsidP="00170BFC">
      <w:pPr>
        <w:pStyle w:val="3-BodyText"/>
      </w:pPr>
      <w:bookmarkStart w:id="75" w:name="_Ref148004902"/>
      <w:r w:rsidRPr="00940BEC">
        <w:t>The proposed financial estimates are uncertain for the following reasons:</w:t>
      </w:r>
      <w:bookmarkEnd w:id="75"/>
    </w:p>
    <w:p w14:paraId="4C3DF80A" w14:textId="420BF4E2" w:rsidR="00170BFC" w:rsidRPr="00940BEC" w:rsidRDefault="00170BFC" w:rsidP="005B3CCC">
      <w:pPr>
        <w:pStyle w:val="3-BodyText"/>
        <w:numPr>
          <w:ilvl w:val="0"/>
          <w:numId w:val="9"/>
        </w:numPr>
      </w:pPr>
      <w:r w:rsidRPr="00940BEC">
        <w:t xml:space="preserve">ToT may be overestimated: i) Mean ToT was estimated from extrapolated </w:t>
      </w:r>
      <w:r w:rsidR="00FB1722">
        <w:t>Kaplan-Meier</w:t>
      </w:r>
      <w:r w:rsidR="00FB1722" w:rsidRPr="00940BEC">
        <w:t xml:space="preserve"> </w:t>
      </w:r>
      <w:r w:rsidRPr="00940BEC">
        <w:t xml:space="preserve">ToT </w:t>
      </w:r>
      <w:r w:rsidR="00FB1722">
        <w:t xml:space="preserve">data </w:t>
      </w:r>
      <w:r w:rsidRPr="00940BEC">
        <w:t xml:space="preserve">in the </w:t>
      </w:r>
      <w:r w:rsidR="006C3ED1" w:rsidRPr="00940BEC">
        <w:t>BRCA1/2</w:t>
      </w:r>
      <w:r w:rsidRPr="00940BEC">
        <w:t xml:space="preserve"> subgroup of PROpel, but as previously mentioned </w:t>
      </w:r>
      <w:r w:rsidRPr="00940BEC">
        <w:lastRenderedPageBreak/>
        <w:t xml:space="preserve">the source of these data was unclear; ii) the submission assumed that both initiating and ongoing patients had the same mean treatment duration each year. This may not be </w:t>
      </w:r>
      <w:r w:rsidR="006F7D4D" w:rsidRPr="00940BEC">
        <w:t xml:space="preserve">clinically plausible </w:t>
      </w:r>
      <w:r w:rsidRPr="00940BEC">
        <w:t>as</w:t>
      </w:r>
      <w:r w:rsidR="006F7D4D" w:rsidRPr="00940BEC">
        <w:t xml:space="preserve"> continuing</w:t>
      </w:r>
      <w:r w:rsidRPr="00940BEC">
        <w:t xml:space="preserve"> patients may discontinue earlier than incident patients</w:t>
      </w:r>
      <w:r w:rsidR="006F7D4D" w:rsidRPr="00940BEC">
        <w:t>,</w:t>
      </w:r>
      <w:r w:rsidRPr="00940BEC">
        <w:t xml:space="preserve"> </w:t>
      </w:r>
      <w:bookmarkStart w:id="76" w:name="_Hlk143206635"/>
      <w:r w:rsidR="006F7D4D" w:rsidRPr="00940BEC">
        <w:t>given they have received treatment for longer and are more likely to progress due</w:t>
      </w:r>
      <w:r w:rsidRPr="00940BEC">
        <w:t xml:space="preserve"> to longer disease duration.</w:t>
      </w:r>
    </w:p>
    <w:bookmarkEnd w:id="76"/>
    <w:p w14:paraId="00617D78" w14:textId="34C6750E" w:rsidR="00170BFC" w:rsidRPr="00940BEC" w:rsidRDefault="00170BFC" w:rsidP="005B3CCC">
      <w:pPr>
        <w:pStyle w:val="MainBodyBulletPoint"/>
        <w:numPr>
          <w:ilvl w:val="0"/>
          <w:numId w:val="9"/>
        </w:numPr>
        <w:jc w:val="both"/>
      </w:pPr>
      <w:r w:rsidRPr="00940BEC">
        <w:t xml:space="preserve">The projected NHA uptake in earlier treatment stages was likely underestimated, particularly in </w:t>
      </w:r>
      <w:r w:rsidR="00AF5135" w:rsidRPr="00940BEC">
        <w:t>mHSPC</w:t>
      </w:r>
      <w:r w:rsidRPr="00940BEC">
        <w:t>. Th</w:t>
      </w:r>
      <w:r w:rsidR="00013101" w:rsidRPr="00940BEC">
        <w:t>e ESC considered that</w:t>
      </w:r>
      <w:r w:rsidR="00C70570" w:rsidRPr="00940BEC">
        <w:t xml:space="preserve"> the estimate that 43% of mCRPC patients would be NHA naïve in Years 3</w:t>
      </w:r>
      <w:r w:rsidR="00FB1722">
        <w:t xml:space="preserve"> to </w:t>
      </w:r>
      <w:r w:rsidR="00C70570" w:rsidRPr="00940BEC">
        <w:t>6 was high and that it</w:t>
      </w:r>
      <w:r w:rsidR="00013101" w:rsidRPr="00940BEC">
        <w:t xml:space="preserve"> </w:t>
      </w:r>
      <w:r w:rsidRPr="00940BEC">
        <w:t>led to an overestimation of NHA-naïve patients at mCRPC stage. Projected NHA use in first line mCRPC may also be underestimated</w:t>
      </w:r>
      <w:r w:rsidR="00013101" w:rsidRPr="00940BEC">
        <w:t xml:space="preserve">. </w:t>
      </w:r>
      <w:r w:rsidR="00C70570" w:rsidRPr="00940BEC">
        <w:t>T</w:t>
      </w:r>
      <w:r w:rsidR="00013101" w:rsidRPr="00940BEC">
        <w:t>he ESC considered that the number of NHA-naïve patients in the mCRPC setting would likely decrease over the forward estimates</w:t>
      </w:r>
      <w:r w:rsidRPr="00940BEC">
        <w:t>.</w:t>
      </w:r>
      <w:r w:rsidR="00C70570" w:rsidRPr="00940BEC">
        <w:t xml:space="preserve"> The ESC noted that a sensitivity analysis in which the uptake of NHAs in prior lines of therapy was increased by </w:t>
      </w:r>
      <w:r w:rsidR="00C70570" w:rsidRPr="00E15FB7">
        <w:t>10</w:t>
      </w:r>
      <w:r w:rsidR="00C70570" w:rsidRPr="00940BEC">
        <w:t xml:space="preserve">% decreased the 6-year budget by </w:t>
      </w:r>
      <w:r w:rsidR="00C70570" w:rsidRPr="00E15FB7">
        <w:t>12</w:t>
      </w:r>
      <w:r w:rsidR="00C70570" w:rsidRPr="00940BEC">
        <w:t>% to $</w:t>
      </w:r>
      <w:r w:rsidR="00F80570" w:rsidRPr="00F80570">
        <w:t xml:space="preserve">80 million to &lt; $90 </w:t>
      </w:r>
      <w:r w:rsidR="00C70570" w:rsidRPr="00940BEC">
        <w:t>million from a base case of $</w:t>
      </w:r>
      <w:r w:rsidR="00F80570" w:rsidRPr="00F80570">
        <w:t>90 million to &lt;</w:t>
      </w:r>
      <w:r w:rsidR="003727F2">
        <w:t> </w:t>
      </w:r>
      <w:r w:rsidR="00F80570" w:rsidRPr="00F80570">
        <w:t>$100</w:t>
      </w:r>
      <w:r w:rsidR="003727F2">
        <w:t> </w:t>
      </w:r>
      <w:r w:rsidR="00C70570" w:rsidRPr="00940BEC">
        <w:t>million.</w:t>
      </w:r>
    </w:p>
    <w:p w14:paraId="371702F1" w14:textId="69B037C3" w:rsidR="00170BFC" w:rsidRPr="00940BEC" w:rsidRDefault="00170BFC" w:rsidP="005B3CCC">
      <w:pPr>
        <w:pStyle w:val="3-BodyText"/>
        <w:numPr>
          <w:ilvl w:val="0"/>
          <w:numId w:val="9"/>
        </w:numPr>
        <w:rPr>
          <w:rFonts w:cstheme="minorHAnsi"/>
        </w:rPr>
      </w:pPr>
      <w:r w:rsidRPr="00940BEC">
        <w:t xml:space="preserve">Cost offsets for reductions in use of enzalutamide or abiraterone monotherapy in mCRPC may be overestimated due to a likely overestimate of the mean treatment duration (14.3 months). This was higher than </w:t>
      </w:r>
      <w:r w:rsidR="00531272" w:rsidRPr="00940BEC">
        <w:t>the</w:t>
      </w:r>
      <w:r w:rsidRPr="00940BEC">
        <w:t xml:space="preserve"> DUSC analysis in April 2022 that </w:t>
      </w:r>
      <w:r w:rsidR="00B305CF" w:rsidRPr="00940BEC">
        <w:t xml:space="preserve">reported </w:t>
      </w:r>
      <w:r w:rsidR="00A55E2C" w:rsidRPr="00940BEC">
        <w:t xml:space="preserve">an average combined </w:t>
      </w:r>
      <w:r w:rsidRPr="00940BEC">
        <w:t>treatment duration for abiraterone and enzalutamide</w:t>
      </w:r>
      <w:r w:rsidR="00A55E2C" w:rsidRPr="00940BEC">
        <w:t xml:space="preserve"> of </w:t>
      </w:r>
      <w:r w:rsidRPr="00940BEC">
        <w:t xml:space="preserve">11.8 months </w:t>
      </w:r>
      <w:r w:rsidR="00A55E2C" w:rsidRPr="00940BEC">
        <w:t>on the PBS (see</w:t>
      </w:r>
      <w:r w:rsidR="004C21F9" w:rsidRPr="00940BEC">
        <w:t xml:space="preserve"> paragraph</w:t>
      </w:r>
      <w:r w:rsidR="00A55E2C" w:rsidRPr="00940BEC">
        <w:t xml:space="preserve"> </w:t>
      </w:r>
      <w:r w:rsidR="004C21F9" w:rsidRPr="00940BEC">
        <w:fldChar w:fldCharType="begin" w:fldLock="1"/>
      </w:r>
      <w:r w:rsidR="004C21F9" w:rsidRPr="00940BEC">
        <w:instrText xml:space="preserve"> REF _Ref143507435 \r \h </w:instrText>
      </w:r>
      <w:r w:rsidR="00940BEC" w:rsidRPr="00940BEC">
        <w:instrText xml:space="preserve"> \* MERGEFORMAT </w:instrText>
      </w:r>
      <w:r w:rsidR="004C21F9" w:rsidRPr="00940BEC">
        <w:fldChar w:fldCharType="separate"/>
      </w:r>
      <w:r w:rsidR="001316D7">
        <w:t>6.54</w:t>
      </w:r>
      <w:r w:rsidR="004C21F9" w:rsidRPr="00940BEC">
        <w:fldChar w:fldCharType="end"/>
      </w:r>
      <w:r w:rsidR="006F7FD9" w:rsidRPr="00940BEC">
        <w:t>)</w:t>
      </w:r>
      <w:r w:rsidRPr="00940BEC">
        <w:t xml:space="preserve">. Using 11.8 months as mean ToT for NHAs decreased the cost offset and increased the 6-year budget by </w:t>
      </w:r>
      <w:r w:rsidR="00C321C4" w:rsidRPr="00E15FB7">
        <w:t>2</w:t>
      </w:r>
      <w:r w:rsidRPr="00E15FB7">
        <w:t>%</w:t>
      </w:r>
      <w:r w:rsidRPr="00940BEC">
        <w:t xml:space="preserve"> to $</w:t>
      </w:r>
      <w:r w:rsidR="00F80570" w:rsidRPr="00F80570">
        <w:t xml:space="preserve">90 million to &lt; $100 </w:t>
      </w:r>
      <w:r w:rsidR="00C321C4" w:rsidRPr="00940BEC">
        <w:t>million</w:t>
      </w:r>
      <w:r w:rsidRPr="00940BEC">
        <w:t>.</w:t>
      </w:r>
      <w:r w:rsidR="00013101" w:rsidRPr="00940BEC">
        <w:t xml:space="preserve"> </w:t>
      </w:r>
      <w:r w:rsidR="00013101" w:rsidRPr="00940BEC">
        <w:rPr>
          <w:rFonts w:cstheme="minorHAnsi"/>
          <w:bCs/>
        </w:rPr>
        <w:t xml:space="preserve">The ESC considered that NHA monotherapy duration of therapy would potentially be shorter than 11.8 months as patients with BRCA1/2 </w:t>
      </w:r>
      <w:r w:rsidR="00C70570" w:rsidRPr="00940BEC">
        <w:rPr>
          <w:rFonts w:cstheme="minorHAnsi"/>
          <w:bCs/>
        </w:rPr>
        <w:t>pathogenic variants</w:t>
      </w:r>
      <w:r w:rsidR="00013101" w:rsidRPr="00940BEC">
        <w:rPr>
          <w:rFonts w:cstheme="minorHAnsi"/>
          <w:bCs/>
        </w:rPr>
        <w:t xml:space="preserve"> are less responsive to NHAs.</w:t>
      </w:r>
    </w:p>
    <w:p w14:paraId="08D8A0B0" w14:textId="50A76B57" w:rsidR="00170BFC" w:rsidRPr="00940BEC" w:rsidRDefault="00170BFC" w:rsidP="005B3CCC">
      <w:pPr>
        <w:pStyle w:val="ListParagraph"/>
        <w:numPr>
          <w:ilvl w:val="0"/>
          <w:numId w:val="9"/>
        </w:numPr>
      </w:pPr>
      <w:r w:rsidRPr="00940BEC">
        <w:t xml:space="preserve">The omission of taxane-based subsequent therapy and administration costs was inappropriate. The submission only included subsequent olaparib monotherapy in the comparator arm, which contrasts with the inclusion of docetaxel and cabazitaxel after disease progression in </w:t>
      </w:r>
      <w:r w:rsidR="00013101" w:rsidRPr="00940BEC">
        <w:t>the economic model</w:t>
      </w:r>
      <w:r w:rsidRPr="00940BEC">
        <w:t xml:space="preserve">. Given patients who progress on olaparib plus abiraterone lack the option of subsequent olaparib monotherapy or NHAs, they are likely to be treated with taxanes. This omission is likely to lead to an underestimation of costs in patients treated with olaparib plus abiraterone. However, given the significantly lower cost of docetaxel and cabazitaxel versus olaparib and NHA, this was unlikely to be a key cost driver. </w:t>
      </w:r>
    </w:p>
    <w:p w14:paraId="79992639" w14:textId="3F44420D" w:rsidR="00170BFC" w:rsidRPr="00940BEC" w:rsidRDefault="00170BFC" w:rsidP="00170BFC">
      <w:pPr>
        <w:pStyle w:val="3-BodyText"/>
        <w:rPr>
          <w:color w:val="0066FF"/>
        </w:rPr>
      </w:pPr>
      <w:r w:rsidRPr="00940BEC">
        <w:t>Overall, the net costs associated with the PBS-listing of olaparib plus abiraterone are uncertain</w:t>
      </w:r>
      <w:r w:rsidR="00013101" w:rsidRPr="00940BEC">
        <w:t>, particularly in the latter years of the forward estimates</w:t>
      </w:r>
      <w:r w:rsidRPr="00940BEC">
        <w:t>. Given the above,</w:t>
      </w:r>
      <w:r w:rsidR="00C70570" w:rsidRPr="00940BEC">
        <w:t xml:space="preserve"> the ESC considered that</w:t>
      </w:r>
      <w:r w:rsidRPr="00940BEC">
        <w:t xml:space="preserve"> the PBS/RPBS cost for olaparib plus abiraterone was likely </w:t>
      </w:r>
      <w:r w:rsidR="00C70570" w:rsidRPr="00940BEC">
        <w:t xml:space="preserve">substantially </w:t>
      </w:r>
      <w:r w:rsidRPr="00940BEC">
        <w:t xml:space="preserve">overestimated </w:t>
      </w:r>
      <w:r w:rsidR="00B840E2" w:rsidRPr="00940BEC">
        <w:t xml:space="preserve">as the use of NHAs </w:t>
      </w:r>
      <w:r w:rsidR="00C70570" w:rsidRPr="00940BEC">
        <w:t xml:space="preserve">earlier in the </w:t>
      </w:r>
      <w:r w:rsidR="00B840E2" w:rsidRPr="00940BEC">
        <w:t xml:space="preserve">prostate cancer treatment </w:t>
      </w:r>
      <w:r w:rsidR="00C70570" w:rsidRPr="00940BEC">
        <w:t xml:space="preserve">algorithm </w:t>
      </w:r>
      <w:r w:rsidR="00B840E2" w:rsidRPr="00940BEC">
        <w:t>is likely higher than estimated, thus reducing the number of NHA-naïve patients eligible for treatment in mCRPC</w:t>
      </w:r>
      <w:r w:rsidRPr="00940BEC">
        <w:t xml:space="preserve">. This </w:t>
      </w:r>
      <w:r w:rsidR="006F7D4D" w:rsidRPr="00940BEC">
        <w:t xml:space="preserve">may be, </w:t>
      </w:r>
      <w:r w:rsidRPr="00940BEC">
        <w:t xml:space="preserve">however, </w:t>
      </w:r>
      <w:r w:rsidR="003A44AB" w:rsidRPr="00940BEC">
        <w:t xml:space="preserve">at least partially </w:t>
      </w:r>
      <w:r w:rsidRPr="00940BEC">
        <w:t xml:space="preserve">offset by the overestimation of cost offsets (driven by an overestimation of NHA treatment duration </w:t>
      </w:r>
      <w:r w:rsidR="00C70570" w:rsidRPr="00940BEC">
        <w:t xml:space="preserve">in patients with BRCA1/2 pathogenic variants </w:t>
      </w:r>
      <w:r w:rsidRPr="00940BEC">
        <w:t xml:space="preserve">on </w:t>
      </w:r>
      <w:r w:rsidR="00C70570" w:rsidRPr="00940BEC">
        <w:t xml:space="preserve">the </w:t>
      </w:r>
      <w:r w:rsidRPr="00940BEC">
        <w:t>PBS).</w:t>
      </w:r>
    </w:p>
    <w:p w14:paraId="035C51F2" w14:textId="0137585C" w:rsidR="00170BFC" w:rsidRPr="00940BEC" w:rsidRDefault="00170BFC" w:rsidP="00170BFC">
      <w:pPr>
        <w:pStyle w:val="3-BodyText"/>
      </w:pPr>
      <w:r w:rsidRPr="00940BEC">
        <w:lastRenderedPageBreak/>
        <w:t>The financial estimates were sensitive to changes in the number of patients eligible for olaparib (incl</w:t>
      </w:r>
      <w:r w:rsidR="00B840E2" w:rsidRPr="00940BEC">
        <w:t>uding</w:t>
      </w:r>
      <w:r w:rsidRPr="00940BEC">
        <w:t xml:space="preserve"> prevalence and test uptake rate of </w:t>
      </w:r>
      <w:r w:rsidR="006C3ED1" w:rsidRPr="00940BEC">
        <w:t>BRCA1/2</w:t>
      </w:r>
      <w:r w:rsidRPr="00940BEC">
        <w:t xml:space="preserve"> pathogenic variants, disease progression, and NHA uptake rates in earlier treatment stages), treatment duration of NHA monotherapy, progression rate following first</w:t>
      </w:r>
      <w:r w:rsidR="00C70570" w:rsidRPr="00940BEC">
        <w:t xml:space="preserve"> </w:t>
      </w:r>
      <w:r w:rsidRPr="00940BEC">
        <w:t>line mCRPC NHA monotherapy, subsequent initiation of second</w:t>
      </w:r>
      <w:r w:rsidR="00C70570" w:rsidRPr="00940BEC">
        <w:t xml:space="preserve"> </w:t>
      </w:r>
      <w:r w:rsidRPr="00940BEC">
        <w:t>line olaparib monotherapy and olaparib price.</w:t>
      </w:r>
    </w:p>
    <w:p w14:paraId="07C0607F" w14:textId="77777777" w:rsidR="00170BFC" w:rsidRPr="00C9624D" w:rsidRDefault="00170BFC" w:rsidP="00170BFC">
      <w:pPr>
        <w:pStyle w:val="4-SubsectionHeading"/>
      </w:pPr>
      <w:bookmarkStart w:id="77" w:name="_Toc22897648"/>
      <w:bookmarkStart w:id="78" w:name="_Toc145075513"/>
      <w:r w:rsidRPr="00C9624D">
        <w:t>Quality Use of Medicines</w:t>
      </w:r>
      <w:bookmarkEnd w:id="77"/>
      <w:bookmarkEnd w:id="78"/>
    </w:p>
    <w:p w14:paraId="7A42A8B9" w14:textId="6450E9D0" w:rsidR="00170BFC" w:rsidRDefault="00170BFC" w:rsidP="00170BFC">
      <w:pPr>
        <w:pStyle w:val="3-BodyText"/>
      </w:pPr>
      <w:r w:rsidRPr="00210D66">
        <w:t>The submission stated that the sponsor will work collaboratively with health care professionals to ensure that olaparib is used appropriately and in line with the available clinical evidence and TGA restriction.</w:t>
      </w:r>
    </w:p>
    <w:p w14:paraId="6A4FB113" w14:textId="77777777" w:rsidR="00170BFC" w:rsidRPr="00C9624D" w:rsidRDefault="00170BFC" w:rsidP="00170BFC">
      <w:pPr>
        <w:pStyle w:val="4-SubsectionHeading"/>
      </w:pPr>
      <w:bookmarkStart w:id="79" w:name="_Toc22897649"/>
      <w:bookmarkStart w:id="80" w:name="_Toc145075514"/>
      <w:r w:rsidRPr="00C9624D">
        <w:t>Financial Management – Risk Sharing Arrangements</w:t>
      </w:r>
      <w:bookmarkEnd w:id="79"/>
      <w:bookmarkEnd w:id="80"/>
    </w:p>
    <w:p w14:paraId="0E490716" w14:textId="461FA8E8" w:rsidR="00170BFC" w:rsidRDefault="00170BFC" w:rsidP="00170BFC">
      <w:pPr>
        <w:pStyle w:val="3-BodyText"/>
      </w:pPr>
      <w:r w:rsidRPr="00C34A5D">
        <w:t xml:space="preserve">The submission outlined the Risk Share Arrangement (RSA) for the current olaparib monotherapy restriction, effective since April 1, 2022. This includes a </w:t>
      </w:r>
      <w:r w:rsidR="003C22C5" w:rsidRPr="003C22C5">
        <w:t xml:space="preserve"> </w:t>
      </w:r>
      <w:r w:rsidR="00B7116A" w:rsidRPr="0026182E">
        <w:rPr>
          <w:color w:val="000000"/>
          <w:w w:val="15"/>
          <w:shd w:val="solid" w:color="000000" w:fill="000000"/>
          <w:fitText w:val="-20" w:id="-1031540477"/>
          <w14:textFill>
            <w14:solidFill>
              <w14:srgbClr w14:val="000000">
                <w14:alpha w14:val="100000"/>
              </w14:srgbClr>
            </w14:solidFill>
          </w14:textFill>
        </w:rPr>
        <w:t xml:space="preserve">|  </w:t>
      </w:r>
      <w:r w:rsidR="00B7116A" w:rsidRPr="0026182E">
        <w:rPr>
          <w:color w:val="000000"/>
          <w:spacing w:val="-69"/>
          <w:w w:val="15"/>
          <w:shd w:val="solid" w:color="000000" w:fill="000000"/>
          <w:fitText w:val="-20" w:id="-1031540477"/>
          <w14:textFill>
            <w14:solidFill>
              <w14:srgbClr w14:val="000000">
                <w14:alpha w14:val="100000"/>
              </w14:srgbClr>
            </w14:solidFill>
          </w14:textFill>
        </w:rPr>
        <w:t>|</w:t>
      </w:r>
      <w:r w:rsidRPr="00C34A5D">
        <w:t xml:space="preserve">% rebate beyond the financial caps and expires on March 31, 2027. The submission also detailed the projected expenditure caps for the new olaparib combination therapy listing. It suggested creating an RSA considering the combined expenditure caps for olaparib treatment in first- and second-line settings, as illustrated in </w:t>
      </w:r>
      <w:r w:rsidR="0071418B">
        <w:fldChar w:fldCharType="begin" w:fldLock="1"/>
      </w:r>
      <w:r w:rsidR="0071418B">
        <w:instrText xml:space="preserve"> REF _Ref143259221 \h </w:instrText>
      </w:r>
      <w:r w:rsidR="0071418B">
        <w:fldChar w:fldCharType="separate"/>
      </w:r>
      <w:r w:rsidR="006F331F">
        <w:t xml:space="preserve">Table </w:t>
      </w:r>
      <w:r w:rsidR="006F331F">
        <w:rPr>
          <w:noProof/>
        </w:rPr>
        <w:t>16</w:t>
      </w:r>
      <w:r w:rsidR="0071418B">
        <w:fldChar w:fldCharType="end"/>
      </w:r>
      <w:r w:rsidR="0071418B">
        <w:t>.</w:t>
      </w:r>
    </w:p>
    <w:p w14:paraId="22A1A106" w14:textId="69F41ED7" w:rsidR="00170BFC" w:rsidRDefault="00170BFC" w:rsidP="00170BFC">
      <w:pPr>
        <w:pStyle w:val="Caption"/>
        <w:rPr>
          <w:lang w:bidi="en-US"/>
        </w:rPr>
      </w:pPr>
      <w:bookmarkStart w:id="81" w:name="_Ref143259221"/>
      <w:r>
        <w:t xml:space="preserve">Table </w:t>
      </w:r>
      <w:fldSimple w:instr=" SEQ Table \* ARABIC " w:fldLock="1">
        <w:r w:rsidR="006F331F">
          <w:rPr>
            <w:noProof/>
          </w:rPr>
          <w:t>16</w:t>
        </w:r>
      </w:fldSimple>
      <w:bookmarkEnd w:id="81"/>
      <w:r>
        <w:t xml:space="preserve">: </w:t>
      </w:r>
      <w:r>
        <w:rPr>
          <w:lang w:bidi="en-US"/>
        </w:rPr>
        <w:t>Expenditure caps for olaparib in the first and second line of mCRPC therapy</w:t>
      </w:r>
    </w:p>
    <w:tbl>
      <w:tblPr>
        <w:tblStyle w:val="TableGrid"/>
        <w:tblW w:w="5000" w:type="pct"/>
        <w:tblLook w:val="04A0" w:firstRow="1" w:lastRow="0" w:firstColumn="1" w:lastColumn="0" w:noHBand="0" w:noVBand="1"/>
      </w:tblPr>
      <w:tblGrid>
        <w:gridCol w:w="2243"/>
        <w:gridCol w:w="1129"/>
        <w:gridCol w:w="1129"/>
        <w:gridCol w:w="1129"/>
        <w:gridCol w:w="1129"/>
        <w:gridCol w:w="1129"/>
        <w:gridCol w:w="1129"/>
      </w:tblGrid>
      <w:tr w:rsidR="00170BFC" w:rsidRPr="0032799C" w14:paraId="41B0B4EE" w14:textId="77777777" w:rsidTr="00C407DD">
        <w:trPr>
          <w:trHeight w:val="177"/>
        </w:trPr>
        <w:tc>
          <w:tcPr>
            <w:tcW w:w="1244" w:type="pct"/>
            <w:noWrap/>
            <w:hideMark/>
          </w:tcPr>
          <w:p w14:paraId="2DAB2857" w14:textId="77777777" w:rsidR="00170BFC" w:rsidRPr="0032799C" w:rsidRDefault="00170BFC" w:rsidP="00C407DD">
            <w:pPr>
              <w:pStyle w:val="TableText0"/>
              <w:rPr>
                <w:b/>
                <w:bCs w:val="0"/>
              </w:rPr>
            </w:pPr>
          </w:p>
        </w:tc>
        <w:tc>
          <w:tcPr>
            <w:tcW w:w="626" w:type="pct"/>
            <w:noWrap/>
            <w:hideMark/>
          </w:tcPr>
          <w:p w14:paraId="1A375E2F" w14:textId="77777777" w:rsidR="00170BFC" w:rsidRPr="0032799C" w:rsidRDefault="00170BFC" w:rsidP="00C407DD">
            <w:pPr>
              <w:pStyle w:val="TableText0"/>
              <w:rPr>
                <w:b/>
                <w:bCs w:val="0"/>
              </w:rPr>
            </w:pPr>
            <w:r w:rsidRPr="0032799C">
              <w:rPr>
                <w:b/>
                <w:bCs w:val="0"/>
              </w:rPr>
              <w:t>2024</w:t>
            </w:r>
          </w:p>
        </w:tc>
        <w:tc>
          <w:tcPr>
            <w:tcW w:w="626" w:type="pct"/>
            <w:noWrap/>
            <w:hideMark/>
          </w:tcPr>
          <w:p w14:paraId="5924FCFA" w14:textId="77777777" w:rsidR="00170BFC" w:rsidRPr="0032799C" w:rsidRDefault="00170BFC" w:rsidP="00C407DD">
            <w:pPr>
              <w:pStyle w:val="TableText0"/>
              <w:rPr>
                <w:b/>
                <w:bCs w:val="0"/>
              </w:rPr>
            </w:pPr>
            <w:r w:rsidRPr="0032799C">
              <w:rPr>
                <w:b/>
                <w:bCs w:val="0"/>
              </w:rPr>
              <w:t>2025</w:t>
            </w:r>
          </w:p>
        </w:tc>
        <w:tc>
          <w:tcPr>
            <w:tcW w:w="626" w:type="pct"/>
            <w:noWrap/>
            <w:hideMark/>
          </w:tcPr>
          <w:p w14:paraId="7B09DCBB" w14:textId="77777777" w:rsidR="00170BFC" w:rsidRPr="0032799C" w:rsidRDefault="00170BFC" w:rsidP="00C407DD">
            <w:pPr>
              <w:pStyle w:val="TableText0"/>
              <w:rPr>
                <w:b/>
                <w:bCs w:val="0"/>
              </w:rPr>
            </w:pPr>
            <w:r w:rsidRPr="0032799C">
              <w:rPr>
                <w:b/>
                <w:bCs w:val="0"/>
              </w:rPr>
              <w:t>2026</w:t>
            </w:r>
          </w:p>
        </w:tc>
        <w:tc>
          <w:tcPr>
            <w:tcW w:w="626" w:type="pct"/>
            <w:noWrap/>
            <w:hideMark/>
          </w:tcPr>
          <w:p w14:paraId="4465F0F0" w14:textId="77777777" w:rsidR="00170BFC" w:rsidRPr="0032799C" w:rsidRDefault="00170BFC" w:rsidP="00C407DD">
            <w:pPr>
              <w:pStyle w:val="TableText0"/>
              <w:rPr>
                <w:b/>
                <w:bCs w:val="0"/>
              </w:rPr>
            </w:pPr>
            <w:r w:rsidRPr="0032799C">
              <w:rPr>
                <w:b/>
                <w:bCs w:val="0"/>
              </w:rPr>
              <w:t>2027</w:t>
            </w:r>
          </w:p>
        </w:tc>
        <w:tc>
          <w:tcPr>
            <w:tcW w:w="626" w:type="pct"/>
            <w:noWrap/>
            <w:hideMark/>
          </w:tcPr>
          <w:p w14:paraId="15D8FC89" w14:textId="77777777" w:rsidR="00170BFC" w:rsidRPr="0032799C" w:rsidRDefault="00170BFC" w:rsidP="00C407DD">
            <w:pPr>
              <w:pStyle w:val="TableText0"/>
              <w:rPr>
                <w:b/>
                <w:bCs w:val="0"/>
              </w:rPr>
            </w:pPr>
            <w:r w:rsidRPr="0032799C">
              <w:rPr>
                <w:b/>
                <w:bCs w:val="0"/>
              </w:rPr>
              <w:t>2028</w:t>
            </w:r>
          </w:p>
        </w:tc>
        <w:tc>
          <w:tcPr>
            <w:tcW w:w="626" w:type="pct"/>
            <w:noWrap/>
            <w:hideMark/>
          </w:tcPr>
          <w:p w14:paraId="405CC2FA" w14:textId="77777777" w:rsidR="00170BFC" w:rsidRPr="0032799C" w:rsidRDefault="00170BFC" w:rsidP="00C407DD">
            <w:pPr>
              <w:pStyle w:val="TableText0"/>
              <w:rPr>
                <w:b/>
                <w:bCs w:val="0"/>
              </w:rPr>
            </w:pPr>
            <w:r w:rsidRPr="0032799C">
              <w:rPr>
                <w:b/>
                <w:bCs w:val="0"/>
              </w:rPr>
              <w:t>2029</w:t>
            </w:r>
          </w:p>
        </w:tc>
      </w:tr>
      <w:tr w:rsidR="00170BFC" w:rsidRPr="0032799C" w14:paraId="04957C47" w14:textId="77777777" w:rsidTr="00C407DD">
        <w:trPr>
          <w:trHeight w:val="81"/>
        </w:trPr>
        <w:tc>
          <w:tcPr>
            <w:tcW w:w="5000" w:type="pct"/>
            <w:gridSpan w:val="7"/>
            <w:noWrap/>
          </w:tcPr>
          <w:p w14:paraId="3319EC92" w14:textId="77777777" w:rsidR="00170BFC" w:rsidRPr="0032799C" w:rsidRDefault="00170BFC" w:rsidP="00C407DD">
            <w:pPr>
              <w:pStyle w:val="TableText0"/>
              <w:rPr>
                <w:b/>
                <w:bCs w:val="0"/>
              </w:rPr>
            </w:pPr>
            <w:r w:rsidRPr="0032799C">
              <w:rPr>
                <w:b/>
                <w:bCs w:val="0"/>
              </w:rPr>
              <w:t xml:space="preserve">New listing (olaparib </w:t>
            </w:r>
            <w:r>
              <w:rPr>
                <w:b/>
                <w:bCs w:val="0"/>
              </w:rPr>
              <w:t>combination</w:t>
            </w:r>
            <w:r w:rsidRPr="0032799C">
              <w:rPr>
                <w:b/>
                <w:bCs w:val="0"/>
              </w:rPr>
              <w:t>)</w:t>
            </w:r>
          </w:p>
        </w:tc>
      </w:tr>
      <w:tr w:rsidR="00170BFC" w:rsidRPr="00EB5368" w14:paraId="22184448" w14:textId="77777777" w:rsidTr="00C407DD">
        <w:trPr>
          <w:trHeight w:val="41"/>
        </w:trPr>
        <w:tc>
          <w:tcPr>
            <w:tcW w:w="1244" w:type="pct"/>
            <w:noWrap/>
            <w:hideMark/>
          </w:tcPr>
          <w:p w14:paraId="75CD5E18" w14:textId="77777777" w:rsidR="00170BFC" w:rsidRPr="00EB5368" w:rsidRDefault="00170BFC" w:rsidP="00C407DD">
            <w:pPr>
              <w:pStyle w:val="TableText0"/>
            </w:pPr>
            <w:r>
              <w:t>Total costs (</w:t>
            </w:r>
            <w:r w:rsidRPr="006C39C4">
              <w:t>PBS/RPBS</w:t>
            </w:r>
            <w:r>
              <w:t>)</w:t>
            </w:r>
          </w:p>
        </w:tc>
        <w:tc>
          <w:tcPr>
            <w:tcW w:w="626" w:type="pct"/>
            <w:noWrap/>
            <w:hideMark/>
          </w:tcPr>
          <w:p w14:paraId="629FC8A9" w14:textId="0682C2F7"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6"/>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6"/>
                <w14:textFill>
                  <w14:solidFill>
                    <w14:srgbClr w14:val="000000">
                      <w14:alpha w14:val="100000"/>
                    </w14:srgbClr>
                  </w14:solidFill>
                </w14:textFill>
              </w:rPr>
              <w:t>|</w:t>
            </w:r>
          </w:p>
        </w:tc>
        <w:tc>
          <w:tcPr>
            <w:tcW w:w="626" w:type="pct"/>
            <w:noWrap/>
            <w:hideMark/>
          </w:tcPr>
          <w:p w14:paraId="26E1E4AC" w14:textId="2B0C000B"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5"/>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5"/>
                <w14:textFill>
                  <w14:solidFill>
                    <w14:srgbClr w14:val="000000">
                      <w14:alpha w14:val="100000"/>
                    </w14:srgbClr>
                  </w14:solidFill>
                </w14:textFill>
              </w:rPr>
              <w:t>|</w:t>
            </w:r>
          </w:p>
        </w:tc>
        <w:tc>
          <w:tcPr>
            <w:tcW w:w="626" w:type="pct"/>
            <w:noWrap/>
            <w:hideMark/>
          </w:tcPr>
          <w:p w14:paraId="430E55D4" w14:textId="6BAADEC0"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4"/>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4"/>
                <w14:textFill>
                  <w14:solidFill>
                    <w14:srgbClr w14:val="000000">
                      <w14:alpha w14:val="100000"/>
                    </w14:srgbClr>
                  </w14:solidFill>
                </w14:textFill>
              </w:rPr>
              <w:t>|</w:t>
            </w:r>
          </w:p>
        </w:tc>
        <w:tc>
          <w:tcPr>
            <w:tcW w:w="626" w:type="pct"/>
            <w:noWrap/>
            <w:hideMark/>
          </w:tcPr>
          <w:p w14:paraId="17FF7A76" w14:textId="68F41612"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3"/>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3"/>
                <w14:textFill>
                  <w14:solidFill>
                    <w14:srgbClr w14:val="000000">
                      <w14:alpha w14:val="100000"/>
                    </w14:srgbClr>
                  </w14:solidFill>
                </w14:textFill>
              </w:rPr>
              <w:t>|</w:t>
            </w:r>
          </w:p>
        </w:tc>
        <w:tc>
          <w:tcPr>
            <w:tcW w:w="626" w:type="pct"/>
            <w:noWrap/>
            <w:hideMark/>
          </w:tcPr>
          <w:p w14:paraId="3F09CF8B" w14:textId="7608DE02"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2"/>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2"/>
                <w14:textFill>
                  <w14:solidFill>
                    <w14:srgbClr w14:val="000000">
                      <w14:alpha w14:val="100000"/>
                    </w14:srgbClr>
                  </w14:solidFill>
                </w14:textFill>
              </w:rPr>
              <w:t>|</w:t>
            </w:r>
          </w:p>
        </w:tc>
        <w:tc>
          <w:tcPr>
            <w:tcW w:w="626" w:type="pct"/>
            <w:noWrap/>
            <w:hideMark/>
          </w:tcPr>
          <w:p w14:paraId="766BD6B1" w14:textId="2E772990"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1"/>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1"/>
                <w14:textFill>
                  <w14:solidFill>
                    <w14:srgbClr w14:val="000000">
                      <w14:alpha w14:val="100000"/>
                    </w14:srgbClr>
                  </w14:solidFill>
                </w14:textFill>
              </w:rPr>
              <w:t>|</w:t>
            </w:r>
          </w:p>
        </w:tc>
      </w:tr>
      <w:tr w:rsidR="00170BFC" w:rsidRPr="0032799C" w14:paraId="5BE1557C" w14:textId="77777777" w:rsidTr="00C407DD">
        <w:trPr>
          <w:trHeight w:val="76"/>
        </w:trPr>
        <w:tc>
          <w:tcPr>
            <w:tcW w:w="5000" w:type="pct"/>
            <w:gridSpan w:val="7"/>
            <w:noWrap/>
          </w:tcPr>
          <w:p w14:paraId="18003AED" w14:textId="77777777" w:rsidR="00170BFC" w:rsidRPr="0032799C" w:rsidRDefault="00170BFC" w:rsidP="00C407DD">
            <w:pPr>
              <w:pStyle w:val="TableText0"/>
              <w:rPr>
                <w:rFonts w:eastAsia="Arial"/>
                <w:b/>
                <w:bCs w:val="0"/>
              </w:rPr>
            </w:pPr>
            <w:r w:rsidRPr="0032799C">
              <w:rPr>
                <w:rFonts w:eastAsia="Arial"/>
                <w:b/>
                <w:bCs w:val="0"/>
              </w:rPr>
              <w:t>Olaparib offset from monotherapy</w:t>
            </w:r>
          </w:p>
        </w:tc>
      </w:tr>
      <w:tr w:rsidR="00170BFC" w:rsidRPr="00EB5368" w14:paraId="4F9BCBCD" w14:textId="77777777" w:rsidTr="00C407DD">
        <w:trPr>
          <w:trHeight w:val="65"/>
        </w:trPr>
        <w:tc>
          <w:tcPr>
            <w:tcW w:w="1244" w:type="pct"/>
            <w:noWrap/>
            <w:hideMark/>
          </w:tcPr>
          <w:p w14:paraId="6E996982" w14:textId="77777777" w:rsidR="00170BFC" w:rsidRPr="00EB5368" w:rsidRDefault="00170BFC" w:rsidP="00C407DD">
            <w:pPr>
              <w:pStyle w:val="TableText0"/>
            </w:pPr>
            <w:r>
              <w:t>Total costs (</w:t>
            </w:r>
            <w:r w:rsidRPr="006C39C4">
              <w:t>PBS/RPBS</w:t>
            </w:r>
            <w:r>
              <w:t>)</w:t>
            </w:r>
          </w:p>
        </w:tc>
        <w:tc>
          <w:tcPr>
            <w:tcW w:w="626" w:type="pct"/>
            <w:noWrap/>
            <w:hideMark/>
          </w:tcPr>
          <w:p w14:paraId="0E719CE9" w14:textId="270019D3"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0"/>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0"/>
                <w14:textFill>
                  <w14:solidFill>
                    <w14:srgbClr w14:val="000000">
                      <w14:alpha w14:val="100000"/>
                    </w14:srgbClr>
                  </w14:solidFill>
                </w14:textFill>
              </w:rPr>
              <w:t>|</w:t>
            </w:r>
          </w:p>
        </w:tc>
        <w:tc>
          <w:tcPr>
            <w:tcW w:w="626" w:type="pct"/>
            <w:noWrap/>
            <w:hideMark/>
          </w:tcPr>
          <w:p w14:paraId="379D53B6" w14:textId="57ADDE21"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69"/>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69"/>
                <w14:textFill>
                  <w14:solidFill>
                    <w14:srgbClr w14:val="000000">
                      <w14:alpha w14:val="100000"/>
                    </w14:srgbClr>
                  </w14:solidFill>
                </w14:textFill>
              </w:rPr>
              <w:t>|</w:t>
            </w:r>
          </w:p>
        </w:tc>
        <w:tc>
          <w:tcPr>
            <w:tcW w:w="626" w:type="pct"/>
            <w:noWrap/>
            <w:hideMark/>
          </w:tcPr>
          <w:p w14:paraId="29A14862" w14:textId="65739F5B"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68"/>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68"/>
                <w14:textFill>
                  <w14:solidFill>
                    <w14:srgbClr w14:val="000000">
                      <w14:alpha w14:val="100000"/>
                    </w14:srgbClr>
                  </w14:solidFill>
                </w14:textFill>
              </w:rPr>
              <w:t>|</w:t>
            </w:r>
          </w:p>
        </w:tc>
        <w:tc>
          <w:tcPr>
            <w:tcW w:w="626" w:type="pct"/>
            <w:noWrap/>
            <w:hideMark/>
          </w:tcPr>
          <w:p w14:paraId="2B629438" w14:textId="1B624A42"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67"/>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67"/>
                <w14:textFill>
                  <w14:solidFill>
                    <w14:srgbClr w14:val="000000">
                      <w14:alpha w14:val="100000"/>
                    </w14:srgbClr>
                  </w14:solidFill>
                </w14:textFill>
              </w:rPr>
              <w:t>|</w:t>
            </w:r>
          </w:p>
        </w:tc>
        <w:tc>
          <w:tcPr>
            <w:tcW w:w="626" w:type="pct"/>
            <w:noWrap/>
            <w:hideMark/>
          </w:tcPr>
          <w:p w14:paraId="7FDD0028" w14:textId="0262F1BD"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66"/>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66"/>
                <w14:textFill>
                  <w14:solidFill>
                    <w14:srgbClr w14:val="000000">
                      <w14:alpha w14:val="100000"/>
                    </w14:srgbClr>
                  </w14:solidFill>
                </w14:textFill>
              </w:rPr>
              <w:t>|</w:t>
            </w:r>
          </w:p>
        </w:tc>
        <w:tc>
          <w:tcPr>
            <w:tcW w:w="626" w:type="pct"/>
            <w:noWrap/>
            <w:hideMark/>
          </w:tcPr>
          <w:p w14:paraId="5C5BFA3D" w14:textId="6A5895C1"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65"/>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65"/>
                <w14:textFill>
                  <w14:solidFill>
                    <w14:srgbClr w14:val="000000">
                      <w14:alpha w14:val="100000"/>
                    </w14:srgbClr>
                  </w14:solidFill>
                </w14:textFill>
              </w:rPr>
              <w:t>|</w:t>
            </w:r>
          </w:p>
        </w:tc>
      </w:tr>
      <w:tr w:rsidR="00170BFC" w:rsidRPr="0032799C" w14:paraId="7053B2FE" w14:textId="77777777" w:rsidTr="00C407DD">
        <w:trPr>
          <w:trHeight w:val="56"/>
        </w:trPr>
        <w:tc>
          <w:tcPr>
            <w:tcW w:w="5000" w:type="pct"/>
            <w:gridSpan w:val="7"/>
            <w:noWrap/>
          </w:tcPr>
          <w:p w14:paraId="26E668EA" w14:textId="77777777" w:rsidR="00170BFC" w:rsidRPr="0032799C" w:rsidRDefault="00170BFC" w:rsidP="00C407DD">
            <w:pPr>
              <w:pStyle w:val="TableText0"/>
              <w:rPr>
                <w:b/>
                <w:bCs w:val="0"/>
              </w:rPr>
            </w:pPr>
            <w:r w:rsidRPr="0032799C">
              <w:rPr>
                <w:b/>
                <w:bCs w:val="0"/>
              </w:rPr>
              <w:t>Olaparib monotherapy (</w:t>
            </w:r>
            <w:r>
              <w:rPr>
                <w:b/>
                <w:bCs w:val="0"/>
              </w:rPr>
              <w:t>current</w:t>
            </w:r>
            <w:r w:rsidRPr="0032799C">
              <w:rPr>
                <w:b/>
                <w:bCs w:val="0"/>
              </w:rPr>
              <w:t xml:space="preserve"> Deed)</w:t>
            </w:r>
            <w:r w:rsidRPr="00805AAA">
              <w:rPr>
                <w:b/>
                <w:bCs w:val="0"/>
                <w:vertAlign w:val="superscript"/>
              </w:rPr>
              <w:t xml:space="preserve"> a</w:t>
            </w:r>
            <w:r w:rsidRPr="0032799C">
              <w:rPr>
                <w:b/>
                <w:bCs w:val="0"/>
              </w:rPr>
              <w:t xml:space="preserve"> </w:t>
            </w:r>
          </w:p>
        </w:tc>
      </w:tr>
      <w:tr w:rsidR="00170BFC" w:rsidRPr="00EB5368" w14:paraId="56C022A4" w14:textId="77777777" w:rsidTr="00C407DD">
        <w:trPr>
          <w:trHeight w:val="41"/>
        </w:trPr>
        <w:tc>
          <w:tcPr>
            <w:tcW w:w="1244" w:type="pct"/>
            <w:noWrap/>
            <w:hideMark/>
          </w:tcPr>
          <w:p w14:paraId="5606C03F" w14:textId="77777777" w:rsidR="00170BFC" w:rsidRPr="00EB5368" w:rsidRDefault="00170BFC" w:rsidP="00C407DD">
            <w:pPr>
              <w:pStyle w:val="TableText0"/>
            </w:pPr>
            <w:r>
              <w:t>Total costs (</w:t>
            </w:r>
            <w:r w:rsidRPr="006C39C4">
              <w:t>PBS/RPBS</w:t>
            </w:r>
            <w:r>
              <w:t>)</w:t>
            </w:r>
          </w:p>
        </w:tc>
        <w:tc>
          <w:tcPr>
            <w:tcW w:w="626" w:type="pct"/>
            <w:noWrap/>
            <w:hideMark/>
          </w:tcPr>
          <w:p w14:paraId="5C0A0208" w14:textId="39E793A4" w:rsidR="00170BFC" w:rsidRPr="00F80570" w:rsidRDefault="003C22C5" w:rsidP="00C407DD">
            <w:pPr>
              <w:pStyle w:val="TableText0"/>
              <w:rPr>
                <w:highlight w:val="darkGray"/>
              </w:rPr>
            </w:pPr>
            <w:r w:rsidRPr="003C22C5">
              <w:t xml:space="preserve"> </w:t>
            </w:r>
            <w:r w:rsidR="00B7116A" w:rsidRPr="00B7116A">
              <w:rPr>
                <w:color w:val="000000"/>
                <w:spacing w:val="55"/>
                <w:shd w:val="solid" w:color="000000" w:fill="000000"/>
                <w:fitText w:val="338" w:id="-1031540464"/>
                <w14:textFill>
                  <w14:solidFill>
                    <w14:srgbClr w14:val="000000">
                      <w14:alpha w14:val="100000"/>
                    </w14:srgbClr>
                  </w14:solidFill>
                </w14:textFill>
              </w:rPr>
              <w:t>|||</w:t>
            </w:r>
            <w:r w:rsidR="00B7116A" w:rsidRPr="00B7116A">
              <w:rPr>
                <w:color w:val="000000"/>
                <w:spacing w:val="3"/>
                <w:shd w:val="solid" w:color="000000" w:fill="000000"/>
                <w:fitText w:val="338" w:id="-1031540464"/>
                <w14:textFill>
                  <w14:solidFill>
                    <w14:srgbClr w14:val="000000">
                      <w14:alpha w14:val="100000"/>
                    </w14:srgbClr>
                  </w14:solidFill>
                </w14:textFill>
              </w:rPr>
              <w:t>|</w:t>
            </w:r>
          </w:p>
        </w:tc>
        <w:tc>
          <w:tcPr>
            <w:tcW w:w="626" w:type="pct"/>
            <w:noWrap/>
            <w:hideMark/>
          </w:tcPr>
          <w:p w14:paraId="06FCE23F" w14:textId="24438FD6" w:rsidR="00170BFC" w:rsidRPr="00F80570" w:rsidRDefault="003C22C5" w:rsidP="00C407DD">
            <w:pPr>
              <w:pStyle w:val="TableText0"/>
              <w:rPr>
                <w:highlight w:val="darkGray"/>
              </w:rPr>
            </w:pPr>
            <w:r w:rsidRPr="003C22C5">
              <w:t xml:space="preserve"> </w:t>
            </w:r>
            <w:r w:rsidR="00B7116A" w:rsidRPr="00B7116A">
              <w:rPr>
                <w:color w:val="000000"/>
                <w:spacing w:val="55"/>
                <w:shd w:val="solid" w:color="000000" w:fill="000000"/>
                <w:fitText w:val="338" w:id="-1031540480"/>
                <w14:textFill>
                  <w14:solidFill>
                    <w14:srgbClr w14:val="000000">
                      <w14:alpha w14:val="100000"/>
                    </w14:srgbClr>
                  </w14:solidFill>
                </w14:textFill>
              </w:rPr>
              <w:t>|||</w:t>
            </w:r>
            <w:r w:rsidR="00B7116A" w:rsidRPr="00B7116A">
              <w:rPr>
                <w:color w:val="000000"/>
                <w:spacing w:val="3"/>
                <w:shd w:val="solid" w:color="000000" w:fill="000000"/>
                <w:fitText w:val="338" w:id="-1031540480"/>
                <w14:textFill>
                  <w14:solidFill>
                    <w14:srgbClr w14:val="000000">
                      <w14:alpha w14:val="100000"/>
                    </w14:srgbClr>
                  </w14:solidFill>
                </w14:textFill>
              </w:rPr>
              <w:t>|</w:t>
            </w:r>
          </w:p>
        </w:tc>
        <w:tc>
          <w:tcPr>
            <w:tcW w:w="626" w:type="pct"/>
            <w:noWrap/>
            <w:hideMark/>
          </w:tcPr>
          <w:p w14:paraId="2E804F99" w14:textId="08BD747F" w:rsidR="00170BFC" w:rsidRPr="00F80570" w:rsidRDefault="003C22C5" w:rsidP="00C407DD">
            <w:pPr>
              <w:pStyle w:val="TableText0"/>
              <w:rPr>
                <w:highlight w:val="darkGray"/>
              </w:rPr>
            </w:pPr>
            <w:r w:rsidRPr="003C22C5">
              <w:t xml:space="preserve"> </w:t>
            </w:r>
            <w:r w:rsidR="00B7116A" w:rsidRPr="00B7116A">
              <w:rPr>
                <w:color w:val="000000"/>
                <w:spacing w:val="55"/>
                <w:shd w:val="solid" w:color="000000" w:fill="000000"/>
                <w:fitText w:val="338" w:id="-1031540479"/>
                <w14:textFill>
                  <w14:solidFill>
                    <w14:srgbClr w14:val="000000">
                      <w14:alpha w14:val="100000"/>
                    </w14:srgbClr>
                  </w14:solidFill>
                </w14:textFill>
              </w:rPr>
              <w:t>|||</w:t>
            </w:r>
            <w:r w:rsidR="00B7116A" w:rsidRPr="00B7116A">
              <w:rPr>
                <w:color w:val="000000"/>
                <w:spacing w:val="3"/>
                <w:shd w:val="solid" w:color="000000" w:fill="000000"/>
                <w:fitText w:val="338" w:id="-1031540479"/>
                <w14:textFill>
                  <w14:solidFill>
                    <w14:srgbClr w14:val="000000">
                      <w14:alpha w14:val="100000"/>
                    </w14:srgbClr>
                  </w14:solidFill>
                </w14:textFill>
              </w:rPr>
              <w:t>|</w:t>
            </w:r>
          </w:p>
        </w:tc>
        <w:tc>
          <w:tcPr>
            <w:tcW w:w="626" w:type="pct"/>
            <w:noWrap/>
            <w:hideMark/>
          </w:tcPr>
          <w:p w14:paraId="0B7A69B7" w14:textId="4F9CC434" w:rsidR="00170BFC" w:rsidRPr="00F80570" w:rsidRDefault="003C22C5" w:rsidP="00C407DD">
            <w:pPr>
              <w:pStyle w:val="TableText0"/>
              <w:rPr>
                <w:highlight w:val="darkGray"/>
              </w:rPr>
            </w:pPr>
            <w:r w:rsidRPr="003C22C5">
              <w:t xml:space="preserve"> </w:t>
            </w:r>
            <w:r w:rsidR="00B7116A" w:rsidRPr="00B7116A">
              <w:rPr>
                <w:color w:val="000000"/>
                <w:spacing w:val="55"/>
                <w:shd w:val="solid" w:color="000000" w:fill="000000"/>
                <w:fitText w:val="338" w:id="-1031540478"/>
                <w14:textFill>
                  <w14:solidFill>
                    <w14:srgbClr w14:val="000000">
                      <w14:alpha w14:val="100000"/>
                    </w14:srgbClr>
                  </w14:solidFill>
                </w14:textFill>
              </w:rPr>
              <w:t>|||</w:t>
            </w:r>
            <w:r w:rsidR="00B7116A" w:rsidRPr="00B7116A">
              <w:rPr>
                <w:color w:val="000000"/>
                <w:spacing w:val="3"/>
                <w:shd w:val="solid" w:color="000000" w:fill="000000"/>
                <w:fitText w:val="338" w:id="-1031540478"/>
                <w14:textFill>
                  <w14:solidFill>
                    <w14:srgbClr w14:val="000000">
                      <w14:alpha w14:val="100000"/>
                    </w14:srgbClr>
                  </w14:solidFill>
                </w14:textFill>
              </w:rPr>
              <w:t>|</w:t>
            </w:r>
          </w:p>
        </w:tc>
        <w:tc>
          <w:tcPr>
            <w:tcW w:w="626" w:type="pct"/>
            <w:noWrap/>
            <w:hideMark/>
          </w:tcPr>
          <w:p w14:paraId="72364FBE" w14:textId="69B0DF6A" w:rsidR="00170BFC" w:rsidRPr="00F80570" w:rsidRDefault="003C22C5" w:rsidP="00C407DD">
            <w:pPr>
              <w:pStyle w:val="TableText0"/>
              <w:rPr>
                <w:highlight w:val="darkGray"/>
              </w:rPr>
            </w:pPr>
            <w:r w:rsidRPr="003C22C5">
              <w:t xml:space="preserve"> </w:t>
            </w:r>
            <w:r w:rsidR="00B7116A" w:rsidRPr="00B7116A">
              <w:rPr>
                <w:color w:val="000000"/>
                <w:spacing w:val="55"/>
                <w:shd w:val="solid" w:color="000000" w:fill="000000"/>
                <w:fitText w:val="338" w:id="-1031540477"/>
                <w14:textFill>
                  <w14:solidFill>
                    <w14:srgbClr w14:val="000000">
                      <w14:alpha w14:val="100000"/>
                    </w14:srgbClr>
                  </w14:solidFill>
                </w14:textFill>
              </w:rPr>
              <w:t>|||</w:t>
            </w:r>
            <w:r w:rsidR="00B7116A" w:rsidRPr="00B7116A">
              <w:rPr>
                <w:color w:val="000000"/>
                <w:spacing w:val="3"/>
                <w:shd w:val="solid" w:color="000000" w:fill="000000"/>
                <w:fitText w:val="338" w:id="-1031540477"/>
                <w14:textFill>
                  <w14:solidFill>
                    <w14:srgbClr w14:val="000000">
                      <w14:alpha w14:val="100000"/>
                    </w14:srgbClr>
                  </w14:solidFill>
                </w14:textFill>
              </w:rPr>
              <w:t>|</w:t>
            </w:r>
          </w:p>
        </w:tc>
        <w:tc>
          <w:tcPr>
            <w:tcW w:w="626" w:type="pct"/>
            <w:noWrap/>
            <w:hideMark/>
          </w:tcPr>
          <w:p w14:paraId="289E2A0E" w14:textId="45BBBA43" w:rsidR="00170BFC" w:rsidRPr="00F80570" w:rsidRDefault="003C22C5" w:rsidP="00C407DD">
            <w:pPr>
              <w:pStyle w:val="TableText0"/>
              <w:rPr>
                <w:highlight w:val="darkGray"/>
              </w:rPr>
            </w:pPr>
            <w:r w:rsidRPr="003C22C5">
              <w:t xml:space="preserve"> </w:t>
            </w:r>
            <w:r w:rsidR="00B7116A" w:rsidRPr="00B7116A">
              <w:rPr>
                <w:color w:val="000000"/>
                <w:spacing w:val="55"/>
                <w:shd w:val="solid" w:color="000000" w:fill="000000"/>
                <w:fitText w:val="338" w:id="-1031540476"/>
                <w14:textFill>
                  <w14:solidFill>
                    <w14:srgbClr w14:val="000000">
                      <w14:alpha w14:val="100000"/>
                    </w14:srgbClr>
                  </w14:solidFill>
                </w14:textFill>
              </w:rPr>
              <w:t>|||</w:t>
            </w:r>
            <w:r w:rsidR="00B7116A" w:rsidRPr="00B7116A">
              <w:rPr>
                <w:color w:val="000000"/>
                <w:spacing w:val="3"/>
                <w:shd w:val="solid" w:color="000000" w:fill="000000"/>
                <w:fitText w:val="338" w:id="-1031540476"/>
                <w14:textFill>
                  <w14:solidFill>
                    <w14:srgbClr w14:val="000000">
                      <w14:alpha w14:val="100000"/>
                    </w14:srgbClr>
                  </w14:solidFill>
                </w14:textFill>
              </w:rPr>
              <w:t>|</w:t>
            </w:r>
          </w:p>
        </w:tc>
      </w:tr>
      <w:tr w:rsidR="00170BFC" w:rsidRPr="0032799C" w14:paraId="5C8726A2" w14:textId="77777777" w:rsidTr="00C407DD">
        <w:trPr>
          <w:trHeight w:val="41"/>
        </w:trPr>
        <w:tc>
          <w:tcPr>
            <w:tcW w:w="5000" w:type="pct"/>
            <w:gridSpan w:val="7"/>
            <w:noWrap/>
          </w:tcPr>
          <w:p w14:paraId="23FDD954" w14:textId="77777777" w:rsidR="00170BFC" w:rsidRPr="0032799C" w:rsidRDefault="00170BFC" w:rsidP="00C407DD">
            <w:pPr>
              <w:pStyle w:val="TableText0"/>
              <w:rPr>
                <w:b/>
                <w:bCs w:val="0"/>
              </w:rPr>
            </w:pPr>
            <w:r w:rsidRPr="0032799C">
              <w:rPr>
                <w:b/>
                <w:bCs w:val="0"/>
              </w:rPr>
              <w:t>Total olaparib cost to PBS/RPBS</w:t>
            </w:r>
            <w:r>
              <w:rPr>
                <w:b/>
                <w:bCs w:val="0"/>
              </w:rPr>
              <w:t xml:space="preserve"> (monotherapy and combination)</w:t>
            </w:r>
          </w:p>
        </w:tc>
      </w:tr>
      <w:tr w:rsidR="00170BFC" w:rsidRPr="00EB5368" w14:paraId="61C971BF" w14:textId="77777777" w:rsidTr="00C407DD">
        <w:trPr>
          <w:trHeight w:val="41"/>
        </w:trPr>
        <w:tc>
          <w:tcPr>
            <w:tcW w:w="1244" w:type="pct"/>
            <w:noWrap/>
            <w:hideMark/>
          </w:tcPr>
          <w:p w14:paraId="47E1FAC1" w14:textId="77777777" w:rsidR="00170BFC" w:rsidRPr="00EB5368" w:rsidRDefault="00170BFC" w:rsidP="00C407DD">
            <w:pPr>
              <w:pStyle w:val="TableText0"/>
            </w:pPr>
            <w:r>
              <w:t>Total costs (</w:t>
            </w:r>
            <w:r w:rsidRPr="006C39C4">
              <w:t>PBS/RPBS</w:t>
            </w:r>
            <w:r>
              <w:t>)</w:t>
            </w:r>
          </w:p>
        </w:tc>
        <w:tc>
          <w:tcPr>
            <w:tcW w:w="626" w:type="pct"/>
            <w:noWrap/>
            <w:hideMark/>
          </w:tcPr>
          <w:p w14:paraId="435D9927" w14:textId="7526E118"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5"/>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5"/>
                <w14:textFill>
                  <w14:solidFill>
                    <w14:srgbClr w14:val="000000">
                      <w14:alpha w14:val="100000"/>
                    </w14:srgbClr>
                  </w14:solidFill>
                </w14:textFill>
              </w:rPr>
              <w:t>|</w:t>
            </w:r>
          </w:p>
        </w:tc>
        <w:tc>
          <w:tcPr>
            <w:tcW w:w="626" w:type="pct"/>
            <w:noWrap/>
            <w:hideMark/>
          </w:tcPr>
          <w:p w14:paraId="78C93B3D" w14:textId="4546B198"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4"/>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4"/>
                <w14:textFill>
                  <w14:solidFill>
                    <w14:srgbClr w14:val="000000">
                      <w14:alpha w14:val="100000"/>
                    </w14:srgbClr>
                  </w14:solidFill>
                </w14:textFill>
              </w:rPr>
              <w:t>|</w:t>
            </w:r>
          </w:p>
        </w:tc>
        <w:tc>
          <w:tcPr>
            <w:tcW w:w="626" w:type="pct"/>
            <w:noWrap/>
            <w:hideMark/>
          </w:tcPr>
          <w:p w14:paraId="5AF29DB4" w14:textId="71A36622"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3"/>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3"/>
                <w14:textFill>
                  <w14:solidFill>
                    <w14:srgbClr w14:val="000000">
                      <w14:alpha w14:val="100000"/>
                    </w14:srgbClr>
                  </w14:solidFill>
                </w14:textFill>
              </w:rPr>
              <w:t>|</w:t>
            </w:r>
          </w:p>
        </w:tc>
        <w:tc>
          <w:tcPr>
            <w:tcW w:w="626" w:type="pct"/>
            <w:noWrap/>
            <w:hideMark/>
          </w:tcPr>
          <w:p w14:paraId="2898D6B0" w14:textId="3169D1EE"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2"/>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2"/>
                <w14:textFill>
                  <w14:solidFill>
                    <w14:srgbClr w14:val="000000">
                      <w14:alpha w14:val="100000"/>
                    </w14:srgbClr>
                  </w14:solidFill>
                </w14:textFill>
              </w:rPr>
              <w:t>|</w:t>
            </w:r>
          </w:p>
        </w:tc>
        <w:tc>
          <w:tcPr>
            <w:tcW w:w="626" w:type="pct"/>
            <w:noWrap/>
            <w:hideMark/>
          </w:tcPr>
          <w:p w14:paraId="0A70DEAE" w14:textId="241FC650"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1"/>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1"/>
                <w14:textFill>
                  <w14:solidFill>
                    <w14:srgbClr w14:val="000000">
                      <w14:alpha w14:val="100000"/>
                    </w14:srgbClr>
                  </w14:solidFill>
                </w14:textFill>
              </w:rPr>
              <w:t>|</w:t>
            </w:r>
          </w:p>
        </w:tc>
        <w:tc>
          <w:tcPr>
            <w:tcW w:w="626" w:type="pct"/>
            <w:noWrap/>
            <w:hideMark/>
          </w:tcPr>
          <w:p w14:paraId="271B6A4A" w14:textId="4E728C04" w:rsidR="00170BFC" w:rsidRPr="00F80570" w:rsidRDefault="003C22C5" w:rsidP="00C407DD">
            <w:pPr>
              <w:pStyle w:val="TableText0"/>
              <w:rPr>
                <w:rFonts w:eastAsia="Arial"/>
                <w:highlight w:val="darkGray"/>
              </w:rPr>
            </w:pPr>
            <w:r w:rsidRPr="003C22C5">
              <w:rPr>
                <w:rFonts w:eastAsia="Arial"/>
              </w:rPr>
              <w:t xml:space="preserve"> </w:t>
            </w:r>
            <w:r w:rsidR="00B7116A" w:rsidRPr="00B7116A">
              <w:rPr>
                <w:rFonts w:eastAsia="Arial"/>
                <w:color w:val="000000"/>
                <w:spacing w:val="55"/>
                <w:shd w:val="solid" w:color="000000" w:fill="000000"/>
                <w:fitText w:val="338" w:id="-1031540470"/>
                <w14:textFill>
                  <w14:solidFill>
                    <w14:srgbClr w14:val="000000">
                      <w14:alpha w14:val="100000"/>
                    </w14:srgbClr>
                  </w14:solidFill>
                </w14:textFill>
              </w:rPr>
              <w:t>|||</w:t>
            </w:r>
            <w:r w:rsidR="00B7116A" w:rsidRPr="00B7116A">
              <w:rPr>
                <w:rFonts w:eastAsia="Arial"/>
                <w:color w:val="000000"/>
                <w:spacing w:val="3"/>
                <w:shd w:val="solid" w:color="000000" w:fill="000000"/>
                <w:fitText w:val="338" w:id="-1031540470"/>
                <w14:textFill>
                  <w14:solidFill>
                    <w14:srgbClr w14:val="000000">
                      <w14:alpha w14:val="100000"/>
                    </w14:srgbClr>
                  </w14:solidFill>
                </w14:textFill>
              </w:rPr>
              <w:t>|</w:t>
            </w:r>
          </w:p>
        </w:tc>
      </w:tr>
    </w:tbl>
    <w:p w14:paraId="081D9690" w14:textId="77777777" w:rsidR="00170BFC" w:rsidRPr="00BB6288" w:rsidRDefault="00170BFC" w:rsidP="00BB6288">
      <w:pPr>
        <w:pStyle w:val="TableFigureFooter"/>
        <w:jc w:val="both"/>
      </w:pPr>
      <w:r w:rsidRPr="00BB6288">
        <w:t>Source: Table 4-37, p180 of the submission</w:t>
      </w:r>
    </w:p>
    <w:p w14:paraId="7225D48C" w14:textId="77777777" w:rsidR="00170BFC" w:rsidRPr="00BB6288" w:rsidRDefault="00170BFC" w:rsidP="00BB6288">
      <w:pPr>
        <w:pStyle w:val="TableFigureFooter"/>
        <w:jc w:val="both"/>
      </w:pPr>
      <w:r w:rsidRPr="00BB6288">
        <w:t>BIM= budget impact model, PBS=Pharmaceutical Benefits Scheme, RPBS=Repatriation Schedule of Pharmaceutical Benefits</w:t>
      </w:r>
    </w:p>
    <w:p w14:paraId="20ADDC62" w14:textId="4CC71E86" w:rsidR="00F80570" w:rsidRPr="00C34A5D" w:rsidRDefault="00170BFC" w:rsidP="00BB6288">
      <w:pPr>
        <w:pStyle w:val="TableFigureFooter"/>
        <w:jc w:val="both"/>
        <w:rPr>
          <w:lang w:bidi="en-US"/>
        </w:rPr>
      </w:pPr>
      <w:r w:rsidRPr="00BB6288">
        <w:t>a</w:t>
      </w:r>
      <w:r w:rsidRPr="00BB6288">
        <w:tab/>
        <w:t xml:space="preserve"> Assumes timing of new olaparib combination listing align with current olaparib monotherapy Deed years. Assumes expenditure caps for olaparib monotherapy remains constant after the completion of the existing Deed Term.</w:t>
      </w:r>
      <w:r>
        <w:rPr>
          <w:lang w:bidi="en-US"/>
        </w:rPr>
        <w:t xml:space="preserve"> </w:t>
      </w:r>
    </w:p>
    <w:p w14:paraId="21BE7946" w14:textId="77777777" w:rsidR="00940BEC" w:rsidRDefault="00170BFC" w:rsidP="00940BEC">
      <w:pPr>
        <w:pStyle w:val="3-BodyText"/>
      </w:pPr>
      <w:r w:rsidRPr="00021AA5">
        <w:t xml:space="preserve">The proposed RSA carries uncertainty, primarily because of the </w:t>
      </w:r>
      <w:r w:rsidR="00AF5135" w:rsidRPr="00021AA5">
        <w:t xml:space="preserve">PBS </w:t>
      </w:r>
      <w:r w:rsidR="00143111" w:rsidRPr="00021AA5">
        <w:t>listing</w:t>
      </w:r>
      <w:r w:rsidR="007E324F" w:rsidRPr="00021AA5">
        <w:t xml:space="preserve"> </w:t>
      </w:r>
      <w:r w:rsidRPr="00021AA5">
        <w:t>of more NHAs in earlier disease stages (i.e., m0CRPC and mHSPC), which could lead to a decrease in NHA-naïve patients in the first</w:t>
      </w:r>
      <w:r w:rsidR="00C70570">
        <w:t xml:space="preserve"> </w:t>
      </w:r>
      <w:r w:rsidRPr="00021AA5">
        <w:t>line mCRPC setting and an overestimate of olaparib utilisation. Moreover, uncertainties around the extrapolated ToT, especially in NHA monotherapy, also contribute to the uncertainty of the RSA.</w:t>
      </w:r>
      <w:r w:rsidR="00940BEC">
        <w:t xml:space="preserve"> </w:t>
      </w:r>
    </w:p>
    <w:p w14:paraId="7917C705" w14:textId="177C9721" w:rsidR="00940BEC" w:rsidRPr="00940BEC" w:rsidRDefault="00940BEC" w:rsidP="00940BEC">
      <w:pPr>
        <w:pStyle w:val="3-BodyText"/>
        <w:numPr>
          <w:ilvl w:val="0"/>
          <w:numId w:val="0"/>
        </w:numPr>
        <w:ind w:left="720"/>
        <w:rPr>
          <w:i/>
          <w:iCs/>
        </w:rPr>
      </w:pPr>
      <w:r w:rsidRPr="00940BEC">
        <w:rPr>
          <w:i/>
          <w:iCs/>
          <w:lang w:val="en-GB"/>
        </w:rPr>
        <w:t>For more detail on PBAC’s view, see section 7 PBAC outcome.</w:t>
      </w:r>
    </w:p>
    <w:p w14:paraId="6747866D" w14:textId="77777777" w:rsidR="00940BEC" w:rsidRPr="0090150D" w:rsidRDefault="00940BEC" w:rsidP="00940BEC">
      <w:pPr>
        <w:pStyle w:val="2-SectionHeading"/>
      </w:pPr>
      <w:bookmarkStart w:id="82" w:name="_Hlk76381249"/>
      <w:bookmarkStart w:id="83" w:name="_Hlk76377955"/>
      <w:r w:rsidRPr="0090150D">
        <w:t>PBAC Outcome</w:t>
      </w:r>
    </w:p>
    <w:p w14:paraId="7F7B9AEC" w14:textId="76627C37" w:rsidR="00CF11D7" w:rsidRPr="001079B2" w:rsidRDefault="00CF11D7" w:rsidP="00CF11D7">
      <w:pPr>
        <w:widowControl w:val="0"/>
        <w:numPr>
          <w:ilvl w:val="1"/>
          <w:numId w:val="1"/>
        </w:numPr>
        <w:spacing w:after="120"/>
        <w:jc w:val="both"/>
        <w:rPr>
          <w:rFonts w:asciiTheme="minorHAnsi" w:hAnsiTheme="minorHAnsi"/>
          <w:snapToGrid w:val="0"/>
          <w:lang w:val="en-GB"/>
        </w:rPr>
      </w:pPr>
      <w:bookmarkStart w:id="84" w:name="_Hlk111543188"/>
      <w:r>
        <w:t xml:space="preserve">The PBAC did not recommend olaparib, for use in combination with abiraterone, for the first line treatment of metastatic castration-resistant prostate cancer (mCRPC) patients with breast cancer gene (BRCA)1/2 pathogenic variants who have not </w:t>
      </w:r>
      <w:r>
        <w:lastRenderedPageBreak/>
        <w:t xml:space="preserve">received prior treatment with a novel hormonal agent (NHA). The PBAC considered that the clinical evidence presented in the submission, which was based on a small </w:t>
      </w:r>
      <w:r w:rsidRPr="001079B2">
        <w:rPr>
          <w:i/>
          <w:iCs/>
        </w:rPr>
        <w:t>post-hoc</w:t>
      </w:r>
      <w:r>
        <w:t xml:space="preserve"> subgroup, was uncertain. The PBAC also considered that the incremental cost effectiveness ratio </w:t>
      </w:r>
      <w:r w:rsidR="001079B2">
        <w:t xml:space="preserve">(ICER) </w:t>
      </w:r>
      <w:r>
        <w:t xml:space="preserve">was highly uncertain and likely underestimated and that the financial impact estimates were overestimated. </w:t>
      </w:r>
      <w:r w:rsidR="001316D7">
        <w:t xml:space="preserve">Further, the PBAC considered that the clinical place of olaparib in combination with abiraterone was uncertain, noting that </w:t>
      </w:r>
      <w:r w:rsidR="001316D7">
        <w:rPr>
          <w:rFonts w:asciiTheme="minorHAnsi" w:hAnsiTheme="minorHAnsi"/>
          <w:snapToGrid w:val="0"/>
          <w:lang w:val="en-GB"/>
        </w:rPr>
        <w:t>olaparib was available as monotherapy in the mCRPC setting following treatment with a NHA and that no evidence was presented to suggest that the combination of olaparib and abiraterone was superior to sequential treatment of a NHA followed by olaparib.</w:t>
      </w:r>
    </w:p>
    <w:p w14:paraId="7A9006DF" w14:textId="680EEEC5" w:rsidR="001079B2" w:rsidRPr="00CF11D7" w:rsidRDefault="001079B2" w:rsidP="00CF11D7">
      <w:pPr>
        <w:widowControl w:val="0"/>
        <w:numPr>
          <w:ilvl w:val="1"/>
          <w:numId w:val="1"/>
        </w:numPr>
        <w:spacing w:after="120"/>
        <w:jc w:val="both"/>
        <w:rPr>
          <w:rFonts w:asciiTheme="minorHAnsi" w:hAnsiTheme="minorHAnsi"/>
          <w:snapToGrid w:val="0"/>
          <w:lang w:val="en-GB"/>
        </w:rPr>
      </w:pPr>
      <w:r>
        <w:t>The primary reason for this outcome was due to the comparative clinical evidence presented.</w:t>
      </w:r>
    </w:p>
    <w:p w14:paraId="223D0173" w14:textId="7CA04FE5" w:rsidR="00CF11D7" w:rsidRDefault="00CF11D7" w:rsidP="00CF11D7">
      <w:pPr>
        <w:widowControl w:val="0"/>
        <w:numPr>
          <w:ilvl w:val="1"/>
          <w:numId w:val="1"/>
        </w:numPr>
        <w:spacing w:after="120"/>
        <w:jc w:val="both"/>
        <w:rPr>
          <w:rFonts w:asciiTheme="minorHAnsi" w:hAnsiTheme="minorHAnsi"/>
          <w:snapToGrid w:val="0"/>
          <w:lang w:val="en-GB"/>
        </w:rPr>
      </w:pPr>
      <w:r>
        <w:rPr>
          <w:rFonts w:asciiTheme="minorHAnsi" w:hAnsiTheme="minorHAnsi"/>
          <w:snapToGrid w:val="0"/>
          <w:lang w:val="en-GB"/>
        </w:rPr>
        <w:t>The PBAC noted the input from individuals and organisations which supported the submission and acknowledged that the Medical Oncology Group of Australia (MOGA) expressed its strong support for the submission.</w:t>
      </w:r>
    </w:p>
    <w:p w14:paraId="34862507" w14:textId="07277A3D" w:rsidR="00CF11D7" w:rsidRDefault="00CF11D7" w:rsidP="00CF11D7">
      <w:pPr>
        <w:widowControl w:val="0"/>
        <w:numPr>
          <w:ilvl w:val="1"/>
          <w:numId w:val="1"/>
        </w:numPr>
        <w:spacing w:after="120"/>
        <w:jc w:val="both"/>
        <w:rPr>
          <w:rFonts w:asciiTheme="minorHAnsi" w:hAnsiTheme="minorHAnsi"/>
          <w:snapToGrid w:val="0"/>
          <w:lang w:val="en-GB"/>
        </w:rPr>
      </w:pPr>
      <w:r>
        <w:rPr>
          <w:rFonts w:asciiTheme="minorHAnsi" w:hAnsiTheme="minorHAnsi"/>
          <w:snapToGrid w:val="0"/>
          <w:lang w:val="en-GB"/>
        </w:rPr>
        <w:t xml:space="preserve">The PBAC noted that the submission placed olaparib in combination with abiraterone as a first line option for </w:t>
      </w:r>
      <w:r w:rsidR="00FB1722">
        <w:rPr>
          <w:rFonts w:asciiTheme="minorHAnsi" w:hAnsiTheme="minorHAnsi"/>
          <w:snapToGrid w:val="0"/>
          <w:lang w:val="en-GB"/>
        </w:rPr>
        <w:t xml:space="preserve">mCRPC </w:t>
      </w:r>
      <w:r>
        <w:rPr>
          <w:rFonts w:asciiTheme="minorHAnsi" w:hAnsiTheme="minorHAnsi"/>
          <w:snapToGrid w:val="0"/>
          <w:lang w:val="en-GB"/>
        </w:rPr>
        <w:t xml:space="preserve">patients with BRCA1/2 pathogenic variants who had not received prior NHA treatment. The PBAC considered that </w:t>
      </w:r>
      <w:r w:rsidR="005611FC">
        <w:rPr>
          <w:rFonts w:asciiTheme="minorHAnsi" w:hAnsiTheme="minorHAnsi"/>
          <w:snapToGrid w:val="0"/>
          <w:lang w:val="en-GB"/>
        </w:rPr>
        <w:t>use of</w:t>
      </w:r>
      <w:r>
        <w:rPr>
          <w:rFonts w:asciiTheme="minorHAnsi" w:hAnsiTheme="minorHAnsi"/>
          <w:snapToGrid w:val="0"/>
          <w:lang w:val="en-GB"/>
        </w:rPr>
        <w:t xml:space="preserve"> olaparib and abiraterone in this setting </w:t>
      </w:r>
      <w:r w:rsidR="005611FC">
        <w:rPr>
          <w:rFonts w:asciiTheme="minorHAnsi" w:hAnsiTheme="minorHAnsi"/>
          <w:snapToGrid w:val="0"/>
          <w:lang w:val="en-GB"/>
        </w:rPr>
        <w:t>would likely be</w:t>
      </w:r>
      <w:r>
        <w:rPr>
          <w:rFonts w:asciiTheme="minorHAnsi" w:hAnsiTheme="minorHAnsi"/>
          <w:snapToGrid w:val="0"/>
          <w:lang w:val="en-GB"/>
        </w:rPr>
        <w:t xml:space="preserve"> low as the majority of mCRPC </w:t>
      </w:r>
      <w:r w:rsidR="001079B2">
        <w:rPr>
          <w:rFonts w:asciiTheme="minorHAnsi" w:hAnsiTheme="minorHAnsi"/>
          <w:snapToGrid w:val="0"/>
          <w:lang w:val="en-GB"/>
        </w:rPr>
        <w:t xml:space="preserve">patients </w:t>
      </w:r>
      <w:r>
        <w:rPr>
          <w:rFonts w:asciiTheme="minorHAnsi" w:hAnsiTheme="minorHAnsi"/>
          <w:snapToGrid w:val="0"/>
          <w:lang w:val="en-GB"/>
        </w:rPr>
        <w:t xml:space="preserve">would have received NHA therapy in the metastatic hormone sensitive or non-metastatic castration resistant settings and thus, would not be eligible for treatment with the olaparib combination. Further, the PBAC noted that olaparib was available as monotherapy in the </w:t>
      </w:r>
      <w:r w:rsidR="001079B2">
        <w:rPr>
          <w:rFonts w:asciiTheme="minorHAnsi" w:hAnsiTheme="minorHAnsi"/>
          <w:snapToGrid w:val="0"/>
          <w:lang w:val="en-GB"/>
        </w:rPr>
        <w:t xml:space="preserve">mCRPC </w:t>
      </w:r>
      <w:r>
        <w:rPr>
          <w:rFonts w:asciiTheme="minorHAnsi" w:hAnsiTheme="minorHAnsi"/>
          <w:snapToGrid w:val="0"/>
          <w:lang w:val="en-GB"/>
        </w:rPr>
        <w:t>setting</w:t>
      </w:r>
      <w:r w:rsidR="001079B2">
        <w:rPr>
          <w:rFonts w:asciiTheme="minorHAnsi" w:hAnsiTheme="minorHAnsi"/>
          <w:snapToGrid w:val="0"/>
          <w:lang w:val="en-GB"/>
        </w:rPr>
        <w:t xml:space="preserve"> following treatment with a NHA</w:t>
      </w:r>
      <w:r>
        <w:rPr>
          <w:rFonts w:asciiTheme="minorHAnsi" w:hAnsiTheme="minorHAnsi"/>
          <w:snapToGrid w:val="0"/>
          <w:lang w:val="en-GB"/>
        </w:rPr>
        <w:t xml:space="preserve"> and that no evidence was presented to suggest that the combination of olaparib and abiraterone was superior to </w:t>
      </w:r>
      <w:r w:rsidR="001079B2">
        <w:rPr>
          <w:rFonts w:asciiTheme="minorHAnsi" w:hAnsiTheme="minorHAnsi"/>
          <w:snapToGrid w:val="0"/>
          <w:lang w:val="en-GB"/>
        </w:rPr>
        <w:t>sequential treatment</w:t>
      </w:r>
      <w:r w:rsidR="00FB1722">
        <w:rPr>
          <w:rFonts w:asciiTheme="minorHAnsi" w:hAnsiTheme="minorHAnsi"/>
          <w:snapToGrid w:val="0"/>
          <w:lang w:val="en-GB"/>
        </w:rPr>
        <w:t xml:space="preserve"> of a NHA followed by olaparib</w:t>
      </w:r>
      <w:r>
        <w:rPr>
          <w:rFonts w:asciiTheme="minorHAnsi" w:hAnsiTheme="minorHAnsi"/>
          <w:snapToGrid w:val="0"/>
          <w:lang w:val="en-GB"/>
        </w:rPr>
        <w:t>.</w:t>
      </w:r>
    </w:p>
    <w:p w14:paraId="36EFE820" w14:textId="30577A00" w:rsidR="00CF11D7" w:rsidRDefault="00CF11D7" w:rsidP="00CF11D7">
      <w:pPr>
        <w:widowControl w:val="0"/>
        <w:numPr>
          <w:ilvl w:val="1"/>
          <w:numId w:val="1"/>
        </w:numPr>
        <w:spacing w:after="120"/>
        <w:jc w:val="both"/>
        <w:rPr>
          <w:rFonts w:asciiTheme="minorHAnsi" w:hAnsiTheme="minorHAnsi"/>
          <w:snapToGrid w:val="0"/>
          <w:lang w:val="en-GB"/>
        </w:rPr>
      </w:pPr>
      <w:bookmarkStart w:id="85" w:name="_Ref151984919"/>
      <w:bookmarkStart w:id="86" w:name="_Ref150778004"/>
      <w:r>
        <w:rPr>
          <w:rFonts w:asciiTheme="minorHAnsi" w:hAnsiTheme="minorHAnsi"/>
          <w:snapToGrid w:val="0"/>
          <w:lang w:val="en-GB"/>
        </w:rPr>
        <w:t xml:space="preserve">The PBAC noted that the submission was based on a </w:t>
      </w:r>
      <w:r w:rsidRPr="00CF11D7">
        <w:rPr>
          <w:rFonts w:asciiTheme="minorHAnsi" w:hAnsiTheme="minorHAnsi"/>
          <w:i/>
          <w:iCs/>
          <w:snapToGrid w:val="0"/>
          <w:lang w:val="en-GB"/>
        </w:rPr>
        <w:t>post hoc</w:t>
      </w:r>
      <w:r>
        <w:rPr>
          <w:rFonts w:asciiTheme="minorHAnsi" w:hAnsiTheme="minorHAnsi"/>
          <w:snapToGrid w:val="0"/>
          <w:lang w:val="en-GB"/>
        </w:rPr>
        <w:t xml:space="preserve"> subgroup analysis of the PROpel trial, which compared olaparib </w:t>
      </w:r>
      <w:r w:rsidR="00FB1722">
        <w:rPr>
          <w:rFonts w:asciiTheme="minorHAnsi" w:hAnsiTheme="minorHAnsi"/>
          <w:snapToGrid w:val="0"/>
          <w:lang w:val="en-GB"/>
        </w:rPr>
        <w:t>and</w:t>
      </w:r>
      <w:r>
        <w:rPr>
          <w:rFonts w:asciiTheme="minorHAnsi" w:hAnsiTheme="minorHAnsi"/>
          <w:snapToGrid w:val="0"/>
          <w:lang w:val="en-GB"/>
        </w:rPr>
        <w:t xml:space="preserve"> abiraterone to placebo </w:t>
      </w:r>
      <w:r w:rsidR="00FB1722">
        <w:rPr>
          <w:rFonts w:asciiTheme="minorHAnsi" w:hAnsiTheme="minorHAnsi"/>
          <w:snapToGrid w:val="0"/>
          <w:lang w:val="en-GB"/>
        </w:rPr>
        <w:t>and</w:t>
      </w:r>
      <w:r>
        <w:rPr>
          <w:rFonts w:asciiTheme="minorHAnsi" w:hAnsiTheme="minorHAnsi"/>
          <w:snapToGrid w:val="0"/>
          <w:lang w:val="en-GB"/>
        </w:rPr>
        <w:t xml:space="preserve"> abiraterone. The PBAC noted that the </w:t>
      </w:r>
      <w:r w:rsidRPr="00CF11D7">
        <w:rPr>
          <w:rFonts w:asciiTheme="minorHAnsi" w:hAnsiTheme="minorHAnsi"/>
          <w:i/>
          <w:iCs/>
          <w:snapToGrid w:val="0"/>
          <w:lang w:val="en-GB"/>
        </w:rPr>
        <w:t>post hoc</w:t>
      </w:r>
      <w:r>
        <w:rPr>
          <w:rFonts w:asciiTheme="minorHAnsi" w:hAnsiTheme="minorHAnsi"/>
          <w:snapToGrid w:val="0"/>
          <w:lang w:val="en-GB"/>
        </w:rPr>
        <w:t xml:space="preserve"> subgroup, which consisted of patients with BRCA1/2 pathogenic variants, was not powered to detect robust treatment differences as it was small (n = 85) compared to the intention to treat (ITT) population of the trial (N = 796).</w:t>
      </w:r>
      <w:bookmarkEnd w:id="85"/>
      <w:r w:rsidR="001316D7">
        <w:rPr>
          <w:rFonts w:asciiTheme="minorHAnsi" w:hAnsiTheme="minorHAnsi"/>
          <w:snapToGrid w:val="0"/>
          <w:lang w:val="en-GB"/>
        </w:rPr>
        <w:t xml:space="preserve"> Further, as the BRCA1/2 subgroup was not pre-specified, the PBAC noted that the results should be interpreted with caution.</w:t>
      </w:r>
      <w:r>
        <w:rPr>
          <w:rFonts w:asciiTheme="minorHAnsi" w:hAnsiTheme="minorHAnsi"/>
          <w:snapToGrid w:val="0"/>
          <w:lang w:val="en-GB"/>
        </w:rPr>
        <w:t xml:space="preserve"> </w:t>
      </w:r>
    </w:p>
    <w:p w14:paraId="34529DA1" w14:textId="05D93508" w:rsidR="00CF11D7" w:rsidRPr="00CF11D7" w:rsidRDefault="00CF11D7" w:rsidP="00FA3BF9">
      <w:pPr>
        <w:widowControl w:val="0"/>
        <w:numPr>
          <w:ilvl w:val="1"/>
          <w:numId w:val="1"/>
        </w:numPr>
        <w:spacing w:after="120"/>
        <w:jc w:val="both"/>
        <w:rPr>
          <w:rFonts w:asciiTheme="minorHAnsi" w:hAnsiTheme="minorHAnsi"/>
          <w:snapToGrid w:val="0"/>
          <w:lang w:val="en-GB"/>
        </w:rPr>
      </w:pPr>
      <w:r w:rsidRPr="00CF11D7">
        <w:rPr>
          <w:rFonts w:asciiTheme="minorHAnsi" w:hAnsiTheme="minorHAnsi"/>
          <w:snapToGrid w:val="0"/>
          <w:lang w:val="en-GB"/>
        </w:rPr>
        <w:t>Further, the PBAC noted that randomisation was not stratified for BRCA1/2 variants, and the baseline characteristics across the two arms of the subgroup were not balanced in terms of age, percentage of visceral metastases, prior docetaxel treatment and Eastern Co-Operative Oncology Group (ECOG) performance status scores which likely biased the results in favour of olaparib and abiraterone.</w:t>
      </w:r>
      <w:bookmarkEnd w:id="86"/>
      <w:r w:rsidRPr="00CF11D7">
        <w:rPr>
          <w:rFonts w:asciiTheme="minorHAnsi" w:hAnsiTheme="minorHAnsi"/>
          <w:snapToGrid w:val="0"/>
          <w:lang w:val="en-GB"/>
        </w:rPr>
        <w:t xml:space="preserve"> </w:t>
      </w:r>
      <w:r>
        <w:rPr>
          <w:rFonts w:asciiTheme="minorHAnsi" w:hAnsiTheme="minorHAnsi"/>
          <w:snapToGrid w:val="0"/>
          <w:lang w:val="en-GB"/>
        </w:rPr>
        <w:t>T</w:t>
      </w:r>
      <w:r w:rsidRPr="00CF11D7">
        <w:rPr>
          <w:rFonts w:asciiTheme="minorHAnsi" w:hAnsiTheme="minorHAnsi"/>
          <w:snapToGrid w:val="0"/>
          <w:lang w:val="en-GB"/>
        </w:rPr>
        <w:t xml:space="preserve">he PBAC noted that the PSCR presented a multivariate analysis that adjusted for potential confounders (see paragraph </w:t>
      </w:r>
      <w:r w:rsidRPr="00CF11D7">
        <w:rPr>
          <w:rFonts w:asciiTheme="minorHAnsi" w:hAnsiTheme="minorHAnsi"/>
          <w:snapToGrid w:val="0"/>
          <w:lang w:val="en-GB"/>
        </w:rPr>
        <w:fldChar w:fldCharType="begin" w:fldLock="1"/>
      </w:r>
      <w:r w:rsidRPr="00CF11D7">
        <w:rPr>
          <w:rFonts w:asciiTheme="minorHAnsi" w:hAnsiTheme="minorHAnsi"/>
          <w:snapToGrid w:val="0"/>
          <w:lang w:val="en-GB"/>
        </w:rPr>
        <w:instrText xml:space="preserve"> REF _Ref150778201 \r \h </w:instrText>
      </w:r>
      <w:r w:rsidRPr="00CF11D7">
        <w:rPr>
          <w:rFonts w:asciiTheme="minorHAnsi" w:hAnsiTheme="minorHAnsi"/>
          <w:snapToGrid w:val="0"/>
          <w:lang w:val="en-GB"/>
        </w:rPr>
      </w:r>
      <w:r w:rsidRPr="00CF11D7">
        <w:rPr>
          <w:rFonts w:asciiTheme="minorHAnsi" w:hAnsiTheme="minorHAnsi"/>
          <w:snapToGrid w:val="0"/>
          <w:lang w:val="en-GB"/>
        </w:rPr>
        <w:fldChar w:fldCharType="separate"/>
      </w:r>
      <w:r w:rsidR="001316D7">
        <w:rPr>
          <w:rFonts w:asciiTheme="minorHAnsi" w:hAnsiTheme="minorHAnsi"/>
          <w:snapToGrid w:val="0"/>
          <w:lang w:val="en-GB"/>
        </w:rPr>
        <w:t>6.16</w:t>
      </w:r>
      <w:r w:rsidRPr="00CF11D7">
        <w:rPr>
          <w:rFonts w:asciiTheme="minorHAnsi" w:hAnsiTheme="minorHAnsi"/>
          <w:snapToGrid w:val="0"/>
          <w:lang w:val="en-GB"/>
        </w:rPr>
        <w:fldChar w:fldCharType="end"/>
      </w:r>
      <w:r w:rsidRPr="00CF11D7">
        <w:rPr>
          <w:rFonts w:asciiTheme="minorHAnsi" w:hAnsiTheme="minorHAnsi"/>
          <w:snapToGrid w:val="0"/>
          <w:lang w:val="en-GB"/>
        </w:rPr>
        <w:t xml:space="preserve">) but considered that due to the small sample size of the BRCA1/2 subgroup, the validity of the adjusted model was </w:t>
      </w:r>
      <w:r w:rsidR="001079B2" w:rsidRPr="00CF11D7">
        <w:rPr>
          <w:rFonts w:asciiTheme="minorHAnsi" w:hAnsiTheme="minorHAnsi"/>
          <w:snapToGrid w:val="0"/>
          <w:lang w:val="en-GB"/>
        </w:rPr>
        <w:t>unclear,</w:t>
      </w:r>
      <w:r w:rsidRPr="00CF11D7">
        <w:rPr>
          <w:rFonts w:asciiTheme="minorHAnsi" w:hAnsiTheme="minorHAnsi"/>
          <w:snapToGrid w:val="0"/>
          <w:lang w:val="en-GB"/>
        </w:rPr>
        <w:t xml:space="preserve"> and the effects of confounding remained uncertain.</w:t>
      </w:r>
    </w:p>
    <w:p w14:paraId="0DA4487F" w14:textId="52732FE8" w:rsidR="00CF11D7" w:rsidRDefault="00CF11D7" w:rsidP="00CF11D7">
      <w:pPr>
        <w:widowControl w:val="0"/>
        <w:numPr>
          <w:ilvl w:val="1"/>
          <w:numId w:val="1"/>
        </w:numPr>
        <w:spacing w:after="120"/>
        <w:jc w:val="both"/>
        <w:rPr>
          <w:rFonts w:asciiTheme="minorHAnsi" w:hAnsiTheme="minorHAnsi"/>
          <w:snapToGrid w:val="0"/>
          <w:lang w:val="en-GB"/>
        </w:rPr>
      </w:pPr>
      <w:bookmarkStart w:id="87" w:name="_Ref150783170"/>
      <w:r>
        <w:rPr>
          <w:rFonts w:asciiTheme="minorHAnsi" w:hAnsiTheme="minorHAnsi"/>
          <w:snapToGrid w:val="0"/>
          <w:lang w:val="en-GB"/>
        </w:rPr>
        <w:t xml:space="preserve">The PBAC noted that the MAGNITUDE trial, which compared niraparib and abiraterone </w:t>
      </w:r>
      <w:r>
        <w:rPr>
          <w:rFonts w:asciiTheme="minorHAnsi" w:hAnsiTheme="minorHAnsi"/>
          <w:snapToGrid w:val="0"/>
          <w:lang w:val="en-GB"/>
        </w:rPr>
        <w:lastRenderedPageBreak/>
        <w:t xml:space="preserve">to placebo and abiraterone and which was stratified by BRCA1/2 status, reported a considerably lower magnitude of effect for </w:t>
      </w:r>
      <w:proofErr w:type="spellStart"/>
      <w:r>
        <w:rPr>
          <w:rFonts w:asciiTheme="minorHAnsi" w:hAnsiTheme="minorHAnsi"/>
          <w:snapToGrid w:val="0"/>
          <w:lang w:val="en-GB"/>
        </w:rPr>
        <w:t>rPFS</w:t>
      </w:r>
      <w:proofErr w:type="spellEnd"/>
      <w:r>
        <w:rPr>
          <w:rFonts w:asciiTheme="minorHAnsi" w:hAnsiTheme="minorHAnsi"/>
          <w:snapToGrid w:val="0"/>
          <w:lang w:val="en-GB"/>
        </w:rPr>
        <w:t xml:space="preserve"> and OS compared to the </w:t>
      </w:r>
      <w:proofErr w:type="spellStart"/>
      <w:r>
        <w:rPr>
          <w:rFonts w:asciiTheme="minorHAnsi" w:hAnsiTheme="minorHAnsi"/>
          <w:snapToGrid w:val="0"/>
          <w:lang w:val="en-GB"/>
        </w:rPr>
        <w:t>PROpel</w:t>
      </w:r>
      <w:proofErr w:type="spellEnd"/>
      <w:r>
        <w:rPr>
          <w:rFonts w:asciiTheme="minorHAnsi" w:hAnsiTheme="minorHAnsi"/>
          <w:snapToGrid w:val="0"/>
          <w:lang w:val="en-GB"/>
        </w:rPr>
        <w:t xml:space="preserve"> trial (see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_Ref142657439 \h </w:instrText>
      </w:r>
      <w:r>
        <w:rPr>
          <w:rFonts w:asciiTheme="minorHAnsi" w:hAnsiTheme="minorHAnsi"/>
          <w:snapToGrid w:val="0"/>
          <w:lang w:val="en-GB"/>
        </w:rPr>
      </w:r>
      <w:r>
        <w:rPr>
          <w:rFonts w:asciiTheme="minorHAnsi" w:hAnsiTheme="minorHAnsi"/>
          <w:snapToGrid w:val="0"/>
          <w:lang w:val="en-GB"/>
        </w:rPr>
        <w:fldChar w:fldCharType="separate"/>
      </w:r>
      <w:r>
        <w:t xml:space="preserve">Table </w:t>
      </w:r>
      <w:r>
        <w:rPr>
          <w:noProof/>
        </w:rPr>
        <w:t>8</w:t>
      </w:r>
      <w:r>
        <w:rPr>
          <w:rFonts w:asciiTheme="minorHAnsi" w:hAnsiTheme="minorHAnsi"/>
          <w:snapToGrid w:val="0"/>
          <w:lang w:val="en-GB"/>
        </w:rPr>
        <w:fldChar w:fldCharType="end"/>
      </w:r>
      <w:r>
        <w:rPr>
          <w:rFonts w:asciiTheme="minorHAnsi" w:hAnsiTheme="minorHAnsi"/>
          <w:snapToGrid w:val="0"/>
          <w:lang w:val="en-GB"/>
        </w:rPr>
        <w:t>).</w:t>
      </w:r>
      <w:bookmarkEnd w:id="87"/>
      <w:r>
        <w:rPr>
          <w:rFonts w:asciiTheme="minorHAnsi" w:hAnsiTheme="minorHAnsi"/>
          <w:snapToGrid w:val="0"/>
          <w:lang w:val="en-GB"/>
        </w:rPr>
        <w:t xml:space="preserve"> </w:t>
      </w:r>
    </w:p>
    <w:p w14:paraId="676E593A" w14:textId="664F86E6" w:rsidR="00CF11D7" w:rsidRPr="00CF11D7" w:rsidRDefault="00CF11D7" w:rsidP="00CF11D7">
      <w:pPr>
        <w:widowControl w:val="0"/>
        <w:numPr>
          <w:ilvl w:val="1"/>
          <w:numId w:val="1"/>
        </w:numPr>
        <w:spacing w:after="120"/>
        <w:jc w:val="both"/>
        <w:rPr>
          <w:rFonts w:asciiTheme="minorHAnsi" w:hAnsiTheme="minorHAnsi"/>
          <w:snapToGrid w:val="0"/>
          <w:lang w:val="en-GB"/>
        </w:rPr>
      </w:pPr>
      <w:r>
        <w:rPr>
          <w:rFonts w:asciiTheme="minorHAnsi" w:hAnsiTheme="minorHAnsi"/>
          <w:snapToGrid w:val="0"/>
          <w:lang w:val="en-GB"/>
        </w:rPr>
        <w:t xml:space="preserve">For the reasons outlined in paragraphs </w:t>
      </w:r>
      <w:r w:rsidR="001316D7">
        <w:rPr>
          <w:rFonts w:asciiTheme="minorHAnsi" w:hAnsiTheme="minorHAnsi"/>
          <w:snapToGrid w:val="0"/>
          <w:lang w:val="en-GB"/>
        </w:rPr>
        <w:fldChar w:fldCharType="begin" w:fldLock="1"/>
      </w:r>
      <w:r w:rsidR="001316D7">
        <w:rPr>
          <w:rFonts w:asciiTheme="minorHAnsi" w:hAnsiTheme="minorHAnsi"/>
          <w:snapToGrid w:val="0"/>
          <w:lang w:val="en-GB"/>
        </w:rPr>
        <w:instrText xml:space="preserve"> REF _Ref151984919 \r \h </w:instrText>
      </w:r>
      <w:r w:rsidR="001316D7">
        <w:rPr>
          <w:rFonts w:asciiTheme="minorHAnsi" w:hAnsiTheme="minorHAnsi"/>
          <w:snapToGrid w:val="0"/>
          <w:lang w:val="en-GB"/>
        </w:rPr>
      </w:r>
      <w:r w:rsidR="001316D7">
        <w:rPr>
          <w:rFonts w:asciiTheme="minorHAnsi" w:hAnsiTheme="minorHAnsi"/>
          <w:snapToGrid w:val="0"/>
          <w:lang w:val="en-GB"/>
        </w:rPr>
        <w:fldChar w:fldCharType="separate"/>
      </w:r>
      <w:r w:rsidR="00A31FC5">
        <w:rPr>
          <w:rFonts w:asciiTheme="minorHAnsi" w:hAnsiTheme="minorHAnsi"/>
          <w:snapToGrid w:val="0"/>
          <w:lang w:val="en-GB"/>
        </w:rPr>
        <w:t>7.5</w:t>
      </w:r>
      <w:r w:rsidR="001316D7">
        <w:rPr>
          <w:rFonts w:asciiTheme="minorHAnsi" w:hAnsiTheme="minorHAnsi"/>
          <w:snapToGrid w:val="0"/>
          <w:lang w:val="en-GB"/>
        </w:rPr>
        <w:fldChar w:fldCharType="end"/>
      </w:r>
      <w:r>
        <w:rPr>
          <w:rFonts w:asciiTheme="minorHAnsi" w:hAnsiTheme="minorHAnsi"/>
          <w:snapToGrid w:val="0"/>
          <w:lang w:val="en-GB"/>
        </w:rPr>
        <w:t xml:space="preserve"> to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_Ref150783170 \r \h </w:instrText>
      </w:r>
      <w:r>
        <w:rPr>
          <w:rFonts w:asciiTheme="minorHAnsi" w:hAnsiTheme="minorHAnsi"/>
          <w:snapToGrid w:val="0"/>
          <w:lang w:val="en-GB"/>
        </w:rPr>
      </w:r>
      <w:r>
        <w:rPr>
          <w:rFonts w:asciiTheme="minorHAnsi" w:hAnsiTheme="minorHAnsi"/>
          <w:snapToGrid w:val="0"/>
          <w:lang w:val="en-GB"/>
        </w:rPr>
        <w:fldChar w:fldCharType="separate"/>
      </w:r>
      <w:r w:rsidR="00A31FC5">
        <w:rPr>
          <w:rFonts w:asciiTheme="minorHAnsi" w:hAnsiTheme="minorHAnsi"/>
          <w:snapToGrid w:val="0"/>
          <w:lang w:val="en-GB"/>
        </w:rPr>
        <w:t>7.7</w:t>
      </w:r>
      <w:r>
        <w:rPr>
          <w:rFonts w:asciiTheme="minorHAnsi" w:hAnsiTheme="minorHAnsi"/>
          <w:snapToGrid w:val="0"/>
          <w:lang w:val="en-GB"/>
        </w:rPr>
        <w:fldChar w:fldCharType="end"/>
      </w:r>
      <w:r>
        <w:rPr>
          <w:rFonts w:asciiTheme="minorHAnsi" w:hAnsiTheme="minorHAnsi"/>
          <w:snapToGrid w:val="0"/>
          <w:lang w:val="en-GB"/>
        </w:rPr>
        <w:t>, the PBAC considered that, although the radiograph progression free survival (rPFS) and overall survival (OS) results favoured olaparib and abiraterone</w:t>
      </w:r>
      <w:r w:rsidR="001079B2">
        <w:rPr>
          <w:rFonts w:asciiTheme="minorHAnsi" w:hAnsiTheme="minorHAnsi"/>
          <w:snapToGrid w:val="0"/>
          <w:lang w:val="en-GB"/>
        </w:rPr>
        <w:t xml:space="preserve"> for patients with a BRCA1/2 pathogenetic variant</w:t>
      </w:r>
      <w:r>
        <w:rPr>
          <w:rFonts w:asciiTheme="minorHAnsi" w:hAnsiTheme="minorHAnsi"/>
          <w:snapToGrid w:val="0"/>
          <w:lang w:val="en-GB"/>
        </w:rPr>
        <w:t xml:space="preserve">, the magnitude of the clinical effect was highly uncertain. </w:t>
      </w:r>
      <w:r w:rsidRPr="00CF11D7">
        <w:rPr>
          <w:rFonts w:asciiTheme="minorHAnsi" w:hAnsiTheme="minorHAnsi"/>
          <w:snapToGrid w:val="0"/>
          <w:lang w:val="en-GB"/>
        </w:rPr>
        <w:t xml:space="preserve">Further, the PBAC </w:t>
      </w:r>
      <w:r w:rsidR="001079B2">
        <w:rPr>
          <w:rFonts w:asciiTheme="minorHAnsi" w:hAnsiTheme="minorHAnsi"/>
          <w:snapToGrid w:val="0"/>
          <w:lang w:val="en-GB"/>
        </w:rPr>
        <w:t>noted that it was unknown</w:t>
      </w:r>
      <w:r w:rsidRPr="00CF11D7">
        <w:rPr>
          <w:rFonts w:asciiTheme="minorHAnsi" w:hAnsiTheme="minorHAnsi"/>
          <w:snapToGrid w:val="0"/>
          <w:lang w:val="en-GB"/>
        </w:rPr>
        <w:t xml:space="preserve"> whether olaparib in combination with abiraterone was superior compared to the currently available sequential therapy (</w:t>
      </w:r>
      <w:proofErr w:type="gramStart"/>
      <w:r w:rsidRPr="00CF11D7">
        <w:rPr>
          <w:rFonts w:asciiTheme="minorHAnsi" w:hAnsiTheme="minorHAnsi"/>
          <w:snapToGrid w:val="0"/>
          <w:lang w:val="en-GB"/>
        </w:rPr>
        <w:t>i.e.</w:t>
      </w:r>
      <w:proofErr w:type="gramEnd"/>
      <w:r w:rsidRPr="00CF11D7">
        <w:rPr>
          <w:rFonts w:asciiTheme="minorHAnsi" w:hAnsiTheme="minorHAnsi"/>
          <w:snapToGrid w:val="0"/>
          <w:lang w:val="en-GB"/>
        </w:rPr>
        <w:t xml:space="preserve"> a NHA followed by olaparib monotherapy).</w:t>
      </w:r>
    </w:p>
    <w:p w14:paraId="298B56EA" w14:textId="51ADE8E5" w:rsidR="00CF11D7" w:rsidRDefault="00CF11D7" w:rsidP="00940BEC">
      <w:pPr>
        <w:widowControl w:val="0"/>
        <w:numPr>
          <w:ilvl w:val="1"/>
          <w:numId w:val="1"/>
        </w:numPr>
        <w:spacing w:after="120"/>
        <w:jc w:val="both"/>
        <w:rPr>
          <w:rFonts w:asciiTheme="minorHAnsi" w:hAnsiTheme="minorHAnsi"/>
          <w:snapToGrid w:val="0"/>
          <w:lang w:val="en-GB"/>
        </w:rPr>
      </w:pPr>
      <w:r>
        <w:rPr>
          <w:rFonts w:asciiTheme="minorHAnsi" w:hAnsiTheme="minorHAnsi"/>
          <w:snapToGrid w:val="0"/>
          <w:lang w:val="en-GB"/>
        </w:rPr>
        <w:t>In terms of safety, the PBAC considered that olaparib was inferior compared to placebo, noting that olaparib was associated with increased rates of venous thromboembolism.</w:t>
      </w:r>
    </w:p>
    <w:p w14:paraId="606BE7F1" w14:textId="26E38010" w:rsidR="001079B2" w:rsidRDefault="00FB1722" w:rsidP="00940BEC">
      <w:pPr>
        <w:widowControl w:val="0"/>
        <w:numPr>
          <w:ilvl w:val="1"/>
          <w:numId w:val="1"/>
        </w:numPr>
        <w:spacing w:after="120"/>
        <w:jc w:val="both"/>
        <w:rPr>
          <w:rFonts w:asciiTheme="minorHAnsi" w:hAnsiTheme="minorHAnsi"/>
          <w:snapToGrid w:val="0"/>
          <w:lang w:val="en-GB"/>
        </w:rPr>
      </w:pPr>
      <w:r>
        <w:rPr>
          <w:rFonts w:asciiTheme="minorHAnsi" w:hAnsiTheme="minorHAnsi"/>
          <w:snapToGrid w:val="0"/>
          <w:lang w:val="en-GB"/>
        </w:rPr>
        <w:t>As</w:t>
      </w:r>
      <w:r w:rsidR="001079B2">
        <w:rPr>
          <w:rFonts w:asciiTheme="minorHAnsi" w:hAnsiTheme="minorHAnsi"/>
          <w:snapToGrid w:val="0"/>
          <w:lang w:val="en-GB"/>
        </w:rPr>
        <w:t xml:space="preserve"> the magnitude of the clinical benefit in patients with a BRCA1/2 pathogenic variant was uncertain, the PBAC considered that the economic model was highly uncertain and that the base case ICER was likely underestimated. </w:t>
      </w:r>
      <w:r w:rsidR="00EF584A">
        <w:rPr>
          <w:rFonts w:asciiTheme="minorHAnsi" w:hAnsiTheme="minorHAnsi"/>
          <w:snapToGrid w:val="0"/>
          <w:lang w:val="en-GB"/>
        </w:rPr>
        <w:t>T</w:t>
      </w:r>
      <w:r w:rsidR="001079B2">
        <w:rPr>
          <w:rFonts w:asciiTheme="minorHAnsi" w:hAnsiTheme="minorHAnsi"/>
          <w:snapToGrid w:val="0"/>
          <w:lang w:val="en-GB"/>
        </w:rPr>
        <w:t>he PBAC considered that, for the model presented in the submission, the:</w:t>
      </w:r>
    </w:p>
    <w:p w14:paraId="7AA91419" w14:textId="500A8CBB" w:rsidR="001079B2" w:rsidRDefault="001079B2" w:rsidP="001079B2">
      <w:pPr>
        <w:widowControl w:val="0"/>
        <w:numPr>
          <w:ilvl w:val="1"/>
          <w:numId w:val="40"/>
        </w:numPr>
        <w:spacing w:after="120"/>
        <w:ind w:left="1080"/>
        <w:jc w:val="both"/>
        <w:rPr>
          <w:rFonts w:asciiTheme="minorHAnsi" w:hAnsiTheme="minorHAnsi"/>
          <w:snapToGrid w:val="0"/>
          <w:lang w:val="en-GB"/>
        </w:rPr>
      </w:pPr>
      <w:r>
        <w:rPr>
          <w:rFonts w:asciiTheme="minorHAnsi" w:hAnsiTheme="minorHAnsi"/>
          <w:snapToGrid w:val="0"/>
          <w:lang w:val="en-GB"/>
        </w:rPr>
        <w:t xml:space="preserve">15-year time horizon was too long given the poor prognosis of patients with BRCA1/2 pathogenetic variants, and the limited data presented in the submission. Additionally, the 15-year time horizon was not consistent with previous PBAC recommendations in advanced prostate cancer (see paragraphs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_Ref150845699 \r \h </w:instrText>
      </w:r>
      <w:r>
        <w:rPr>
          <w:rFonts w:asciiTheme="minorHAnsi" w:hAnsiTheme="minorHAnsi"/>
          <w:snapToGrid w:val="0"/>
          <w:lang w:val="en-GB"/>
        </w:rPr>
      </w:r>
      <w:r>
        <w:rPr>
          <w:rFonts w:asciiTheme="minorHAnsi" w:hAnsiTheme="minorHAnsi"/>
          <w:snapToGrid w:val="0"/>
          <w:lang w:val="en-GB"/>
        </w:rPr>
        <w:fldChar w:fldCharType="separate"/>
      </w:r>
      <w:r w:rsidR="001316D7">
        <w:rPr>
          <w:rFonts w:asciiTheme="minorHAnsi" w:hAnsiTheme="minorHAnsi"/>
          <w:snapToGrid w:val="0"/>
          <w:lang w:val="en-GB"/>
        </w:rPr>
        <w:t>6.49</w:t>
      </w:r>
      <w:r>
        <w:rPr>
          <w:rFonts w:asciiTheme="minorHAnsi" w:hAnsiTheme="minorHAnsi"/>
          <w:snapToGrid w:val="0"/>
          <w:lang w:val="en-GB"/>
        </w:rPr>
        <w:fldChar w:fldCharType="end"/>
      </w:r>
      <w:r>
        <w:rPr>
          <w:rFonts w:asciiTheme="minorHAnsi" w:hAnsiTheme="minorHAnsi"/>
          <w:snapToGrid w:val="0"/>
          <w:lang w:val="en-GB"/>
        </w:rPr>
        <w:t xml:space="preserve"> and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_Ref150845718 \r \h </w:instrText>
      </w:r>
      <w:r>
        <w:rPr>
          <w:rFonts w:asciiTheme="minorHAnsi" w:hAnsiTheme="minorHAnsi"/>
          <w:snapToGrid w:val="0"/>
          <w:lang w:val="en-GB"/>
        </w:rPr>
      </w:r>
      <w:r>
        <w:rPr>
          <w:rFonts w:asciiTheme="minorHAnsi" w:hAnsiTheme="minorHAnsi"/>
          <w:snapToGrid w:val="0"/>
          <w:lang w:val="en-GB"/>
        </w:rPr>
        <w:fldChar w:fldCharType="separate"/>
      </w:r>
      <w:r w:rsidR="001316D7">
        <w:rPr>
          <w:rFonts w:asciiTheme="minorHAnsi" w:hAnsiTheme="minorHAnsi"/>
          <w:snapToGrid w:val="0"/>
          <w:lang w:val="en-GB"/>
        </w:rPr>
        <w:t>6.50</w:t>
      </w:r>
      <w:r>
        <w:rPr>
          <w:rFonts w:asciiTheme="minorHAnsi" w:hAnsiTheme="minorHAnsi"/>
          <w:snapToGrid w:val="0"/>
          <w:lang w:val="en-GB"/>
        </w:rPr>
        <w:fldChar w:fldCharType="end"/>
      </w:r>
      <w:proofErr w:type="gramStart"/>
      <w:r>
        <w:rPr>
          <w:rFonts w:asciiTheme="minorHAnsi" w:hAnsiTheme="minorHAnsi"/>
          <w:snapToGrid w:val="0"/>
          <w:lang w:val="en-GB"/>
        </w:rPr>
        <w:t>);</w:t>
      </w:r>
      <w:proofErr w:type="gramEnd"/>
    </w:p>
    <w:p w14:paraId="1308F6B7" w14:textId="3FC5BE52" w:rsidR="001079B2" w:rsidRDefault="001079B2" w:rsidP="001079B2">
      <w:pPr>
        <w:widowControl w:val="0"/>
        <w:numPr>
          <w:ilvl w:val="1"/>
          <w:numId w:val="40"/>
        </w:numPr>
        <w:spacing w:after="120"/>
        <w:ind w:left="1080"/>
        <w:jc w:val="both"/>
        <w:rPr>
          <w:rFonts w:asciiTheme="minorHAnsi" w:hAnsiTheme="minorHAnsi"/>
          <w:snapToGrid w:val="0"/>
          <w:lang w:val="en-GB"/>
        </w:rPr>
      </w:pPr>
      <w:r>
        <w:rPr>
          <w:rFonts w:asciiTheme="minorHAnsi" w:hAnsiTheme="minorHAnsi"/>
          <w:snapToGrid w:val="0"/>
          <w:lang w:val="en-GB"/>
        </w:rPr>
        <w:t xml:space="preserve">extrapolations which resulted in 20% of patients in the olaparib and abiraterone arm remaining alive at 15 years were not clinically plausible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_Ref147909947 \r \h </w:instrText>
      </w:r>
      <w:r>
        <w:rPr>
          <w:rFonts w:asciiTheme="minorHAnsi" w:hAnsiTheme="minorHAnsi"/>
          <w:snapToGrid w:val="0"/>
          <w:lang w:val="en-GB"/>
        </w:rPr>
      </w:r>
      <w:r>
        <w:rPr>
          <w:rFonts w:asciiTheme="minorHAnsi" w:hAnsiTheme="minorHAnsi"/>
          <w:snapToGrid w:val="0"/>
          <w:lang w:val="en-GB"/>
        </w:rPr>
        <w:fldChar w:fldCharType="separate"/>
      </w:r>
      <w:r w:rsidR="001316D7">
        <w:rPr>
          <w:rFonts w:asciiTheme="minorHAnsi" w:hAnsiTheme="minorHAnsi"/>
          <w:snapToGrid w:val="0"/>
          <w:lang w:val="en-GB"/>
        </w:rPr>
        <w:t>6.60</w:t>
      </w:r>
      <w:r>
        <w:rPr>
          <w:rFonts w:asciiTheme="minorHAnsi" w:hAnsiTheme="minorHAnsi"/>
          <w:snapToGrid w:val="0"/>
          <w:lang w:val="en-GB"/>
        </w:rPr>
        <w:fldChar w:fldCharType="end"/>
      </w:r>
      <w:r>
        <w:rPr>
          <w:rFonts w:asciiTheme="minorHAnsi" w:hAnsiTheme="minorHAnsi"/>
          <w:snapToGrid w:val="0"/>
          <w:lang w:val="en-GB"/>
        </w:rPr>
        <w:t>); and</w:t>
      </w:r>
    </w:p>
    <w:p w14:paraId="1D3C349D" w14:textId="7FCA399D" w:rsidR="001079B2" w:rsidRDefault="001079B2" w:rsidP="001079B2">
      <w:pPr>
        <w:widowControl w:val="0"/>
        <w:numPr>
          <w:ilvl w:val="1"/>
          <w:numId w:val="40"/>
        </w:numPr>
        <w:spacing w:after="120"/>
        <w:ind w:left="1080"/>
        <w:jc w:val="both"/>
        <w:rPr>
          <w:rFonts w:asciiTheme="minorHAnsi" w:hAnsiTheme="minorHAnsi"/>
          <w:snapToGrid w:val="0"/>
          <w:lang w:val="en-GB"/>
        </w:rPr>
      </w:pPr>
      <w:r>
        <w:rPr>
          <w:rFonts w:asciiTheme="minorHAnsi" w:hAnsiTheme="minorHAnsi"/>
          <w:snapToGrid w:val="0"/>
          <w:lang w:val="en-GB"/>
        </w:rPr>
        <w:t xml:space="preserve">utilities applied in the model, which were based on the ITT population of PROpel, were high compared to previous utility values presented to the PBAC in the advanced prostate cancer setting (see paragraphs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_Ref147910005 \r \h </w:instrText>
      </w:r>
      <w:r>
        <w:rPr>
          <w:rFonts w:asciiTheme="minorHAnsi" w:hAnsiTheme="minorHAnsi"/>
          <w:snapToGrid w:val="0"/>
          <w:lang w:val="en-GB"/>
        </w:rPr>
      </w:r>
      <w:r>
        <w:rPr>
          <w:rFonts w:asciiTheme="minorHAnsi" w:hAnsiTheme="minorHAnsi"/>
          <w:snapToGrid w:val="0"/>
          <w:lang w:val="en-GB"/>
        </w:rPr>
        <w:fldChar w:fldCharType="separate"/>
      </w:r>
      <w:r w:rsidR="001316D7">
        <w:rPr>
          <w:rFonts w:asciiTheme="minorHAnsi" w:hAnsiTheme="minorHAnsi"/>
          <w:snapToGrid w:val="0"/>
          <w:lang w:val="en-GB"/>
        </w:rPr>
        <w:t>6.64</w:t>
      </w:r>
      <w:r>
        <w:rPr>
          <w:rFonts w:asciiTheme="minorHAnsi" w:hAnsiTheme="minorHAnsi"/>
          <w:snapToGrid w:val="0"/>
          <w:lang w:val="en-GB"/>
        </w:rPr>
        <w:fldChar w:fldCharType="end"/>
      </w:r>
      <w:r>
        <w:rPr>
          <w:rFonts w:asciiTheme="minorHAnsi" w:hAnsiTheme="minorHAnsi"/>
          <w:snapToGrid w:val="0"/>
          <w:lang w:val="en-GB"/>
        </w:rPr>
        <w:t xml:space="preserve"> and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_Ref147910015 \r \h </w:instrText>
      </w:r>
      <w:r>
        <w:rPr>
          <w:rFonts w:asciiTheme="minorHAnsi" w:hAnsiTheme="minorHAnsi"/>
          <w:snapToGrid w:val="0"/>
          <w:lang w:val="en-GB"/>
        </w:rPr>
      </w:r>
      <w:r>
        <w:rPr>
          <w:rFonts w:asciiTheme="minorHAnsi" w:hAnsiTheme="minorHAnsi"/>
          <w:snapToGrid w:val="0"/>
          <w:lang w:val="en-GB"/>
        </w:rPr>
        <w:fldChar w:fldCharType="separate"/>
      </w:r>
      <w:r w:rsidR="001316D7">
        <w:rPr>
          <w:rFonts w:asciiTheme="minorHAnsi" w:hAnsiTheme="minorHAnsi"/>
          <w:snapToGrid w:val="0"/>
          <w:lang w:val="en-GB"/>
        </w:rPr>
        <w:t>6.65</w:t>
      </w:r>
      <w:r>
        <w:rPr>
          <w:rFonts w:asciiTheme="minorHAnsi" w:hAnsiTheme="minorHAnsi"/>
          <w:snapToGrid w:val="0"/>
          <w:lang w:val="en-GB"/>
        </w:rPr>
        <w:fldChar w:fldCharType="end"/>
      </w:r>
      <w:r>
        <w:rPr>
          <w:rFonts w:asciiTheme="minorHAnsi" w:hAnsiTheme="minorHAnsi"/>
          <w:snapToGrid w:val="0"/>
          <w:lang w:val="en-GB"/>
        </w:rPr>
        <w:t>).</w:t>
      </w:r>
    </w:p>
    <w:p w14:paraId="7A7BBBC9" w14:textId="19E887E4" w:rsidR="001079B2" w:rsidRDefault="001079B2" w:rsidP="001079B2">
      <w:pPr>
        <w:widowControl w:val="0"/>
        <w:numPr>
          <w:ilvl w:val="1"/>
          <w:numId w:val="1"/>
        </w:numPr>
        <w:spacing w:after="120"/>
        <w:jc w:val="both"/>
        <w:rPr>
          <w:rFonts w:asciiTheme="minorHAnsi" w:hAnsiTheme="minorHAnsi"/>
          <w:snapToGrid w:val="0"/>
          <w:lang w:val="en-GB"/>
        </w:rPr>
      </w:pPr>
      <w:r>
        <w:rPr>
          <w:rFonts w:asciiTheme="minorHAnsi" w:hAnsiTheme="minorHAnsi"/>
          <w:snapToGrid w:val="0"/>
          <w:lang w:val="en-GB"/>
        </w:rPr>
        <w:t>In terms of the financial impact, the PBAC noted that the changes proposed in the pre-PBAC response reduced the estimated cost of listing olaparib on the PBS/RPBS from $</w:t>
      </w:r>
      <w:r w:rsidR="00E9710A" w:rsidRPr="00E9710A">
        <w:rPr>
          <w:rFonts w:asciiTheme="minorHAnsi" w:hAnsiTheme="minorHAnsi"/>
          <w:snapToGrid w:val="0"/>
          <w:lang w:val="en-GB"/>
        </w:rPr>
        <w:t xml:space="preserve">90 million to &lt; $100 </w:t>
      </w:r>
      <w:r>
        <w:rPr>
          <w:rFonts w:asciiTheme="minorHAnsi" w:hAnsiTheme="minorHAnsi"/>
          <w:snapToGrid w:val="0"/>
          <w:lang w:val="en-GB"/>
        </w:rPr>
        <w:t xml:space="preserve">million to </w:t>
      </w:r>
      <w:r w:rsidRPr="00FA3BF9">
        <w:rPr>
          <w:rFonts w:asciiTheme="minorHAnsi" w:hAnsiTheme="minorHAnsi"/>
          <w:snapToGrid w:val="0"/>
          <w:lang w:val="en-GB"/>
        </w:rPr>
        <w:t>$</w:t>
      </w:r>
      <w:r w:rsidR="00E9710A" w:rsidRPr="00FA3BF9">
        <w:rPr>
          <w:rFonts w:asciiTheme="minorHAnsi" w:hAnsiTheme="minorHAnsi"/>
          <w:snapToGrid w:val="0"/>
          <w:lang w:val="en-GB"/>
        </w:rPr>
        <w:t>80 million to &lt; $90 </w:t>
      </w:r>
      <w:r>
        <w:rPr>
          <w:rFonts w:asciiTheme="minorHAnsi" w:hAnsiTheme="minorHAnsi"/>
          <w:snapToGrid w:val="0"/>
          <w:lang w:val="en-GB"/>
        </w:rPr>
        <w:t xml:space="preserve">million over the first 6 years. The PBAC considered that </w:t>
      </w:r>
      <w:r w:rsidR="00FB1722">
        <w:rPr>
          <w:rFonts w:asciiTheme="minorHAnsi" w:hAnsiTheme="minorHAnsi"/>
          <w:snapToGrid w:val="0"/>
          <w:lang w:val="en-GB"/>
        </w:rPr>
        <w:t xml:space="preserve">the estimated cost was overestimated as </w:t>
      </w:r>
      <w:r>
        <w:rPr>
          <w:rFonts w:asciiTheme="minorHAnsi" w:hAnsiTheme="minorHAnsi"/>
          <w:snapToGrid w:val="0"/>
          <w:lang w:val="en-GB"/>
        </w:rPr>
        <w:t xml:space="preserve">the proportion of mCRPC patients who were NHA naïve was significantly overestimated in both the submission and the pre-PBAC </w:t>
      </w:r>
      <w:r w:rsidRPr="00E15FB7">
        <w:rPr>
          <w:rFonts w:asciiTheme="minorHAnsi" w:hAnsiTheme="minorHAnsi"/>
          <w:snapToGrid w:val="0"/>
          <w:lang w:val="en-GB"/>
        </w:rPr>
        <w:t>response (52% in Year 1 decreasing to 43% from Year 3 onwards in the submission and to 38% in the pre-PBAC response</w:t>
      </w:r>
      <w:r>
        <w:rPr>
          <w:rFonts w:asciiTheme="minorHAnsi" w:hAnsiTheme="minorHAnsi"/>
          <w:snapToGrid w:val="0"/>
          <w:lang w:val="en-GB"/>
        </w:rPr>
        <w:t xml:space="preserve">). The PBAC considered that there were additional uncertainties in the utilisation and financial impact estimates as outlined in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_Ref104805262 \h </w:instrText>
      </w:r>
      <w:r>
        <w:rPr>
          <w:rFonts w:asciiTheme="minorHAnsi" w:hAnsiTheme="minorHAnsi"/>
          <w:snapToGrid w:val="0"/>
          <w:lang w:val="en-GB"/>
        </w:rPr>
      </w:r>
      <w:r>
        <w:rPr>
          <w:rFonts w:asciiTheme="minorHAnsi" w:hAnsiTheme="minorHAnsi"/>
          <w:snapToGrid w:val="0"/>
          <w:lang w:val="en-GB"/>
        </w:rPr>
        <w:fldChar w:fldCharType="separate"/>
      </w:r>
      <w:r w:rsidRPr="00C70570">
        <w:t xml:space="preserve">Table </w:t>
      </w:r>
      <w:r>
        <w:rPr>
          <w:noProof/>
        </w:rPr>
        <w:t>14</w:t>
      </w:r>
      <w:r>
        <w:rPr>
          <w:rFonts w:asciiTheme="minorHAnsi" w:hAnsiTheme="minorHAnsi"/>
          <w:snapToGrid w:val="0"/>
          <w:lang w:val="en-GB"/>
        </w:rPr>
        <w:fldChar w:fldCharType="end"/>
      </w:r>
      <w:r>
        <w:rPr>
          <w:rFonts w:asciiTheme="minorHAnsi" w:hAnsiTheme="minorHAnsi"/>
          <w:snapToGrid w:val="0"/>
          <w:lang w:val="en-GB"/>
        </w:rPr>
        <w:t>.</w:t>
      </w:r>
    </w:p>
    <w:bookmarkEnd w:id="84"/>
    <w:p w14:paraId="61174FBE" w14:textId="170C11A5" w:rsidR="001079B2" w:rsidRPr="001079B2" w:rsidRDefault="002F22B5" w:rsidP="001079B2">
      <w:pPr>
        <w:widowControl w:val="0"/>
        <w:numPr>
          <w:ilvl w:val="1"/>
          <w:numId w:val="1"/>
        </w:numPr>
        <w:spacing w:after="120"/>
        <w:jc w:val="both"/>
        <w:rPr>
          <w:rFonts w:asciiTheme="minorHAnsi" w:hAnsiTheme="minorHAnsi"/>
          <w:b/>
          <w:bCs/>
          <w:snapToGrid w:val="0"/>
          <w:lang w:val="en-GB"/>
        </w:rPr>
      </w:pPr>
      <w:r>
        <w:rPr>
          <w:rFonts w:asciiTheme="minorHAnsi" w:hAnsiTheme="minorHAnsi"/>
          <w:bCs/>
          <w:snapToGrid w:val="0"/>
          <w:lang w:val="en-GB"/>
        </w:rPr>
        <w:t xml:space="preserve">The PBAC considered any resubmission should address the clinical role of olaparib and abiraterone, including </w:t>
      </w:r>
      <w:r w:rsidR="00A31FC5">
        <w:rPr>
          <w:rFonts w:asciiTheme="minorHAnsi" w:hAnsiTheme="minorHAnsi"/>
          <w:bCs/>
          <w:snapToGrid w:val="0"/>
          <w:lang w:val="en-GB"/>
        </w:rPr>
        <w:t>any</w:t>
      </w:r>
      <w:r>
        <w:rPr>
          <w:rFonts w:asciiTheme="minorHAnsi" w:hAnsiTheme="minorHAnsi"/>
          <w:bCs/>
          <w:snapToGrid w:val="0"/>
          <w:lang w:val="en-GB"/>
        </w:rPr>
        <w:t xml:space="preserve"> benefit over sequential use, and </w:t>
      </w:r>
      <w:r w:rsidR="00A31FC5">
        <w:rPr>
          <w:rFonts w:asciiTheme="minorHAnsi" w:hAnsiTheme="minorHAnsi"/>
          <w:bCs/>
          <w:snapToGrid w:val="0"/>
          <w:lang w:val="en-GB"/>
        </w:rPr>
        <w:t xml:space="preserve">that further clinical evidence would be required. A resubmission should also address </w:t>
      </w:r>
      <w:r>
        <w:rPr>
          <w:rFonts w:asciiTheme="minorHAnsi" w:hAnsiTheme="minorHAnsi"/>
          <w:bCs/>
          <w:snapToGrid w:val="0"/>
          <w:lang w:val="en-GB"/>
        </w:rPr>
        <w:t>the issues identified during the evaluation process relating to the economic model and financial forecasts.</w:t>
      </w:r>
      <w:r w:rsidR="00A31FC5">
        <w:rPr>
          <w:rFonts w:asciiTheme="minorHAnsi" w:hAnsiTheme="minorHAnsi"/>
          <w:bCs/>
          <w:snapToGrid w:val="0"/>
          <w:lang w:val="en-GB"/>
        </w:rPr>
        <w:t xml:space="preserve"> </w:t>
      </w:r>
      <w:r w:rsidR="00940BEC" w:rsidRPr="001079B2">
        <w:rPr>
          <w:rFonts w:asciiTheme="minorHAnsi" w:hAnsiTheme="minorHAnsi"/>
          <w:bCs/>
          <w:snapToGrid w:val="0"/>
          <w:lang w:val="en-GB"/>
        </w:rPr>
        <w:lastRenderedPageBreak/>
        <w:t>The resubmission may be lodged at any future standard due date for PBAC submissions using the standard re-entry pathway.</w:t>
      </w:r>
      <w:r w:rsidR="001079B2">
        <w:rPr>
          <w:rFonts w:asciiTheme="minorHAnsi" w:hAnsiTheme="minorHAnsi"/>
          <w:bCs/>
          <w:snapToGrid w:val="0"/>
          <w:lang w:val="en-GB"/>
        </w:rPr>
        <w:t xml:space="preserve"> </w:t>
      </w:r>
      <w:r w:rsidR="00940BEC" w:rsidRPr="001079B2">
        <w:rPr>
          <w:rFonts w:asciiTheme="minorHAnsi" w:hAnsiTheme="minorHAnsi"/>
          <w:bCs/>
          <w:snapToGrid w:val="0"/>
          <w:lang w:val="en-GB"/>
        </w:rPr>
        <w:t xml:space="preserve">The PBAC noted that this submission is eligible for an Independent Review. </w:t>
      </w:r>
    </w:p>
    <w:p w14:paraId="3CC48972" w14:textId="4E4FA91B" w:rsidR="00940BEC" w:rsidRPr="001079B2" w:rsidRDefault="00940BEC" w:rsidP="00B42DA7">
      <w:pPr>
        <w:widowControl w:val="0"/>
        <w:jc w:val="both"/>
        <w:rPr>
          <w:rFonts w:asciiTheme="minorHAnsi" w:hAnsiTheme="minorHAnsi"/>
          <w:b/>
          <w:bCs/>
          <w:snapToGrid w:val="0"/>
          <w:lang w:val="en-GB"/>
        </w:rPr>
      </w:pPr>
      <w:r w:rsidRPr="001079B2">
        <w:rPr>
          <w:rFonts w:asciiTheme="minorHAnsi" w:hAnsiTheme="minorHAnsi"/>
          <w:b/>
          <w:bCs/>
          <w:snapToGrid w:val="0"/>
          <w:lang w:val="en-GB"/>
        </w:rPr>
        <w:t>Outcome:</w:t>
      </w:r>
    </w:p>
    <w:p w14:paraId="616DB09B" w14:textId="2A7C5703" w:rsidR="00313F0F" w:rsidRPr="00313F0F" w:rsidRDefault="00940BEC" w:rsidP="00313F0F">
      <w:pPr>
        <w:jc w:val="both"/>
        <w:rPr>
          <w:rFonts w:asciiTheme="minorHAnsi" w:hAnsiTheme="minorHAnsi"/>
          <w:bCs/>
          <w:snapToGrid w:val="0"/>
          <w:lang w:val="en-GB"/>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bookmarkEnd w:id="82"/>
      <w:bookmarkEnd w:id="83"/>
    </w:p>
    <w:p w14:paraId="481D233E" w14:textId="77777777" w:rsidR="00313F0F" w:rsidRPr="00313F0F" w:rsidRDefault="00313F0F" w:rsidP="00313F0F">
      <w:pPr>
        <w:pStyle w:val="2-SectionHeading"/>
      </w:pPr>
      <w:r w:rsidRPr="00313F0F">
        <w:t>Context for Decision</w:t>
      </w:r>
    </w:p>
    <w:p w14:paraId="20DDE1CF" w14:textId="77777777" w:rsidR="00313F0F" w:rsidRPr="00313F0F" w:rsidRDefault="00313F0F" w:rsidP="00313F0F">
      <w:pPr>
        <w:spacing w:after="120"/>
        <w:ind w:left="720"/>
        <w:jc w:val="both"/>
        <w:rPr>
          <w:rFonts w:asciiTheme="minorHAnsi" w:hAnsiTheme="minorHAnsi"/>
          <w:bCs/>
          <w:lang w:val="en-GB"/>
        </w:rPr>
      </w:pPr>
      <w:r w:rsidRPr="00313F0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B2C8555" w14:textId="77777777" w:rsidR="00313F0F" w:rsidRPr="00313F0F" w:rsidRDefault="00313F0F" w:rsidP="00313F0F">
      <w:pPr>
        <w:pStyle w:val="2-SectionHeading"/>
      </w:pPr>
      <w:r w:rsidRPr="00313F0F">
        <w:t>Sponsor’s Comment</w:t>
      </w:r>
    </w:p>
    <w:p w14:paraId="668857F0" w14:textId="5DB17C51" w:rsidR="009B1B01" w:rsidRPr="00A27DC0" w:rsidRDefault="00313F0F" w:rsidP="003727F2">
      <w:pPr>
        <w:spacing w:after="120"/>
        <w:ind w:left="720"/>
        <w:jc w:val="both"/>
      </w:pPr>
      <w:r w:rsidRPr="003727F2">
        <w:rPr>
          <w:rFonts w:asciiTheme="minorHAnsi" w:hAnsiTheme="minorHAnsi"/>
          <w:bCs/>
          <w:lang w:val="en-GB"/>
        </w:rPr>
        <w:t>The sponsor had no comment.</w:t>
      </w:r>
    </w:p>
    <w:sectPr w:rsidR="009B1B01" w:rsidRPr="00A27DC0" w:rsidSect="00FB1722">
      <w:headerReference w:type="default" r:id="rId19"/>
      <w:footerReference w:type="default" r:id="rId20"/>
      <w:pgSz w:w="11907" w:h="16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765D" w14:textId="77777777" w:rsidR="004B4489" w:rsidRDefault="004B4489" w:rsidP="00124A51">
      <w:r>
        <w:separator/>
      </w:r>
    </w:p>
    <w:p w14:paraId="25E6C5F9" w14:textId="77777777" w:rsidR="004B4489" w:rsidRDefault="004B4489"/>
  </w:endnote>
  <w:endnote w:type="continuationSeparator" w:id="0">
    <w:p w14:paraId="0774CF39" w14:textId="77777777" w:rsidR="004B4489" w:rsidRDefault="004B4489" w:rsidP="00124A51">
      <w:r>
        <w:continuationSeparator/>
      </w:r>
    </w:p>
    <w:p w14:paraId="273E63D9" w14:textId="77777777" w:rsidR="004B4489" w:rsidRDefault="004B4489"/>
  </w:endnote>
  <w:endnote w:type="continuationNotice" w:id="1">
    <w:p w14:paraId="6F867D3C" w14:textId="77777777" w:rsidR="004B4489" w:rsidRDefault="004B4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9070000" w:usb2="00000010" w:usb3="00000000" w:csb0="000A0000" w:csb1="00000000"/>
  </w:font>
  <w:font w:name="ArialNarrow">
    <w:altName w:val="Arial"/>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3486C3F0" w:rsidR="00A87F78" w:rsidRDefault="00A87F78" w:rsidP="003F5244">
    <w:pPr>
      <w:pStyle w:val="Footer"/>
      <w:tabs>
        <w:tab w:val="clear" w:pos="9026"/>
        <w:tab w:val="left" w:pos="6510"/>
      </w:tabs>
    </w:pPr>
  </w:p>
  <w:p w14:paraId="37484CD3" w14:textId="12778811" w:rsidR="00A87F78" w:rsidRPr="00940BEC" w:rsidRDefault="0026182E" w:rsidP="00753B29">
    <w:pPr>
      <w:pStyle w:val="Footer"/>
      <w:jc w:val="center"/>
      <w:rPr>
        <w:b/>
        <w:bCs/>
      </w:rPr>
    </w:pPr>
    <w:sdt>
      <w:sdtPr>
        <w:id w:val="1036156457"/>
        <w:docPartObj>
          <w:docPartGallery w:val="Page Numbers (Bottom of Page)"/>
          <w:docPartUnique/>
        </w:docPartObj>
      </w:sdtPr>
      <w:sdtEndPr>
        <w:rPr>
          <w:b/>
          <w:bCs/>
          <w:noProof/>
        </w:rPr>
      </w:sdtEndPr>
      <w:sdtContent>
        <w:r w:rsidR="00A87F78" w:rsidRPr="00940BEC">
          <w:rPr>
            <w:b/>
            <w:bCs/>
          </w:rPr>
          <w:fldChar w:fldCharType="begin"/>
        </w:r>
        <w:r w:rsidR="00A87F78" w:rsidRPr="00940BEC">
          <w:rPr>
            <w:b/>
            <w:bCs/>
          </w:rPr>
          <w:instrText xml:space="preserve"> PAGE   \* MERGEFORMAT </w:instrText>
        </w:r>
        <w:r w:rsidR="00A87F78" w:rsidRPr="00940BEC">
          <w:rPr>
            <w:b/>
            <w:bCs/>
          </w:rPr>
          <w:fldChar w:fldCharType="separate"/>
        </w:r>
        <w:r w:rsidR="00A87F78" w:rsidRPr="00940BEC">
          <w:rPr>
            <w:b/>
            <w:bCs/>
            <w:noProof/>
          </w:rPr>
          <w:t>2</w:t>
        </w:r>
        <w:r w:rsidR="00A87F78" w:rsidRPr="00940BEC">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3752" w14:textId="77777777" w:rsidR="004B4489" w:rsidRDefault="004B4489" w:rsidP="00124A51">
      <w:r>
        <w:separator/>
      </w:r>
    </w:p>
    <w:p w14:paraId="23A1F20C" w14:textId="77777777" w:rsidR="004B4489" w:rsidRDefault="004B4489"/>
  </w:footnote>
  <w:footnote w:type="continuationSeparator" w:id="0">
    <w:p w14:paraId="32325957" w14:textId="77777777" w:rsidR="004B4489" w:rsidRDefault="004B4489" w:rsidP="00124A51">
      <w:r>
        <w:continuationSeparator/>
      </w:r>
    </w:p>
    <w:p w14:paraId="509A3419" w14:textId="77777777" w:rsidR="004B4489" w:rsidRDefault="004B4489"/>
  </w:footnote>
  <w:footnote w:type="continuationNotice" w:id="1">
    <w:p w14:paraId="55B10AB9" w14:textId="77777777" w:rsidR="004B4489" w:rsidRDefault="004B4489"/>
  </w:footnote>
  <w:footnote w:id="2">
    <w:p w14:paraId="0AD4FF22" w14:textId="7E01E3B6" w:rsidR="00CF11D7" w:rsidRPr="00CF11D7" w:rsidRDefault="00CF11D7">
      <w:pPr>
        <w:pStyle w:val="FootnoteText"/>
      </w:pPr>
      <w:r w:rsidRPr="00CF11D7">
        <w:rPr>
          <w:rStyle w:val="FootnoteReference"/>
        </w:rPr>
        <w:footnoteRef/>
      </w:r>
      <w:r w:rsidRPr="00CF11D7">
        <w:t xml:space="preserve"> </w:t>
      </w:r>
      <w:r w:rsidRPr="00CF11D7">
        <w:rPr>
          <w:rFonts w:asciiTheme="minorHAnsi" w:hAnsiTheme="minorHAnsi"/>
          <w:bCs/>
          <w:snapToGrid w:val="0"/>
        </w:rPr>
        <w:t>Cherny NI, Dafni U, Bogaerts J, et al: ESMO-Magnitude of Clinical Benefit Scale version 1.1. Annals of Oncology 28:2340-2366, 2017</w:t>
      </w:r>
    </w:p>
  </w:footnote>
  <w:footnote w:id="3">
    <w:p w14:paraId="5CA00349" w14:textId="3F27C98A" w:rsidR="00A87F78" w:rsidRDefault="00A87F78" w:rsidP="001C15FE">
      <w:pPr>
        <w:pStyle w:val="FootnoteText"/>
      </w:pPr>
      <w:r>
        <w:rPr>
          <w:rStyle w:val="FootnoteReference"/>
        </w:rPr>
        <w:footnoteRef/>
      </w:r>
      <w:r>
        <w:t xml:space="preserve"> </w:t>
      </w:r>
      <w:r w:rsidRPr="00C9108F">
        <w:rPr>
          <w:rStyle w:val="TableFooterChar"/>
        </w:rPr>
        <w:t>Chi KN, et al. MAGNITUDE Principal Investigators. Niraparib and Abiraterone Acetate for Metastatic Castration-Resistant Prostate Cancer. J Clin Oncol. 2023 Jun 20;41(18):3339-3351.</w:t>
      </w:r>
    </w:p>
  </w:footnote>
  <w:footnote w:id="4">
    <w:p w14:paraId="0C1A1F03" w14:textId="77777777" w:rsidR="00A87F78" w:rsidRPr="00C9108F" w:rsidRDefault="00A87F78" w:rsidP="0055646E">
      <w:pPr>
        <w:pStyle w:val="FootnoteText"/>
        <w:rPr>
          <w:rFonts w:ascii="Arial Narrow" w:hAnsi="Arial Narrow"/>
          <w:snapToGrid w:val="0"/>
          <w:sz w:val="18"/>
          <w:lang w:eastAsia="en-US"/>
        </w:rPr>
      </w:pPr>
      <w:r>
        <w:rPr>
          <w:rStyle w:val="FootnoteReference"/>
        </w:rPr>
        <w:footnoteRef/>
      </w:r>
      <w:r>
        <w:t xml:space="preserve"> </w:t>
      </w:r>
      <w:r w:rsidRPr="00C9108F">
        <w:rPr>
          <w:rStyle w:val="TableFooterChar"/>
        </w:rPr>
        <w:t>Agarwal N, et al. Talazoparib plus enzalutamide in men with first-line metastatic castration-resistant prostate cancer (TALAPRO-2): a randomised, placebo-controlled, phase 3 trial. Lancet. 2023 Jul 22;402(10398):291-303</w:t>
      </w:r>
    </w:p>
  </w:footnote>
  <w:footnote w:id="5">
    <w:p w14:paraId="1C6AD2C7" w14:textId="77777777" w:rsidR="00A87F78" w:rsidRDefault="00A87F78" w:rsidP="0031403F">
      <w:pPr>
        <w:pStyle w:val="FootnoteText"/>
      </w:pPr>
      <w:r>
        <w:rPr>
          <w:rStyle w:val="FootnoteReference"/>
        </w:rPr>
        <w:footnoteRef/>
      </w:r>
      <w:r>
        <w:t xml:space="preserve"> </w:t>
      </w:r>
      <w:r w:rsidRPr="006E5336">
        <w:rPr>
          <w:rStyle w:val="TableFooterChar"/>
        </w:rPr>
        <w:t>Sayyid RK, et al. PARP Inhibitor Combinations in First Line mCRPC: A Systematic Review and Meta-Analysis. BJU Int. 2023 Jul 17. Online ahead of print.</w:t>
      </w:r>
    </w:p>
  </w:footnote>
  <w:footnote w:id="6">
    <w:p w14:paraId="457921BD" w14:textId="77777777" w:rsidR="00934732" w:rsidRPr="00182296" w:rsidRDefault="00934732" w:rsidP="00CB7CE2">
      <w:pPr>
        <w:pStyle w:val="FooterTableFigure"/>
      </w:pPr>
      <w:r w:rsidRPr="00182296">
        <w:rPr>
          <w:rStyle w:val="FootnoteReference"/>
          <w:rFonts w:asciiTheme="minorHAnsi" w:hAnsiTheme="minorHAnsi" w:cstheme="minorHAnsi"/>
        </w:rPr>
        <w:footnoteRef/>
      </w:r>
      <w:r w:rsidRPr="00182296">
        <w:t xml:space="preserve"> </w:t>
      </w:r>
      <w:hyperlink r:id="rId1" w:history="1">
        <w:r w:rsidRPr="00182296">
          <w:rPr>
            <w:rStyle w:val="Hyperlink"/>
            <w:rFonts w:asciiTheme="minorHAnsi" w:hAnsiTheme="minorHAnsi" w:cstheme="minorHAnsi"/>
          </w:rPr>
          <w:t>https://www.accessdata.fda.gov/drugsatfda_docs/label/2023/216793s000lbl.pdf</w:t>
        </w:r>
      </w:hyperlink>
      <w:r w:rsidRPr="00182296">
        <w:t>, accessed: 21 Sep. 2023.</w:t>
      </w:r>
    </w:p>
  </w:footnote>
  <w:footnote w:id="7">
    <w:p w14:paraId="57BC2AF0" w14:textId="1D2B7E10" w:rsidR="001C4B62" w:rsidRDefault="001C4B62" w:rsidP="00CB7CE2">
      <w:pPr>
        <w:pStyle w:val="FooterTableFigure"/>
      </w:pPr>
      <w:r>
        <w:rPr>
          <w:rStyle w:val="FootnoteReference"/>
        </w:rPr>
        <w:footnoteRef/>
      </w:r>
      <w:r>
        <w:t xml:space="preserve"> Chi KM, Sandhu S, Smith MR, et al. Niraparib plus abiraterone acetate with prednisone in patients with metastatic castration-resistant prostate cancer and homologous recombination repair gene alterations: second interim analysis of the randomized phase III MAGNITUDE </w:t>
      </w:r>
      <w:r w:rsidR="00D52CF5">
        <w:t>trial. Annals of Oncology. 2023</w:t>
      </w:r>
      <w:r w:rsidR="007B4CFD">
        <w:t>;34(9):772-782</w:t>
      </w:r>
    </w:p>
  </w:footnote>
  <w:footnote w:id="8">
    <w:p w14:paraId="0EE063C5" w14:textId="77777777" w:rsidR="00A87F78" w:rsidRDefault="00A87F78" w:rsidP="009B1B01">
      <w:pPr>
        <w:pStyle w:val="FootnoteText"/>
      </w:pPr>
      <w:r>
        <w:rPr>
          <w:rStyle w:val="FootnoteReference"/>
        </w:rPr>
        <w:footnoteRef/>
      </w:r>
      <w:r>
        <w:t xml:space="preserve"> </w:t>
      </w:r>
      <w:r w:rsidRPr="00B67241">
        <w:rPr>
          <w:rFonts w:ascii="Arial Narrow" w:hAnsi="Arial Narrow"/>
          <w:sz w:val="18"/>
          <w:szCs w:val="18"/>
        </w:rPr>
        <w:t>Norman R. et al.</w:t>
      </w:r>
      <w:r>
        <w:rPr>
          <w:rFonts w:ascii="Arial Narrow" w:hAnsi="Arial Narrow"/>
          <w:sz w:val="18"/>
          <w:szCs w:val="18"/>
        </w:rPr>
        <w:t xml:space="preserve"> </w:t>
      </w:r>
      <w:r w:rsidRPr="00B67241">
        <w:rPr>
          <w:rFonts w:ascii="Arial Narrow" w:hAnsi="Arial Narrow"/>
          <w:sz w:val="18"/>
          <w:szCs w:val="18"/>
        </w:rPr>
        <w:t>The Use of a Discrete Choice Experiment Including Both Duration and Dead for the Development of an EQ-5D-5L Value Set for Australia</w:t>
      </w:r>
      <w:r>
        <w:rPr>
          <w:rFonts w:ascii="Arial Narrow" w:hAnsi="Arial Narrow"/>
          <w:sz w:val="18"/>
          <w:szCs w:val="18"/>
        </w:rPr>
        <w:t>.</w:t>
      </w:r>
      <w:r w:rsidRPr="00B67241">
        <w:rPr>
          <w:rStyle w:val="TableFooterChar"/>
        </w:rPr>
        <w:t xml:space="preserve"> </w:t>
      </w:r>
      <w:r>
        <w:rPr>
          <w:rStyle w:val="TableFooterChar"/>
        </w:rPr>
        <w:t>Pharmacoeconomics</w:t>
      </w:r>
      <w:r w:rsidRPr="000C5A30">
        <w:rPr>
          <w:rStyle w:val="TableFooterChar"/>
        </w:rPr>
        <w:t>. 20</w:t>
      </w:r>
      <w:r>
        <w:rPr>
          <w:rStyle w:val="TableFooterChar"/>
        </w:rPr>
        <w:t>23</w:t>
      </w:r>
      <w:r w:rsidRPr="000C5A30">
        <w:rPr>
          <w:rStyle w:val="TableFooterChar"/>
        </w:rPr>
        <w:t xml:space="preserve"> </w:t>
      </w:r>
      <w:r>
        <w:rPr>
          <w:rStyle w:val="TableFooterChar"/>
        </w:rPr>
        <w:t>Apr</w:t>
      </w:r>
      <w:r w:rsidRPr="000C5A30">
        <w:rPr>
          <w:rStyle w:val="TableFooterChar"/>
        </w:rPr>
        <w:t>;</w:t>
      </w:r>
      <w:r>
        <w:rPr>
          <w:rStyle w:val="TableFooterChar"/>
        </w:rPr>
        <w:t>41</w:t>
      </w:r>
      <w:r w:rsidRPr="000C5A30">
        <w:rPr>
          <w:rStyle w:val="TableFooterChar"/>
        </w:rPr>
        <w:t>(</w:t>
      </w:r>
      <w:r>
        <w:rPr>
          <w:rStyle w:val="TableFooterChar"/>
        </w:rPr>
        <w:t>4</w:t>
      </w:r>
      <w:r w:rsidRPr="000C5A30">
        <w:rPr>
          <w:rStyle w:val="TableFooterChar"/>
        </w:rPr>
        <w:t>):</w:t>
      </w:r>
      <w:r>
        <w:rPr>
          <w:rStyle w:val="TableFooterChar"/>
        </w:rPr>
        <w:t>427-38.</w:t>
      </w:r>
    </w:p>
  </w:footnote>
  <w:footnote w:id="9">
    <w:p w14:paraId="51604553" w14:textId="77777777" w:rsidR="00A87F78" w:rsidRPr="00F54D20" w:rsidRDefault="00A87F78" w:rsidP="009B1B01">
      <w:pPr>
        <w:pStyle w:val="FootnoteText"/>
        <w:rPr>
          <w:rFonts w:ascii="Arial Narrow" w:hAnsi="Arial Narrow"/>
          <w:snapToGrid w:val="0"/>
          <w:sz w:val="18"/>
          <w:szCs w:val="22"/>
        </w:rPr>
      </w:pPr>
      <w:r>
        <w:rPr>
          <w:rStyle w:val="FootnoteReference"/>
        </w:rPr>
        <w:footnoteRef/>
      </w:r>
      <w:r>
        <w:t xml:space="preserve"> </w:t>
      </w:r>
      <w:r w:rsidRPr="006C7D8C">
        <w:rPr>
          <w:rStyle w:val="FooterTableFigureChar"/>
        </w:rPr>
        <w:t>Interim value sets for the EQ-5D-5L</w:t>
      </w:r>
      <w:r>
        <w:rPr>
          <w:rStyle w:val="FooterTableFigureChar"/>
        </w:rPr>
        <w:t>. 2017. Accessed on 01/08/2023:</w:t>
      </w:r>
      <w:r w:rsidRPr="006C7D8C">
        <w:rPr>
          <w:rStyle w:val="FooterTableFigureChar"/>
        </w:rPr>
        <w:t xml:space="preserve"> </w:t>
      </w:r>
      <w:hyperlink r:id="rId2" w:history="1">
        <w:r w:rsidRPr="006C7D8C">
          <w:rPr>
            <w:rStyle w:val="FooterTableFigureChar"/>
          </w:rPr>
          <w:t>https://euroqol.org/wp-content/uploads/2017/02/EQ-5D-5L_Crosswalk_model_and__methodology.pdf</w:t>
        </w:r>
      </w:hyperlink>
    </w:p>
  </w:footnote>
  <w:footnote w:id="10">
    <w:p w14:paraId="0B3DBC2C" w14:textId="4B927DC6" w:rsidR="00E952E8" w:rsidRPr="006D17A4" w:rsidRDefault="00A87F78" w:rsidP="006D17A4">
      <w:pPr>
        <w:pStyle w:val="FootnoteText"/>
        <w:rPr>
          <w:rFonts w:ascii="Arial Narrow" w:hAnsi="Arial Narrow"/>
          <w:i/>
          <w:snapToGrid w:val="0"/>
          <w:sz w:val="18"/>
          <w:szCs w:val="22"/>
        </w:rPr>
      </w:pPr>
      <w:r>
        <w:rPr>
          <w:rStyle w:val="FootnoteReference"/>
        </w:rPr>
        <w:footnoteRef/>
      </w:r>
      <w:r>
        <w:t xml:space="preserve"> </w:t>
      </w:r>
      <w:r w:rsidRPr="00F8610D">
        <w:rPr>
          <w:rStyle w:val="TableFigureFooterChar"/>
        </w:rPr>
        <w:t>Svensson J et al. Time spent in hormone-sensitive and castration-resistant disease states in men with advanced prostate cancer, and its health economic impact: registry-based study in Sweden. Scand J Urol. 2021 Feb;55(1):1-8.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0DC9" w14:textId="14098038" w:rsidR="00A87F78" w:rsidRPr="00195452" w:rsidRDefault="00313F0F" w:rsidP="008F1CBD">
    <w:pPr>
      <w:pStyle w:val="Header"/>
      <w:rPr>
        <w:rFonts w:asciiTheme="minorHAnsi" w:hAnsiTheme="minorHAnsi"/>
        <w:i/>
        <w:color w:val="808080"/>
      </w:rPr>
    </w:pPr>
    <w:r w:rsidRPr="00313F0F">
      <w:rPr>
        <w:rFonts w:asciiTheme="minorHAnsi" w:hAnsiTheme="minorHAnsi"/>
        <w:i/>
        <w:color w:val="808080"/>
      </w:rPr>
      <w:t xml:space="preserve">Public Summary Document </w:t>
    </w:r>
    <w:r w:rsidR="00940BEC">
      <w:rPr>
        <w:rFonts w:asciiTheme="minorHAnsi" w:hAnsiTheme="minorHAnsi"/>
        <w:i/>
        <w:color w:val="808080"/>
      </w:rPr>
      <w:t xml:space="preserve">- </w:t>
    </w:r>
    <w:r w:rsidR="00A87F78">
      <w:rPr>
        <w:rFonts w:asciiTheme="minorHAnsi" w:hAnsiTheme="minorHAnsi"/>
        <w:i/>
        <w:color w:val="808080"/>
      </w:rPr>
      <w:t xml:space="preserve">November 2023 </w:t>
    </w:r>
    <w:r w:rsidR="00A87F78" w:rsidRPr="00195452">
      <w:rPr>
        <w:rFonts w:asciiTheme="minorHAnsi" w:hAnsiTheme="minorHAnsi"/>
        <w:i/>
        <w:color w:val="808080"/>
      </w:rPr>
      <w:t>PBAC Meeting</w:t>
    </w:r>
  </w:p>
  <w:p w14:paraId="03AF943B" w14:textId="77777777" w:rsidR="00A87F78" w:rsidRPr="008C7ECB" w:rsidRDefault="00A87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E06A1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E97321"/>
    <w:multiLevelType w:val="hybridMultilevel"/>
    <w:tmpl w:val="1A4414C8"/>
    <w:lvl w:ilvl="0" w:tplc="B2863E9C">
      <w:start w:val="1"/>
      <w:numFmt w:val="bullet"/>
      <w:lvlText w:val=""/>
      <w:lvlJc w:val="left"/>
      <w:pPr>
        <w:ind w:left="1080" w:hanging="360"/>
      </w:pPr>
      <w:rPr>
        <w:rFonts w:ascii="Symbol" w:hAnsi="Symbol"/>
      </w:rPr>
    </w:lvl>
    <w:lvl w:ilvl="1" w:tplc="303498E2">
      <w:start w:val="1"/>
      <w:numFmt w:val="bullet"/>
      <w:lvlText w:val=""/>
      <w:lvlJc w:val="left"/>
      <w:pPr>
        <w:ind w:left="1080" w:hanging="360"/>
      </w:pPr>
      <w:rPr>
        <w:rFonts w:ascii="Symbol" w:hAnsi="Symbol"/>
      </w:rPr>
    </w:lvl>
    <w:lvl w:ilvl="2" w:tplc="88D01B8A">
      <w:start w:val="1"/>
      <w:numFmt w:val="bullet"/>
      <w:lvlText w:val=""/>
      <w:lvlJc w:val="left"/>
      <w:pPr>
        <w:ind w:left="1080" w:hanging="360"/>
      </w:pPr>
      <w:rPr>
        <w:rFonts w:ascii="Symbol" w:hAnsi="Symbol"/>
      </w:rPr>
    </w:lvl>
    <w:lvl w:ilvl="3" w:tplc="F64E9E6E">
      <w:start w:val="1"/>
      <w:numFmt w:val="bullet"/>
      <w:lvlText w:val=""/>
      <w:lvlJc w:val="left"/>
      <w:pPr>
        <w:ind w:left="1080" w:hanging="360"/>
      </w:pPr>
      <w:rPr>
        <w:rFonts w:ascii="Symbol" w:hAnsi="Symbol"/>
      </w:rPr>
    </w:lvl>
    <w:lvl w:ilvl="4" w:tplc="681EE26C">
      <w:start w:val="1"/>
      <w:numFmt w:val="bullet"/>
      <w:lvlText w:val=""/>
      <w:lvlJc w:val="left"/>
      <w:pPr>
        <w:ind w:left="1080" w:hanging="360"/>
      </w:pPr>
      <w:rPr>
        <w:rFonts w:ascii="Symbol" w:hAnsi="Symbol"/>
      </w:rPr>
    </w:lvl>
    <w:lvl w:ilvl="5" w:tplc="09FA3E78">
      <w:start w:val="1"/>
      <w:numFmt w:val="bullet"/>
      <w:lvlText w:val=""/>
      <w:lvlJc w:val="left"/>
      <w:pPr>
        <w:ind w:left="1080" w:hanging="360"/>
      </w:pPr>
      <w:rPr>
        <w:rFonts w:ascii="Symbol" w:hAnsi="Symbol"/>
      </w:rPr>
    </w:lvl>
    <w:lvl w:ilvl="6" w:tplc="FB1054A2">
      <w:start w:val="1"/>
      <w:numFmt w:val="bullet"/>
      <w:lvlText w:val=""/>
      <w:lvlJc w:val="left"/>
      <w:pPr>
        <w:ind w:left="1080" w:hanging="360"/>
      </w:pPr>
      <w:rPr>
        <w:rFonts w:ascii="Symbol" w:hAnsi="Symbol"/>
      </w:rPr>
    </w:lvl>
    <w:lvl w:ilvl="7" w:tplc="44A03096">
      <w:start w:val="1"/>
      <w:numFmt w:val="bullet"/>
      <w:lvlText w:val=""/>
      <w:lvlJc w:val="left"/>
      <w:pPr>
        <w:ind w:left="1080" w:hanging="360"/>
      </w:pPr>
      <w:rPr>
        <w:rFonts w:ascii="Symbol" w:hAnsi="Symbol"/>
      </w:rPr>
    </w:lvl>
    <w:lvl w:ilvl="8" w:tplc="4C9A1594">
      <w:start w:val="1"/>
      <w:numFmt w:val="bullet"/>
      <w:lvlText w:val=""/>
      <w:lvlJc w:val="left"/>
      <w:pPr>
        <w:ind w:left="1080" w:hanging="360"/>
      </w:pPr>
      <w:rPr>
        <w:rFonts w:ascii="Symbol" w:hAnsi="Symbol"/>
      </w:rPr>
    </w:lvl>
  </w:abstractNum>
  <w:abstractNum w:abstractNumId="3" w15:restartNumberingAfterBreak="0">
    <w:nsid w:val="038A073C"/>
    <w:multiLevelType w:val="multilevel"/>
    <w:tmpl w:val="B156A7D0"/>
    <w:styleLink w:val="Style1"/>
    <w:lvl w:ilvl="0">
      <w:start w:val="1"/>
      <w:numFmt w:val="decimal"/>
      <w:lvlText w:val="%1"/>
      <w:lvlJc w:val="left"/>
      <w:pPr>
        <w:ind w:left="720" w:hanging="720"/>
      </w:pPr>
      <w:rPr>
        <w:b/>
      </w:rPr>
    </w:lvl>
    <w:lvl w:ilvl="1">
      <w:start w:val="1"/>
      <w:numFmt w:val="none"/>
      <w:suff w:val="nothing"/>
      <w:lvlText w:val=""/>
      <w:lvlJc w:val="left"/>
      <w:pPr>
        <w:ind w:left="720" w:hanging="720"/>
      </w:pPr>
    </w:lvl>
    <w:lvl w:ilvl="2">
      <w:start w:val="1"/>
      <w:numFmt w:val="none"/>
      <w:lvlRestart w:val="1"/>
      <w:suff w:val="nothing"/>
      <w:lvlText w:val=""/>
      <w:lvlJc w:val="left"/>
      <w:pPr>
        <w:ind w:left="720" w:hanging="720"/>
      </w:pPr>
    </w:lvl>
    <w:lvl w:ilvl="3">
      <w:start w:val="1"/>
      <w:numFmt w:val="none"/>
      <w:lvlRestart w:val="1"/>
      <w:suff w:val="nothing"/>
      <w:lvlText w:val=""/>
      <w:lvlJc w:val="left"/>
      <w:pPr>
        <w:ind w:left="1080" w:hanging="1080"/>
      </w:pPr>
    </w:lvl>
    <w:lvl w:ilvl="4">
      <w:start w:val="1"/>
      <w:numFmt w:val="decimal"/>
      <w:lvlRestart w:val="1"/>
      <w:lvlText w:val="%1.%5"/>
      <w:lvlJc w:val="left"/>
      <w:pPr>
        <w:ind w:left="1080" w:hanging="1080"/>
      </w:pPr>
      <w:rPr>
        <w:rFonts w:asciiTheme="minorHAnsi" w:hAnsiTheme="minorHAnsi" w:cs="Times New Roman" w:hint="default"/>
        <w:b w:val="0"/>
        <w:i w:val="0"/>
        <w:strike w:val="0"/>
        <w:dstrike w:val="0"/>
        <w:color w:val="auto"/>
        <w:sz w:val="24"/>
        <w:u w:val="none"/>
        <w:effect w:val="none"/>
      </w:rPr>
    </w:lvl>
    <w:lvl w:ilvl="5">
      <w:start w:val="1"/>
      <w:numFmt w:val="decimal"/>
      <w:lvlRestart w:val="1"/>
      <w:lvlText w:val="%6"/>
      <w:lvlJc w:val="left"/>
      <w:pPr>
        <w:ind w:left="720" w:hanging="720"/>
      </w:pPr>
    </w:lvl>
    <w:lvl w:ilvl="6">
      <w:start w:val="1"/>
      <w:numFmt w:val="none"/>
      <w:suff w:val="nothing"/>
      <w:lvlText w:val=""/>
      <w:lvlJc w:val="left"/>
      <w:pPr>
        <w:ind w:left="720" w:hanging="72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86D70B7"/>
    <w:multiLevelType w:val="hybridMultilevel"/>
    <w:tmpl w:val="C8248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617AC2"/>
    <w:multiLevelType w:val="multilevel"/>
    <w:tmpl w:val="134EDE46"/>
    <w:lvl w:ilvl="0">
      <w:start w:val="1"/>
      <w:numFmt w:val="bullet"/>
      <w:pStyle w:val="MainBodyBulletPoint"/>
      <w:lvlText w:val="-"/>
      <w:lvlJc w:val="left"/>
      <w:pPr>
        <w:ind w:left="669"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389" w:hanging="476"/>
      </w:pPr>
      <w:rPr>
        <w:rFonts w:ascii="Symbol" w:hAnsi="Symbol" w:hint="default"/>
      </w:rPr>
    </w:lvl>
    <w:lvl w:ilvl="2">
      <w:start w:val="1"/>
      <w:numFmt w:val="bullet"/>
      <w:lvlText w:val=""/>
      <w:lvlJc w:val="left"/>
      <w:pPr>
        <w:ind w:left="2109" w:hanging="360"/>
      </w:pPr>
      <w:rPr>
        <w:rFonts w:ascii="Wingdings" w:hAnsi="Wingdings" w:hint="default"/>
      </w:rPr>
    </w:lvl>
    <w:lvl w:ilvl="3">
      <w:start w:val="1"/>
      <w:numFmt w:val="bullet"/>
      <w:lvlText w:val=""/>
      <w:lvlJc w:val="left"/>
      <w:pPr>
        <w:ind w:left="2829" w:hanging="360"/>
      </w:pPr>
      <w:rPr>
        <w:rFonts w:ascii="Symbol" w:hAnsi="Symbol" w:hint="default"/>
      </w:rPr>
    </w:lvl>
    <w:lvl w:ilvl="4">
      <w:start w:val="1"/>
      <w:numFmt w:val="bullet"/>
      <w:lvlText w:val="o"/>
      <w:lvlJc w:val="left"/>
      <w:pPr>
        <w:ind w:left="3549" w:hanging="360"/>
      </w:pPr>
      <w:rPr>
        <w:rFonts w:ascii="Courier New" w:hAnsi="Courier New" w:cs="Courier New" w:hint="default"/>
      </w:rPr>
    </w:lvl>
    <w:lvl w:ilvl="5">
      <w:start w:val="1"/>
      <w:numFmt w:val="bullet"/>
      <w:lvlText w:val=""/>
      <w:lvlJc w:val="left"/>
      <w:pPr>
        <w:ind w:left="4269" w:hanging="360"/>
      </w:pPr>
      <w:rPr>
        <w:rFonts w:ascii="Wingdings" w:hAnsi="Wingdings" w:hint="default"/>
      </w:rPr>
    </w:lvl>
    <w:lvl w:ilvl="6">
      <w:start w:val="1"/>
      <w:numFmt w:val="bullet"/>
      <w:lvlText w:val=""/>
      <w:lvlJc w:val="left"/>
      <w:pPr>
        <w:ind w:left="4989" w:hanging="360"/>
      </w:pPr>
      <w:rPr>
        <w:rFonts w:ascii="Symbol" w:hAnsi="Symbol" w:hint="default"/>
      </w:rPr>
    </w:lvl>
    <w:lvl w:ilvl="7">
      <w:start w:val="1"/>
      <w:numFmt w:val="bullet"/>
      <w:lvlText w:val="o"/>
      <w:lvlJc w:val="left"/>
      <w:pPr>
        <w:ind w:left="5709" w:hanging="360"/>
      </w:pPr>
      <w:rPr>
        <w:rFonts w:ascii="Courier New" w:hAnsi="Courier New" w:cs="Courier New" w:hint="default"/>
      </w:rPr>
    </w:lvl>
    <w:lvl w:ilvl="8">
      <w:start w:val="1"/>
      <w:numFmt w:val="bullet"/>
      <w:lvlText w:val=""/>
      <w:lvlJc w:val="left"/>
      <w:pPr>
        <w:ind w:left="6429"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E41D16"/>
    <w:multiLevelType w:val="hybridMultilevel"/>
    <w:tmpl w:val="352657EE"/>
    <w:lvl w:ilvl="0" w:tplc="0D6EA70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3AF0"/>
    <w:multiLevelType w:val="hybridMultilevel"/>
    <w:tmpl w:val="777EA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7247D4"/>
    <w:multiLevelType w:val="hybridMultilevel"/>
    <w:tmpl w:val="0EAA0150"/>
    <w:lvl w:ilvl="0" w:tplc="9880D0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4548D1"/>
    <w:multiLevelType w:val="hybridMultilevel"/>
    <w:tmpl w:val="58FAED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D143333"/>
    <w:multiLevelType w:val="multilevel"/>
    <w:tmpl w:val="61AEB5B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4A063A"/>
    <w:multiLevelType w:val="hybridMultilevel"/>
    <w:tmpl w:val="4A948E22"/>
    <w:lvl w:ilvl="0" w:tplc="48203FE6">
      <w:start w:val="1"/>
      <w:numFmt w:val="bullet"/>
      <w:lvlText w:val=""/>
      <w:lvlJc w:val="left"/>
      <w:pPr>
        <w:ind w:left="829" w:hanging="360"/>
      </w:pPr>
      <w:rPr>
        <w:rFonts w:ascii="Symbol" w:hAnsi="Symbol" w:hint="default"/>
        <w:i w:val="0"/>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408FB"/>
    <w:multiLevelType w:val="multilevel"/>
    <w:tmpl w:val="8C4EF62C"/>
    <w:lvl w:ilvl="0">
      <w:start w:val="1"/>
      <w:numFmt w:val="bullet"/>
      <w:lvlText w:val=""/>
      <w:lvlJc w:val="left"/>
      <w:pPr>
        <w:ind w:left="669"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389" w:hanging="476"/>
      </w:pPr>
      <w:rPr>
        <w:rFonts w:ascii="Symbol" w:hAnsi="Symbol" w:hint="default"/>
      </w:rPr>
    </w:lvl>
    <w:lvl w:ilvl="2">
      <w:start w:val="1"/>
      <w:numFmt w:val="bullet"/>
      <w:lvlText w:val=""/>
      <w:lvlJc w:val="left"/>
      <w:pPr>
        <w:ind w:left="2109" w:hanging="360"/>
      </w:pPr>
      <w:rPr>
        <w:rFonts w:ascii="Wingdings" w:hAnsi="Wingdings" w:hint="default"/>
      </w:rPr>
    </w:lvl>
    <w:lvl w:ilvl="3">
      <w:start w:val="1"/>
      <w:numFmt w:val="bullet"/>
      <w:lvlText w:val=""/>
      <w:lvlJc w:val="left"/>
      <w:pPr>
        <w:ind w:left="2829" w:hanging="360"/>
      </w:pPr>
      <w:rPr>
        <w:rFonts w:ascii="Symbol" w:hAnsi="Symbol" w:hint="default"/>
      </w:rPr>
    </w:lvl>
    <w:lvl w:ilvl="4">
      <w:start w:val="1"/>
      <w:numFmt w:val="bullet"/>
      <w:lvlText w:val="o"/>
      <w:lvlJc w:val="left"/>
      <w:pPr>
        <w:ind w:left="3549" w:hanging="360"/>
      </w:pPr>
      <w:rPr>
        <w:rFonts w:ascii="Courier New" w:hAnsi="Courier New" w:cs="Courier New" w:hint="default"/>
      </w:rPr>
    </w:lvl>
    <w:lvl w:ilvl="5">
      <w:start w:val="1"/>
      <w:numFmt w:val="bullet"/>
      <w:lvlText w:val=""/>
      <w:lvlJc w:val="left"/>
      <w:pPr>
        <w:ind w:left="4269" w:hanging="360"/>
      </w:pPr>
      <w:rPr>
        <w:rFonts w:ascii="Wingdings" w:hAnsi="Wingdings" w:hint="default"/>
      </w:rPr>
    </w:lvl>
    <w:lvl w:ilvl="6">
      <w:start w:val="1"/>
      <w:numFmt w:val="bullet"/>
      <w:lvlText w:val=""/>
      <w:lvlJc w:val="left"/>
      <w:pPr>
        <w:ind w:left="4989" w:hanging="360"/>
      </w:pPr>
      <w:rPr>
        <w:rFonts w:ascii="Symbol" w:hAnsi="Symbol" w:hint="default"/>
      </w:rPr>
    </w:lvl>
    <w:lvl w:ilvl="7">
      <w:start w:val="1"/>
      <w:numFmt w:val="bullet"/>
      <w:lvlText w:val="o"/>
      <w:lvlJc w:val="left"/>
      <w:pPr>
        <w:ind w:left="5709" w:hanging="360"/>
      </w:pPr>
      <w:rPr>
        <w:rFonts w:ascii="Courier New" w:hAnsi="Courier New" w:cs="Courier New" w:hint="default"/>
      </w:rPr>
    </w:lvl>
    <w:lvl w:ilvl="8">
      <w:start w:val="1"/>
      <w:numFmt w:val="bullet"/>
      <w:lvlText w:val=""/>
      <w:lvlJc w:val="left"/>
      <w:pPr>
        <w:ind w:left="6429"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C1665"/>
    <w:multiLevelType w:val="hybridMultilevel"/>
    <w:tmpl w:val="92A07DE2"/>
    <w:lvl w:ilvl="0" w:tplc="16726BD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8D67A6"/>
    <w:multiLevelType w:val="hybridMultilevel"/>
    <w:tmpl w:val="4A5873DA"/>
    <w:lvl w:ilvl="0" w:tplc="04090001">
      <w:start w:val="1"/>
      <w:numFmt w:val="bullet"/>
      <w:pStyle w:val="ListParagraph"/>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1" w15:restartNumberingAfterBreak="0">
    <w:nsid w:val="46986FE5"/>
    <w:multiLevelType w:val="hybridMultilevel"/>
    <w:tmpl w:val="036246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AD24C2"/>
    <w:multiLevelType w:val="multilevel"/>
    <w:tmpl w:val="BFDAB088"/>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E0578"/>
    <w:multiLevelType w:val="hybridMultilevel"/>
    <w:tmpl w:val="D8A6DA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2824E51"/>
    <w:multiLevelType w:val="hybridMultilevel"/>
    <w:tmpl w:val="62362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8930B2D"/>
    <w:multiLevelType w:val="hybridMultilevel"/>
    <w:tmpl w:val="01D49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01418D"/>
    <w:multiLevelType w:val="hybridMultilevel"/>
    <w:tmpl w:val="FC40E912"/>
    <w:lvl w:ilvl="0" w:tplc="0C090003">
      <w:start w:val="1"/>
      <w:numFmt w:val="bullet"/>
      <w:lvlText w:val="o"/>
      <w:lvlJc w:val="left"/>
      <w:pPr>
        <w:ind w:left="751" w:hanging="360"/>
      </w:pPr>
      <w:rPr>
        <w:rFonts w:ascii="Courier New" w:hAnsi="Courier New" w:cs="Courier New" w:hint="default"/>
      </w:rPr>
    </w:lvl>
    <w:lvl w:ilvl="1" w:tplc="FFFFFFFF">
      <w:start w:val="1"/>
      <w:numFmt w:val="bullet"/>
      <w:lvlText w:val="o"/>
      <w:lvlJc w:val="left"/>
      <w:pPr>
        <w:ind w:left="1471" w:hanging="360"/>
      </w:pPr>
      <w:rPr>
        <w:rFonts w:ascii="Courier New" w:hAnsi="Courier New" w:hint="default"/>
      </w:rPr>
    </w:lvl>
    <w:lvl w:ilvl="2" w:tplc="FFFFFFFF" w:tentative="1">
      <w:start w:val="1"/>
      <w:numFmt w:val="bullet"/>
      <w:lvlText w:val=""/>
      <w:lvlJc w:val="left"/>
      <w:pPr>
        <w:ind w:left="2191" w:hanging="360"/>
      </w:pPr>
      <w:rPr>
        <w:rFonts w:ascii="Wingdings" w:hAnsi="Wingdings" w:hint="default"/>
      </w:rPr>
    </w:lvl>
    <w:lvl w:ilvl="3" w:tplc="FFFFFFFF" w:tentative="1">
      <w:start w:val="1"/>
      <w:numFmt w:val="bullet"/>
      <w:lvlText w:val=""/>
      <w:lvlJc w:val="left"/>
      <w:pPr>
        <w:ind w:left="2911" w:hanging="360"/>
      </w:pPr>
      <w:rPr>
        <w:rFonts w:ascii="Symbol" w:hAnsi="Symbol" w:hint="default"/>
      </w:rPr>
    </w:lvl>
    <w:lvl w:ilvl="4" w:tplc="FFFFFFFF" w:tentative="1">
      <w:start w:val="1"/>
      <w:numFmt w:val="bullet"/>
      <w:lvlText w:val="o"/>
      <w:lvlJc w:val="left"/>
      <w:pPr>
        <w:ind w:left="3631" w:hanging="360"/>
      </w:pPr>
      <w:rPr>
        <w:rFonts w:ascii="Courier New" w:hAnsi="Courier New" w:hint="default"/>
      </w:rPr>
    </w:lvl>
    <w:lvl w:ilvl="5" w:tplc="FFFFFFFF" w:tentative="1">
      <w:start w:val="1"/>
      <w:numFmt w:val="bullet"/>
      <w:lvlText w:val=""/>
      <w:lvlJc w:val="left"/>
      <w:pPr>
        <w:ind w:left="4351" w:hanging="360"/>
      </w:pPr>
      <w:rPr>
        <w:rFonts w:ascii="Wingdings" w:hAnsi="Wingdings" w:hint="default"/>
      </w:rPr>
    </w:lvl>
    <w:lvl w:ilvl="6" w:tplc="FFFFFFFF" w:tentative="1">
      <w:start w:val="1"/>
      <w:numFmt w:val="bullet"/>
      <w:lvlText w:val=""/>
      <w:lvlJc w:val="left"/>
      <w:pPr>
        <w:ind w:left="5071" w:hanging="360"/>
      </w:pPr>
      <w:rPr>
        <w:rFonts w:ascii="Symbol" w:hAnsi="Symbol" w:hint="default"/>
      </w:rPr>
    </w:lvl>
    <w:lvl w:ilvl="7" w:tplc="FFFFFFFF" w:tentative="1">
      <w:start w:val="1"/>
      <w:numFmt w:val="bullet"/>
      <w:lvlText w:val="o"/>
      <w:lvlJc w:val="left"/>
      <w:pPr>
        <w:ind w:left="5791" w:hanging="360"/>
      </w:pPr>
      <w:rPr>
        <w:rFonts w:ascii="Courier New" w:hAnsi="Courier New" w:hint="default"/>
      </w:rPr>
    </w:lvl>
    <w:lvl w:ilvl="8" w:tplc="FFFFFFFF" w:tentative="1">
      <w:start w:val="1"/>
      <w:numFmt w:val="bullet"/>
      <w:lvlText w:val=""/>
      <w:lvlJc w:val="left"/>
      <w:pPr>
        <w:ind w:left="6511" w:hanging="360"/>
      </w:pPr>
      <w:rPr>
        <w:rFonts w:ascii="Wingdings" w:hAnsi="Wingdings" w:hint="default"/>
      </w:rPr>
    </w:lvl>
  </w:abstractNum>
  <w:abstractNum w:abstractNumId="33" w15:restartNumberingAfterBreak="0">
    <w:nsid w:val="784D033C"/>
    <w:multiLevelType w:val="multilevel"/>
    <w:tmpl w:val="DDDCC60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7009638">
    <w:abstractNumId w:val="33"/>
  </w:num>
  <w:num w:numId="2" w16cid:durableId="1403603788">
    <w:abstractNumId w:val="18"/>
  </w:num>
  <w:num w:numId="3" w16cid:durableId="95558970">
    <w:abstractNumId w:val="20"/>
  </w:num>
  <w:num w:numId="4" w16cid:durableId="1150516441">
    <w:abstractNumId w:val="33"/>
  </w:num>
  <w:num w:numId="5" w16cid:durableId="1920627954">
    <w:abstractNumId w:val="28"/>
  </w:num>
  <w:num w:numId="6" w16cid:durableId="1518228095">
    <w:abstractNumId w:val="8"/>
  </w:num>
  <w:num w:numId="7" w16cid:durableId="43524105">
    <w:abstractNumId w:val="6"/>
  </w:num>
  <w:num w:numId="8" w16cid:durableId="1203053175">
    <w:abstractNumId w:val="29"/>
  </w:num>
  <w:num w:numId="9" w16cid:durableId="1466846682">
    <w:abstractNumId w:val="11"/>
  </w:num>
  <w:num w:numId="10" w16cid:durableId="1025442032">
    <w:abstractNumId w:val="20"/>
  </w:num>
  <w:num w:numId="11" w16cid:durableId="19374025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6870931">
    <w:abstractNumId w:val="4"/>
  </w:num>
  <w:num w:numId="13" w16cid:durableId="1947302068">
    <w:abstractNumId w:val="27"/>
  </w:num>
  <w:num w:numId="14" w16cid:durableId="129482584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6985274">
    <w:abstractNumId w:val="9"/>
  </w:num>
  <w:num w:numId="16" w16cid:durableId="1343320448">
    <w:abstractNumId w:val="3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0414966">
    <w:abstractNumId w:val="23"/>
  </w:num>
  <w:num w:numId="18" w16cid:durableId="1054425491">
    <w:abstractNumId w:val="29"/>
  </w:num>
  <w:num w:numId="19" w16cid:durableId="1242330625">
    <w:abstractNumId w:val="3"/>
  </w:num>
  <w:num w:numId="20" w16cid:durableId="630482525">
    <w:abstractNumId w:val="17"/>
  </w:num>
  <w:num w:numId="21" w16cid:durableId="2073769046">
    <w:abstractNumId w:val="32"/>
  </w:num>
  <w:num w:numId="22" w16cid:durableId="1344436890">
    <w:abstractNumId w:val="19"/>
  </w:num>
  <w:num w:numId="23" w16cid:durableId="2101759239">
    <w:abstractNumId w:val="20"/>
  </w:num>
  <w:num w:numId="24" w16cid:durableId="248854224">
    <w:abstractNumId w:val="13"/>
  </w:num>
  <w:num w:numId="25" w16cid:durableId="197009585">
    <w:abstractNumId w:val="21"/>
  </w:num>
  <w:num w:numId="26" w16cid:durableId="1550145491">
    <w:abstractNumId w:val="10"/>
  </w:num>
  <w:num w:numId="27" w16cid:durableId="483396744">
    <w:abstractNumId w:val="30"/>
  </w:num>
  <w:num w:numId="28" w16cid:durableId="144010169">
    <w:abstractNumId w:val="0"/>
  </w:num>
  <w:num w:numId="29" w16cid:durableId="692071387">
    <w:abstractNumId w:val="2"/>
  </w:num>
  <w:num w:numId="30" w16cid:durableId="1783374412">
    <w:abstractNumId w:val="5"/>
  </w:num>
  <w:num w:numId="31" w16cid:durableId="1118069299">
    <w:abstractNumId w:val="24"/>
  </w:num>
  <w:num w:numId="32" w16cid:durableId="39520452">
    <w:abstractNumId w:val="25"/>
  </w:num>
  <w:num w:numId="33" w16cid:durableId="2097751493">
    <w:abstractNumId w:val="7"/>
  </w:num>
  <w:num w:numId="34" w16cid:durableId="1112355656">
    <w:abstractNumId w:val="1"/>
  </w:num>
  <w:num w:numId="35" w16cid:durableId="389812777">
    <w:abstractNumId w:val="15"/>
  </w:num>
  <w:num w:numId="36" w16cid:durableId="1665669762">
    <w:abstractNumId w:val="16"/>
  </w:num>
  <w:num w:numId="37" w16cid:durableId="785152610">
    <w:abstractNumId w:val="14"/>
  </w:num>
  <w:num w:numId="38" w16cid:durableId="129744317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3724114">
    <w:abstractNumId w:val="31"/>
  </w:num>
  <w:num w:numId="40" w16cid:durableId="1860271767">
    <w:abstractNumId w:val="12"/>
  </w:num>
  <w:num w:numId="41" w16cid:durableId="1637099768">
    <w:abstractNumId w:val="22"/>
  </w:num>
  <w:num w:numId="42" w16cid:durableId="1299453069">
    <w:abstractNumId w:val="33"/>
  </w:num>
  <w:num w:numId="43" w16cid:durableId="1613513041">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269A"/>
    <w:rsid w:val="00002EEC"/>
    <w:rsid w:val="00003499"/>
    <w:rsid w:val="000034E8"/>
    <w:rsid w:val="000039B7"/>
    <w:rsid w:val="0000414D"/>
    <w:rsid w:val="00004CAB"/>
    <w:rsid w:val="000056B9"/>
    <w:rsid w:val="0000639A"/>
    <w:rsid w:val="00006D35"/>
    <w:rsid w:val="000077F2"/>
    <w:rsid w:val="0001010D"/>
    <w:rsid w:val="00013101"/>
    <w:rsid w:val="00013247"/>
    <w:rsid w:val="000149D6"/>
    <w:rsid w:val="000152C6"/>
    <w:rsid w:val="00015721"/>
    <w:rsid w:val="00015886"/>
    <w:rsid w:val="000162EF"/>
    <w:rsid w:val="00017114"/>
    <w:rsid w:val="000207C9"/>
    <w:rsid w:val="00021459"/>
    <w:rsid w:val="00021AA5"/>
    <w:rsid w:val="0002225F"/>
    <w:rsid w:val="00023763"/>
    <w:rsid w:val="0002415D"/>
    <w:rsid w:val="00024EB5"/>
    <w:rsid w:val="000274B8"/>
    <w:rsid w:val="00030A77"/>
    <w:rsid w:val="000314B7"/>
    <w:rsid w:val="000316B6"/>
    <w:rsid w:val="00032CD2"/>
    <w:rsid w:val="00033863"/>
    <w:rsid w:val="00035DC0"/>
    <w:rsid w:val="00036829"/>
    <w:rsid w:val="0003763E"/>
    <w:rsid w:val="00040895"/>
    <w:rsid w:val="000410A0"/>
    <w:rsid w:val="000435EE"/>
    <w:rsid w:val="00043C37"/>
    <w:rsid w:val="00045017"/>
    <w:rsid w:val="00045A2B"/>
    <w:rsid w:val="0004698F"/>
    <w:rsid w:val="00046D64"/>
    <w:rsid w:val="000508C2"/>
    <w:rsid w:val="0005242D"/>
    <w:rsid w:val="000539D0"/>
    <w:rsid w:val="000540B8"/>
    <w:rsid w:val="00054621"/>
    <w:rsid w:val="000546D7"/>
    <w:rsid w:val="00054A8D"/>
    <w:rsid w:val="000566A9"/>
    <w:rsid w:val="00056ECF"/>
    <w:rsid w:val="000604DF"/>
    <w:rsid w:val="000614BC"/>
    <w:rsid w:val="00062588"/>
    <w:rsid w:val="000627F6"/>
    <w:rsid w:val="000634DA"/>
    <w:rsid w:val="000648C6"/>
    <w:rsid w:val="000653B5"/>
    <w:rsid w:val="00066119"/>
    <w:rsid w:val="00066360"/>
    <w:rsid w:val="00066AF8"/>
    <w:rsid w:val="00066CDE"/>
    <w:rsid w:val="00070E67"/>
    <w:rsid w:val="00071248"/>
    <w:rsid w:val="00071AB7"/>
    <w:rsid w:val="00071C23"/>
    <w:rsid w:val="000720B9"/>
    <w:rsid w:val="000737F7"/>
    <w:rsid w:val="0007601D"/>
    <w:rsid w:val="0007672F"/>
    <w:rsid w:val="00076973"/>
    <w:rsid w:val="00076B54"/>
    <w:rsid w:val="00076FCE"/>
    <w:rsid w:val="000774F0"/>
    <w:rsid w:val="00080909"/>
    <w:rsid w:val="00080D86"/>
    <w:rsid w:val="000812CA"/>
    <w:rsid w:val="00081D1E"/>
    <w:rsid w:val="00081E63"/>
    <w:rsid w:val="0008251E"/>
    <w:rsid w:val="0008258D"/>
    <w:rsid w:val="00083E99"/>
    <w:rsid w:val="00084976"/>
    <w:rsid w:val="00084C9D"/>
    <w:rsid w:val="00084F39"/>
    <w:rsid w:val="00084FA8"/>
    <w:rsid w:val="000856C5"/>
    <w:rsid w:val="00085C31"/>
    <w:rsid w:val="000902D9"/>
    <w:rsid w:val="00090C7E"/>
    <w:rsid w:val="000911AC"/>
    <w:rsid w:val="00092600"/>
    <w:rsid w:val="0009262B"/>
    <w:rsid w:val="00093310"/>
    <w:rsid w:val="00093850"/>
    <w:rsid w:val="00093E39"/>
    <w:rsid w:val="0009445C"/>
    <w:rsid w:val="00095200"/>
    <w:rsid w:val="00095FE5"/>
    <w:rsid w:val="00096284"/>
    <w:rsid w:val="00097CF4"/>
    <w:rsid w:val="000A1BC0"/>
    <w:rsid w:val="000A2F9E"/>
    <w:rsid w:val="000A3E47"/>
    <w:rsid w:val="000A41B5"/>
    <w:rsid w:val="000A4464"/>
    <w:rsid w:val="000A4A48"/>
    <w:rsid w:val="000A4A75"/>
    <w:rsid w:val="000A522B"/>
    <w:rsid w:val="000A6039"/>
    <w:rsid w:val="000A7453"/>
    <w:rsid w:val="000A7D08"/>
    <w:rsid w:val="000B0121"/>
    <w:rsid w:val="000B0670"/>
    <w:rsid w:val="000B0E75"/>
    <w:rsid w:val="000B2DCB"/>
    <w:rsid w:val="000B3DAB"/>
    <w:rsid w:val="000B5CE0"/>
    <w:rsid w:val="000B6CAC"/>
    <w:rsid w:val="000B7612"/>
    <w:rsid w:val="000B78AE"/>
    <w:rsid w:val="000B7FD1"/>
    <w:rsid w:val="000C3DF9"/>
    <w:rsid w:val="000C4CF2"/>
    <w:rsid w:val="000C6713"/>
    <w:rsid w:val="000C7B10"/>
    <w:rsid w:val="000D1BFC"/>
    <w:rsid w:val="000D1D5D"/>
    <w:rsid w:val="000D281A"/>
    <w:rsid w:val="000D2848"/>
    <w:rsid w:val="000D326A"/>
    <w:rsid w:val="000D51FB"/>
    <w:rsid w:val="000D61BE"/>
    <w:rsid w:val="000E0640"/>
    <w:rsid w:val="000E0DA0"/>
    <w:rsid w:val="000E135D"/>
    <w:rsid w:val="000E2103"/>
    <w:rsid w:val="000E2A41"/>
    <w:rsid w:val="000E4A6F"/>
    <w:rsid w:val="000E7107"/>
    <w:rsid w:val="000E7C7B"/>
    <w:rsid w:val="000F00BA"/>
    <w:rsid w:val="000F2CB1"/>
    <w:rsid w:val="000F316A"/>
    <w:rsid w:val="000F3C74"/>
    <w:rsid w:val="000F4BB8"/>
    <w:rsid w:val="000F4F11"/>
    <w:rsid w:val="000F4FA9"/>
    <w:rsid w:val="000F53FB"/>
    <w:rsid w:val="000F7127"/>
    <w:rsid w:val="000F7B54"/>
    <w:rsid w:val="001000B3"/>
    <w:rsid w:val="00100F8A"/>
    <w:rsid w:val="00102A1E"/>
    <w:rsid w:val="0010370E"/>
    <w:rsid w:val="00103767"/>
    <w:rsid w:val="0010452E"/>
    <w:rsid w:val="00105AE2"/>
    <w:rsid w:val="001060C6"/>
    <w:rsid w:val="00106B80"/>
    <w:rsid w:val="001079B2"/>
    <w:rsid w:val="00107EC6"/>
    <w:rsid w:val="001101A5"/>
    <w:rsid w:val="0011032E"/>
    <w:rsid w:val="00110713"/>
    <w:rsid w:val="00112280"/>
    <w:rsid w:val="0011348B"/>
    <w:rsid w:val="00115982"/>
    <w:rsid w:val="00116C53"/>
    <w:rsid w:val="0011709F"/>
    <w:rsid w:val="00117C69"/>
    <w:rsid w:val="00121799"/>
    <w:rsid w:val="001222FC"/>
    <w:rsid w:val="00122D8A"/>
    <w:rsid w:val="00123902"/>
    <w:rsid w:val="00124A51"/>
    <w:rsid w:val="00126621"/>
    <w:rsid w:val="00126B1D"/>
    <w:rsid w:val="0012761F"/>
    <w:rsid w:val="001301E9"/>
    <w:rsid w:val="001308D2"/>
    <w:rsid w:val="001316D7"/>
    <w:rsid w:val="00131CA2"/>
    <w:rsid w:val="00131D82"/>
    <w:rsid w:val="001320CD"/>
    <w:rsid w:val="00132B22"/>
    <w:rsid w:val="00132F22"/>
    <w:rsid w:val="00133D36"/>
    <w:rsid w:val="00133F62"/>
    <w:rsid w:val="00134284"/>
    <w:rsid w:val="001354F0"/>
    <w:rsid w:val="00137645"/>
    <w:rsid w:val="001379D0"/>
    <w:rsid w:val="00137BFD"/>
    <w:rsid w:val="0014015A"/>
    <w:rsid w:val="001407A0"/>
    <w:rsid w:val="00140E99"/>
    <w:rsid w:val="00143111"/>
    <w:rsid w:val="00143F67"/>
    <w:rsid w:val="001440B1"/>
    <w:rsid w:val="00144CDE"/>
    <w:rsid w:val="00145234"/>
    <w:rsid w:val="00145540"/>
    <w:rsid w:val="001456B0"/>
    <w:rsid w:val="001474BD"/>
    <w:rsid w:val="001536F9"/>
    <w:rsid w:val="001547AB"/>
    <w:rsid w:val="001568C6"/>
    <w:rsid w:val="00156F8F"/>
    <w:rsid w:val="00157130"/>
    <w:rsid w:val="001576B1"/>
    <w:rsid w:val="0016047B"/>
    <w:rsid w:val="00160A4C"/>
    <w:rsid w:val="001611B5"/>
    <w:rsid w:val="00161FBB"/>
    <w:rsid w:val="00162913"/>
    <w:rsid w:val="00163EFF"/>
    <w:rsid w:val="00163F66"/>
    <w:rsid w:val="001645FB"/>
    <w:rsid w:val="0016478E"/>
    <w:rsid w:val="00165EC4"/>
    <w:rsid w:val="001661FB"/>
    <w:rsid w:val="001671A0"/>
    <w:rsid w:val="0016767F"/>
    <w:rsid w:val="0016779A"/>
    <w:rsid w:val="00170BFC"/>
    <w:rsid w:val="00171D3D"/>
    <w:rsid w:val="00172C57"/>
    <w:rsid w:val="00173565"/>
    <w:rsid w:val="00173B07"/>
    <w:rsid w:val="00173F5B"/>
    <w:rsid w:val="001751FA"/>
    <w:rsid w:val="00177E75"/>
    <w:rsid w:val="00181C10"/>
    <w:rsid w:val="00181D9C"/>
    <w:rsid w:val="00182296"/>
    <w:rsid w:val="00182F5A"/>
    <w:rsid w:val="001837FF"/>
    <w:rsid w:val="00184B0E"/>
    <w:rsid w:val="00184F98"/>
    <w:rsid w:val="001863E0"/>
    <w:rsid w:val="00186634"/>
    <w:rsid w:val="0018752F"/>
    <w:rsid w:val="00187AA3"/>
    <w:rsid w:val="001906ED"/>
    <w:rsid w:val="00193522"/>
    <w:rsid w:val="00193838"/>
    <w:rsid w:val="00194AD8"/>
    <w:rsid w:val="00195222"/>
    <w:rsid w:val="00195452"/>
    <w:rsid w:val="00195A2A"/>
    <w:rsid w:val="001975D8"/>
    <w:rsid w:val="001A178E"/>
    <w:rsid w:val="001A43FA"/>
    <w:rsid w:val="001A4670"/>
    <w:rsid w:val="001A47C5"/>
    <w:rsid w:val="001A59FB"/>
    <w:rsid w:val="001A5E9E"/>
    <w:rsid w:val="001A6142"/>
    <w:rsid w:val="001A6354"/>
    <w:rsid w:val="001A6366"/>
    <w:rsid w:val="001A7AE8"/>
    <w:rsid w:val="001B182C"/>
    <w:rsid w:val="001B204E"/>
    <w:rsid w:val="001B2372"/>
    <w:rsid w:val="001B3443"/>
    <w:rsid w:val="001B4988"/>
    <w:rsid w:val="001B4D20"/>
    <w:rsid w:val="001B4F98"/>
    <w:rsid w:val="001B66C3"/>
    <w:rsid w:val="001B7F84"/>
    <w:rsid w:val="001C091E"/>
    <w:rsid w:val="001C15FE"/>
    <w:rsid w:val="001C2A9B"/>
    <w:rsid w:val="001C37D7"/>
    <w:rsid w:val="001C3B38"/>
    <w:rsid w:val="001C3DD6"/>
    <w:rsid w:val="001C3E33"/>
    <w:rsid w:val="001C405E"/>
    <w:rsid w:val="001C4299"/>
    <w:rsid w:val="001C4874"/>
    <w:rsid w:val="001C4B62"/>
    <w:rsid w:val="001C5D85"/>
    <w:rsid w:val="001C5F94"/>
    <w:rsid w:val="001C64AE"/>
    <w:rsid w:val="001C6E66"/>
    <w:rsid w:val="001C7F9F"/>
    <w:rsid w:val="001D0A15"/>
    <w:rsid w:val="001D1100"/>
    <w:rsid w:val="001D1391"/>
    <w:rsid w:val="001D25D7"/>
    <w:rsid w:val="001D3F1B"/>
    <w:rsid w:val="001D4F6D"/>
    <w:rsid w:val="001D50B2"/>
    <w:rsid w:val="001D71F4"/>
    <w:rsid w:val="001D7645"/>
    <w:rsid w:val="001D77C6"/>
    <w:rsid w:val="001E1AA4"/>
    <w:rsid w:val="001E1E86"/>
    <w:rsid w:val="001E238E"/>
    <w:rsid w:val="001E2483"/>
    <w:rsid w:val="001E2B1E"/>
    <w:rsid w:val="001E2CFF"/>
    <w:rsid w:val="001E2F24"/>
    <w:rsid w:val="001E30D4"/>
    <w:rsid w:val="001E34DF"/>
    <w:rsid w:val="001E52EB"/>
    <w:rsid w:val="001E53B4"/>
    <w:rsid w:val="001E61D2"/>
    <w:rsid w:val="001E6A3A"/>
    <w:rsid w:val="001E740C"/>
    <w:rsid w:val="001F1235"/>
    <w:rsid w:val="001F1BDF"/>
    <w:rsid w:val="001F1CB3"/>
    <w:rsid w:val="001F38B5"/>
    <w:rsid w:val="001F3DFE"/>
    <w:rsid w:val="001F4081"/>
    <w:rsid w:val="001F4BB1"/>
    <w:rsid w:val="001F6446"/>
    <w:rsid w:val="001F67C2"/>
    <w:rsid w:val="001F68D5"/>
    <w:rsid w:val="001F6C14"/>
    <w:rsid w:val="001F7361"/>
    <w:rsid w:val="002011B0"/>
    <w:rsid w:val="00203181"/>
    <w:rsid w:val="00203783"/>
    <w:rsid w:val="00203821"/>
    <w:rsid w:val="0020385F"/>
    <w:rsid w:val="002068A0"/>
    <w:rsid w:val="00207021"/>
    <w:rsid w:val="0020732F"/>
    <w:rsid w:val="00207D00"/>
    <w:rsid w:val="002105C1"/>
    <w:rsid w:val="002106F7"/>
    <w:rsid w:val="00210C10"/>
    <w:rsid w:val="002116FD"/>
    <w:rsid w:val="00212F82"/>
    <w:rsid w:val="00213EF5"/>
    <w:rsid w:val="00214B46"/>
    <w:rsid w:val="00216BF5"/>
    <w:rsid w:val="002217E4"/>
    <w:rsid w:val="00222ED5"/>
    <w:rsid w:val="00223B49"/>
    <w:rsid w:val="00223D5A"/>
    <w:rsid w:val="00224A1C"/>
    <w:rsid w:val="00224DD4"/>
    <w:rsid w:val="0022742B"/>
    <w:rsid w:val="002278A0"/>
    <w:rsid w:val="002309CC"/>
    <w:rsid w:val="00230FA3"/>
    <w:rsid w:val="0023133D"/>
    <w:rsid w:val="00231BA9"/>
    <w:rsid w:val="0023209F"/>
    <w:rsid w:val="002339A5"/>
    <w:rsid w:val="00233C01"/>
    <w:rsid w:val="00233C30"/>
    <w:rsid w:val="00233CE9"/>
    <w:rsid w:val="0023413C"/>
    <w:rsid w:val="002346F0"/>
    <w:rsid w:val="0023629D"/>
    <w:rsid w:val="002365E2"/>
    <w:rsid w:val="00237255"/>
    <w:rsid w:val="002424AF"/>
    <w:rsid w:val="00243628"/>
    <w:rsid w:val="002439DC"/>
    <w:rsid w:val="002441D2"/>
    <w:rsid w:val="00244DC8"/>
    <w:rsid w:val="002458BA"/>
    <w:rsid w:val="00245CE9"/>
    <w:rsid w:val="0024636C"/>
    <w:rsid w:val="002470C9"/>
    <w:rsid w:val="00247925"/>
    <w:rsid w:val="00251006"/>
    <w:rsid w:val="002524D5"/>
    <w:rsid w:val="00253B1D"/>
    <w:rsid w:val="00253D96"/>
    <w:rsid w:val="00254DCF"/>
    <w:rsid w:val="0025534B"/>
    <w:rsid w:val="00255BB7"/>
    <w:rsid w:val="00255D29"/>
    <w:rsid w:val="0025678F"/>
    <w:rsid w:val="00257541"/>
    <w:rsid w:val="00257970"/>
    <w:rsid w:val="00257A39"/>
    <w:rsid w:val="00257AC4"/>
    <w:rsid w:val="00257BBE"/>
    <w:rsid w:val="002608B9"/>
    <w:rsid w:val="0026182E"/>
    <w:rsid w:val="002619D5"/>
    <w:rsid w:val="00261EEF"/>
    <w:rsid w:val="00262A1A"/>
    <w:rsid w:val="00262A87"/>
    <w:rsid w:val="00264995"/>
    <w:rsid w:val="00264D26"/>
    <w:rsid w:val="002654B9"/>
    <w:rsid w:val="00266186"/>
    <w:rsid w:val="00267642"/>
    <w:rsid w:val="00267AEA"/>
    <w:rsid w:val="002700E6"/>
    <w:rsid w:val="0027294B"/>
    <w:rsid w:val="00273EB4"/>
    <w:rsid w:val="00274682"/>
    <w:rsid w:val="00274773"/>
    <w:rsid w:val="00275158"/>
    <w:rsid w:val="00275C5A"/>
    <w:rsid w:val="00275F35"/>
    <w:rsid w:val="00277651"/>
    <w:rsid w:val="0028098B"/>
    <w:rsid w:val="00280F6D"/>
    <w:rsid w:val="00281014"/>
    <w:rsid w:val="00281967"/>
    <w:rsid w:val="002826BA"/>
    <w:rsid w:val="00285BCE"/>
    <w:rsid w:val="0028665D"/>
    <w:rsid w:val="0029095D"/>
    <w:rsid w:val="002921C6"/>
    <w:rsid w:val="00293A9A"/>
    <w:rsid w:val="002A026A"/>
    <w:rsid w:val="002A14AB"/>
    <w:rsid w:val="002A14E7"/>
    <w:rsid w:val="002A18EA"/>
    <w:rsid w:val="002A20A4"/>
    <w:rsid w:val="002A2ADE"/>
    <w:rsid w:val="002A2F50"/>
    <w:rsid w:val="002A4E3B"/>
    <w:rsid w:val="002A573E"/>
    <w:rsid w:val="002A6F53"/>
    <w:rsid w:val="002A77AC"/>
    <w:rsid w:val="002A7943"/>
    <w:rsid w:val="002B03E0"/>
    <w:rsid w:val="002B05A1"/>
    <w:rsid w:val="002B09A4"/>
    <w:rsid w:val="002B1C1F"/>
    <w:rsid w:val="002B1CCA"/>
    <w:rsid w:val="002B2FDF"/>
    <w:rsid w:val="002B432F"/>
    <w:rsid w:val="002B62B3"/>
    <w:rsid w:val="002B665A"/>
    <w:rsid w:val="002B6754"/>
    <w:rsid w:val="002B6CCE"/>
    <w:rsid w:val="002C2510"/>
    <w:rsid w:val="002C2669"/>
    <w:rsid w:val="002C2775"/>
    <w:rsid w:val="002C27C1"/>
    <w:rsid w:val="002C36E3"/>
    <w:rsid w:val="002C5099"/>
    <w:rsid w:val="002C5889"/>
    <w:rsid w:val="002C71CE"/>
    <w:rsid w:val="002D08F8"/>
    <w:rsid w:val="002D39F2"/>
    <w:rsid w:val="002D55F3"/>
    <w:rsid w:val="002D577C"/>
    <w:rsid w:val="002D65CA"/>
    <w:rsid w:val="002D6851"/>
    <w:rsid w:val="002D7832"/>
    <w:rsid w:val="002E089B"/>
    <w:rsid w:val="002E1071"/>
    <w:rsid w:val="002E15B9"/>
    <w:rsid w:val="002E20E4"/>
    <w:rsid w:val="002E2158"/>
    <w:rsid w:val="002E25F3"/>
    <w:rsid w:val="002E2E88"/>
    <w:rsid w:val="002E4CD7"/>
    <w:rsid w:val="002E4F02"/>
    <w:rsid w:val="002E5C6D"/>
    <w:rsid w:val="002E5F1B"/>
    <w:rsid w:val="002E7722"/>
    <w:rsid w:val="002F07BA"/>
    <w:rsid w:val="002F0DA9"/>
    <w:rsid w:val="002F1014"/>
    <w:rsid w:val="002F1E3B"/>
    <w:rsid w:val="002F22B5"/>
    <w:rsid w:val="002F26B4"/>
    <w:rsid w:val="002F3A60"/>
    <w:rsid w:val="002F643C"/>
    <w:rsid w:val="002F71C0"/>
    <w:rsid w:val="002F74F1"/>
    <w:rsid w:val="002F7AB4"/>
    <w:rsid w:val="002F7E66"/>
    <w:rsid w:val="00301017"/>
    <w:rsid w:val="0030155F"/>
    <w:rsid w:val="0030587B"/>
    <w:rsid w:val="00306D98"/>
    <w:rsid w:val="0030786C"/>
    <w:rsid w:val="0031031A"/>
    <w:rsid w:val="00310981"/>
    <w:rsid w:val="003118F9"/>
    <w:rsid w:val="00311D9B"/>
    <w:rsid w:val="003124D9"/>
    <w:rsid w:val="00312594"/>
    <w:rsid w:val="00313F0F"/>
    <w:rsid w:val="0031403F"/>
    <w:rsid w:val="00315498"/>
    <w:rsid w:val="00316474"/>
    <w:rsid w:val="00317D6A"/>
    <w:rsid w:val="00322107"/>
    <w:rsid w:val="00322355"/>
    <w:rsid w:val="00322846"/>
    <w:rsid w:val="00322965"/>
    <w:rsid w:val="003242A6"/>
    <w:rsid w:val="003253A3"/>
    <w:rsid w:val="00326DA7"/>
    <w:rsid w:val="003270E4"/>
    <w:rsid w:val="00330DAA"/>
    <w:rsid w:val="00330F5C"/>
    <w:rsid w:val="0033545C"/>
    <w:rsid w:val="003366C9"/>
    <w:rsid w:val="003371B0"/>
    <w:rsid w:val="00340D49"/>
    <w:rsid w:val="00340DF1"/>
    <w:rsid w:val="00341B84"/>
    <w:rsid w:val="00345082"/>
    <w:rsid w:val="003469ED"/>
    <w:rsid w:val="003509D5"/>
    <w:rsid w:val="003517F9"/>
    <w:rsid w:val="00351BA9"/>
    <w:rsid w:val="00354CC3"/>
    <w:rsid w:val="00354F64"/>
    <w:rsid w:val="00355FAC"/>
    <w:rsid w:val="0035620E"/>
    <w:rsid w:val="003572EE"/>
    <w:rsid w:val="003575BE"/>
    <w:rsid w:val="0035770C"/>
    <w:rsid w:val="0036011B"/>
    <w:rsid w:val="00360345"/>
    <w:rsid w:val="00361A05"/>
    <w:rsid w:val="003622F6"/>
    <w:rsid w:val="003624C4"/>
    <w:rsid w:val="00363B00"/>
    <w:rsid w:val="003644D4"/>
    <w:rsid w:val="00364839"/>
    <w:rsid w:val="003654AC"/>
    <w:rsid w:val="003710CF"/>
    <w:rsid w:val="00371375"/>
    <w:rsid w:val="003715CC"/>
    <w:rsid w:val="003727F2"/>
    <w:rsid w:val="0037358A"/>
    <w:rsid w:val="003747DE"/>
    <w:rsid w:val="003750F6"/>
    <w:rsid w:val="003760FC"/>
    <w:rsid w:val="00376627"/>
    <w:rsid w:val="0037726A"/>
    <w:rsid w:val="003776E3"/>
    <w:rsid w:val="003776FB"/>
    <w:rsid w:val="0038167F"/>
    <w:rsid w:val="00381A66"/>
    <w:rsid w:val="00382DB6"/>
    <w:rsid w:val="0038365C"/>
    <w:rsid w:val="0038369B"/>
    <w:rsid w:val="00383B78"/>
    <w:rsid w:val="0038426A"/>
    <w:rsid w:val="00385A9D"/>
    <w:rsid w:val="00385D69"/>
    <w:rsid w:val="00386D36"/>
    <w:rsid w:val="00387121"/>
    <w:rsid w:val="003902B1"/>
    <w:rsid w:val="0039179C"/>
    <w:rsid w:val="003920E1"/>
    <w:rsid w:val="003922F1"/>
    <w:rsid w:val="00392AAB"/>
    <w:rsid w:val="00392F97"/>
    <w:rsid w:val="00393B9E"/>
    <w:rsid w:val="003956EF"/>
    <w:rsid w:val="00396896"/>
    <w:rsid w:val="00396FD0"/>
    <w:rsid w:val="003A1A7A"/>
    <w:rsid w:val="003A2392"/>
    <w:rsid w:val="003A2831"/>
    <w:rsid w:val="003A3CB6"/>
    <w:rsid w:val="003A3ED1"/>
    <w:rsid w:val="003A44AB"/>
    <w:rsid w:val="003A44DB"/>
    <w:rsid w:val="003A4C14"/>
    <w:rsid w:val="003A4C45"/>
    <w:rsid w:val="003A4F3F"/>
    <w:rsid w:val="003B35B8"/>
    <w:rsid w:val="003B3971"/>
    <w:rsid w:val="003B52E3"/>
    <w:rsid w:val="003B55D1"/>
    <w:rsid w:val="003B5B61"/>
    <w:rsid w:val="003B6236"/>
    <w:rsid w:val="003B758A"/>
    <w:rsid w:val="003B75F4"/>
    <w:rsid w:val="003C1654"/>
    <w:rsid w:val="003C1E09"/>
    <w:rsid w:val="003C22C5"/>
    <w:rsid w:val="003C4D4B"/>
    <w:rsid w:val="003C5542"/>
    <w:rsid w:val="003C61AC"/>
    <w:rsid w:val="003C68B2"/>
    <w:rsid w:val="003C7C15"/>
    <w:rsid w:val="003C7D19"/>
    <w:rsid w:val="003C7D2F"/>
    <w:rsid w:val="003D0610"/>
    <w:rsid w:val="003D0C5A"/>
    <w:rsid w:val="003D1828"/>
    <w:rsid w:val="003D1A13"/>
    <w:rsid w:val="003D1DE4"/>
    <w:rsid w:val="003D1E9A"/>
    <w:rsid w:val="003D2422"/>
    <w:rsid w:val="003D2F81"/>
    <w:rsid w:val="003D39A1"/>
    <w:rsid w:val="003D3FBF"/>
    <w:rsid w:val="003D4A08"/>
    <w:rsid w:val="003D4A30"/>
    <w:rsid w:val="003D7452"/>
    <w:rsid w:val="003D79BB"/>
    <w:rsid w:val="003D7C98"/>
    <w:rsid w:val="003D7D9D"/>
    <w:rsid w:val="003E0543"/>
    <w:rsid w:val="003E4DB7"/>
    <w:rsid w:val="003E5603"/>
    <w:rsid w:val="003E7031"/>
    <w:rsid w:val="003E749E"/>
    <w:rsid w:val="003F01CF"/>
    <w:rsid w:val="003F0985"/>
    <w:rsid w:val="003F4156"/>
    <w:rsid w:val="003F5244"/>
    <w:rsid w:val="003F59A7"/>
    <w:rsid w:val="003F5ADF"/>
    <w:rsid w:val="003F64A3"/>
    <w:rsid w:val="003F68CE"/>
    <w:rsid w:val="003F6D1C"/>
    <w:rsid w:val="004001D6"/>
    <w:rsid w:val="00400B29"/>
    <w:rsid w:val="00400C3E"/>
    <w:rsid w:val="00401230"/>
    <w:rsid w:val="00402812"/>
    <w:rsid w:val="0040456A"/>
    <w:rsid w:val="00404F24"/>
    <w:rsid w:val="0040504B"/>
    <w:rsid w:val="004059F4"/>
    <w:rsid w:val="00407559"/>
    <w:rsid w:val="00407FE5"/>
    <w:rsid w:val="004101B0"/>
    <w:rsid w:val="00410326"/>
    <w:rsid w:val="00410708"/>
    <w:rsid w:val="00410EC7"/>
    <w:rsid w:val="00411AFB"/>
    <w:rsid w:val="00411B39"/>
    <w:rsid w:val="004127A7"/>
    <w:rsid w:val="00413086"/>
    <w:rsid w:val="00413A1E"/>
    <w:rsid w:val="00414476"/>
    <w:rsid w:val="00414679"/>
    <w:rsid w:val="00414C2E"/>
    <w:rsid w:val="004151CF"/>
    <w:rsid w:val="00416364"/>
    <w:rsid w:val="00420294"/>
    <w:rsid w:val="0042047F"/>
    <w:rsid w:val="00420AA6"/>
    <w:rsid w:val="00420B9F"/>
    <w:rsid w:val="004210FA"/>
    <w:rsid w:val="0042192C"/>
    <w:rsid w:val="004221E7"/>
    <w:rsid w:val="00422255"/>
    <w:rsid w:val="00422260"/>
    <w:rsid w:val="00422F18"/>
    <w:rsid w:val="00423B7B"/>
    <w:rsid w:val="0042413F"/>
    <w:rsid w:val="0042464F"/>
    <w:rsid w:val="00426126"/>
    <w:rsid w:val="004263C7"/>
    <w:rsid w:val="004315AD"/>
    <w:rsid w:val="004319F8"/>
    <w:rsid w:val="00431E55"/>
    <w:rsid w:val="004321F6"/>
    <w:rsid w:val="00433044"/>
    <w:rsid w:val="00433F33"/>
    <w:rsid w:val="00434088"/>
    <w:rsid w:val="00436237"/>
    <w:rsid w:val="004375B9"/>
    <w:rsid w:val="00440304"/>
    <w:rsid w:val="00442289"/>
    <w:rsid w:val="004428D0"/>
    <w:rsid w:val="00442E8E"/>
    <w:rsid w:val="00444185"/>
    <w:rsid w:val="00444204"/>
    <w:rsid w:val="004443A7"/>
    <w:rsid w:val="0044442C"/>
    <w:rsid w:val="00444C8C"/>
    <w:rsid w:val="00445941"/>
    <w:rsid w:val="004464EB"/>
    <w:rsid w:val="00447D26"/>
    <w:rsid w:val="00447DFC"/>
    <w:rsid w:val="0045134D"/>
    <w:rsid w:val="00451BAB"/>
    <w:rsid w:val="004527A9"/>
    <w:rsid w:val="00455D45"/>
    <w:rsid w:val="004578FB"/>
    <w:rsid w:val="004613B7"/>
    <w:rsid w:val="00462271"/>
    <w:rsid w:val="0046354D"/>
    <w:rsid w:val="00463691"/>
    <w:rsid w:val="00464595"/>
    <w:rsid w:val="004648F3"/>
    <w:rsid w:val="004658B5"/>
    <w:rsid w:val="00471E7A"/>
    <w:rsid w:val="00471EA5"/>
    <w:rsid w:val="00472112"/>
    <w:rsid w:val="00472A79"/>
    <w:rsid w:val="00473E43"/>
    <w:rsid w:val="00473F19"/>
    <w:rsid w:val="0047574D"/>
    <w:rsid w:val="00475E22"/>
    <w:rsid w:val="00476D0A"/>
    <w:rsid w:val="0048088E"/>
    <w:rsid w:val="00480F2B"/>
    <w:rsid w:val="00482720"/>
    <w:rsid w:val="00482E22"/>
    <w:rsid w:val="00483013"/>
    <w:rsid w:val="004835E7"/>
    <w:rsid w:val="0048481A"/>
    <w:rsid w:val="004859E1"/>
    <w:rsid w:val="004867E2"/>
    <w:rsid w:val="00490871"/>
    <w:rsid w:val="00490B17"/>
    <w:rsid w:val="00491B3A"/>
    <w:rsid w:val="00492CFD"/>
    <w:rsid w:val="00494207"/>
    <w:rsid w:val="00494600"/>
    <w:rsid w:val="00494915"/>
    <w:rsid w:val="00494DD5"/>
    <w:rsid w:val="00495965"/>
    <w:rsid w:val="004962D2"/>
    <w:rsid w:val="004A0DA1"/>
    <w:rsid w:val="004A13D6"/>
    <w:rsid w:val="004A1527"/>
    <w:rsid w:val="004A207B"/>
    <w:rsid w:val="004A45B0"/>
    <w:rsid w:val="004A52E9"/>
    <w:rsid w:val="004A6040"/>
    <w:rsid w:val="004A6597"/>
    <w:rsid w:val="004A7848"/>
    <w:rsid w:val="004A793B"/>
    <w:rsid w:val="004B16D0"/>
    <w:rsid w:val="004B1CB4"/>
    <w:rsid w:val="004B2427"/>
    <w:rsid w:val="004B2A74"/>
    <w:rsid w:val="004B2F18"/>
    <w:rsid w:val="004B3DDB"/>
    <w:rsid w:val="004B4489"/>
    <w:rsid w:val="004B44FD"/>
    <w:rsid w:val="004B5CFC"/>
    <w:rsid w:val="004B6088"/>
    <w:rsid w:val="004B666E"/>
    <w:rsid w:val="004B6F79"/>
    <w:rsid w:val="004B774D"/>
    <w:rsid w:val="004C06F9"/>
    <w:rsid w:val="004C07F2"/>
    <w:rsid w:val="004C0C8D"/>
    <w:rsid w:val="004C21F9"/>
    <w:rsid w:val="004C2AC2"/>
    <w:rsid w:val="004C4AED"/>
    <w:rsid w:val="004C7FEE"/>
    <w:rsid w:val="004D028F"/>
    <w:rsid w:val="004D2C2D"/>
    <w:rsid w:val="004D4205"/>
    <w:rsid w:val="004D69B5"/>
    <w:rsid w:val="004D7227"/>
    <w:rsid w:val="004D7B5E"/>
    <w:rsid w:val="004E08BF"/>
    <w:rsid w:val="004E0E7F"/>
    <w:rsid w:val="004E0EB8"/>
    <w:rsid w:val="004E18E9"/>
    <w:rsid w:val="004E1BB3"/>
    <w:rsid w:val="004E2ADC"/>
    <w:rsid w:val="004E43B2"/>
    <w:rsid w:val="004E44D3"/>
    <w:rsid w:val="004E5FF9"/>
    <w:rsid w:val="004E6ED1"/>
    <w:rsid w:val="004F0743"/>
    <w:rsid w:val="004F0A98"/>
    <w:rsid w:val="004F171B"/>
    <w:rsid w:val="004F1D02"/>
    <w:rsid w:val="004F2679"/>
    <w:rsid w:val="004F2F21"/>
    <w:rsid w:val="004F3276"/>
    <w:rsid w:val="004F3DE5"/>
    <w:rsid w:val="004F6913"/>
    <w:rsid w:val="004F7865"/>
    <w:rsid w:val="0050174E"/>
    <w:rsid w:val="00501854"/>
    <w:rsid w:val="0050219B"/>
    <w:rsid w:val="00502F5F"/>
    <w:rsid w:val="00503F17"/>
    <w:rsid w:val="00503F3A"/>
    <w:rsid w:val="00504DB2"/>
    <w:rsid w:val="00506928"/>
    <w:rsid w:val="00506C40"/>
    <w:rsid w:val="005077EF"/>
    <w:rsid w:val="00510C04"/>
    <w:rsid w:val="00511678"/>
    <w:rsid w:val="00511763"/>
    <w:rsid w:val="00511AD5"/>
    <w:rsid w:val="00511CE8"/>
    <w:rsid w:val="00511DC7"/>
    <w:rsid w:val="005142C5"/>
    <w:rsid w:val="00514A5A"/>
    <w:rsid w:val="0051501B"/>
    <w:rsid w:val="005152B5"/>
    <w:rsid w:val="00515886"/>
    <w:rsid w:val="0051639F"/>
    <w:rsid w:val="005175E9"/>
    <w:rsid w:val="00520875"/>
    <w:rsid w:val="00520D5F"/>
    <w:rsid w:val="0052123C"/>
    <w:rsid w:val="00521319"/>
    <w:rsid w:val="00522BC8"/>
    <w:rsid w:val="00522D85"/>
    <w:rsid w:val="00523C28"/>
    <w:rsid w:val="00525888"/>
    <w:rsid w:val="005270BC"/>
    <w:rsid w:val="00531272"/>
    <w:rsid w:val="005314B0"/>
    <w:rsid w:val="0053176B"/>
    <w:rsid w:val="005317AD"/>
    <w:rsid w:val="005341B3"/>
    <w:rsid w:val="005349CB"/>
    <w:rsid w:val="00536F42"/>
    <w:rsid w:val="00537182"/>
    <w:rsid w:val="00541EDD"/>
    <w:rsid w:val="00542743"/>
    <w:rsid w:val="00542C2D"/>
    <w:rsid w:val="00543531"/>
    <w:rsid w:val="00544603"/>
    <w:rsid w:val="0054469C"/>
    <w:rsid w:val="0054471C"/>
    <w:rsid w:val="00544F95"/>
    <w:rsid w:val="00545667"/>
    <w:rsid w:val="00546120"/>
    <w:rsid w:val="0054638D"/>
    <w:rsid w:val="005478BD"/>
    <w:rsid w:val="005479E3"/>
    <w:rsid w:val="00551985"/>
    <w:rsid w:val="00551D82"/>
    <w:rsid w:val="0055202A"/>
    <w:rsid w:val="00552BD3"/>
    <w:rsid w:val="005532A0"/>
    <w:rsid w:val="0055334C"/>
    <w:rsid w:val="00555109"/>
    <w:rsid w:val="0055556F"/>
    <w:rsid w:val="0055646E"/>
    <w:rsid w:val="0055674E"/>
    <w:rsid w:val="00556B35"/>
    <w:rsid w:val="0055741A"/>
    <w:rsid w:val="005611B7"/>
    <w:rsid w:val="005611C8"/>
    <w:rsid w:val="005611FC"/>
    <w:rsid w:val="005618D4"/>
    <w:rsid w:val="00563797"/>
    <w:rsid w:val="00564867"/>
    <w:rsid w:val="00564DD8"/>
    <w:rsid w:val="00565C79"/>
    <w:rsid w:val="00565DF0"/>
    <w:rsid w:val="0056696F"/>
    <w:rsid w:val="00567AFD"/>
    <w:rsid w:val="0057153C"/>
    <w:rsid w:val="0057158B"/>
    <w:rsid w:val="00572269"/>
    <w:rsid w:val="0057244A"/>
    <w:rsid w:val="00572F26"/>
    <w:rsid w:val="00573050"/>
    <w:rsid w:val="005750C5"/>
    <w:rsid w:val="005752DE"/>
    <w:rsid w:val="00575D60"/>
    <w:rsid w:val="00575D8D"/>
    <w:rsid w:val="00576972"/>
    <w:rsid w:val="00577248"/>
    <w:rsid w:val="005801DE"/>
    <w:rsid w:val="00581FC5"/>
    <w:rsid w:val="00582CA4"/>
    <w:rsid w:val="00583699"/>
    <w:rsid w:val="00584CAB"/>
    <w:rsid w:val="00585CDD"/>
    <w:rsid w:val="00586FAF"/>
    <w:rsid w:val="00587058"/>
    <w:rsid w:val="00591957"/>
    <w:rsid w:val="00591C06"/>
    <w:rsid w:val="00594F94"/>
    <w:rsid w:val="0059721D"/>
    <w:rsid w:val="00597BF9"/>
    <w:rsid w:val="005A0C11"/>
    <w:rsid w:val="005A1C40"/>
    <w:rsid w:val="005A309A"/>
    <w:rsid w:val="005A3396"/>
    <w:rsid w:val="005A373D"/>
    <w:rsid w:val="005A533D"/>
    <w:rsid w:val="005A7E88"/>
    <w:rsid w:val="005B0B58"/>
    <w:rsid w:val="005B0F56"/>
    <w:rsid w:val="005B1B7F"/>
    <w:rsid w:val="005B1D42"/>
    <w:rsid w:val="005B2C03"/>
    <w:rsid w:val="005B3CCC"/>
    <w:rsid w:val="005B4E53"/>
    <w:rsid w:val="005B5857"/>
    <w:rsid w:val="005B6230"/>
    <w:rsid w:val="005B69C9"/>
    <w:rsid w:val="005C19C4"/>
    <w:rsid w:val="005C1B83"/>
    <w:rsid w:val="005C25FF"/>
    <w:rsid w:val="005C2D55"/>
    <w:rsid w:val="005C346B"/>
    <w:rsid w:val="005C5ABC"/>
    <w:rsid w:val="005C606D"/>
    <w:rsid w:val="005D044D"/>
    <w:rsid w:val="005D0ABD"/>
    <w:rsid w:val="005D18AD"/>
    <w:rsid w:val="005D24CD"/>
    <w:rsid w:val="005D26B4"/>
    <w:rsid w:val="005D272B"/>
    <w:rsid w:val="005D2AC7"/>
    <w:rsid w:val="005D3080"/>
    <w:rsid w:val="005E013E"/>
    <w:rsid w:val="005E1995"/>
    <w:rsid w:val="005E1B84"/>
    <w:rsid w:val="005E4A16"/>
    <w:rsid w:val="005E4CE8"/>
    <w:rsid w:val="005E58D1"/>
    <w:rsid w:val="005E6CBC"/>
    <w:rsid w:val="005E72FF"/>
    <w:rsid w:val="005E73C0"/>
    <w:rsid w:val="005F07ED"/>
    <w:rsid w:val="005F10F2"/>
    <w:rsid w:val="005F26BA"/>
    <w:rsid w:val="005F2706"/>
    <w:rsid w:val="005F6A8F"/>
    <w:rsid w:val="005F6BB7"/>
    <w:rsid w:val="005F7588"/>
    <w:rsid w:val="006002A2"/>
    <w:rsid w:val="00603546"/>
    <w:rsid w:val="00603DB9"/>
    <w:rsid w:val="00606FBA"/>
    <w:rsid w:val="00607669"/>
    <w:rsid w:val="006076F4"/>
    <w:rsid w:val="00607AFD"/>
    <w:rsid w:val="00607BD7"/>
    <w:rsid w:val="0061058A"/>
    <w:rsid w:val="006110C9"/>
    <w:rsid w:val="00611B12"/>
    <w:rsid w:val="00612F97"/>
    <w:rsid w:val="0061345D"/>
    <w:rsid w:val="00614873"/>
    <w:rsid w:val="00615470"/>
    <w:rsid w:val="0061549B"/>
    <w:rsid w:val="006157B4"/>
    <w:rsid w:val="00616238"/>
    <w:rsid w:val="00616802"/>
    <w:rsid w:val="00617E12"/>
    <w:rsid w:val="00620C25"/>
    <w:rsid w:val="00621477"/>
    <w:rsid w:val="00621ADA"/>
    <w:rsid w:val="00621EFF"/>
    <w:rsid w:val="0062252E"/>
    <w:rsid w:val="00623F7B"/>
    <w:rsid w:val="00624BD4"/>
    <w:rsid w:val="00625274"/>
    <w:rsid w:val="00625C7C"/>
    <w:rsid w:val="00626237"/>
    <w:rsid w:val="006279C4"/>
    <w:rsid w:val="00630AD4"/>
    <w:rsid w:val="0063158F"/>
    <w:rsid w:val="00631D6B"/>
    <w:rsid w:val="00632183"/>
    <w:rsid w:val="006330A1"/>
    <w:rsid w:val="00633F49"/>
    <w:rsid w:val="0063479F"/>
    <w:rsid w:val="006353F0"/>
    <w:rsid w:val="006357B5"/>
    <w:rsid w:val="006364A1"/>
    <w:rsid w:val="0063678E"/>
    <w:rsid w:val="00637BFD"/>
    <w:rsid w:val="00637C5C"/>
    <w:rsid w:val="00640475"/>
    <w:rsid w:val="00641C4E"/>
    <w:rsid w:val="00641FB3"/>
    <w:rsid w:val="0064434C"/>
    <w:rsid w:val="006471CC"/>
    <w:rsid w:val="006472FE"/>
    <w:rsid w:val="00647A29"/>
    <w:rsid w:val="0065079F"/>
    <w:rsid w:val="00652A28"/>
    <w:rsid w:val="00652EF5"/>
    <w:rsid w:val="0065379F"/>
    <w:rsid w:val="006552F9"/>
    <w:rsid w:val="0065563C"/>
    <w:rsid w:val="006558B0"/>
    <w:rsid w:val="00656188"/>
    <w:rsid w:val="0065710A"/>
    <w:rsid w:val="0065715A"/>
    <w:rsid w:val="00660F7D"/>
    <w:rsid w:val="006610F1"/>
    <w:rsid w:val="00661C6B"/>
    <w:rsid w:val="00662790"/>
    <w:rsid w:val="00662D3E"/>
    <w:rsid w:val="00662F0F"/>
    <w:rsid w:val="006635E2"/>
    <w:rsid w:val="006637F2"/>
    <w:rsid w:val="00667BE3"/>
    <w:rsid w:val="00671004"/>
    <w:rsid w:val="006715F6"/>
    <w:rsid w:val="00672646"/>
    <w:rsid w:val="00674E42"/>
    <w:rsid w:val="00676563"/>
    <w:rsid w:val="006813F8"/>
    <w:rsid w:val="0068152C"/>
    <w:rsid w:val="00682112"/>
    <w:rsid w:val="00682BA6"/>
    <w:rsid w:val="006830F4"/>
    <w:rsid w:val="00683230"/>
    <w:rsid w:val="00683B36"/>
    <w:rsid w:val="00686957"/>
    <w:rsid w:val="006872BA"/>
    <w:rsid w:val="00690725"/>
    <w:rsid w:val="00690795"/>
    <w:rsid w:val="00691393"/>
    <w:rsid w:val="00691648"/>
    <w:rsid w:val="006917D7"/>
    <w:rsid w:val="00692093"/>
    <w:rsid w:val="00694282"/>
    <w:rsid w:val="0069434C"/>
    <w:rsid w:val="00694F44"/>
    <w:rsid w:val="00696EF9"/>
    <w:rsid w:val="00696F51"/>
    <w:rsid w:val="006979A5"/>
    <w:rsid w:val="006A016F"/>
    <w:rsid w:val="006A0DF7"/>
    <w:rsid w:val="006A2953"/>
    <w:rsid w:val="006A41BF"/>
    <w:rsid w:val="006A4321"/>
    <w:rsid w:val="006A43D9"/>
    <w:rsid w:val="006A6B99"/>
    <w:rsid w:val="006A7B62"/>
    <w:rsid w:val="006A7E5F"/>
    <w:rsid w:val="006B0B9D"/>
    <w:rsid w:val="006B0E6C"/>
    <w:rsid w:val="006B1E71"/>
    <w:rsid w:val="006B261B"/>
    <w:rsid w:val="006B2C90"/>
    <w:rsid w:val="006B35E6"/>
    <w:rsid w:val="006B3E1B"/>
    <w:rsid w:val="006B465A"/>
    <w:rsid w:val="006B6DD0"/>
    <w:rsid w:val="006C0399"/>
    <w:rsid w:val="006C22A9"/>
    <w:rsid w:val="006C2A8E"/>
    <w:rsid w:val="006C2DA3"/>
    <w:rsid w:val="006C3255"/>
    <w:rsid w:val="006C3C5F"/>
    <w:rsid w:val="006C3D0B"/>
    <w:rsid w:val="006C3ED1"/>
    <w:rsid w:val="006C3F26"/>
    <w:rsid w:val="006C3F8C"/>
    <w:rsid w:val="006D0D17"/>
    <w:rsid w:val="006D157F"/>
    <w:rsid w:val="006D17A4"/>
    <w:rsid w:val="006D3C7D"/>
    <w:rsid w:val="006D4659"/>
    <w:rsid w:val="006D47C0"/>
    <w:rsid w:val="006D5D5F"/>
    <w:rsid w:val="006D68FB"/>
    <w:rsid w:val="006E1A04"/>
    <w:rsid w:val="006E2868"/>
    <w:rsid w:val="006E32CA"/>
    <w:rsid w:val="006E3815"/>
    <w:rsid w:val="006E46EB"/>
    <w:rsid w:val="006E5D78"/>
    <w:rsid w:val="006E6CC4"/>
    <w:rsid w:val="006E6D72"/>
    <w:rsid w:val="006F306C"/>
    <w:rsid w:val="006F331F"/>
    <w:rsid w:val="006F3D78"/>
    <w:rsid w:val="006F63A5"/>
    <w:rsid w:val="006F63C3"/>
    <w:rsid w:val="006F7D4D"/>
    <w:rsid w:val="006F7FD9"/>
    <w:rsid w:val="00701078"/>
    <w:rsid w:val="0070142B"/>
    <w:rsid w:val="0070276E"/>
    <w:rsid w:val="00702F8F"/>
    <w:rsid w:val="00704059"/>
    <w:rsid w:val="007066BA"/>
    <w:rsid w:val="007079FC"/>
    <w:rsid w:val="00707CB0"/>
    <w:rsid w:val="00711A36"/>
    <w:rsid w:val="0071244B"/>
    <w:rsid w:val="007125D3"/>
    <w:rsid w:val="00712A81"/>
    <w:rsid w:val="00712BDA"/>
    <w:rsid w:val="0071418B"/>
    <w:rsid w:val="0071462A"/>
    <w:rsid w:val="00714C26"/>
    <w:rsid w:val="0071529C"/>
    <w:rsid w:val="007156FB"/>
    <w:rsid w:val="007170DA"/>
    <w:rsid w:val="007172AD"/>
    <w:rsid w:val="00717546"/>
    <w:rsid w:val="00720801"/>
    <w:rsid w:val="00721EE8"/>
    <w:rsid w:val="00722B1B"/>
    <w:rsid w:val="00723C4B"/>
    <w:rsid w:val="0072416F"/>
    <w:rsid w:val="00726728"/>
    <w:rsid w:val="00726B8B"/>
    <w:rsid w:val="00727C94"/>
    <w:rsid w:val="00731B0A"/>
    <w:rsid w:val="00731EAE"/>
    <w:rsid w:val="00733073"/>
    <w:rsid w:val="00735033"/>
    <w:rsid w:val="00735328"/>
    <w:rsid w:val="0073685B"/>
    <w:rsid w:val="007443E9"/>
    <w:rsid w:val="007449BF"/>
    <w:rsid w:val="007463FE"/>
    <w:rsid w:val="00746BC0"/>
    <w:rsid w:val="007510B4"/>
    <w:rsid w:val="0075138F"/>
    <w:rsid w:val="007514FD"/>
    <w:rsid w:val="00752142"/>
    <w:rsid w:val="007523F9"/>
    <w:rsid w:val="0075357E"/>
    <w:rsid w:val="00753774"/>
    <w:rsid w:val="00753B29"/>
    <w:rsid w:val="00756C3B"/>
    <w:rsid w:val="00756CFE"/>
    <w:rsid w:val="00756D19"/>
    <w:rsid w:val="00757164"/>
    <w:rsid w:val="007573E8"/>
    <w:rsid w:val="007574F6"/>
    <w:rsid w:val="00760C4E"/>
    <w:rsid w:val="00760F9E"/>
    <w:rsid w:val="007616E6"/>
    <w:rsid w:val="007627BE"/>
    <w:rsid w:val="00764F03"/>
    <w:rsid w:val="00765B1A"/>
    <w:rsid w:val="00765DC1"/>
    <w:rsid w:val="00771667"/>
    <w:rsid w:val="007727CE"/>
    <w:rsid w:val="00772906"/>
    <w:rsid w:val="00777335"/>
    <w:rsid w:val="00780BF5"/>
    <w:rsid w:val="007821F8"/>
    <w:rsid w:val="007843F2"/>
    <w:rsid w:val="007846FA"/>
    <w:rsid w:val="00784F63"/>
    <w:rsid w:val="00785A9F"/>
    <w:rsid w:val="00791BE3"/>
    <w:rsid w:val="007925DF"/>
    <w:rsid w:val="00794912"/>
    <w:rsid w:val="00796CFC"/>
    <w:rsid w:val="007A08AA"/>
    <w:rsid w:val="007A0A12"/>
    <w:rsid w:val="007A132D"/>
    <w:rsid w:val="007A1345"/>
    <w:rsid w:val="007A1611"/>
    <w:rsid w:val="007A2DDB"/>
    <w:rsid w:val="007A2E01"/>
    <w:rsid w:val="007A35C1"/>
    <w:rsid w:val="007A3F20"/>
    <w:rsid w:val="007A44E3"/>
    <w:rsid w:val="007A70BA"/>
    <w:rsid w:val="007B0D68"/>
    <w:rsid w:val="007B251D"/>
    <w:rsid w:val="007B2524"/>
    <w:rsid w:val="007B3533"/>
    <w:rsid w:val="007B3681"/>
    <w:rsid w:val="007B4CFD"/>
    <w:rsid w:val="007B4F58"/>
    <w:rsid w:val="007B528D"/>
    <w:rsid w:val="007B63CA"/>
    <w:rsid w:val="007B77D1"/>
    <w:rsid w:val="007C07C7"/>
    <w:rsid w:val="007C0F65"/>
    <w:rsid w:val="007C1CD9"/>
    <w:rsid w:val="007C32EF"/>
    <w:rsid w:val="007C352C"/>
    <w:rsid w:val="007C361D"/>
    <w:rsid w:val="007C4AB4"/>
    <w:rsid w:val="007C4B84"/>
    <w:rsid w:val="007C4E63"/>
    <w:rsid w:val="007C6AE3"/>
    <w:rsid w:val="007C70FF"/>
    <w:rsid w:val="007C7C25"/>
    <w:rsid w:val="007C7C74"/>
    <w:rsid w:val="007D004F"/>
    <w:rsid w:val="007D0253"/>
    <w:rsid w:val="007D035F"/>
    <w:rsid w:val="007D06B2"/>
    <w:rsid w:val="007D0B38"/>
    <w:rsid w:val="007D1800"/>
    <w:rsid w:val="007D1A7F"/>
    <w:rsid w:val="007D5440"/>
    <w:rsid w:val="007D58B2"/>
    <w:rsid w:val="007D59ED"/>
    <w:rsid w:val="007D6851"/>
    <w:rsid w:val="007D69EB"/>
    <w:rsid w:val="007D73C5"/>
    <w:rsid w:val="007E128F"/>
    <w:rsid w:val="007E1DFD"/>
    <w:rsid w:val="007E324F"/>
    <w:rsid w:val="007E464E"/>
    <w:rsid w:val="007E4747"/>
    <w:rsid w:val="007E4B29"/>
    <w:rsid w:val="007E5FFD"/>
    <w:rsid w:val="007F1017"/>
    <w:rsid w:val="007F26F2"/>
    <w:rsid w:val="007F4A3F"/>
    <w:rsid w:val="007F4A61"/>
    <w:rsid w:val="007F5255"/>
    <w:rsid w:val="007F56CC"/>
    <w:rsid w:val="007F61C2"/>
    <w:rsid w:val="00801FAF"/>
    <w:rsid w:val="00802ABE"/>
    <w:rsid w:val="00805142"/>
    <w:rsid w:val="00805FCE"/>
    <w:rsid w:val="00807A8B"/>
    <w:rsid w:val="0081066D"/>
    <w:rsid w:val="00811383"/>
    <w:rsid w:val="00811F31"/>
    <w:rsid w:val="00812149"/>
    <w:rsid w:val="00812CAC"/>
    <w:rsid w:val="008131B8"/>
    <w:rsid w:val="00816361"/>
    <w:rsid w:val="00816450"/>
    <w:rsid w:val="008166EF"/>
    <w:rsid w:val="00816FEF"/>
    <w:rsid w:val="00820A8C"/>
    <w:rsid w:val="008215EA"/>
    <w:rsid w:val="008215FB"/>
    <w:rsid w:val="00822089"/>
    <w:rsid w:val="008220CC"/>
    <w:rsid w:val="00822DBF"/>
    <w:rsid w:val="00823174"/>
    <w:rsid w:val="00825751"/>
    <w:rsid w:val="008264EB"/>
    <w:rsid w:val="008268CE"/>
    <w:rsid w:val="00826EA5"/>
    <w:rsid w:val="00827C23"/>
    <w:rsid w:val="00833B05"/>
    <w:rsid w:val="0083526E"/>
    <w:rsid w:val="00835A9F"/>
    <w:rsid w:val="008362B4"/>
    <w:rsid w:val="00840CA2"/>
    <w:rsid w:val="008422F1"/>
    <w:rsid w:val="0084374F"/>
    <w:rsid w:val="00844A22"/>
    <w:rsid w:val="00847703"/>
    <w:rsid w:val="00847DF5"/>
    <w:rsid w:val="00850FE1"/>
    <w:rsid w:val="00851C1D"/>
    <w:rsid w:val="00851F8B"/>
    <w:rsid w:val="0085309D"/>
    <w:rsid w:val="00856897"/>
    <w:rsid w:val="00856C00"/>
    <w:rsid w:val="00856E9A"/>
    <w:rsid w:val="00857943"/>
    <w:rsid w:val="0086054E"/>
    <w:rsid w:val="0086075D"/>
    <w:rsid w:val="00861C29"/>
    <w:rsid w:val="00861E5B"/>
    <w:rsid w:val="00862502"/>
    <w:rsid w:val="00862CC1"/>
    <w:rsid w:val="008642A7"/>
    <w:rsid w:val="00864ABF"/>
    <w:rsid w:val="00865781"/>
    <w:rsid w:val="00865F2B"/>
    <w:rsid w:val="008660D4"/>
    <w:rsid w:val="00867E05"/>
    <w:rsid w:val="00871FA9"/>
    <w:rsid w:val="008728E9"/>
    <w:rsid w:val="008806FF"/>
    <w:rsid w:val="008814DE"/>
    <w:rsid w:val="00882874"/>
    <w:rsid w:val="00882E3C"/>
    <w:rsid w:val="0088308A"/>
    <w:rsid w:val="00883787"/>
    <w:rsid w:val="0088552B"/>
    <w:rsid w:val="008855E4"/>
    <w:rsid w:val="00886024"/>
    <w:rsid w:val="00886CD2"/>
    <w:rsid w:val="0089083D"/>
    <w:rsid w:val="00891E6F"/>
    <w:rsid w:val="0089275D"/>
    <w:rsid w:val="00892A36"/>
    <w:rsid w:val="00893239"/>
    <w:rsid w:val="00894489"/>
    <w:rsid w:val="00894CD6"/>
    <w:rsid w:val="00895B0A"/>
    <w:rsid w:val="008963A5"/>
    <w:rsid w:val="00896D5D"/>
    <w:rsid w:val="008978F0"/>
    <w:rsid w:val="00897929"/>
    <w:rsid w:val="008A19D3"/>
    <w:rsid w:val="008A3158"/>
    <w:rsid w:val="008A3363"/>
    <w:rsid w:val="008A3371"/>
    <w:rsid w:val="008A3C3E"/>
    <w:rsid w:val="008A521C"/>
    <w:rsid w:val="008A5A3A"/>
    <w:rsid w:val="008A60B5"/>
    <w:rsid w:val="008A79DE"/>
    <w:rsid w:val="008B0333"/>
    <w:rsid w:val="008B1757"/>
    <w:rsid w:val="008B18C6"/>
    <w:rsid w:val="008B1C33"/>
    <w:rsid w:val="008B3AFD"/>
    <w:rsid w:val="008B4B6F"/>
    <w:rsid w:val="008B7992"/>
    <w:rsid w:val="008B7D7E"/>
    <w:rsid w:val="008C0649"/>
    <w:rsid w:val="008C08FA"/>
    <w:rsid w:val="008C0B40"/>
    <w:rsid w:val="008C2331"/>
    <w:rsid w:val="008C2FEC"/>
    <w:rsid w:val="008C4099"/>
    <w:rsid w:val="008C4A3F"/>
    <w:rsid w:val="008C5610"/>
    <w:rsid w:val="008C5739"/>
    <w:rsid w:val="008C6030"/>
    <w:rsid w:val="008C7282"/>
    <w:rsid w:val="008C7AB5"/>
    <w:rsid w:val="008C7ECB"/>
    <w:rsid w:val="008D0FD0"/>
    <w:rsid w:val="008D29E8"/>
    <w:rsid w:val="008D3B86"/>
    <w:rsid w:val="008D4063"/>
    <w:rsid w:val="008D43FD"/>
    <w:rsid w:val="008D4755"/>
    <w:rsid w:val="008D4C3D"/>
    <w:rsid w:val="008D55D5"/>
    <w:rsid w:val="008D743C"/>
    <w:rsid w:val="008E0D3C"/>
    <w:rsid w:val="008E1B9E"/>
    <w:rsid w:val="008E55AB"/>
    <w:rsid w:val="008E7F2E"/>
    <w:rsid w:val="008F120A"/>
    <w:rsid w:val="008F1CBD"/>
    <w:rsid w:val="008F27E0"/>
    <w:rsid w:val="008F42C1"/>
    <w:rsid w:val="008F48EB"/>
    <w:rsid w:val="008F4F0B"/>
    <w:rsid w:val="008F52C3"/>
    <w:rsid w:val="008F61E4"/>
    <w:rsid w:val="008F6D8E"/>
    <w:rsid w:val="0090016A"/>
    <w:rsid w:val="0090163B"/>
    <w:rsid w:val="0090406E"/>
    <w:rsid w:val="009046C4"/>
    <w:rsid w:val="00904733"/>
    <w:rsid w:val="009062A5"/>
    <w:rsid w:val="00906823"/>
    <w:rsid w:val="00907699"/>
    <w:rsid w:val="00910FA7"/>
    <w:rsid w:val="00911272"/>
    <w:rsid w:val="00911339"/>
    <w:rsid w:val="00911341"/>
    <w:rsid w:val="00911689"/>
    <w:rsid w:val="00913054"/>
    <w:rsid w:val="009133D2"/>
    <w:rsid w:val="009135D6"/>
    <w:rsid w:val="009139E7"/>
    <w:rsid w:val="00914C77"/>
    <w:rsid w:val="00914EFD"/>
    <w:rsid w:val="00916C31"/>
    <w:rsid w:val="00921ACB"/>
    <w:rsid w:val="0092369B"/>
    <w:rsid w:val="009276D5"/>
    <w:rsid w:val="009278F9"/>
    <w:rsid w:val="00931940"/>
    <w:rsid w:val="0093213B"/>
    <w:rsid w:val="00933E24"/>
    <w:rsid w:val="00934732"/>
    <w:rsid w:val="00934988"/>
    <w:rsid w:val="0093647A"/>
    <w:rsid w:val="00937089"/>
    <w:rsid w:val="009373BA"/>
    <w:rsid w:val="00937DAB"/>
    <w:rsid w:val="00940175"/>
    <w:rsid w:val="00940BEC"/>
    <w:rsid w:val="00941C73"/>
    <w:rsid w:val="00942685"/>
    <w:rsid w:val="00944F8A"/>
    <w:rsid w:val="00950A1D"/>
    <w:rsid w:val="009510A2"/>
    <w:rsid w:val="00953257"/>
    <w:rsid w:val="009541AE"/>
    <w:rsid w:val="0095474C"/>
    <w:rsid w:val="00956C34"/>
    <w:rsid w:val="00957D92"/>
    <w:rsid w:val="00962CB9"/>
    <w:rsid w:val="00964312"/>
    <w:rsid w:val="00965B8A"/>
    <w:rsid w:val="00970590"/>
    <w:rsid w:val="0097071F"/>
    <w:rsid w:val="009717AC"/>
    <w:rsid w:val="009751C1"/>
    <w:rsid w:val="0097542F"/>
    <w:rsid w:val="009811F1"/>
    <w:rsid w:val="0098299D"/>
    <w:rsid w:val="00983833"/>
    <w:rsid w:val="00983E57"/>
    <w:rsid w:val="00983F9C"/>
    <w:rsid w:val="009849D6"/>
    <w:rsid w:val="0098528E"/>
    <w:rsid w:val="00985DE2"/>
    <w:rsid w:val="0098675D"/>
    <w:rsid w:val="00987BA4"/>
    <w:rsid w:val="009926E0"/>
    <w:rsid w:val="0099451E"/>
    <w:rsid w:val="00996060"/>
    <w:rsid w:val="00996B1A"/>
    <w:rsid w:val="009A00BF"/>
    <w:rsid w:val="009A18F6"/>
    <w:rsid w:val="009A1DE1"/>
    <w:rsid w:val="009A222B"/>
    <w:rsid w:val="009A282E"/>
    <w:rsid w:val="009A2D14"/>
    <w:rsid w:val="009A2DCC"/>
    <w:rsid w:val="009A5ABC"/>
    <w:rsid w:val="009A76AF"/>
    <w:rsid w:val="009A7F10"/>
    <w:rsid w:val="009B1AB8"/>
    <w:rsid w:val="009B1B01"/>
    <w:rsid w:val="009B1F87"/>
    <w:rsid w:val="009B3726"/>
    <w:rsid w:val="009B3E26"/>
    <w:rsid w:val="009B7373"/>
    <w:rsid w:val="009C03C0"/>
    <w:rsid w:val="009C06D4"/>
    <w:rsid w:val="009C088F"/>
    <w:rsid w:val="009C1196"/>
    <w:rsid w:val="009C1271"/>
    <w:rsid w:val="009C3129"/>
    <w:rsid w:val="009C3706"/>
    <w:rsid w:val="009C3A3A"/>
    <w:rsid w:val="009C47DA"/>
    <w:rsid w:val="009C6CEA"/>
    <w:rsid w:val="009C7A3F"/>
    <w:rsid w:val="009C7B85"/>
    <w:rsid w:val="009D0254"/>
    <w:rsid w:val="009D0A87"/>
    <w:rsid w:val="009D1A64"/>
    <w:rsid w:val="009D277F"/>
    <w:rsid w:val="009D3B5A"/>
    <w:rsid w:val="009D5B91"/>
    <w:rsid w:val="009D701A"/>
    <w:rsid w:val="009D792E"/>
    <w:rsid w:val="009D7F87"/>
    <w:rsid w:val="009E0DFE"/>
    <w:rsid w:val="009E31F6"/>
    <w:rsid w:val="009E4A86"/>
    <w:rsid w:val="009E4C07"/>
    <w:rsid w:val="009E777F"/>
    <w:rsid w:val="009E7E84"/>
    <w:rsid w:val="009F0EF8"/>
    <w:rsid w:val="009F1604"/>
    <w:rsid w:val="009F2517"/>
    <w:rsid w:val="009F2F82"/>
    <w:rsid w:val="009F43DA"/>
    <w:rsid w:val="009F6120"/>
    <w:rsid w:val="009F63E8"/>
    <w:rsid w:val="009F7A05"/>
    <w:rsid w:val="009F7F10"/>
    <w:rsid w:val="00A00D76"/>
    <w:rsid w:val="00A01184"/>
    <w:rsid w:val="00A01449"/>
    <w:rsid w:val="00A018E2"/>
    <w:rsid w:val="00A037C2"/>
    <w:rsid w:val="00A03D43"/>
    <w:rsid w:val="00A04380"/>
    <w:rsid w:val="00A04786"/>
    <w:rsid w:val="00A05472"/>
    <w:rsid w:val="00A05C32"/>
    <w:rsid w:val="00A05EAF"/>
    <w:rsid w:val="00A0653F"/>
    <w:rsid w:val="00A11441"/>
    <w:rsid w:val="00A11A1A"/>
    <w:rsid w:val="00A11CD0"/>
    <w:rsid w:val="00A13948"/>
    <w:rsid w:val="00A1555B"/>
    <w:rsid w:val="00A155C5"/>
    <w:rsid w:val="00A15E74"/>
    <w:rsid w:val="00A1608C"/>
    <w:rsid w:val="00A16AD8"/>
    <w:rsid w:val="00A176F9"/>
    <w:rsid w:val="00A2021E"/>
    <w:rsid w:val="00A21C95"/>
    <w:rsid w:val="00A21CF3"/>
    <w:rsid w:val="00A23838"/>
    <w:rsid w:val="00A24813"/>
    <w:rsid w:val="00A24F88"/>
    <w:rsid w:val="00A25708"/>
    <w:rsid w:val="00A27A0A"/>
    <w:rsid w:val="00A27AEC"/>
    <w:rsid w:val="00A27C98"/>
    <w:rsid w:val="00A27DC0"/>
    <w:rsid w:val="00A30915"/>
    <w:rsid w:val="00A31FC5"/>
    <w:rsid w:val="00A320DB"/>
    <w:rsid w:val="00A3481C"/>
    <w:rsid w:val="00A35D16"/>
    <w:rsid w:val="00A37BCD"/>
    <w:rsid w:val="00A405E0"/>
    <w:rsid w:val="00A40876"/>
    <w:rsid w:val="00A41689"/>
    <w:rsid w:val="00A41905"/>
    <w:rsid w:val="00A41C05"/>
    <w:rsid w:val="00A42592"/>
    <w:rsid w:val="00A43B9D"/>
    <w:rsid w:val="00A43C59"/>
    <w:rsid w:val="00A4430D"/>
    <w:rsid w:val="00A459ED"/>
    <w:rsid w:val="00A45D4A"/>
    <w:rsid w:val="00A50ECD"/>
    <w:rsid w:val="00A518F3"/>
    <w:rsid w:val="00A524DD"/>
    <w:rsid w:val="00A52729"/>
    <w:rsid w:val="00A53675"/>
    <w:rsid w:val="00A5527B"/>
    <w:rsid w:val="00A55E2C"/>
    <w:rsid w:val="00A564D7"/>
    <w:rsid w:val="00A56B6A"/>
    <w:rsid w:val="00A578DC"/>
    <w:rsid w:val="00A57BD2"/>
    <w:rsid w:val="00A639BE"/>
    <w:rsid w:val="00A640E2"/>
    <w:rsid w:val="00A64D65"/>
    <w:rsid w:val="00A6681B"/>
    <w:rsid w:val="00A669CD"/>
    <w:rsid w:val="00A6725B"/>
    <w:rsid w:val="00A67AA5"/>
    <w:rsid w:val="00A70605"/>
    <w:rsid w:val="00A7069C"/>
    <w:rsid w:val="00A7130D"/>
    <w:rsid w:val="00A7171D"/>
    <w:rsid w:val="00A71DA8"/>
    <w:rsid w:val="00A71E20"/>
    <w:rsid w:val="00A7231B"/>
    <w:rsid w:val="00A73134"/>
    <w:rsid w:val="00A7365A"/>
    <w:rsid w:val="00A76001"/>
    <w:rsid w:val="00A777B2"/>
    <w:rsid w:val="00A801D9"/>
    <w:rsid w:val="00A825D4"/>
    <w:rsid w:val="00A82768"/>
    <w:rsid w:val="00A82887"/>
    <w:rsid w:val="00A828F6"/>
    <w:rsid w:val="00A82B73"/>
    <w:rsid w:val="00A83BBF"/>
    <w:rsid w:val="00A8515E"/>
    <w:rsid w:val="00A86E8B"/>
    <w:rsid w:val="00A87164"/>
    <w:rsid w:val="00A87F78"/>
    <w:rsid w:val="00A9060B"/>
    <w:rsid w:val="00A90F18"/>
    <w:rsid w:val="00A93072"/>
    <w:rsid w:val="00A93403"/>
    <w:rsid w:val="00A938BD"/>
    <w:rsid w:val="00A93953"/>
    <w:rsid w:val="00A951BF"/>
    <w:rsid w:val="00A959D8"/>
    <w:rsid w:val="00AA113D"/>
    <w:rsid w:val="00AA12E2"/>
    <w:rsid w:val="00AA1FD4"/>
    <w:rsid w:val="00AA236F"/>
    <w:rsid w:val="00AA6BD5"/>
    <w:rsid w:val="00AA6BD8"/>
    <w:rsid w:val="00AA6BF0"/>
    <w:rsid w:val="00AA6C7D"/>
    <w:rsid w:val="00AA74E7"/>
    <w:rsid w:val="00AA7FD6"/>
    <w:rsid w:val="00AB042A"/>
    <w:rsid w:val="00AB0819"/>
    <w:rsid w:val="00AB09D7"/>
    <w:rsid w:val="00AB11AD"/>
    <w:rsid w:val="00AB1523"/>
    <w:rsid w:val="00AB19EF"/>
    <w:rsid w:val="00AB1B4E"/>
    <w:rsid w:val="00AB2495"/>
    <w:rsid w:val="00AB2D34"/>
    <w:rsid w:val="00AB3430"/>
    <w:rsid w:val="00AB37B9"/>
    <w:rsid w:val="00AB4AD1"/>
    <w:rsid w:val="00AB5027"/>
    <w:rsid w:val="00AB52DF"/>
    <w:rsid w:val="00AB5E07"/>
    <w:rsid w:val="00AB5ED0"/>
    <w:rsid w:val="00AB7198"/>
    <w:rsid w:val="00AB7CFA"/>
    <w:rsid w:val="00AC05E3"/>
    <w:rsid w:val="00AC090C"/>
    <w:rsid w:val="00AC0969"/>
    <w:rsid w:val="00AC2E33"/>
    <w:rsid w:val="00AC5B42"/>
    <w:rsid w:val="00AC5B48"/>
    <w:rsid w:val="00AC6769"/>
    <w:rsid w:val="00AC6AC4"/>
    <w:rsid w:val="00AC6BD0"/>
    <w:rsid w:val="00AD1450"/>
    <w:rsid w:val="00AD15E8"/>
    <w:rsid w:val="00AD1F48"/>
    <w:rsid w:val="00AD356D"/>
    <w:rsid w:val="00AD6502"/>
    <w:rsid w:val="00AD7045"/>
    <w:rsid w:val="00AD796C"/>
    <w:rsid w:val="00AE004F"/>
    <w:rsid w:val="00AE0695"/>
    <w:rsid w:val="00AE3075"/>
    <w:rsid w:val="00AE3E7E"/>
    <w:rsid w:val="00AE40F6"/>
    <w:rsid w:val="00AE4768"/>
    <w:rsid w:val="00AE76D1"/>
    <w:rsid w:val="00AE7DE3"/>
    <w:rsid w:val="00AE7E53"/>
    <w:rsid w:val="00AF0EC9"/>
    <w:rsid w:val="00AF1315"/>
    <w:rsid w:val="00AF19BF"/>
    <w:rsid w:val="00AF2DC3"/>
    <w:rsid w:val="00AF2F5E"/>
    <w:rsid w:val="00AF32AD"/>
    <w:rsid w:val="00AF5135"/>
    <w:rsid w:val="00B02599"/>
    <w:rsid w:val="00B033E5"/>
    <w:rsid w:val="00B03A63"/>
    <w:rsid w:val="00B11B05"/>
    <w:rsid w:val="00B11CAB"/>
    <w:rsid w:val="00B11DCB"/>
    <w:rsid w:val="00B11F2D"/>
    <w:rsid w:val="00B128B3"/>
    <w:rsid w:val="00B129A4"/>
    <w:rsid w:val="00B135F3"/>
    <w:rsid w:val="00B17D8C"/>
    <w:rsid w:val="00B201A4"/>
    <w:rsid w:val="00B201D1"/>
    <w:rsid w:val="00B213A6"/>
    <w:rsid w:val="00B230BE"/>
    <w:rsid w:val="00B235B0"/>
    <w:rsid w:val="00B241A3"/>
    <w:rsid w:val="00B24DF6"/>
    <w:rsid w:val="00B26640"/>
    <w:rsid w:val="00B27356"/>
    <w:rsid w:val="00B27A61"/>
    <w:rsid w:val="00B305CF"/>
    <w:rsid w:val="00B30C6D"/>
    <w:rsid w:val="00B33938"/>
    <w:rsid w:val="00B33F57"/>
    <w:rsid w:val="00B3406F"/>
    <w:rsid w:val="00B34FE2"/>
    <w:rsid w:val="00B35166"/>
    <w:rsid w:val="00B357D8"/>
    <w:rsid w:val="00B35AA5"/>
    <w:rsid w:val="00B360F4"/>
    <w:rsid w:val="00B365FB"/>
    <w:rsid w:val="00B36A00"/>
    <w:rsid w:val="00B37879"/>
    <w:rsid w:val="00B3792B"/>
    <w:rsid w:val="00B37BFC"/>
    <w:rsid w:val="00B37D85"/>
    <w:rsid w:val="00B40358"/>
    <w:rsid w:val="00B41614"/>
    <w:rsid w:val="00B42851"/>
    <w:rsid w:val="00B42DA7"/>
    <w:rsid w:val="00B42F80"/>
    <w:rsid w:val="00B435CB"/>
    <w:rsid w:val="00B4433B"/>
    <w:rsid w:val="00B44E8B"/>
    <w:rsid w:val="00B465EC"/>
    <w:rsid w:val="00B46CFF"/>
    <w:rsid w:val="00B47A8F"/>
    <w:rsid w:val="00B505C8"/>
    <w:rsid w:val="00B5091A"/>
    <w:rsid w:val="00B50DB8"/>
    <w:rsid w:val="00B53654"/>
    <w:rsid w:val="00B53871"/>
    <w:rsid w:val="00B53905"/>
    <w:rsid w:val="00B540A7"/>
    <w:rsid w:val="00B546DB"/>
    <w:rsid w:val="00B54B5B"/>
    <w:rsid w:val="00B5562E"/>
    <w:rsid w:val="00B55862"/>
    <w:rsid w:val="00B55D65"/>
    <w:rsid w:val="00B56305"/>
    <w:rsid w:val="00B56495"/>
    <w:rsid w:val="00B56B7C"/>
    <w:rsid w:val="00B57000"/>
    <w:rsid w:val="00B60939"/>
    <w:rsid w:val="00B60AFD"/>
    <w:rsid w:val="00B62715"/>
    <w:rsid w:val="00B62739"/>
    <w:rsid w:val="00B65611"/>
    <w:rsid w:val="00B6703D"/>
    <w:rsid w:val="00B671C0"/>
    <w:rsid w:val="00B70E8E"/>
    <w:rsid w:val="00B7116A"/>
    <w:rsid w:val="00B7124E"/>
    <w:rsid w:val="00B73C05"/>
    <w:rsid w:val="00B75467"/>
    <w:rsid w:val="00B76C92"/>
    <w:rsid w:val="00B80EFD"/>
    <w:rsid w:val="00B818A4"/>
    <w:rsid w:val="00B82447"/>
    <w:rsid w:val="00B82D42"/>
    <w:rsid w:val="00B83218"/>
    <w:rsid w:val="00B83368"/>
    <w:rsid w:val="00B83739"/>
    <w:rsid w:val="00B840E2"/>
    <w:rsid w:val="00B84117"/>
    <w:rsid w:val="00B84D2C"/>
    <w:rsid w:val="00B8541A"/>
    <w:rsid w:val="00B858F0"/>
    <w:rsid w:val="00B85AA2"/>
    <w:rsid w:val="00B8649C"/>
    <w:rsid w:val="00B8695D"/>
    <w:rsid w:val="00B87979"/>
    <w:rsid w:val="00B87E87"/>
    <w:rsid w:val="00B87F0A"/>
    <w:rsid w:val="00B92D0B"/>
    <w:rsid w:val="00B92FDB"/>
    <w:rsid w:val="00B946C8"/>
    <w:rsid w:val="00B94945"/>
    <w:rsid w:val="00B94DD6"/>
    <w:rsid w:val="00BA29E4"/>
    <w:rsid w:val="00BA322D"/>
    <w:rsid w:val="00BA5775"/>
    <w:rsid w:val="00BA63FA"/>
    <w:rsid w:val="00BB00B3"/>
    <w:rsid w:val="00BB0902"/>
    <w:rsid w:val="00BB0BDD"/>
    <w:rsid w:val="00BB176C"/>
    <w:rsid w:val="00BB1894"/>
    <w:rsid w:val="00BB2A73"/>
    <w:rsid w:val="00BB2EC3"/>
    <w:rsid w:val="00BB3A45"/>
    <w:rsid w:val="00BB4ACC"/>
    <w:rsid w:val="00BB59E1"/>
    <w:rsid w:val="00BB6288"/>
    <w:rsid w:val="00BB703E"/>
    <w:rsid w:val="00BB732D"/>
    <w:rsid w:val="00BB7405"/>
    <w:rsid w:val="00BC062D"/>
    <w:rsid w:val="00BC3631"/>
    <w:rsid w:val="00BC3F22"/>
    <w:rsid w:val="00BC4459"/>
    <w:rsid w:val="00BC44DC"/>
    <w:rsid w:val="00BC4600"/>
    <w:rsid w:val="00BC591F"/>
    <w:rsid w:val="00BC5CBF"/>
    <w:rsid w:val="00BC7D14"/>
    <w:rsid w:val="00BC7D6D"/>
    <w:rsid w:val="00BD07D2"/>
    <w:rsid w:val="00BD2108"/>
    <w:rsid w:val="00BD314C"/>
    <w:rsid w:val="00BD68A3"/>
    <w:rsid w:val="00BD6938"/>
    <w:rsid w:val="00BD6CF3"/>
    <w:rsid w:val="00BD718F"/>
    <w:rsid w:val="00BD7F72"/>
    <w:rsid w:val="00BE096A"/>
    <w:rsid w:val="00BE0ECA"/>
    <w:rsid w:val="00BE2180"/>
    <w:rsid w:val="00BE21F2"/>
    <w:rsid w:val="00BE4275"/>
    <w:rsid w:val="00BE70B5"/>
    <w:rsid w:val="00BF06AE"/>
    <w:rsid w:val="00BF0F95"/>
    <w:rsid w:val="00BF2433"/>
    <w:rsid w:val="00BF2E6E"/>
    <w:rsid w:val="00BF469E"/>
    <w:rsid w:val="00BF46D6"/>
    <w:rsid w:val="00BF6064"/>
    <w:rsid w:val="00BF61C9"/>
    <w:rsid w:val="00BF6C94"/>
    <w:rsid w:val="00C00424"/>
    <w:rsid w:val="00C00BB0"/>
    <w:rsid w:val="00C02781"/>
    <w:rsid w:val="00C02903"/>
    <w:rsid w:val="00C02F34"/>
    <w:rsid w:val="00C11780"/>
    <w:rsid w:val="00C1179F"/>
    <w:rsid w:val="00C11ECE"/>
    <w:rsid w:val="00C127B9"/>
    <w:rsid w:val="00C128FA"/>
    <w:rsid w:val="00C12C14"/>
    <w:rsid w:val="00C15316"/>
    <w:rsid w:val="00C15F04"/>
    <w:rsid w:val="00C16AE7"/>
    <w:rsid w:val="00C179B3"/>
    <w:rsid w:val="00C17E3F"/>
    <w:rsid w:val="00C200AA"/>
    <w:rsid w:val="00C2066F"/>
    <w:rsid w:val="00C20E78"/>
    <w:rsid w:val="00C22350"/>
    <w:rsid w:val="00C237ED"/>
    <w:rsid w:val="00C24632"/>
    <w:rsid w:val="00C25418"/>
    <w:rsid w:val="00C25D9C"/>
    <w:rsid w:val="00C2778B"/>
    <w:rsid w:val="00C31649"/>
    <w:rsid w:val="00C321C4"/>
    <w:rsid w:val="00C323D1"/>
    <w:rsid w:val="00C341BE"/>
    <w:rsid w:val="00C3434C"/>
    <w:rsid w:val="00C34EE1"/>
    <w:rsid w:val="00C37D29"/>
    <w:rsid w:val="00C40385"/>
    <w:rsid w:val="00C407DD"/>
    <w:rsid w:val="00C41768"/>
    <w:rsid w:val="00C433A8"/>
    <w:rsid w:val="00C454D5"/>
    <w:rsid w:val="00C4759D"/>
    <w:rsid w:val="00C475AA"/>
    <w:rsid w:val="00C5160A"/>
    <w:rsid w:val="00C527C7"/>
    <w:rsid w:val="00C53C98"/>
    <w:rsid w:val="00C541D5"/>
    <w:rsid w:val="00C56943"/>
    <w:rsid w:val="00C56FCF"/>
    <w:rsid w:val="00C57B6C"/>
    <w:rsid w:val="00C61661"/>
    <w:rsid w:val="00C61A59"/>
    <w:rsid w:val="00C628A6"/>
    <w:rsid w:val="00C63A7D"/>
    <w:rsid w:val="00C64344"/>
    <w:rsid w:val="00C64650"/>
    <w:rsid w:val="00C65108"/>
    <w:rsid w:val="00C65576"/>
    <w:rsid w:val="00C65856"/>
    <w:rsid w:val="00C66165"/>
    <w:rsid w:val="00C70570"/>
    <w:rsid w:val="00C7060A"/>
    <w:rsid w:val="00C7151A"/>
    <w:rsid w:val="00C717E3"/>
    <w:rsid w:val="00C71F60"/>
    <w:rsid w:val="00C7204B"/>
    <w:rsid w:val="00C72241"/>
    <w:rsid w:val="00C73880"/>
    <w:rsid w:val="00C750C8"/>
    <w:rsid w:val="00C7560F"/>
    <w:rsid w:val="00C77A5B"/>
    <w:rsid w:val="00C8020B"/>
    <w:rsid w:val="00C80316"/>
    <w:rsid w:val="00C80A0E"/>
    <w:rsid w:val="00C8213F"/>
    <w:rsid w:val="00C8303F"/>
    <w:rsid w:val="00C85154"/>
    <w:rsid w:val="00C85A70"/>
    <w:rsid w:val="00C85D09"/>
    <w:rsid w:val="00C86882"/>
    <w:rsid w:val="00C8797A"/>
    <w:rsid w:val="00C900B8"/>
    <w:rsid w:val="00C90197"/>
    <w:rsid w:val="00C90C71"/>
    <w:rsid w:val="00C91FB2"/>
    <w:rsid w:val="00C91FD1"/>
    <w:rsid w:val="00C931CF"/>
    <w:rsid w:val="00C938CF"/>
    <w:rsid w:val="00C94053"/>
    <w:rsid w:val="00C9624D"/>
    <w:rsid w:val="00C969DA"/>
    <w:rsid w:val="00CA079B"/>
    <w:rsid w:val="00CA08F2"/>
    <w:rsid w:val="00CA2886"/>
    <w:rsid w:val="00CA2C77"/>
    <w:rsid w:val="00CA444F"/>
    <w:rsid w:val="00CA5245"/>
    <w:rsid w:val="00CA5DDE"/>
    <w:rsid w:val="00CA71F4"/>
    <w:rsid w:val="00CA7B09"/>
    <w:rsid w:val="00CB12A5"/>
    <w:rsid w:val="00CB1CAC"/>
    <w:rsid w:val="00CB1F03"/>
    <w:rsid w:val="00CB24A4"/>
    <w:rsid w:val="00CB2F2A"/>
    <w:rsid w:val="00CB44E4"/>
    <w:rsid w:val="00CB5B1A"/>
    <w:rsid w:val="00CB6B22"/>
    <w:rsid w:val="00CB7CE2"/>
    <w:rsid w:val="00CB7F5F"/>
    <w:rsid w:val="00CC1B39"/>
    <w:rsid w:val="00CC1BFA"/>
    <w:rsid w:val="00CC2093"/>
    <w:rsid w:val="00CC2E9F"/>
    <w:rsid w:val="00CC35EA"/>
    <w:rsid w:val="00CC3848"/>
    <w:rsid w:val="00CC6D5E"/>
    <w:rsid w:val="00CD0200"/>
    <w:rsid w:val="00CD1295"/>
    <w:rsid w:val="00CD1917"/>
    <w:rsid w:val="00CD2BD2"/>
    <w:rsid w:val="00CD3571"/>
    <w:rsid w:val="00CD3F77"/>
    <w:rsid w:val="00CD441A"/>
    <w:rsid w:val="00CD547E"/>
    <w:rsid w:val="00CD55C3"/>
    <w:rsid w:val="00CD587F"/>
    <w:rsid w:val="00CD6ADC"/>
    <w:rsid w:val="00CD7193"/>
    <w:rsid w:val="00CD7389"/>
    <w:rsid w:val="00CE1E07"/>
    <w:rsid w:val="00CE382A"/>
    <w:rsid w:val="00CE38C8"/>
    <w:rsid w:val="00CE4F0D"/>
    <w:rsid w:val="00CE524F"/>
    <w:rsid w:val="00CE58CC"/>
    <w:rsid w:val="00CE5EB0"/>
    <w:rsid w:val="00CE6206"/>
    <w:rsid w:val="00CE6274"/>
    <w:rsid w:val="00CE77B6"/>
    <w:rsid w:val="00CE7DCB"/>
    <w:rsid w:val="00CF11D7"/>
    <w:rsid w:val="00CF2B8D"/>
    <w:rsid w:val="00CF3A1B"/>
    <w:rsid w:val="00CF456B"/>
    <w:rsid w:val="00CF4F3F"/>
    <w:rsid w:val="00CF5A22"/>
    <w:rsid w:val="00D0262E"/>
    <w:rsid w:val="00D03679"/>
    <w:rsid w:val="00D03A82"/>
    <w:rsid w:val="00D04DA0"/>
    <w:rsid w:val="00D05E3D"/>
    <w:rsid w:val="00D06139"/>
    <w:rsid w:val="00D06DE3"/>
    <w:rsid w:val="00D102EF"/>
    <w:rsid w:val="00D110BD"/>
    <w:rsid w:val="00D13675"/>
    <w:rsid w:val="00D141E1"/>
    <w:rsid w:val="00D15314"/>
    <w:rsid w:val="00D15739"/>
    <w:rsid w:val="00D15B48"/>
    <w:rsid w:val="00D17D6C"/>
    <w:rsid w:val="00D2155B"/>
    <w:rsid w:val="00D21B65"/>
    <w:rsid w:val="00D23D11"/>
    <w:rsid w:val="00D244B6"/>
    <w:rsid w:val="00D2754D"/>
    <w:rsid w:val="00D277A9"/>
    <w:rsid w:val="00D27820"/>
    <w:rsid w:val="00D27B27"/>
    <w:rsid w:val="00D30D5B"/>
    <w:rsid w:val="00D33BE9"/>
    <w:rsid w:val="00D33F93"/>
    <w:rsid w:val="00D34B13"/>
    <w:rsid w:val="00D357FF"/>
    <w:rsid w:val="00D365FC"/>
    <w:rsid w:val="00D4156B"/>
    <w:rsid w:val="00D424C7"/>
    <w:rsid w:val="00D43B2A"/>
    <w:rsid w:val="00D43CF1"/>
    <w:rsid w:val="00D43D83"/>
    <w:rsid w:val="00D44BDC"/>
    <w:rsid w:val="00D44C07"/>
    <w:rsid w:val="00D468F9"/>
    <w:rsid w:val="00D47575"/>
    <w:rsid w:val="00D47E4B"/>
    <w:rsid w:val="00D51AB9"/>
    <w:rsid w:val="00D5243B"/>
    <w:rsid w:val="00D52CF5"/>
    <w:rsid w:val="00D533EC"/>
    <w:rsid w:val="00D534AF"/>
    <w:rsid w:val="00D5502F"/>
    <w:rsid w:val="00D551A6"/>
    <w:rsid w:val="00D56A95"/>
    <w:rsid w:val="00D57224"/>
    <w:rsid w:val="00D57A6D"/>
    <w:rsid w:val="00D57C35"/>
    <w:rsid w:val="00D60509"/>
    <w:rsid w:val="00D6076E"/>
    <w:rsid w:val="00D626D3"/>
    <w:rsid w:val="00D630CA"/>
    <w:rsid w:val="00D63235"/>
    <w:rsid w:val="00D63872"/>
    <w:rsid w:val="00D7093E"/>
    <w:rsid w:val="00D70ADC"/>
    <w:rsid w:val="00D70F16"/>
    <w:rsid w:val="00D7121C"/>
    <w:rsid w:val="00D72617"/>
    <w:rsid w:val="00D72F57"/>
    <w:rsid w:val="00D73E38"/>
    <w:rsid w:val="00D76A44"/>
    <w:rsid w:val="00D815EF"/>
    <w:rsid w:val="00D81949"/>
    <w:rsid w:val="00D81F26"/>
    <w:rsid w:val="00D822E2"/>
    <w:rsid w:val="00D83149"/>
    <w:rsid w:val="00D833E9"/>
    <w:rsid w:val="00D843F2"/>
    <w:rsid w:val="00D851B0"/>
    <w:rsid w:val="00D85374"/>
    <w:rsid w:val="00D86231"/>
    <w:rsid w:val="00D8667B"/>
    <w:rsid w:val="00D86D2B"/>
    <w:rsid w:val="00D912AB"/>
    <w:rsid w:val="00D91923"/>
    <w:rsid w:val="00D9238B"/>
    <w:rsid w:val="00D93753"/>
    <w:rsid w:val="00D94D77"/>
    <w:rsid w:val="00D9796D"/>
    <w:rsid w:val="00DA30E9"/>
    <w:rsid w:val="00DA3167"/>
    <w:rsid w:val="00DA3F27"/>
    <w:rsid w:val="00DA3FF7"/>
    <w:rsid w:val="00DA4DC3"/>
    <w:rsid w:val="00DA592F"/>
    <w:rsid w:val="00DA5B86"/>
    <w:rsid w:val="00DA77A5"/>
    <w:rsid w:val="00DA7A2B"/>
    <w:rsid w:val="00DB0E36"/>
    <w:rsid w:val="00DB2554"/>
    <w:rsid w:val="00DB30F9"/>
    <w:rsid w:val="00DB3DBF"/>
    <w:rsid w:val="00DB4120"/>
    <w:rsid w:val="00DB484F"/>
    <w:rsid w:val="00DB4881"/>
    <w:rsid w:val="00DB48A0"/>
    <w:rsid w:val="00DB5409"/>
    <w:rsid w:val="00DB72A5"/>
    <w:rsid w:val="00DC04F6"/>
    <w:rsid w:val="00DC0573"/>
    <w:rsid w:val="00DC0690"/>
    <w:rsid w:val="00DC1D65"/>
    <w:rsid w:val="00DC1FB1"/>
    <w:rsid w:val="00DC3B2D"/>
    <w:rsid w:val="00DC3C57"/>
    <w:rsid w:val="00DC5501"/>
    <w:rsid w:val="00DC5DE4"/>
    <w:rsid w:val="00DC7154"/>
    <w:rsid w:val="00DC7685"/>
    <w:rsid w:val="00DC7A74"/>
    <w:rsid w:val="00DC7E8A"/>
    <w:rsid w:val="00DD04D0"/>
    <w:rsid w:val="00DD095B"/>
    <w:rsid w:val="00DD0F78"/>
    <w:rsid w:val="00DD273C"/>
    <w:rsid w:val="00DD2AF7"/>
    <w:rsid w:val="00DD3F28"/>
    <w:rsid w:val="00DD41D0"/>
    <w:rsid w:val="00DD4446"/>
    <w:rsid w:val="00DD4537"/>
    <w:rsid w:val="00DD4E15"/>
    <w:rsid w:val="00DD6B9D"/>
    <w:rsid w:val="00DE2304"/>
    <w:rsid w:val="00DE3138"/>
    <w:rsid w:val="00DE37F8"/>
    <w:rsid w:val="00DE38BF"/>
    <w:rsid w:val="00DE4273"/>
    <w:rsid w:val="00DE4A05"/>
    <w:rsid w:val="00DE4FCB"/>
    <w:rsid w:val="00DE5D07"/>
    <w:rsid w:val="00DE72A7"/>
    <w:rsid w:val="00DE7832"/>
    <w:rsid w:val="00DF18FC"/>
    <w:rsid w:val="00DF409F"/>
    <w:rsid w:val="00DF5BB5"/>
    <w:rsid w:val="00DF5D2B"/>
    <w:rsid w:val="00DF6341"/>
    <w:rsid w:val="00DF6C26"/>
    <w:rsid w:val="00E00E8E"/>
    <w:rsid w:val="00E017DC"/>
    <w:rsid w:val="00E0349B"/>
    <w:rsid w:val="00E05630"/>
    <w:rsid w:val="00E06DBB"/>
    <w:rsid w:val="00E0772E"/>
    <w:rsid w:val="00E07BE7"/>
    <w:rsid w:val="00E10149"/>
    <w:rsid w:val="00E11340"/>
    <w:rsid w:val="00E122A1"/>
    <w:rsid w:val="00E15FB7"/>
    <w:rsid w:val="00E16372"/>
    <w:rsid w:val="00E16AD8"/>
    <w:rsid w:val="00E16C69"/>
    <w:rsid w:val="00E1711D"/>
    <w:rsid w:val="00E17FFA"/>
    <w:rsid w:val="00E20E4D"/>
    <w:rsid w:val="00E20ED6"/>
    <w:rsid w:val="00E21358"/>
    <w:rsid w:val="00E213E2"/>
    <w:rsid w:val="00E2249B"/>
    <w:rsid w:val="00E22A0D"/>
    <w:rsid w:val="00E23BA7"/>
    <w:rsid w:val="00E244F6"/>
    <w:rsid w:val="00E258DB"/>
    <w:rsid w:val="00E276D3"/>
    <w:rsid w:val="00E2771E"/>
    <w:rsid w:val="00E3005B"/>
    <w:rsid w:val="00E311EF"/>
    <w:rsid w:val="00E3165C"/>
    <w:rsid w:val="00E32180"/>
    <w:rsid w:val="00E33E9A"/>
    <w:rsid w:val="00E3444C"/>
    <w:rsid w:val="00E34948"/>
    <w:rsid w:val="00E34A2A"/>
    <w:rsid w:val="00E367E8"/>
    <w:rsid w:val="00E36D4B"/>
    <w:rsid w:val="00E37569"/>
    <w:rsid w:val="00E400A1"/>
    <w:rsid w:val="00E401B2"/>
    <w:rsid w:val="00E41E30"/>
    <w:rsid w:val="00E4284F"/>
    <w:rsid w:val="00E42969"/>
    <w:rsid w:val="00E42A40"/>
    <w:rsid w:val="00E42F73"/>
    <w:rsid w:val="00E43D70"/>
    <w:rsid w:val="00E4451C"/>
    <w:rsid w:val="00E466F3"/>
    <w:rsid w:val="00E47B2C"/>
    <w:rsid w:val="00E51560"/>
    <w:rsid w:val="00E51821"/>
    <w:rsid w:val="00E51E80"/>
    <w:rsid w:val="00E51FF5"/>
    <w:rsid w:val="00E52611"/>
    <w:rsid w:val="00E52DBE"/>
    <w:rsid w:val="00E52F74"/>
    <w:rsid w:val="00E53FC8"/>
    <w:rsid w:val="00E54347"/>
    <w:rsid w:val="00E55424"/>
    <w:rsid w:val="00E55915"/>
    <w:rsid w:val="00E55BB5"/>
    <w:rsid w:val="00E55CA4"/>
    <w:rsid w:val="00E55F5C"/>
    <w:rsid w:val="00E572B4"/>
    <w:rsid w:val="00E611DF"/>
    <w:rsid w:val="00E61814"/>
    <w:rsid w:val="00E623BC"/>
    <w:rsid w:val="00E6272F"/>
    <w:rsid w:val="00E64AD7"/>
    <w:rsid w:val="00E653A9"/>
    <w:rsid w:val="00E65E79"/>
    <w:rsid w:val="00E6623B"/>
    <w:rsid w:val="00E66BA2"/>
    <w:rsid w:val="00E67416"/>
    <w:rsid w:val="00E718B6"/>
    <w:rsid w:val="00E71C5D"/>
    <w:rsid w:val="00E723BA"/>
    <w:rsid w:val="00E725DF"/>
    <w:rsid w:val="00E72BD5"/>
    <w:rsid w:val="00E73581"/>
    <w:rsid w:val="00E73BC3"/>
    <w:rsid w:val="00E74631"/>
    <w:rsid w:val="00E759B3"/>
    <w:rsid w:val="00E77746"/>
    <w:rsid w:val="00E82DF4"/>
    <w:rsid w:val="00E833F7"/>
    <w:rsid w:val="00E83693"/>
    <w:rsid w:val="00E83BDF"/>
    <w:rsid w:val="00E86FCC"/>
    <w:rsid w:val="00E87A1D"/>
    <w:rsid w:val="00E90390"/>
    <w:rsid w:val="00E9094A"/>
    <w:rsid w:val="00E90B16"/>
    <w:rsid w:val="00E91D35"/>
    <w:rsid w:val="00E926A5"/>
    <w:rsid w:val="00E93217"/>
    <w:rsid w:val="00E952E8"/>
    <w:rsid w:val="00E962CC"/>
    <w:rsid w:val="00E9710A"/>
    <w:rsid w:val="00E97934"/>
    <w:rsid w:val="00EA06D0"/>
    <w:rsid w:val="00EA17C3"/>
    <w:rsid w:val="00EA1B83"/>
    <w:rsid w:val="00EA27A6"/>
    <w:rsid w:val="00EA2CAA"/>
    <w:rsid w:val="00EA3864"/>
    <w:rsid w:val="00EA3C24"/>
    <w:rsid w:val="00EA3D0F"/>
    <w:rsid w:val="00EA777C"/>
    <w:rsid w:val="00EA7F1C"/>
    <w:rsid w:val="00EB0A2F"/>
    <w:rsid w:val="00EB15B6"/>
    <w:rsid w:val="00EB3D06"/>
    <w:rsid w:val="00EB4916"/>
    <w:rsid w:val="00EB5B42"/>
    <w:rsid w:val="00EC00C9"/>
    <w:rsid w:val="00EC0DD9"/>
    <w:rsid w:val="00EC2649"/>
    <w:rsid w:val="00EC31ED"/>
    <w:rsid w:val="00EC57C9"/>
    <w:rsid w:val="00EC5836"/>
    <w:rsid w:val="00EC688C"/>
    <w:rsid w:val="00ED12E3"/>
    <w:rsid w:val="00ED4B04"/>
    <w:rsid w:val="00ED57EA"/>
    <w:rsid w:val="00ED5BD4"/>
    <w:rsid w:val="00EE0445"/>
    <w:rsid w:val="00EE07D3"/>
    <w:rsid w:val="00EE1996"/>
    <w:rsid w:val="00EE1AFA"/>
    <w:rsid w:val="00EE1C01"/>
    <w:rsid w:val="00EE22AF"/>
    <w:rsid w:val="00EE48AF"/>
    <w:rsid w:val="00EE4A3C"/>
    <w:rsid w:val="00EE4C20"/>
    <w:rsid w:val="00EE50FB"/>
    <w:rsid w:val="00EE57DF"/>
    <w:rsid w:val="00EF0171"/>
    <w:rsid w:val="00EF10AF"/>
    <w:rsid w:val="00EF1B25"/>
    <w:rsid w:val="00EF1DA0"/>
    <w:rsid w:val="00EF4747"/>
    <w:rsid w:val="00EF48CF"/>
    <w:rsid w:val="00EF4BF8"/>
    <w:rsid w:val="00EF584A"/>
    <w:rsid w:val="00EF615A"/>
    <w:rsid w:val="00EF6B11"/>
    <w:rsid w:val="00F02253"/>
    <w:rsid w:val="00F03C2E"/>
    <w:rsid w:val="00F04A66"/>
    <w:rsid w:val="00F04B4B"/>
    <w:rsid w:val="00F0516C"/>
    <w:rsid w:val="00F067A2"/>
    <w:rsid w:val="00F07B9E"/>
    <w:rsid w:val="00F1116F"/>
    <w:rsid w:val="00F1263A"/>
    <w:rsid w:val="00F1345C"/>
    <w:rsid w:val="00F139C5"/>
    <w:rsid w:val="00F13C4D"/>
    <w:rsid w:val="00F15B77"/>
    <w:rsid w:val="00F16D4C"/>
    <w:rsid w:val="00F16EB0"/>
    <w:rsid w:val="00F17384"/>
    <w:rsid w:val="00F20480"/>
    <w:rsid w:val="00F206FC"/>
    <w:rsid w:val="00F21236"/>
    <w:rsid w:val="00F24837"/>
    <w:rsid w:val="00F2575F"/>
    <w:rsid w:val="00F267DB"/>
    <w:rsid w:val="00F27565"/>
    <w:rsid w:val="00F30C63"/>
    <w:rsid w:val="00F310D4"/>
    <w:rsid w:val="00F315AB"/>
    <w:rsid w:val="00F31D5A"/>
    <w:rsid w:val="00F33975"/>
    <w:rsid w:val="00F33DE9"/>
    <w:rsid w:val="00F35163"/>
    <w:rsid w:val="00F35199"/>
    <w:rsid w:val="00F35E6D"/>
    <w:rsid w:val="00F35EF4"/>
    <w:rsid w:val="00F3619A"/>
    <w:rsid w:val="00F40AAA"/>
    <w:rsid w:val="00F40BA7"/>
    <w:rsid w:val="00F40F9D"/>
    <w:rsid w:val="00F41ACD"/>
    <w:rsid w:val="00F42CD7"/>
    <w:rsid w:val="00F42F4E"/>
    <w:rsid w:val="00F43D97"/>
    <w:rsid w:val="00F46CB6"/>
    <w:rsid w:val="00F4756D"/>
    <w:rsid w:val="00F47DE8"/>
    <w:rsid w:val="00F52855"/>
    <w:rsid w:val="00F542C1"/>
    <w:rsid w:val="00F550E3"/>
    <w:rsid w:val="00F55E73"/>
    <w:rsid w:val="00F55EDA"/>
    <w:rsid w:val="00F56C80"/>
    <w:rsid w:val="00F60092"/>
    <w:rsid w:val="00F61C18"/>
    <w:rsid w:val="00F62E63"/>
    <w:rsid w:val="00F63583"/>
    <w:rsid w:val="00F63D82"/>
    <w:rsid w:val="00F645BB"/>
    <w:rsid w:val="00F64ECD"/>
    <w:rsid w:val="00F65180"/>
    <w:rsid w:val="00F65E0E"/>
    <w:rsid w:val="00F65F4B"/>
    <w:rsid w:val="00F663E5"/>
    <w:rsid w:val="00F67A69"/>
    <w:rsid w:val="00F67AB9"/>
    <w:rsid w:val="00F67E6E"/>
    <w:rsid w:val="00F707D7"/>
    <w:rsid w:val="00F70BFF"/>
    <w:rsid w:val="00F70C9D"/>
    <w:rsid w:val="00F72E93"/>
    <w:rsid w:val="00F732A0"/>
    <w:rsid w:val="00F73E08"/>
    <w:rsid w:val="00F74CD9"/>
    <w:rsid w:val="00F75045"/>
    <w:rsid w:val="00F76962"/>
    <w:rsid w:val="00F76B26"/>
    <w:rsid w:val="00F76F63"/>
    <w:rsid w:val="00F80570"/>
    <w:rsid w:val="00F80A7B"/>
    <w:rsid w:val="00F80E5D"/>
    <w:rsid w:val="00F81E78"/>
    <w:rsid w:val="00F83916"/>
    <w:rsid w:val="00F851CE"/>
    <w:rsid w:val="00F87733"/>
    <w:rsid w:val="00F87EB3"/>
    <w:rsid w:val="00F906C6"/>
    <w:rsid w:val="00F9090E"/>
    <w:rsid w:val="00F91219"/>
    <w:rsid w:val="00F92444"/>
    <w:rsid w:val="00F936BC"/>
    <w:rsid w:val="00F9393E"/>
    <w:rsid w:val="00F94425"/>
    <w:rsid w:val="00F96FD0"/>
    <w:rsid w:val="00F97A78"/>
    <w:rsid w:val="00FA0A77"/>
    <w:rsid w:val="00FA0B20"/>
    <w:rsid w:val="00FA1B99"/>
    <w:rsid w:val="00FA24E7"/>
    <w:rsid w:val="00FA2880"/>
    <w:rsid w:val="00FA3385"/>
    <w:rsid w:val="00FA3BF9"/>
    <w:rsid w:val="00FA4D1C"/>
    <w:rsid w:val="00FA5EE6"/>
    <w:rsid w:val="00FA6CA3"/>
    <w:rsid w:val="00FA77A2"/>
    <w:rsid w:val="00FA7956"/>
    <w:rsid w:val="00FB0824"/>
    <w:rsid w:val="00FB1722"/>
    <w:rsid w:val="00FB1B22"/>
    <w:rsid w:val="00FB2FCB"/>
    <w:rsid w:val="00FB4C9C"/>
    <w:rsid w:val="00FB7C55"/>
    <w:rsid w:val="00FC1074"/>
    <w:rsid w:val="00FC1884"/>
    <w:rsid w:val="00FC1C22"/>
    <w:rsid w:val="00FC26FA"/>
    <w:rsid w:val="00FC3361"/>
    <w:rsid w:val="00FC371D"/>
    <w:rsid w:val="00FC497F"/>
    <w:rsid w:val="00FC5F0B"/>
    <w:rsid w:val="00FC70CD"/>
    <w:rsid w:val="00FD0B1C"/>
    <w:rsid w:val="00FD2100"/>
    <w:rsid w:val="00FD436C"/>
    <w:rsid w:val="00FD446D"/>
    <w:rsid w:val="00FD4F2C"/>
    <w:rsid w:val="00FD5925"/>
    <w:rsid w:val="00FD6394"/>
    <w:rsid w:val="00FD6CE8"/>
    <w:rsid w:val="00FE0E6C"/>
    <w:rsid w:val="00FE1CDC"/>
    <w:rsid w:val="00FE1F77"/>
    <w:rsid w:val="00FE2919"/>
    <w:rsid w:val="00FE2E26"/>
    <w:rsid w:val="00FE2EEF"/>
    <w:rsid w:val="00FE38AF"/>
    <w:rsid w:val="00FE48E9"/>
    <w:rsid w:val="00FE5134"/>
    <w:rsid w:val="00FE5665"/>
    <w:rsid w:val="00FE5BD0"/>
    <w:rsid w:val="00FE5DC5"/>
    <w:rsid w:val="00FE70C3"/>
    <w:rsid w:val="00FF0226"/>
    <w:rsid w:val="00FF1A8B"/>
    <w:rsid w:val="00FF2AD9"/>
    <w:rsid w:val="00FF359F"/>
    <w:rsid w:val="00FF3DCF"/>
    <w:rsid w:val="00FF492C"/>
    <w:rsid w:val="00FF4A21"/>
    <w:rsid w:val="00FF5302"/>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uiPriority w:val="1"/>
    <w:qFormat/>
    <w:rsid w:val="00E2771E"/>
    <w:rPr>
      <w:rFonts w:ascii="Arial Narrow" w:hAnsi="Arial Narrow"/>
      <w:sz w:val="18"/>
    </w:rPr>
  </w:style>
  <w:style w:type="character" w:customStyle="1" w:styleId="TableFooterChar">
    <w:name w:val="Table Footer Char"/>
    <w:link w:val="TableFooter"/>
    <w:uiPriority w:val="1"/>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rsid w:val="00E16AD8"/>
    <w:rPr>
      <w:rFonts w:ascii="Arial Narrow" w:hAnsi="Arial Narrow" w:cs="Arial"/>
      <w:b/>
      <w:bCs/>
      <w:szCs w:val="18"/>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1,Bullet1,Summary Bullets"/>
    <w:next w:val="ListBullet"/>
    <w:link w:val="ListParagraphChar"/>
    <w:uiPriority w:val="34"/>
    <w:qFormat/>
    <w:rsid w:val="00BB00B3"/>
    <w:pPr>
      <w:numPr>
        <w:numId w:val="10"/>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PBAC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uiPriority w:val="99"/>
    <w:rsid w:val="00D0262E"/>
    <w:pPr>
      <w:ind w:left="660"/>
    </w:pPr>
    <w:rPr>
      <w:rFonts w:asciiTheme="minorHAnsi" w:hAnsiTheme="minorHAnsi"/>
      <w:sz w:val="20"/>
    </w:rPr>
  </w:style>
  <w:style w:type="paragraph" w:styleId="TOC5">
    <w:name w:val="toc 5"/>
    <w:basedOn w:val="Normal"/>
    <w:next w:val="Normal"/>
    <w:autoRedefine/>
    <w:uiPriority w:val="99"/>
    <w:rsid w:val="00D0262E"/>
    <w:pPr>
      <w:ind w:left="880"/>
    </w:pPr>
    <w:rPr>
      <w:rFonts w:asciiTheme="minorHAnsi" w:hAnsiTheme="minorHAnsi"/>
      <w:sz w:val="20"/>
    </w:rPr>
  </w:style>
  <w:style w:type="paragraph" w:styleId="TOC6">
    <w:name w:val="toc 6"/>
    <w:basedOn w:val="Normal"/>
    <w:next w:val="Normal"/>
    <w:autoRedefine/>
    <w:uiPriority w:val="99"/>
    <w:rsid w:val="00D0262E"/>
    <w:pPr>
      <w:ind w:left="1100"/>
    </w:pPr>
    <w:rPr>
      <w:rFonts w:asciiTheme="minorHAnsi" w:hAnsiTheme="minorHAnsi"/>
      <w:sz w:val="20"/>
    </w:rPr>
  </w:style>
  <w:style w:type="paragraph" w:styleId="TOC7">
    <w:name w:val="toc 7"/>
    <w:basedOn w:val="Normal"/>
    <w:next w:val="Normal"/>
    <w:autoRedefine/>
    <w:uiPriority w:val="99"/>
    <w:rsid w:val="00D0262E"/>
    <w:pPr>
      <w:ind w:left="1320"/>
    </w:pPr>
    <w:rPr>
      <w:rFonts w:asciiTheme="minorHAnsi" w:hAnsiTheme="minorHAnsi"/>
      <w:sz w:val="20"/>
    </w:rPr>
  </w:style>
  <w:style w:type="paragraph" w:styleId="TOC8">
    <w:name w:val="toc 8"/>
    <w:basedOn w:val="Normal"/>
    <w:next w:val="Normal"/>
    <w:autoRedefine/>
    <w:uiPriority w:val="99"/>
    <w:rsid w:val="00D0262E"/>
    <w:pPr>
      <w:ind w:left="1540"/>
    </w:pPr>
    <w:rPr>
      <w:rFonts w:asciiTheme="minorHAnsi" w:hAnsiTheme="minorHAnsi"/>
      <w:sz w:val="20"/>
    </w:rPr>
  </w:style>
  <w:style w:type="paragraph" w:styleId="TOC9">
    <w:name w:val="toc 9"/>
    <w:basedOn w:val="Normal"/>
    <w:next w:val="Normal"/>
    <w:autoRedefine/>
    <w:uiPriority w:val="99"/>
    <w:rsid w:val="00D0262E"/>
    <w:pPr>
      <w:ind w:left="1760"/>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uiPriority w:val="99"/>
    <w:qFormat/>
    <w:rsid w:val="004E18E9"/>
    <w:pPr>
      <w:numPr>
        <w:ilvl w:val="1"/>
        <w:numId w:val="4"/>
      </w:numPr>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uiPriority w:val="99"/>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uiPriority w:val="99"/>
    <w:rsid w:val="00D30D5B"/>
    <w:rPr>
      <w:rFonts w:ascii="Calibri" w:hAnsi="Calibri" w:cstheme="minorBidi"/>
      <w:i/>
      <w:sz w:val="22"/>
      <w:szCs w:val="22"/>
      <w:lang w:eastAsia="en-US"/>
    </w:rPr>
  </w:style>
  <w:style w:type="paragraph" w:customStyle="1" w:styleId="Default">
    <w:name w:val="Default"/>
    <w:uiPriority w:val="99"/>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table" w:customStyle="1" w:styleId="Summarybox1">
    <w:name w:val="Summary box1"/>
    <w:basedOn w:val="TableNormal"/>
    <w:next w:val="TableGrid"/>
    <w:uiPriority w:val="59"/>
    <w:rsid w:val="00F6518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qFormat/>
    <w:rsid w:val="00F65180"/>
    <w:pPr>
      <w:keepNext/>
      <w:keepLines/>
      <w:suppressLineNumbers/>
      <w:spacing w:after="80"/>
      <w:textboxTightWrap w:val="allLines"/>
    </w:pPr>
    <w:rPr>
      <w:rFonts w:ascii="Arial Narrow" w:hAnsi="Arial Narrow" w:cs="Arial"/>
      <w:szCs w:val="24"/>
      <w:lang w:eastAsia="en-GB"/>
    </w:rPr>
  </w:style>
  <w:style w:type="paragraph" w:customStyle="1" w:styleId="PBACTblFignote">
    <w:name w:val="PBAC Tbl/Fig note"/>
    <w:uiPriority w:val="99"/>
    <w:qFormat/>
    <w:rsid w:val="00621EFF"/>
    <w:pPr>
      <w:keepNext/>
      <w:keepLines/>
      <w:spacing w:after="360"/>
      <w:contextualSpacing/>
      <w:textboxTightWrap w:val="allLines"/>
    </w:pPr>
    <w:rPr>
      <w:rFonts w:ascii="Arial Narrow" w:hAnsi="Arial Narrow" w:cs="Arial"/>
      <w:sz w:val="16"/>
      <w:szCs w:val="24"/>
      <w:lang w:eastAsia="en-GB"/>
    </w:rPr>
  </w:style>
  <w:style w:type="table" w:customStyle="1" w:styleId="PBACTableStyle">
    <w:name w:val="PBAC Table Style"/>
    <w:basedOn w:val="TableGrid1"/>
    <w:uiPriority w:val="99"/>
    <w:rsid w:val="008B18C6"/>
    <w:pPr>
      <w:widowControl w:val="0"/>
      <w:spacing w:before="120"/>
      <w:contextualSpacing/>
      <w:jc w:val="center"/>
    </w:pPr>
    <w:rPr>
      <w:rFonts w:ascii="Arial Narrow" w:eastAsiaTheme="minorHAnsi" w:hAnsi="Arial Narrow" w:cstheme="minorBidi"/>
      <w:color w:val="000000" w:themeColor="text1"/>
      <w:lang w:val="en-US"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TimesNewRoman" w:hAnsi="TimesNewRoman"/>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TimesNewRoman" w:hAnsi="TimesNewRoman"/>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TimesNewRoman" w:hAnsi="TimesNewRoman"/>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
    <w:name w:val="Table Grid 1"/>
    <w:basedOn w:val="TableNormal"/>
    <w:semiHidden/>
    <w:unhideWhenUsed/>
    <w:rsid w:val="008B18C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unhideWhenUsed/>
    <w:rsid w:val="00690725"/>
    <w:rPr>
      <w:sz w:val="20"/>
      <w:szCs w:val="20"/>
    </w:rPr>
  </w:style>
  <w:style w:type="character" w:customStyle="1" w:styleId="FootnoteTextChar">
    <w:name w:val="Footnote Text Char"/>
    <w:basedOn w:val="DefaultParagraphFont"/>
    <w:link w:val="FootnoteText"/>
    <w:uiPriority w:val="99"/>
    <w:rsid w:val="00690725"/>
    <w:rPr>
      <w:rFonts w:ascii="Calibri" w:hAnsi="Calibri" w:cs="Arial"/>
    </w:rPr>
  </w:style>
  <w:style w:type="character" w:styleId="FootnoteReference">
    <w:name w:val="footnote reference"/>
    <w:basedOn w:val="DefaultParagraphFont"/>
    <w:uiPriority w:val="99"/>
    <w:semiHidden/>
    <w:unhideWhenUsed/>
    <w:rsid w:val="00690725"/>
    <w:rPr>
      <w:vertAlign w:val="superscript"/>
    </w:rPr>
  </w:style>
  <w:style w:type="character" w:styleId="UnresolvedMention">
    <w:name w:val="Unresolved Mention"/>
    <w:basedOn w:val="DefaultParagraphFont"/>
    <w:uiPriority w:val="99"/>
    <w:semiHidden/>
    <w:unhideWhenUsed/>
    <w:rsid w:val="00690725"/>
    <w:rPr>
      <w:color w:val="605E5C"/>
      <w:shd w:val="clear" w:color="auto" w:fill="E1DFDD"/>
    </w:rPr>
  </w:style>
  <w:style w:type="character" w:customStyle="1" w:styleId="Heading5Char">
    <w:name w:val="Heading 5 Char"/>
    <w:basedOn w:val="DefaultParagraphFont"/>
    <w:link w:val="Heading5"/>
    <w:rsid w:val="00B671C0"/>
    <w:rPr>
      <w:rFonts w:ascii="Calibri" w:hAnsi="Calibri" w:cs="Arial"/>
      <w:b/>
      <w:bCs/>
      <w:iCs/>
      <w:sz w:val="26"/>
      <w:szCs w:val="26"/>
    </w:rPr>
  </w:style>
  <w:style w:type="character" w:styleId="HTMLCite">
    <w:name w:val="HTML Cite"/>
    <w:basedOn w:val="DefaultParagraphFont"/>
    <w:uiPriority w:val="99"/>
    <w:semiHidden/>
    <w:unhideWhenUsed/>
    <w:rsid w:val="009B1B01"/>
    <w:rPr>
      <w:i/>
      <w:iCs/>
    </w:rPr>
  </w:style>
  <w:style w:type="paragraph" w:customStyle="1" w:styleId="PBACESHeading1">
    <w:name w:val="PBAC ES Heading 1"/>
    <w:basedOn w:val="Heading1"/>
    <w:next w:val="ListParagraph"/>
    <w:uiPriority w:val="1"/>
    <w:qFormat/>
    <w:rsid w:val="009B1B01"/>
    <w:pPr>
      <w:keepNext/>
      <w:keepLines/>
      <w:tabs>
        <w:tab w:val="left" w:pos="1077"/>
      </w:tabs>
      <w:spacing w:before="240" w:after="120"/>
    </w:pPr>
    <w:rPr>
      <w:rFonts w:asciiTheme="minorHAnsi" w:hAnsiTheme="minorHAnsi"/>
      <w:caps w:val="0"/>
      <w:snapToGrid w:val="0"/>
      <w:szCs w:val="32"/>
      <w:lang w:eastAsia="en-US"/>
    </w:rPr>
  </w:style>
  <w:style w:type="paragraph" w:customStyle="1" w:styleId="PBACESHeading2">
    <w:name w:val="PBAC ES Heading 2"/>
    <w:basedOn w:val="Heading2"/>
    <w:link w:val="PBACESHeading2Char"/>
    <w:uiPriority w:val="1"/>
    <w:qFormat/>
    <w:rsid w:val="009B1B01"/>
    <w:pPr>
      <w:keepNext/>
      <w:keepLines/>
      <w:spacing w:before="360" w:after="120"/>
      <w:ind w:left="720" w:hanging="720"/>
    </w:pPr>
    <w:rPr>
      <w:rFonts w:asciiTheme="majorHAnsi" w:eastAsiaTheme="majorEastAsia" w:hAnsiTheme="majorHAnsi" w:cstheme="majorBidi"/>
      <w:snapToGrid w:val="0"/>
      <w:szCs w:val="28"/>
      <w:lang w:eastAsia="en-GB"/>
    </w:rPr>
  </w:style>
  <w:style w:type="paragraph" w:customStyle="1" w:styleId="PBACESHeadingCAPS">
    <w:name w:val="PBAC ES Heading CAPS"/>
    <w:basedOn w:val="PBACESHeading2"/>
    <w:link w:val="PBACESHeadingCAPSChar"/>
    <w:uiPriority w:val="1"/>
    <w:qFormat/>
    <w:rsid w:val="009B1B01"/>
    <w:rPr>
      <w:i w:val="0"/>
      <w:smallCaps/>
      <w:sz w:val="32"/>
    </w:rPr>
  </w:style>
  <w:style w:type="paragraph" w:customStyle="1" w:styleId="PBACESHeading3">
    <w:name w:val="PBAC ES Heading 3"/>
    <w:basedOn w:val="PBACESHeading2"/>
    <w:uiPriority w:val="1"/>
    <w:qFormat/>
    <w:rsid w:val="009B1B01"/>
    <w:pPr>
      <w:ind w:left="1080" w:hanging="1080"/>
    </w:pPr>
    <w:rPr>
      <w:i w:val="0"/>
      <w:sz w:val="24"/>
    </w:rPr>
  </w:style>
  <w:style w:type="character" w:customStyle="1" w:styleId="PBACESHeadingCAPSChar">
    <w:name w:val="PBAC ES Heading CAPS Char"/>
    <w:basedOn w:val="DefaultParagraphFont"/>
    <w:link w:val="PBACESHeadingCAPS"/>
    <w:uiPriority w:val="1"/>
    <w:rsid w:val="009B1B01"/>
    <w:rPr>
      <w:rFonts w:asciiTheme="majorHAnsi" w:eastAsiaTheme="majorEastAsia" w:hAnsiTheme="majorHAnsi" w:cstheme="majorBidi"/>
      <w:b/>
      <w:smallCaps/>
      <w:snapToGrid w:val="0"/>
      <w:sz w:val="32"/>
      <w:szCs w:val="28"/>
      <w:lang w:eastAsia="en-GB"/>
    </w:rPr>
  </w:style>
  <w:style w:type="paragraph" w:customStyle="1" w:styleId="MSACHeading1">
    <w:name w:val="MSAC Heading 1"/>
    <w:basedOn w:val="Heading1"/>
    <w:next w:val="Normal"/>
    <w:uiPriority w:val="1"/>
    <w:qFormat/>
    <w:rsid w:val="009B1B01"/>
    <w:pPr>
      <w:keepNext/>
      <w:keepLines/>
      <w:spacing w:before="160" w:after="240" w:line="259" w:lineRule="auto"/>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9B1B01"/>
    <w:pPr>
      <w:keepNext/>
      <w:keepLines/>
      <w:spacing w:before="360" w:after="120"/>
      <w:ind w:left="720" w:hanging="720"/>
    </w:pPr>
    <w:rPr>
      <w:rFonts w:ascii="Cambria" w:eastAsiaTheme="majorEastAsia" w:hAnsi="Cambria" w:cstheme="majorBidi"/>
      <w:i w:val="0"/>
      <w:snapToGrid w:val="0"/>
      <w:sz w:val="24"/>
      <w:szCs w:val="28"/>
      <w:lang w:eastAsia="en-GB"/>
    </w:rPr>
  </w:style>
  <w:style w:type="character" w:customStyle="1" w:styleId="PBACESHeading2Char">
    <w:name w:val="PBAC ES Heading 2 Char"/>
    <w:basedOn w:val="Heading2Char"/>
    <w:link w:val="PBACESHeading2"/>
    <w:uiPriority w:val="1"/>
    <w:rsid w:val="009B1B01"/>
    <w:rPr>
      <w:rFonts w:asciiTheme="majorHAnsi" w:eastAsiaTheme="majorEastAsia" w:hAnsiTheme="majorHAnsi" w:cstheme="majorBidi"/>
      <w:b/>
      <w:i/>
      <w:snapToGrid w:val="0"/>
      <w:sz w:val="28"/>
      <w:szCs w:val="28"/>
      <w:lang w:eastAsia="en-GB"/>
    </w:rPr>
  </w:style>
  <w:style w:type="paragraph" w:customStyle="1" w:styleId="TableHeading0">
    <w:name w:val="Table Heading"/>
    <w:basedOn w:val="Normal"/>
    <w:link w:val="TableHeadingChar"/>
    <w:qFormat/>
    <w:rsid w:val="009B1B01"/>
    <w:pPr>
      <w:keepNext/>
      <w:keepLines/>
      <w:spacing w:before="20" w:after="20" w:line="276" w:lineRule="auto"/>
    </w:pPr>
    <w:rPr>
      <w:rFonts w:ascii="Arial Narrow" w:eastAsiaTheme="majorEastAsia" w:hAnsi="Arial Narrow"/>
      <w:b/>
      <w:sz w:val="20"/>
      <w:szCs w:val="20"/>
      <w:lang w:bidi="en-US"/>
    </w:rPr>
  </w:style>
  <w:style w:type="character" w:customStyle="1" w:styleId="TableHeadingChar">
    <w:name w:val="Table Heading Char"/>
    <w:basedOn w:val="DefaultParagraphFont"/>
    <w:link w:val="TableHeading0"/>
    <w:locked/>
    <w:rsid w:val="009B1B01"/>
    <w:rPr>
      <w:rFonts w:ascii="Arial Narrow" w:eastAsiaTheme="majorEastAsia" w:hAnsi="Arial Narrow" w:cs="Arial"/>
      <w:b/>
      <w:lang w:bidi="en-US"/>
    </w:rPr>
  </w:style>
  <w:style w:type="character" w:customStyle="1" w:styleId="MainBodyBulletPointChar">
    <w:name w:val="MainBody Bullet Point Char"/>
    <w:basedOn w:val="DefaultParagraphFont"/>
    <w:link w:val="MainBodyBulletPoint"/>
    <w:uiPriority w:val="1"/>
    <w:locked/>
    <w:rsid w:val="009B1B01"/>
    <w:rPr>
      <w:rFonts w:ascii="Calibri" w:hAnsi="Calibri"/>
      <w:sz w:val="24"/>
      <w:szCs w:val="24"/>
      <w:lang w:eastAsia="en-GB"/>
    </w:rPr>
  </w:style>
  <w:style w:type="paragraph" w:customStyle="1" w:styleId="MainBodyBulletPoint">
    <w:name w:val="MainBody Bullet Point"/>
    <w:basedOn w:val="Normal"/>
    <w:link w:val="MainBodyBulletPointChar"/>
    <w:uiPriority w:val="1"/>
    <w:qFormat/>
    <w:rsid w:val="009B1B01"/>
    <w:pPr>
      <w:numPr>
        <w:numId w:val="7"/>
      </w:numPr>
      <w:spacing w:before="120" w:after="120"/>
    </w:pPr>
    <w:rPr>
      <w:rFonts w:cs="Times New Roman"/>
      <w:lang w:eastAsia="en-GB"/>
    </w:rPr>
  </w:style>
  <w:style w:type="character" w:customStyle="1" w:styleId="Heading1Char">
    <w:name w:val="Heading 1 Char"/>
    <w:basedOn w:val="DefaultParagraphFont"/>
    <w:link w:val="Heading1"/>
    <w:uiPriority w:val="1"/>
    <w:rsid w:val="00A405E0"/>
    <w:rPr>
      <w:rFonts w:ascii="Calibri" w:hAnsi="Calibri" w:cs="Arial"/>
      <w:b/>
      <w:caps/>
      <w:sz w:val="32"/>
      <w:szCs w:val="24"/>
    </w:rPr>
  </w:style>
  <w:style w:type="character" w:customStyle="1" w:styleId="Heading3Char">
    <w:name w:val="Heading 3 Char"/>
    <w:basedOn w:val="DefaultParagraphFont"/>
    <w:link w:val="Heading3"/>
    <w:rsid w:val="00A405E0"/>
    <w:rPr>
      <w:rFonts w:ascii="Calibri" w:hAnsi="Calibri" w:cs="Arial"/>
      <w:sz w:val="24"/>
      <w:szCs w:val="24"/>
      <w:u w:val="single"/>
    </w:rPr>
  </w:style>
  <w:style w:type="character" w:customStyle="1" w:styleId="Heading4Char">
    <w:name w:val="Heading 4 Char"/>
    <w:basedOn w:val="DefaultParagraphFont"/>
    <w:link w:val="Heading4"/>
    <w:rsid w:val="00A405E0"/>
    <w:rPr>
      <w:rFonts w:ascii="Calibri" w:hAnsi="Calibri" w:cs="Arial"/>
      <w:b/>
      <w:bCs/>
      <w:i/>
      <w:sz w:val="26"/>
      <w:szCs w:val="28"/>
    </w:rPr>
  </w:style>
  <w:style w:type="character" w:customStyle="1" w:styleId="Heading6Char">
    <w:name w:val="Heading 6 Char"/>
    <w:basedOn w:val="DefaultParagraphFont"/>
    <w:link w:val="Heading6"/>
    <w:rsid w:val="00A405E0"/>
    <w:rPr>
      <w:rFonts w:ascii="Calibri" w:hAnsi="Calibri" w:cs="Arial"/>
      <w:b/>
      <w:bCs/>
      <w:i/>
      <w:sz w:val="24"/>
      <w:szCs w:val="24"/>
    </w:rPr>
  </w:style>
  <w:style w:type="paragraph" w:customStyle="1" w:styleId="msonormal0">
    <w:name w:val="msonormal"/>
    <w:basedOn w:val="Normal"/>
    <w:uiPriority w:val="99"/>
    <w:rsid w:val="00A405E0"/>
    <w:pPr>
      <w:spacing w:before="100" w:after="100"/>
    </w:pPr>
    <w:rPr>
      <w:rFonts w:ascii="Times New Roman" w:hAnsi="Times New Roman" w:cs="Times New Roman"/>
      <w:lang w:val="en-GB"/>
    </w:rPr>
  </w:style>
  <w:style w:type="character" w:customStyle="1" w:styleId="CommentTextChar1">
    <w:name w:val="Comment Text Char1"/>
    <w:aliases w:val="Comment Text Char Char Char Char1,Comment Text Char Char Char2"/>
    <w:basedOn w:val="DefaultParagraphFont"/>
    <w:uiPriority w:val="99"/>
    <w:semiHidden/>
    <w:rsid w:val="00A405E0"/>
    <w:rPr>
      <w:rFonts w:ascii="Calibri" w:hAnsi="Calibri" w:cs="Arial"/>
    </w:rPr>
  </w:style>
  <w:style w:type="character" w:customStyle="1" w:styleId="HeaderChar1">
    <w:name w:val="Header Char1"/>
    <w:aliases w:val="Page Header Char1,Header title Char1,he=header Char1,cntr/bld Char1"/>
    <w:basedOn w:val="DefaultParagraphFont"/>
    <w:semiHidden/>
    <w:rsid w:val="00A405E0"/>
    <w:rPr>
      <w:rFonts w:ascii="Calibri" w:hAnsi="Calibri" w:cs="Arial"/>
      <w:sz w:val="24"/>
      <w:szCs w:val="24"/>
    </w:rPr>
  </w:style>
  <w:style w:type="paragraph" w:styleId="TableofFigures">
    <w:name w:val="table of figures"/>
    <w:basedOn w:val="Normal"/>
    <w:next w:val="Normal"/>
    <w:uiPriority w:val="99"/>
    <w:semiHidden/>
    <w:unhideWhenUsed/>
    <w:rsid w:val="00A405E0"/>
    <w:pPr>
      <w:jc w:val="both"/>
    </w:pPr>
  </w:style>
  <w:style w:type="paragraph" w:customStyle="1" w:styleId="PBACESText">
    <w:name w:val="PBAC ES Text"/>
    <w:basedOn w:val="Normal"/>
    <w:qFormat/>
    <w:rsid w:val="00A405E0"/>
    <w:pPr>
      <w:spacing w:before="60" w:after="80"/>
    </w:pPr>
    <w:rPr>
      <w:sz w:val="22"/>
      <w:lang w:val="en-US" w:eastAsia="en-GB"/>
    </w:rPr>
  </w:style>
  <w:style w:type="character" w:customStyle="1" w:styleId="TableNumberChar">
    <w:name w:val="Table Number Char"/>
    <w:basedOn w:val="DefaultParagraphFont"/>
    <w:link w:val="TableNumber"/>
    <w:locked/>
    <w:rsid w:val="00A405E0"/>
    <w:rPr>
      <w:rFonts w:ascii="Arial Narrow" w:hAnsi="Arial Narrow"/>
      <w:szCs w:val="24"/>
      <w:lang w:eastAsia="en-GB"/>
    </w:rPr>
  </w:style>
  <w:style w:type="paragraph" w:customStyle="1" w:styleId="TableNumber">
    <w:name w:val="Table Number"/>
    <w:basedOn w:val="Normal"/>
    <w:link w:val="TableNumberChar"/>
    <w:qFormat/>
    <w:rsid w:val="00A405E0"/>
    <w:pPr>
      <w:widowControl w:val="0"/>
      <w:tabs>
        <w:tab w:val="decimal" w:pos="396"/>
      </w:tabs>
      <w:spacing w:before="40" w:after="40" w:line="252" w:lineRule="auto"/>
      <w:jc w:val="center"/>
    </w:pPr>
    <w:rPr>
      <w:rFonts w:ascii="Arial Narrow" w:hAnsi="Arial Narrow" w:cs="Times New Roman"/>
      <w:sz w:val="20"/>
      <w:lang w:eastAsia="en-GB"/>
    </w:rPr>
  </w:style>
  <w:style w:type="character" w:customStyle="1" w:styleId="InstructionalTextChar">
    <w:name w:val="Instructional Text Char"/>
    <w:basedOn w:val="DefaultParagraphFont"/>
    <w:link w:val="InstructionalText"/>
    <w:uiPriority w:val="3"/>
    <w:locked/>
    <w:rsid w:val="00A405E0"/>
    <w:rPr>
      <w:rFonts w:asciiTheme="minorHAnsi" w:hAnsiTheme="minorHAnsi" w:cs="Calibri"/>
      <w:color w:val="0070C0"/>
      <w:sz w:val="24"/>
      <w:szCs w:val="24"/>
      <w:lang w:eastAsia="en-GB"/>
    </w:rPr>
  </w:style>
  <w:style w:type="paragraph" w:customStyle="1" w:styleId="InstructionalText">
    <w:name w:val="Instructional Text"/>
    <w:basedOn w:val="Normal"/>
    <w:link w:val="InstructionalTextChar"/>
    <w:uiPriority w:val="3"/>
    <w:qFormat/>
    <w:rsid w:val="00A405E0"/>
    <w:pPr>
      <w:spacing w:before="120" w:after="160"/>
      <w:jc w:val="both"/>
    </w:pPr>
    <w:rPr>
      <w:rFonts w:asciiTheme="minorHAnsi" w:hAnsiTheme="minorHAnsi" w:cs="Calibri"/>
      <w:color w:val="0070C0"/>
      <w:lang w:eastAsia="en-GB"/>
    </w:rPr>
  </w:style>
  <w:style w:type="paragraph" w:customStyle="1" w:styleId="xl110">
    <w:name w:val="xl110"/>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1">
    <w:name w:val="xl111"/>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2">
    <w:name w:val="xl112"/>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3">
    <w:name w:val="xl113"/>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4">
    <w:name w:val="xl114"/>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5">
    <w:name w:val="xl115"/>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6">
    <w:name w:val="xl116"/>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7">
    <w:name w:val="xl117"/>
    <w:basedOn w:val="Normal"/>
    <w:uiPriority w:val="99"/>
    <w:rsid w:val="00A405E0"/>
    <w:pPr>
      <w:spacing w:before="100" w:beforeAutospacing="1" w:after="100" w:afterAutospacing="1"/>
    </w:pPr>
    <w:rPr>
      <w:rFonts w:ascii="Arial Narrow" w:hAnsi="Arial Narrow" w:cs="Times New Roman"/>
      <w:b/>
      <w:bCs/>
      <w:color w:val="7030A0"/>
      <w:sz w:val="20"/>
      <w:szCs w:val="20"/>
    </w:rPr>
  </w:style>
  <w:style w:type="paragraph" w:customStyle="1" w:styleId="xl118">
    <w:name w:val="xl118"/>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19">
    <w:name w:val="xl119"/>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20">
    <w:name w:val="xl120"/>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21">
    <w:name w:val="xl121"/>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22">
    <w:name w:val="xl122"/>
    <w:basedOn w:val="Normal"/>
    <w:uiPriority w:val="99"/>
    <w:rsid w:val="00A405E0"/>
    <w:pPr>
      <w:spacing w:before="100" w:beforeAutospacing="1" w:after="100" w:afterAutospacing="1"/>
    </w:pPr>
    <w:rPr>
      <w:rFonts w:ascii="Arial Narrow" w:hAnsi="Arial Narrow" w:cs="Times New Roman"/>
      <w:color w:val="7030A0"/>
      <w:sz w:val="20"/>
      <w:szCs w:val="20"/>
    </w:rPr>
  </w:style>
  <w:style w:type="paragraph" w:customStyle="1" w:styleId="xl123">
    <w:name w:val="xl123"/>
    <w:basedOn w:val="Normal"/>
    <w:uiPriority w:val="99"/>
    <w:rsid w:val="00A405E0"/>
    <w:pPr>
      <w:spacing w:before="100" w:beforeAutospacing="1" w:after="100" w:afterAutospacing="1"/>
    </w:pPr>
    <w:rPr>
      <w:rFonts w:ascii="Arial Narrow" w:hAnsi="Arial Narrow" w:cs="Times New Roman"/>
      <w:color w:val="BFBFBF"/>
      <w:sz w:val="20"/>
      <w:szCs w:val="20"/>
    </w:rPr>
  </w:style>
  <w:style w:type="paragraph" w:customStyle="1" w:styleId="xl124">
    <w:name w:val="xl124"/>
    <w:basedOn w:val="Normal"/>
    <w:uiPriority w:val="99"/>
    <w:rsid w:val="00A405E0"/>
    <w:pPr>
      <w:spacing w:before="100" w:beforeAutospacing="1" w:after="100" w:afterAutospacing="1"/>
    </w:pPr>
    <w:rPr>
      <w:rFonts w:ascii="Arial Narrow" w:hAnsi="Arial Narrow" w:cs="Times New Roman"/>
      <w:color w:val="BFBFBF"/>
      <w:sz w:val="20"/>
      <w:szCs w:val="20"/>
    </w:rPr>
  </w:style>
  <w:style w:type="paragraph" w:customStyle="1" w:styleId="xl125">
    <w:name w:val="xl125"/>
    <w:basedOn w:val="Normal"/>
    <w:uiPriority w:val="99"/>
    <w:rsid w:val="00A405E0"/>
    <w:pPr>
      <w:spacing w:before="100" w:beforeAutospacing="1" w:after="100" w:afterAutospacing="1"/>
    </w:pPr>
    <w:rPr>
      <w:rFonts w:ascii="Arial Narrow" w:hAnsi="Arial Narrow" w:cs="Times New Roman"/>
      <w:sz w:val="20"/>
      <w:szCs w:val="20"/>
    </w:rPr>
  </w:style>
  <w:style w:type="paragraph" w:customStyle="1" w:styleId="xl126">
    <w:name w:val="xl126"/>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27">
    <w:name w:val="xl127"/>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28">
    <w:name w:val="xl128"/>
    <w:basedOn w:val="Normal"/>
    <w:uiPriority w:val="99"/>
    <w:rsid w:val="00A405E0"/>
    <w:pP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29">
    <w:name w:val="xl129"/>
    <w:basedOn w:val="Normal"/>
    <w:uiPriority w:val="99"/>
    <w:rsid w:val="00A405E0"/>
    <w:pP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30">
    <w:name w:val="xl130"/>
    <w:basedOn w:val="Normal"/>
    <w:uiPriority w:val="99"/>
    <w:rsid w:val="00A405E0"/>
    <w:pP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31">
    <w:name w:val="xl131"/>
    <w:basedOn w:val="Normal"/>
    <w:uiPriority w:val="99"/>
    <w:rsid w:val="00A405E0"/>
    <w:pP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32">
    <w:name w:val="xl132"/>
    <w:basedOn w:val="Normal"/>
    <w:uiPriority w:val="99"/>
    <w:rsid w:val="00A405E0"/>
    <w:pP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33">
    <w:name w:val="xl133"/>
    <w:basedOn w:val="Normal"/>
    <w:uiPriority w:val="99"/>
    <w:rsid w:val="00A405E0"/>
    <w:pP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34">
    <w:name w:val="xl134"/>
    <w:basedOn w:val="Normal"/>
    <w:uiPriority w:val="99"/>
    <w:rsid w:val="00A405E0"/>
    <w:pP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35">
    <w:name w:val="xl135"/>
    <w:basedOn w:val="Normal"/>
    <w:uiPriority w:val="99"/>
    <w:rsid w:val="00A405E0"/>
    <w:pP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36">
    <w:name w:val="xl136"/>
    <w:basedOn w:val="Normal"/>
    <w:uiPriority w:val="99"/>
    <w:rsid w:val="00A405E0"/>
    <w:pP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37">
    <w:name w:val="xl137"/>
    <w:basedOn w:val="Normal"/>
    <w:uiPriority w:val="99"/>
    <w:rsid w:val="00A405E0"/>
    <w:pP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38">
    <w:name w:val="xl138"/>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39">
    <w:name w:val="xl139"/>
    <w:basedOn w:val="Normal"/>
    <w:uiPriority w:val="99"/>
    <w:rsid w:val="00A405E0"/>
    <w:pPr>
      <w:shd w:val="clear" w:color="auto" w:fill="E7E6E6"/>
      <w:spacing w:before="100" w:beforeAutospacing="1" w:after="100" w:afterAutospacing="1"/>
      <w:jc w:val="center"/>
    </w:pPr>
    <w:rPr>
      <w:rFonts w:ascii="Arial Narrow" w:hAnsi="Arial Narrow" w:cs="Times New Roman"/>
      <w:color w:val="7030A0"/>
      <w:sz w:val="20"/>
      <w:szCs w:val="20"/>
    </w:rPr>
  </w:style>
  <w:style w:type="paragraph" w:customStyle="1" w:styleId="xl140">
    <w:name w:val="xl140"/>
    <w:basedOn w:val="Normal"/>
    <w:uiPriority w:val="99"/>
    <w:rsid w:val="00A405E0"/>
    <w:pPr>
      <w:shd w:val="clear" w:color="auto" w:fill="E7E6E6"/>
      <w:spacing w:before="100" w:beforeAutospacing="1" w:after="100" w:afterAutospacing="1"/>
      <w:jc w:val="center"/>
    </w:pPr>
    <w:rPr>
      <w:rFonts w:ascii="Arial Narrow" w:hAnsi="Arial Narrow" w:cs="Times New Roman"/>
      <w:color w:val="7030A0"/>
      <w:sz w:val="20"/>
      <w:szCs w:val="20"/>
    </w:rPr>
  </w:style>
  <w:style w:type="paragraph" w:customStyle="1" w:styleId="xl141">
    <w:name w:val="xl141"/>
    <w:basedOn w:val="Normal"/>
    <w:uiPriority w:val="99"/>
    <w:rsid w:val="00A405E0"/>
    <w:pPr>
      <w:shd w:val="clear" w:color="auto" w:fill="FCE4D6"/>
      <w:spacing w:before="100" w:beforeAutospacing="1" w:after="100" w:afterAutospacing="1"/>
      <w:jc w:val="center"/>
    </w:pPr>
    <w:rPr>
      <w:rFonts w:ascii="Arial Narrow" w:hAnsi="Arial Narrow" w:cs="Times New Roman"/>
      <w:color w:val="7030A0"/>
      <w:sz w:val="20"/>
      <w:szCs w:val="20"/>
    </w:rPr>
  </w:style>
  <w:style w:type="paragraph" w:customStyle="1" w:styleId="xl142">
    <w:name w:val="xl142"/>
    <w:basedOn w:val="Normal"/>
    <w:uiPriority w:val="99"/>
    <w:rsid w:val="00A405E0"/>
    <w:pPr>
      <w:shd w:val="clear" w:color="auto" w:fill="FCE4D6"/>
      <w:spacing w:before="100" w:beforeAutospacing="1" w:after="100" w:afterAutospacing="1"/>
      <w:jc w:val="center"/>
    </w:pPr>
    <w:rPr>
      <w:rFonts w:ascii="Arial Narrow" w:hAnsi="Arial Narrow" w:cs="Times New Roman"/>
      <w:color w:val="7030A0"/>
      <w:sz w:val="20"/>
      <w:szCs w:val="20"/>
    </w:rPr>
  </w:style>
  <w:style w:type="paragraph" w:customStyle="1" w:styleId="xl143">
    <w:name w:val="xl143"/>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44">
    <w:name w:val="xl144"/>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45">
    <w:name w:val="xl145"/>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46">
    <w:name w:val="xl146"/>
    <w:basedOn w:val="Normal"/>
    <w:uiPriority w:val="99"/>
    <w:rsid w:val="00A405E0"/>
    <w:pPr>
      <w:pBdr>
        <w:top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47">
    <w:name w:val="xl147"/>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48">
    <w:name w:val="xl148"/>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49">
    <w:name w:val="xl149"/>
    <w:basedOn w:val="Normal"/>
    <w:uiPriority w:val="99"/>
    <w:rsid w:val="00A405E0"/>
    <w:pPr>
      <w:pBdr>
        <w:top w:val="single" w:sz="4" w:space="0" w:color="auto"/>
      </w:pBd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50">
    <w:name w:val="xl150"/>
    <w:basedOn w:val="Normal"/>
    <w:uiPriority w:val="99"/>
    <w:rsid w:val="00A405E0"/>
    <w:pPr>
      <w:pBdr>
        <w:top w:val="single" w:sz="4" w:space="0" w:color="auto"/>
      </w:pBd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51">
    <w:name w:val="xl151"/>
    <w:basedOn w:val="Normal"/>
    <w:uiPriority w:val="99"/>
    <w:rsid w:val="00A405E0"/>
    <w:pPr>
      <w:pBdr>
        <w:top w:val="single" w:sz="4" w:space="0" w:color="auto"/>
      </w:pBd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52">
    <w:name w:val="xl152"/>
    <w:basedOn w:val="Normal"/>
    <w:uiPriority w:val="99"/>
    <w:rsid w:val="00A405E0"/>
    <w:pPr>
      <w:pBdr>
        <w:top w:val="single" w:sz="4" w:space="0" w:color="auto"/>
      </w:pBd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53">
    <w:name w:val="xl153"/>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54">
    <w:name w:val="xl154"/>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55">
    <w:name w:val="xl155"/>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56">
    <w:name w:val="xl156"/>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57">
    <w:name w:val="xl157"/>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58">
    <w:name w:val="xl158"/>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59">
    <w:name w:val="xl159"/>
    <w:basedOn w:val="Normal"/>
    <w:uiPriority w:val="99"/>
    <w:rsid w:val="00A405E0"/>
    <w:pPr>
      <w:pBdr>
        <w:top w:val="single" w:sz="4" w:space="0" w:color="auto"/>
      </w:pBd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60">
    <w:name w:val="xl160"/>
    <w:basedOn w:val="Normal"/>
    <w:uiPriority w:val="99"/>
    <w:rsid w:val="00A405E0"/>
    <w:pPr>
      <w:pBdr>
        <w:top w:val="single" w:sz="4" w:space="0" w:color="auto"/>
      </w:pBd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61">
    <w:name w:val="xl161"/>
    <w:basedOn w:val="Normal"/>
    <w:uiPriority w:val="99"/>
    <w:rsid w:val="00A405E0"/>
    <w:pPr>
      <w:pBdr>
        <w:top w:val="single" w:sz="8" w:space="0" w:color="auto"/>
        <w:left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2">
    <w:name w:val="xl162"/>
    <w:basedOn w:val="Normal"/>
    <w:uiPriority w:val="99"/>
    <w:rsid w:val="00A405E0"/>
    <w:pPr>
      <w:pBdr>
        <w:top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3">
    <w:name w:val="xl163"/>
    <w:basedOn w:val="Normal"/>
    <w:uiPriority w:val="99"/>
    <w:rsid w:val="00A405E0"/>
    <w:pPr>
      <w:pBdr>
        <w:top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4">
    <w:name w:val="xl164"/>
    <w:basedOn w:val="Normal"/>
    <w:uiPriority w:val="99"/>
    <w:rsid w:val="00A405E0"/>
    <w:pPr>
      <w:pBdr>
        <w:top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5">
    <w:name w:val="xl165"/>
    <w:basedOn w:val="Normal"/>
    <w:uiPriority w:val="99"/>
    <w:rsid w:val="00A405E0"/>
    <w:pPr>
      <w:pBdr>
        <w:top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6">
    <w:name w:val="xl166"/>
    <w:basedOn w:val="Normal"/>
    <w:uiPriority w:val="99"/>
    <w:rsid w:val="00A405E0"/>
    <w:pPr>
      <w:pBdr>
        <w:top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7">
    <w:name w:val="xl167"/>
    <w:basedOn w:val="Normal"/>
    <w:uiPriority w:val="99"/>
    <w:rsid w:val="00A405E0"/>
    <w:pPr>
      <w:pBdr>
        <w:top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8">
    <w:name w:val="xl168"/>
    <w:basedOn w:val="Normal"/>
    <w:uiPriority w:val="99"/>
    <w:rsid w:val="00A405E0"/>
    <w:pPr>
      <w:pBdr>
        <w:top w:val="single" w:sz="8" w:space="0" w:color="auto"/>
        <w:right w:val="single" w:sz="8" w:space="0" w:color="auto"/>
      </w:pBdr>
      <w:shd w:val="clear" w:color="auto" w:fill="92D050"/>
      <w:spacing w:before="100" w:beforeAutospacing="1" w:after="100" w:afterAutospacing="1"/>
    </w:pPr>
    <w:rPr>
      <w:rFonts w:ascii="Arial Narrow" w:hAnsi="Arial Narrow" w:cs="Times New Roman"/>
      <w:b/>
      <w:bCs/>
      <w:color w:val="7030A0"/>
      <w:sz w:val="20"/>
      <w:szCs w:val="20"/>
    </w:rPr>
  </w:style>
  <w:style w:type="paragraph" w:customStyle="1" w:styleId="xl169">
    <w:name w:val="xl169"/>
    <w:basedOn w:val="Normal"/>
    <w:uiPriority w:val="99"/>
    <w:rsid w:val="00A405E0"/>
    <w:pPr>
      <w:pBdr>
        <w:top w:val="single" w:sz="4" w:space="0" w:color="auto"/>
        <w:bottom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70">
    <w:name w:val="xl170"/>
    <w:basedOn w:val="Normal"/>
    <w:uiPriority w:val="99"/>
    <w:rsid w:val="00A405E0"/>
    <w:pPr>
      <w:pBdr>
        <w:top w:val="single" w:sz="4" w:space="0" w:color="auto"/>
        <w:bottom w:val="single" w:sz="4" w:space="0" w:color="auto"/>
      </w:pBdr>
      <w:shd w:val="clear" w:color="auto" w:fill="E7E6E6"/>
      <w:spacing w:before="100" w:beforeAutospacing="1" w:after="100" w:afterAutospacing="1"/>
    </w:pPr>
    <w:rPr>
      <w:rFonts w:ascii="Arial Narrow" w:hAnsi="Arial Narrow" w:cs="Times New Roman"/>
      <w:b/>
      <w:bCs/>
      <w:color w:val="7030A0"/>
      <w:sz w:val="20"/>
      <w:szCs w:val="20"/>
    </w:rPr>
  </w:style>
  <w:style w:type="paragraph" w:customStyle="1" w:styleId="xl171">
    <w:name w:val="xl171"/>
    <w:basedOn w:val="Normal"/>
    <w:uiPriority w:val="99"/>
    <w:rsid w:val="00A405E0"/>
    <w:pPr>
      <w:pBdr>
        <w:top w:val="single" w:sz="4" w:space="0" w:color="auto"/>
        <w:bottom w:val="single" w:sz="4" w:space="0" w:color="auto"/>
      </w:pBdr>
      <w:shd w:val="clear" w:color="auto" w:fill="E7E6E6"/>
      <w:spacing w:before="100" w:beforeAutospacing="1" w:after="100" w:afterAutospacing="1"/>
    </w:pPr>
    <w:rPr>
      <w:rFonts w:ascii="Arial Narrow" w:hAnsi="Arial Narrow" w:cs="Times New Roman"/>
      <w:b/>
      <w:bCs/>
      <w:color w:val="7030A0"/>
      <w:sz w:val="20"/>
      <w:szCs w:val="20"/>
    </w:rPr>
  </w:style>
  <w:style w:type="paragraph" w:customStyle="1" w:styleId="xl172">
    <w:name w:val="xl172"/>
    <w:basedOn w:val="Normal"/>
    <w:uiPriority w:val="99"/>
    <w:rsid w:val="00A405E0"/>
    <w:pPr>
      <w:pBdr>
        <w:top w:val="single" w:sz="4" w:space="0" w:color="auto"/>
        <w:bottom w:val="single" w:sz="4" w:space="0" w:color="auto"/>
      </w:pBdr>
      <w:shd w:val="clear" w:color="auto" w:fill="FCE4D6"/>
      <w:spacing w:before="100" w:beforeAutospacing="1" w:after="100" w:afterAutospacing="1"/>
    </w:pPr>
    <w:rPr>
      <w:rFonts w:ascii="Arial Narrow" w:hAnsi="Arial Narrow" w:cs="Times New Roman"/>
      <w:b/>
      <w:bCs/>
      <w:color w:val="7030A0"/>
      <w:sz w:val="20"/>
      <w:szCs w:val="20"/>
    </w:rPr>
  </w:style>
  <w:style w:type="paragraph" w:customStyle="1" w:styleId="xl173">
    <w:name w:val="xl173"/>
    <w:basedOn w:val="Normal"/>
    <w:uiPriority w:val="99"/>
    <w:rsid w:val="00A405E0"/>
    <w:pPr>
      <w:pBdr>
        <w:top w:val="single" w:sz="4" w:space="0" w:color="auto"/>
        <w:bottom w:val="single" w:sz="4" w:space="0" w:color="auto"/>
      </w:pBdr>
      <w:shd w:val="clear" w:color="auto" w:fill="FCE4D6"/>
      <w:spacing w:before="100" w:beforeAutospacing="1" w:after="100" w:afterAutospacing="1"/>
    </w:pPr>
    <w:rPr>
      <w:rFonts w:ascii="Arial Narrow" w:hAnsi="Arial Narrow" w:cs="Times New Roman"/>
      <w:b/>
      <w:bCs/>
      <w:color w:val="7030A0"/>
      <w:sz w:val="20"/>
      <w:szCs w:val="20"/>
    </w:rPr>
  </w:style>
  <w:style w:type="paragraph" w:customStyle="1" w:styleId="xl174">
    <w:name w:val="xl174"/>
    <w:basedOn w:val="Normal"/>
    <w:uiPriority w:val="99"/>
    <w:rsid w:val="00A405E0"/>
    <w:pPr>
      <w:pBdr>
        <w:top w:val="single" w:sz="4" w:space="0" w:color="auto"/>
        <w:bottom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75">
    <w:name w:val="xl175"/>
    <w:basedOn w:val="Normal"/>
    <w:uiPriority w:val="99"/>
    <w:rsid w:val="00A405E0"/>
    <w:pPr>
      <w:pBdr>
        <w:top w:val="single" w:sz="4" w:space="0" w:color="auto"/>
        <w:bottom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76">
    <w:name w:val="xl176"/>
    <w:basedOn w:val="Normal"/>
    <w:uiPriority w:val="99"/>
    <w:rsid w:val="00A405E0"/>
    <w:pPr>
      <w:pBdr>
        <w:top w:val="single" w:sz="4" w:space="0" w:color="auto"/>
        <w:bottom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77">
    <w:name w:val="xl177"/>
    <w:basedOn w:val="Normal"/>
    <w:uiPriority w:val="99"/>
    <w:rsid w:val="00A405E0"/>
    <w:pPr>
      <w:pBdr>
        <w:top w:val="single" w:sz="4" w:space="0" w:color="auto"/>
        <w:bottom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78">
    <w:name w:val="xl178"/>
    <w:basedOn w:val="Normal"/>
    <w:uiPriority w:val="99"/>
    <w:rsid w:val="00A405E0"/>
    <w:pPr>
      <w:pBdr>
        <w:top w:val="single" w:sz="4" w:space="0" w:color="auto"/>
        <w:bottom w:val="single" w:sz="4" w:space="0" w:color="auto"/>
      </w:pBdr>
      <w:spacing w:before="100" w:beforeAutospacing="1" w:after="100" w:afterAutospacing="1"/>
    </w:pPr>
    <w:rPr>
      <w:rFonts w:ascii="Arial Narrow" w:hAnsi="Arial Narrow" w:cs="Times New Roman"/>
      <w:b/>
      <w:bCs/>
      <w:color w:val="7030A0"/>
      <w:sz w:val="20"/>
      <w:szCs w:val="20"/>
    </w:rPr>
  </w:style>
  <w:style w:type="paragraph" w:customStyle="1" w:styleId="xl179">
    <w:name w:val="xl179"/>
    <w:basedOn w:val="Normal"/>
    <w:uiPriority w:val="99"/>
    <w:rsid w:val="00A405E0"/>
    <w:pPr>
      <w:spacing w:before="100" w:beforeAutospacing="1" w:after="100" w:afterAutospacing="1"/>
    </w:pPr>
    <w:rPr>
      <w:rFonts w:ascii="Arial Narrow" w:hAnsi="Arial Narrow" w:cs="Times New Roman"/>
      <w:b/>
      <w:bCs/>
      <w:color w:val="7030A0"/>
      <w:sz w:val="20"/>
      <w:szCs w:val="20"/>
    </w:rPr>
  </w:style>
  <w:style w:type="paragraph" w:customStyle="1" w:styleId="xl180">
    <w:name w:val="xl180"/>
    <w:basedOn w:val="Normal"/>
    <w:uiPriority w:val="99"/>
    <w:rsid w:val="00A405E0"/>
    <w:pPr>
      <w:spacing w:before="100" w:beforeAutospacing="1" w:after="100" w:afterAutospacing="1"/>
      <w:jc w:val="center"/>
    </w:pPr>
    <w:rPr>
      <w:rFonts w:ascii="Arial Narrow" w:hAnsi="Arial Narrow" w:cs="Times New Roman"/>
      <w:b/>
      <w:bCs/>
      <w:color w:val="7030A0"/>
      <w:sz w:val="20"/>
      <w:szCs w:val="20"/>
    </w:rPr>
  </w:style>
  <w:style w:type="paragraph" w:customStyle="1" w:styleId="xl181">
    <w:name w:val="xl181"/>
    <w:basedOn w:val="Normal"/>
    <w:uiPriority w:val="99"/>
    <w:rsid w:val="00A405E0"/>
    <w:pPr>
      <w:pBdr>
        <w:top w:val="single" w:sz="4" w:space="0" w:color="auto"/>
      </w:pBd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82">
    <w:name w:val="xl182"/>
    <w:basedOn w:val="Normal"/>
    <w:uiPriority w:val="99"/>
    <w:rsid w:val="00A405E0"/>
    <w:pPr>
      <w:pBdr>
        <w:top w:val="single" w:sz="4" w:space="0" w:color="auto"/>
      </w:pBdr>
      <w:shd w:val="clear" w:color="auto" w:fill="E7E6E6"/>
      <w:spacing w:before="100" w:beforeAutospacing="1" w:after="100" w:afterAutospacing="1"/>
    </w:pPr>
    <w:rPr>
      <w:rFonts w:ascii="Arial Narrow" w:hAnsi="Arial Narrow" w:cs="Times New Roman"/>
      <w:color w:val="7030A0"/>
      <w:sz w:val="20"/>
      <w:szCs w:val="20"/>
    </w:rPr>
  </w:style>
  <w:style w:type="paragraph" w:customStyle="1" w:styleId="xl183">
    <w:name w:val="xl183"/>
    <w:basedOn w:val="Normal"/>
    <w:uiPriority w:val="99"/>
    <w:rsid w:val="00A405E0"/>
    <w:pPr>
      <w:pBdr>
        <w:top w:val="single" w:sz="4" w:space="0" w:color="auto"/>
      </w:pBd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84">
    <w:name w:val="xl184"/>
    <w:basedOn w:val="Normal"/>
    <w:uiPriority w:val="99"/>
    <w:rsid w:val="00A405E0"/>
    <w:pPr>
      <w:pBdr>
        <w:top w:val="single" w:sz="4" w:space="0" w:color="auto"/>
      </w:pBdr>
      <w:shd w:val="clear" w:color="auto" w:fill="FCE4D6"/>
      <w:spacing w:before="100" w:beforeAutospacing="1" w:after="100" w:afterAutospacing="1"/>
    </w:pPr>
    <w:rPr>
      <w:rFonts w:ascii="Arial Narrow" w:hAnsi="Arial Narrow" w:cs="Times New Roman"/>
      <w:color w:val="7030A0"/>
      <w:sz w:val="20"/>
      <w:szCs w:val="20"/>
    </w:rPr>
  </w:style>
  <w:style w:type="paragraph" w:customStyle="1" w:styleId="xl185">
    <w:name w:val="xl185"/>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86">
    <w:name w:val="xl186"/>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87">
    <w:name w:val="xl187"/>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88">
    <w:name w:val="xl188"/>
    <w:basedOn w:val="Normal"/>
    <w:uiPriority w:val="99"/>
    <w:rsid w:val="00A405E0"/>
    <w:pPr>
      <w:spacing w:before="100" w:beforeAutospacing="1" w:after="100" w:afterAutospacing="1"/>
      <w:jc w:val="center"/>
    </w:pPr>
    <w:rPr>
      <w:rFonts w:ascii="Arial Narrow" w:hAnsi="Arial Narrow" w:cs="Times New Roman"/>
      <w:color w:val="7030A0"/>
      <w:sz w:val="20"/>
      <w:szCs w:val="20"/>
    </w:rPr>
  </w:style>
  <w:style w:type="paragraph" w:customStyle="1" w:styleId="xl189">
    <w:name w:val="xl189"/>
    <w:basedOn w:val="Normal"/>
    <w:uiPriority w:val="99"/>
    <w:rsid w:val="00A405E0"/>
    <w:pPr>
      <w:pBdr>
        <w:top w:val="single" w:sz="4" w:space="0" w:color="auto"/>
      </w:pBdr>
      <w:shd w:val="clear" w:color="auto" w:fill="FFFF00"/>
      <w:spacing w:before="100" w:beforeAutospacing="1" w:after="100" w:afterAutospacing="1"/>
    </w:pPr>
    <w:rPr>
      <w:rFonts w:ascii="Arial Narrow" w:hAnsi="Arial Narrow" w:cs="Times New Roman"/>
      <w:i/>
      <w:iCs/>
      <w:color w:val="7030A0"/>
      <w:sz w:val="20"/>
      <w:szCs w:val="20"/>
    </w:rPr>
  </w:style>
  <w:style w:type="paragraph" w:customStyle="1" w:styleId="xl190">
    <w:name w:val="xl190"/>
    <w:basedOn w:val="Normal"/>
    <w:uiPriority w:val="99"/>
    <w:rsid w:val="00A405E0"/>
    <w:pPr>
      <w:shd w:val="clear" w:color="auto" w:fill="FFFF00"/>
      <w:spacing w:before="100" w:beforeAutospacing="1" w:after="100" w:afterAutospacing="1"/>
    </w:pPr>
    <w:rPr>
      <w:rFonts w:ascii="Arial Narrow" w:hAnsi="Arial Narrow" w:cs="Times New Roman"/>
      <w:i/>
      <w:iCs/>
      <w:color w:val="7030A0"/>
      <w:sz w:val="20"/>
      <w:szCs w:val="20"/>
    </w:rPr>
  </w:style>
  <w:style w:type="paragraph" w:customStyle="1" w:styleId="xl191">
    <w:name w:val="xl191"/>
    <w:basedOn w:val="Normal"/>
    <w:uiPriority w:val="99"/>
    <w:rsid w:val="00A405E0"/>
    <w:pPr>
      <w:shd w:val="clear" w:color="auto" w:fill="FFFF00"/>
      <w:spacing w:before="100" w:beforeAutospacing="1" w:after="100" w:afterAutospacing="1"/>
    </w:pPr>
    <w:rPr>
      <w:rFonts w:ascii="Arial Narrow" w:hAnsi="Arial Narrow" w:cs="Times New Roman"/>
      <w:color w:val="7030A0"/>
      <w:sz w:val="20"/>
      <w:szCs w:val="20"/>
    </w:rPr>
  </w:style>
  <w:style w:type="paragraph" w:customStyle="1" w:styleId="xl192">
    <w:name w:val="xl192"/>
    <w:basedOn w:val="Normal"/>
    <w:uiPriority w:val="99"/>
    <w:rsid w:val="00A405E0"/>
    <w:pPr>
      <w:shd w:val="clear" w:color="auto" w:fill="E7E6E6"/>
      <w:spacing w:before="100" w:beforeAutospacing="1" w:after="100" w:afterAutospacing="1"/>
      <w:jc w:val="center"/>
    </w:pPr>
    <w:rPr>
      <w:rFonts w:ascii="Arial Narrow" w:hAnsi="Arial Narrow" w:cs="Times New Roman"/>
      <w:b/>
      <w:bCs/>
      <w:color w:val="7030A0"/>
      <w:sz w:val="20"/>
      <w:szCs w:val="20"/>
    </w:rPr>
  </w:style>
  <w:style w:type="paragraph" w:customStyle="1" w:styleId="xl193">
    <w:name w:val="xl193"/>
    <w:basedOn w:val="Normal"/>
    <w:uiPriority w:val="99"/>
    <w:rsid w:val="00A405E0"/>
    <w:pPr>
      <w:shd w:val="clear" w:color="auto" w:fill="FCE4D6"/>
      <w:spacing w:before="100" w:beforeAutospacing="1" w:after="100" w:afterAutospacing="1"/>
      <w:jc w:val="center"/>
    </w:pPr>
    <w:rPr>
      <w:rFonts w:ascii="Arial Narrow" w:hAnsi="Arial Narrow" w:cs="Times New Roman"/>
      <w:b/>
      <w:bCs/>
      <w:color w:val="7030A0"/>
      <w:sz w:val="20"/>
      <w:szCs w:val="20"/>
    </w:rPr>
  </w:style>
  <w:style w:type="paragraph" w:customStyle="1" w:styleId="xl194">
    <w:name w:val="xl194"/>
    <w:basedOn w:val="Normal"/>
    <w:uiPriority w:val="99"/>
    <w:rsid w:val="00A405E0"/>
    <w:pPr>
      <w:shd w:val="clear" w:color="auto" w:fill="FFFF00"/>
      <w:spacing w:before="100" w:beforeAutospacing="1" w:after="100" w:afterAutospacing="1"/>
    </w:pPr>
    <w:rPr>
      <w:rFonts w:ascii="Arial Narrow" w:hAnsi="Arial Narrow" w:cs="Times New Roman"/>
      <w:i/>
      <w:iCs/>
      <w:color w:val="7030A0"/>
      <w:sz w:val="20"/>
      <w:szCs w:val="20"/>
    </w:rPr>
  </w:style>
  <w:style w:type="paragraph" w:customStyle="1" w:styleId="xl195">
    <w:name w:val="xl195"/>
    <w:basedOn w:val="Normal"/>
    <w:uiPriority w:val="99"/>
    <w:rsid w:val="00A405E0"/>
    <w:pPr>
      <w:pBdr>
        <w:top w:val="single" w:sz="4" w:space="0" w:color="auto"/>
        <w:bottom w:val="single" w:sz="4" w:space="0" w:color="auto"/>
      </w:pBdr>
      <w:spacing w:before="100" w:beforeAutospacing="1" w:after="100" w:afterAutospacing="1"/>
      <w:jc w:val="center"/>
    </w:pPr>
    <w:rPr>
      <w:rFonts w:ascii="Arial Narrow" w:hAnsi="Arial Narrow" w:cs="Times New Roman"/>
      <w:b/>
      <w:bCs/>
      <w:color w:val="7030A0"/>
      <w:sz w:val="20"/>
      <w:szCs w:val="20"/>
    </w:rPr>
  </w:style>
  <w:style w:type="paragraph" w:customStyle="1" w:styleId="xl196">
    <w:name w:val="xl196"/>
    <w:basedOn w:val="Normal"/>
    <w:uiPriority w:val="99"/>
    <w:rsid w:val="00A405E0"/>
    <w:pPr>
      <w:pBdr>
        <w:top w:val="single" w:sz="4" w:space="0" w:color="auto"/>
      </w:pBdr>
      <w:spacing w:before="100" w:beforeAutospacing="1" w:after="100" w:afterAutospacing="1"/>
      <w:jc w:val="center"/>
    </w:pPr>
    <w:rPr>
      <w:rFonts w:ascii="Arial Narrow" w:hAnsi="Arial Narrow" w:cs="Times New Roman"/>
      <w:color w:val="7030A0"/>
      <w:sz w:val="20"/>
      <w:szCs w:val="20"/>
    </w:rPr>
  </w:style>
  <w:style w:type="paragraph" w:customStyle="1" w:styleId="xl197">
    <w:name w:val="xl197"/>
    <w:basedOn w:val="Normal"/>
    <w:uiPriority w:val="99"/>
    <w:rsid w:val="00A405E0"/>
    <w:pPr>
      <w:pBdr>
        <w:top w:val="single" w:sz="4" w:space="0" w:color="auto"/>
      </w:pBdr>
      <w:spacing w:before="100" w:beforeAutospacing="1" w:after="100" w:afterAutospacing="1"/>
    </w:pPr>
    <w:rPr>
      <w:rFonts w:ascii="Arial Narrow" w:hAnsi="Arial Narrow" w:cs="Times New Roman"/>
      <w:color w:val="7030A0"/>
      <w:sz w:val="20"/>
      <w:szCs w:val="20"/>
    </w:rPr>
  </w:style>
  <w:style w:type="paragraph" w:customStyle="1" w:styleId="xl198">
    <w:name w:val="xl198"/>
    <w:basedOn w:val="Normal"/>
    <w:uiPriority w:val="99"/>
    <w:rsid w:val="00A405E0"/>
    <w:pPr>
      <w:pBdr>
        <w:top w:val="single" w:sz="4" w:space="0" w:color="auto"/>
      </w:pBdr>
      <w:spacing w:before="100" w:beforeAutospacing="1" w:after="100" w:afterAutospacing="1"/>
    </w:pPr>
    <w:rPr>
      <w:rFonts w:ascii="Arial Narrow" w:hAnsi="Arial Narrow" w:cs="Times New Roman"/>
      <w:b/>
      <w:bCs/>
      <w:color w:val="7030A0"/>
      <w:sz w:val="20"/>
      <w:szCs w:val="20"/>
    </w:rPr>
  </w:style>
  <w:style w:type="table" w:customStyle="1" w:styleId="PBACTableStyle1">
    <w:name w:val="PBAC Table Style1"/>
    <w:basedOn w:val="TableGrid1"/>
    <w:uiPriority w:val="99"/>
    <w:rsid w:val="00A405E0"/>
    <w:pPr>
      <w:widowControl w:val="0"/>
      <w:spacing w:before="120"/>
      <w:contextualSpacing/>
      <w:jc w:val="center"/>
    </w:pPr>
    <w:rPr>
      <w:rFonts w:ascii="Arial Narrow" w:eastAsia="Calibri" w:hAnsi="Arial Narrow"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Narrow" w:hAnsi="Arial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Narrow" w:hAnsi="Arial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Narrow" w:hAnsi="Arial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PBACTableStyle2">
    <w:name w:val="PBAC Table Style2"/>
    <w:basedOn w:val="TableGrid1"/>
    <w:uiPriority w:val="99"/>
    <w:rsid w:val="00A405E0"/>
    <w:pPr>
      <w:widowControl w:val="0"/>
      <w:spacing w:before="120"/>
      <w:contextualSpacing/>
      <w:jc w:val="center"/>
    </w:pPr>
    <w:rPr>
      <w:rFonts w:ascii="Arial Narrow" w:eastAsia="Calibri" w:hAnsi="Arial Narrow" w:cs="Arial"/>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Narrow" w:hAnsi="Arial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Narrow" w:hAnsi="Arial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Narrow" w:hAnsi="Arial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ASDTable2">
    <w:name w:val="ASD Table2"/>
    <w:basedOn w:val="TableNormal"/>
    <w:uiPriority w:val="39"/>
    <w:rsid w:val="00A405E0"/>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ILILLYTABLE">
    <w:name w:val="ELI_LILLY TABLE"/>
    <w:basedOn w:val="TableNormal"/>
    <w:uiPriority w:val="99"/>
    <w:rsid w:val="00A405E0"/>
    <w:pPr>
      <w:spacing w:before="20" w:after="20"/>
      <w:ind w:left="113" w:right="113"/>
    </w:pPr>
    <w:rPr>
      <w:rFonts w:ascii="Calibri" w:eastAsia="Calibri" w:hAnsi="Calibri" w:cs="Arial"/>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cs="Calibri" w:hint="default"/>
        <w:b/>
        <w:i w:val="0"/>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2F2F2"/>
      </w:tcPr>
    </w:tblStylePr>
  </w:style>
  <w:style w:type="numbering" w:customStyle="1" w:styleId="Style1">
    <w:name w:val="Style1"/>
    <w:uiPriority w:val="99"/>
    <w:rsid w:val="00A405E0"/>
    <w:pPr>
      <w:numPr>
        <w:numId w:val="19"/>
      </w:numPr>
    </w:pPr>
  </w:style>
  <w:style w:type="table" w:customStyle="1" w:styleId="TableGrid10">
    <w:name w:val="Table Grid1"/>
    <w:basedOn w:val="TableNormal"/>
    <w:next w:val="TableGrid"/>
    <w:uiPriority w:val="39"/>
    <w:rsid w:val="007E324F"/>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940BEC"/>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40BEC"/>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82033203">
      <w:bodyDiv w:val="1"/>
      <w:marLeft w:val="0"/>
      <w:marRight w:val="0"/>
      <w:marTop w:val="0"/>
      <w:marBottom w:val="0"/>
      <w:divBdr>
        <w:top w:val="none" w:sz="0" w:space="0" w:color="auto"/>
        <w:left w:val="none" w:sz="0" w:space="0" w:color="auto"/>
        <w:bottom w:val="none" w:sz="0" w:space="0" w:color="auto"/>
        <w:right w:val="none" w:sz="0" w:space="0" w:color="auto"/>
      </w:divBdr>
    </w:div>
    <w:div w:id="70775491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53763772">
      <w:bodyDiv w:val="1"/>
      <w:marLeft w:val="0"/>
      <w:marRight w:val="0"/>
      <w:marTop w:val="0"/>
      <w:marBottom w:val="0"/>
      <w:divBdr>
        <w:top w:val="none" w:sz="0" w:space="0" w:color="auto"/>
        <w:left w:val="none" w:sz="0" w:space="0" w:color="auto"/>
        <w:bottom w:val="none" w:sz="0" w:space="0" w:color="auto"/>
        <w:right w:val="none" w:sz="0" w:space="0" w:color="auto"/>
      </w:divBdr>
    </w:div>
    <w:div w:id="976760607">
      <w:bodyDiv w:val="1"/>
      <w:marLeft w:val="0"/>
      <w:marRight w:val="0"/>
      <w:marTop w:val="0"/>
      <w:marBottom w:val="0"/>
      <w:divBdr>
        <w:top w:val="none" w:sz="0" w:space="0" w:color="auto"/>
        <w:left w:val="none" w:sz="0" w:space="0" w:color="auto"/>
        <w:bottom w:val="none" w:sz="0" w:space="0" w:color="auto"/>
        <w:right w:val="none" w:sz="0" w:space="0" w:color="auto"/>
      </w:divBdr>
    </w:div>
    <w:div w:id="989017338">
      <w:bodyDiv w:val="1"/>
      <w:marLeft w:val="0"/>
      <w:marRight w:val="0"/>
      <w:marTop w:val="0"/>
      <w:marBottom w:val="0"/>
      <w:divBdr>
        <w:top w:val="none" w:sz="0" w:space="0" w:color="auto"/>
        <w:left w:val="none" w:sz="0" w:space="0" w:color="auto"/>
        <w:bottom w:val="none" w:sz="0" w:space="0" w:color="auto"/>
        <w:right w:val="none" w:sz="0" w:space="0" w:color="auto"/>
      </w:divBdr>
    </w:div>
    <w:div w:id="1133715896">
      <w:bodyDiv w:val="1"/>
      <w:marLeft w:val="0"/>
      <w:marRight w:val="0"/>
      <w:marTop w:val="0"/>
      <w:marBottom w:val="0"/>
      <w:divBdr>
        <w:top w:val="none" w:sz="0" w:space="0" w:color="auto"/>
        <w:left w:val="none" w:sz="0" w:space="0" w:color="auto"/>
        <w:bottom w:val="none" w:sz="0" w:space="0" w:color="auto"/>
        <w:right w:val="none" w:sz="0" w:space="0" w:color="auto"/>
      </w:divBdr>
    </w:div>
    <w:div w:id="114677825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7339830">
      <w:bodyDiv w:val="1"/>
      <w:marLeft w:val="0"/>
      <w:marRight w:val="0"/>
      <w:marTop w:val="0"/>
      <w:marBottom w:val="0"/>
      <w:divBdr>
        <w:top w:val="none" w:sz="0" w:space="0" w:color="auto"/>
        <w:left w:val="none" w:sz="0" w:space="0" w:color="auto"/>
        <w:bottom w:val="none" w:sz="0" w:space="0" w:color="auto"/>
        <w:right w:val="none" w:sz="0" w:space="0" w:color="auto"/>
      </w:divBdr>
    </w:div>
    <w:div w:id="1581676252">
      <w:bodyDiv w:val="1"/>
      <w:marLeft w:val="0"/>
      <w:marRight w:val="0"/>
      <w:marTop w:val="0"/>
      <w:marBottom w:val="0"/>
      <w:divBdr>
        <w:top w:val="none" w:sz="0" w:space="0" w:color="auto"/>
        <w:left w:val="none" w:sz="0" w:space="0" w:color="auto"/>
        <w:bottom w:val="none" w:sz="0" w:space="0" w:color="auto"/>
        <w:right w:val="none" w:sz="0" w:space="0" w:color="auto"/>
      </w:divBdr>
    </w:div>
    <w:div w:id="1634484200">
      <w:bodyDiv w:val="1"/>
      <w:marLeft w:val="0"/>
      <w:marRight w:val="0"/>
      <w:marTop w:val="0"/>
      <w:marBottom w:val="0"/>
      <w:divBdr>
        <w:top w:val="none" w:sz="0" w:space="0" w:color="auto"/>
        <w:left w:val="none" w:sz="0" w:space="0" w:color="auto"/>
        <w:bottom w:val="none" w:sz="0" w:space="0" w:color="auto"/>
        <w:right w:val="none" w:sz="0" w:space="0" w:color="auto"/>
      </w:divBdr>
    </w:div>
    <w:div w:id="1636790749">
      <w:bodyDiv w:val="1"/>
      <w:marLeft w:val="0"/>
      <w:marRight w:val="0"/>
      <w:marTop w:val="0"/>
      <w:marBottom w:val="0"/>
      <w:divBdr>
        <w:top w:val="none" w:sz="0" w:space="0" w:color="auto"/>
        <w:left w:val="none" w:sz="0" w:space="0" w:color="auto"/>
        <w:bottom w:val="none" w:sz="0" w:space="0" w:color="auto"/>
        <w:right w:val="none" w:sz="0" w:space="0" w:color="auto"/>
      </w:divBdr>
    </w:div>
    <w:div w:id="1790852081">
      <w:bodyDiv w:val="1"/>
      <w:marLeft w:val="0"/>
      <w:marRight w:val="0"/>
      <w:marTop w:val="0"/>
      <w:marBottom w:val="0"/>
      <w:divBdr>
        <w:top w:val="none" w:sz="0" w:space="0" w:color="auto"/>
        <w:left w:val="none" w:sz="0" w:space="0" w:color="auto"/>
        <w:bottom w:val="none" w:sz="0" w:space="0" w:color="auto"/>
        <w:right w:val="none" w:sz="0" w:space="0" w:color="auto"/>
      </w:divBdr>
    </w:div>
    <w:div w:id="1809124530">
      <w:bodyDiv w:val="1"/>
      <w:marLeft w:val="0"/>
      <w:marRight w:val="0"/>
      <w:marTop w:val="0"/>
      <w:marBottom w:val="0"/>
      <w:divBdr>
        <w:top w:val="none" w:sz="0" w:space="0" w:color="auto"/>
        <w:left w:val="none" w:sz="0" w:space="0" w:color="auto"/>
        <w:bottom w:val="none" w:sz="0" w:space="0" w:color="auto"/>
        <w:right w:val="none" w:sz="0" w:space="0" w:color="auto"/>
      </w:divBdr>
    </w:div>
    <w:div w:id="19232486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159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oqol.org/wp-content/uploads/2017/02/EQ-5D-5L_Crosswalk_model_and__methodology.pdf" TargetMode="External"/><Relationship Id="rId1" Type="http://schemas.openxmlformats.org/officeDocument/2006/relationships/hyperlink" Target="https://www.accessdata.fda.gov/drugsatfda_docs/label/2023/216793s000lb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2579-0D1D-4A9B-A7E3-DAAA4289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13660</Words>
  <Characters>77489</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90968</CharactersWithSpaces>
  <SharedDoc>false</SharedDoc>
  <HLinks>
    <vt:vector size="12" baseType="variant">
      <vt:variant>
        <vt:i4>1048681</vt:i4>
      </vt:variant>
      <vt:variant>
        <vt:i4>3</vt:i4>
      </vt:variant>
      <vt:variant>
        <vt:i4>0</vt:i4>
      </vt:variant>
      <vt:variant>
        <vt:i4>5</vt:i4>
      </vt:variant>
      <vt:variant>
        <vt:lpwstr>https://euroqol.org/wp-content/uploads/2017/02/EQ-5D-5L_Crosswalk_model_and__methodology.pdf</vt:lpwstr>
      </vt:variant>
      <vt:variant>
        <vt:lpwstr/>
      </vt:variant>
      <vt:variant>
        <vt:i4>4849784</vt:i4>
      </vt:variant>
      <vt:variant>
        <vt:i4>0</vt:i4>
      </vt:variant>
      <vt:variant>
        <vt:i4>0</vt:i4>
      </vt:variant>
      <vt:variant>
        <vt:i4>5</vt:i4>
      </vt:variant>
      <vt:variant>
        <vt:lpwstr>https://www.accessdata.fda.gov/drugsatfda_docs/label/2023/216793s000lbl.pdf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2024-03-04T02:39:00Z</dcterms:created>
  <dcterms:modified xsi:type="dcterms:W3CDTF">2024-03-14T02:34:00Z</dcterms:modified>
</cp:coreProperties>
</file>