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91CA8" w14:textId="454671EF" w:rsidR="00BF6C94" w:rsidRPr="005B6D7B" w:rsidRDefault="00EF6632" w:rsidP="00BE4C70">
      <w:pPr>
        <w:pStyle w:val="1-MainHeading"/>
      </w:pPr>
      <w:bookmarkStart w:id="0" w:name="_Toc143506191"/>
      <w:r>
        <w:t>6</w:t>
      </w:r>
      <w:r w:rsidR="00433044" w:rsidRPr="005B6D7B">
        <w:t>.</w:t>
      </w:r>
      <w:r>
        <w:t>12</w:t>
      </w:r>
      <w:r w:rsidR="00163F66" w:rsidRPr="005B6D7B">
        <w:tab/>
      </w:r>
      <w:r w:rsidR="0097057E" w:rsidRPr="005B6D7B">
        <w:t>RISANKIZUMAB</w:t>
      </w:r>
      <w:r w:rsidR="00163F66" w:rsidRPr="005B6D7B">
        <w:t>,</w:t>
      </w:r>
      <w:r w:rsidR="00163F66" w:rsidRPr="005B6D7B">
        <w:br/>
      </w:r>
      <w:r w:rsidR="0097057E" w:rsidRPr="005B6D7B">
        <w:t xml:space="preserve">Injection 150 mg in 1 mL pre-filled </w:t>
      </w:r>
      <w:r w:rsidR="00200891" w:rsidRPr="005B6D7B">
        <w:t>syringe</w:t>
      </w:r>
      <w:r w:rsidR="009261BA">
        <w:t>,</w:t>
      </w:r>
      <w:r w:rsidR="00200891" w:rsidRPr="005B6D7B">
        <w:br/>
        <w:t xml:space="preserve">Injection </w:t>
      </w:r>
      <w:r w:rsidR="0097057E" w:rsidRPr="005B6D7B">
        <w:t xml:space="preserve">150 mg in 1 mL pre-filled </w:t>
      </w:r>
      <w:r w:rsidR="00200891" w:rsidRPr="005B6D7B">
        <w:t>pen</w:t>
      </w:r>
      <w:r w:rsidR="00163F66" w:rsidRPr="005B6D7B">
        <w:t>,</w:t>
      </w:r>
      <w:r w:rsidR="00163F66" w:rsidRPr="005B6D7B">
        <w:br/>
      </w:r>
      <w:r w:rsidR="0097057E" w:rsidRPr="005B6D7B">
        <w:t>Skyrizi</w:t>
      </w:r>
      <w:r w:rsidR="00B60939" w:rsidRPr="005B6D7B">
        <w:rPr>
          <w:vertAlign w:val="superscript"/>
        </w:rPr>
        <w:t>®</w:t>
      </w:r>
      <w:r w:rsidR="004A6040" w:rsidRPr="005B6D7B">
        <w:t>,</w:t>
      </w:r>
      <w:r w:rsidR="004A6040" w:rsidRPr="005B6D7B">
        <w:br/>
      </w:r>
      <w:r w:rsidR="0097057E" w:rsidRPr="005B6D7B">
        <w:t>AbbVie Pty Ltd</w:t>
      </w:r>
      <w:r w:rsidR="00B60939" w:rsidRPr="005B6D7B">
        <w:t>.</w:t>
      </w:r>
      <w:bookmarkEnd w:id="0"/>
    </w:p>
    <w:p w14:paraId="11C00795" w14:textId="3DFB6D23" w:rsidR="00B50DB8" w:rsidRPr="005B6D7B" w:rsidRDefault="00B50DB8" w:rsidP="004A6040">
      <w:pPr>
        <w:pStyle w:val="2-SectionHeading"/>
      </w:pPr>
      <w:bookmarkStart w:id="1" w:name="_Toc143506193"/>
      <w:r w:rsidRPr="005B6D7B">
        <w:t xml:space="preserve">Purpose of </w:t>
      </w:r>
      <w:r w:rsidR="00CD7193" w:rsidRPr="005B6D7B">
        <w:t>s</w:t>
      </w:r>
      <w:r w:rsidR="00BB3A45" w:rsidRPr="005B6D7B">
        <w:t>ubmission</w:t>
      </w:r>
      <w:bookmarkEnd w:id="1"/>
    </w:p>
    <w:p w14:paraId="456EE1CF" w14:textId="64FD0F36" w:rsidR="00CE2C69" w:rsidRPr="005B6D7B" w:rsidRDefault="00CE2C69" w:rsidP="00CE2C69">
      <w:pPr>
        <w:pStyle w:val="3-BodyText"/>
      </w:pPr>
      <w:r w:rsidRPr="005B6D7B">
        <w:t xml:space="preserve">The Category </w:t>
      </w:r>
      <w:r w:rsidRPr="007D640B">
        <w:t>2</w:t>
      </w:r>
      <w:r w:rsidRPr="005B6D7B">
        <w:t xml:space="preserve"> submission requested</w:t>
      </w:r>
      <w:r w:rsidR="004A66BE">
        <w:t xml:space="preserve"> an</w:t>
      </w:r>
      <w:r w:rsidRPr="005B6D7B">
        <w:t xml:space="preserve"> Authority Required listing for two new presentations of risankizumab subcutaneous injection, a 150 mg/1 mL pre-filled pen (PFP) and a 150 mg/1 mL pre-filled syringe (PFS), under similar circumstances as the currently listed 75</w:t>
      </w:r>
      <w:r w:rsidR="00DB6CCC">
        <w:t xml:space="preserve"> </w:t>
      </w:r>
      <w:r w:rsidRPr="005B6D7B">
        <w:t xml:space="preserve">mg/0.83 mL PFS for severe chronic plaque psoriasis (CPP). </w:t>
      </w:r>
    </w:p>
    <w:p w14:paraId="49D999A4" w14:textId="7D5CDF13" w:rsidR="00CE2C69" w:rsidRPr="003210B9" w:rsidRDefault="00CE2C69" w:rsidP="004A270D">
      <w:pPr>
        <w:pStyle w:val="3-BodyText"/>
      </w:pPr>
      <w:r w:rsidRPr="005B6D7B">
        <w:t xml:space="preserve">Listing of risankizumab 150 mg PFP and 150 mg PFS was requested on </w:t>
      </w:r>
      <w:r w:rsidR="00C05EEF" w:rsidRPr="005B6D7B">
        <w:t xml:space="preserve">a </w:t>
      </w:r>
      <w:r w:rsidRPr="005B6D7B">
        <w:t xml:space="preserve">cost-minimisation </w:t>
      </w:r>
      <w:r w:rsidR="00C05EEF" w:rsidRPr="005B6D7B">
        <w:t>basis</w:t>
      </w:r>
      <w:r w:rsidRPr="005B6D7B">
        <w:t xml:space="preserve"> versus the currently listed risankizumab 75 mg PFS</w:t>
      </w:r>
      <w:r w:rsidR="00C05EEF" w:rsidRPr="005B6D7B">
        <w:t xml:space="preserve">, or alternatively, </w:t>
      </w:r>
      <w:r w:rsidRPr="005B6D7B">
        <w:rPr>
          <w:rFonts w:cs="Calibri"/>
          <w:snapToGrid/>
        </w:rPr>
        <w:t xml:space="preserve">on a cost-minimisation basis to </w:t>
      </w:r>
      <w:r w:rsidRPr="005B6D7B">
        <w:t xml:space="preserve">the least costly non-inferior biologic comparator </w:t>
      </w:r>
      <w:r w:rsidR="004A270D" w:rsidRPr="005B6D7B">
        <w:t xml:space="preserve">of </w:t>
      </w:r>
      <w:r w:rsidRPr="005B6D7B">
        <w:t xml:space="preserve">ixekizumab, guselkumab </w:t>
      </w:r>
      <w:r w:rsidR="004A270D" w:rsidRPr="005B6D7B">
        <w:t>and</w:t>
      </w:r>
      <w:r w:rsidRPr="005B6D7B">
        <w:t xml:space="preserve"> bimekizumab </w:t>
      </w:r>
      <w:r w:rsidR="004A270D" w:rsidRPr="005B6D7B">
        <w:t>(</w:t>
      </w:r>
      <w:r w:rsidRPr="005B6D7B">
        <w:t>if PBS listed).</w:t>
      </w:r>
      <w:r w:rsidR="00304ED2">
        <w:t xml:space="preserve"> </w:t>
      </w:r>
      <w:r w:rsidR="00304ED2" w:rsidRPr="005D1E8B">
        <w:t>The ESC noted bimekizumab was listed on the PBS on the 1 October</w:t>
      </w:r>
      <w:r w:rsidR="00566D6A" w:rsidRPr="005D1E8B">
        <w:t xml:space="preserve"> 2023</w:t>
      </w:r>
      <w:r w:rsidR="00304ED2" w:rsidRPr="005D1E8B">
        <w:t>.</w:t>
      </w:r>
      <w:r w:rsidR="00304ED2" w:rsidRPr="00566D6A">
        <w:rPr>
          <w:i/>
          <w:iCs/>
        </w:rPr>
        <w:t xml:space="preserve"> </w:t>
      </w:r>
    </w:p>
    <w:p w14:paraId="16C90A56" w14:textId="77777777" w:rsidR="00A26734" w:rsidRDefault="00A26734">
      <w:pPr>
        <w:jc w:val="left"/>
        <w:rPr>
          <w:rFonts w:ascii="Arial Narrow" w:eastAsiaTheme="majorEastAsia" w:hAnsi="Arial Narrow" w:cstheme="majorBidi"/>
          <w:b/>
          <w:bCs/>
          <w:sz w:val="20"/>
        </w:rPr>
      </w:pPr>
      <w:r>
        <w:br w:type="page"/>
      </w:r>
    </w:p>
    <w:p w14:paraId="3BE80172" w14:textId="05472E54" w:rsidR="00CE2C69" w:rsidRPr="005B6D7B" w:rsidRDefault="00CE2C69" w:rsidP="00127E53">
      <w:pPr>
        <w:pStyle w:val="TableFigureHeading"/>
        <w:rPr>
          <w:rStyle w:val="CommentReference"/>
          <w:b/>
          <w:szCs w:val="24"/>
        </w:rPr>
      </w:pPr>
      <w:r w:rsidRPr="005B6D7B">
        <w:lastRenderedPageBreak/>
        <w:t xml:space="preserve">Table </w:t>
      </w:r>
      <w:r w:rsidR="004D70E1">
        <w:fldChar w:fldCharType="begin" w:fldLock="1"/>
      </w:r>
      <w:r w:rsidR="004D70E1">
        <w:instrText xml:space="preserve"> SEQ Table \* ARABIC </w:instrText>
      </w:r>
      <w:r w:rsidR="004D70E1">
        <w:fldChar w:fldCharType="separate"/>
      </w:r>
      <w:r w:rsidR="00435AF2">
        <w:rPr>
          <w:noProof/>
        </w:rPr>
        <w:t>1</w:t>
      </w:r>
      <w:r w:rsidR="004D70E1">
        <w:rPr>
          <w:noProof/>
        </w:rPr>
        <w:fldChar w:fldCharType="end"/>
      </w:r>
      <w:r w:rsidRPr="005B6D7B">
        <w:t>:</w:t>
      </w:r>
      <w:r w:rsidRPr="005B6D7B">
        <w:rPr>
          <w:rStyle w:val="CommentReference"/>
          <w:b/>
          <w:szCs w:val="24"/>
        </w:rPr>
        <w:t xml:space="preserve"> Key components of the clinical issue addressed by the submission</w:t>
      </w:r>
      <w:r w:rsidR="00285386">
        <w:rPr>
          <w:rStyle w:val="CommentReference"/>
          <w:b/>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 Key components of the clinical issue addressed by the submission."/>
        <w:tblDescription w:val="Key components of the clinical issue addressed by the submission "/>
      </w:tblPr>
      <w:tblGrid>
        <w:gridCol w:w="1271"/>
        <w:gridCol w:w="7746"/>
      </w:tblGrid>
      <w:tr w:rsidR="00CE2C69" w:rsidRPr="005B6D7B" w14:paraId="1AE9CD0E" w14:textId="77777777" w:rsidTr="007A4A2F">
        <w:trPr>
          <w:cantSplit/>
          <w:tblHeader/>
        </w:trPr>
        <w:tc>
          <w:tcPr>
            <w:tcW w:w="705" w:type="pct"/>
            <w:shd w:val="clear" w:color="auto" w:fill="auto"/>
          </w:tcPr>
          <w:p w14:paraId="4E8C3639" w14:textId="77777777" w:rsidR="00CE2C69" w:rsidRPr="005B6D7B" w:rsidRDefault="00CE2C69" w:rsidP="00127E53">
            <w:pPr>
              <w:pStyle w:val="In-tableHeading"/>
              <w:rPr>
                <w:szCs w:val="20"/>
                <w:lang w:val="en-AU"/>
              </w:rPr>
            </w:pPr>
            <w:r w:rsidRPr="005B6D7B">
              <w:rPr>
                <w:lang w:val="en-AU"/>
              </w:rPr>
              <w:t>Component</w:t>
            </w:r>
          </w:p>
        </w:tc>
        <w:tc>
          <w:tcPr>
            <w:tcW w:w="4295" w:type="pct"/>
            <w:shd w:val="clear" w:color="auto" w:fill="auto"/>
          </w:tcPr>
          <w:p w14:paraId="7409114E" w14:textId="77777777" w:rsidR="00CE2C69" w:rsidRPr="005B6D7B" w:rsidRDefault="00CE2C69" w:rsidP="00127E53">
            <w:pPr>
              <w:pStyle w:val="In-tableHeading"/>
              <w:rPr>
                <w:lang w:val="en-AU"/>
              </w:rPr>
            </w:pPr>
            <w:r w:rsidRPr="005B6D7B">
              <w:rPr>
                <w:lang w:val="en-AU"/>
              </w:rPr>
              <w:t>Description</w:t>
            </w:r>
          </w:p>
        </w:tc>
      </w:tr>
      <w:tr w:rsidR="00CE2C69" w:rsidRPr="005B6D7B" w14:paraId="3B41DC94" w14:textId="77777777" w:rsidTr="00BD7B6B">
        <w:trPr>
          <w:cantSplit/>
        </w:trPr>
        <w:tc>
          <w:tcPr>
            <w:tcW w:w="705" w:type="pct"/>
            <w:shd w:val="clear" w:color="auto" w:fill="auto"/>
          </w:tcPr>
          <w:p w14:paraId="166C6556" w14:textId="77777777" w:rsidR="00CE2C69" w:rsidRPr="005B6D7B" w:rsidRDefault="00CE2C69" w:rsidP="00127E53">
            <w:pPr>
              <w:pStyle w:val="TableText0"/>
            </w:pPr>
            <w:r w:rsidRPr="005B6D7B">
              <w:t>Population</w:t>
            </w:r>
          </w:p>
        </w:tc>
        <w:tc>
          <w:tcPr>
            <w:tcW w:w="4295" w:type="pct"/>
            <w:shd w:val="clear" w:color="auto" w:fill="auto"/>
            <w:vAlign w:val="center"/>
          </w:tcPr>
          <w:p w14:paraId="57784026" w14:textId="77777777" w:rsidR="00CE2C69" w:rsidRPr="005B6D7B" w:rsidRDefault="00CE2C69" w:rsidP="00127E53">
            <w:pPr>
              <w:pStyle w:val="TableText0"/>
              <w:rPr>
                <w:szCs w:val="20"/>
              </w:rPr>
            </w:pPr>
            <w:r w:rsidRPr="005B6D7B">
              <w:t>Adult patients with severe CPP</w:t>
            </w:r>
          </w:p>
        </w:tc>
      </w:tr>
      <w:tr w:rsidR="00CE2C69" w:rsidRPr="005B6D7B" w14:paraId="63ECEBA5" w14:textId="77777777" w:rsidTr="00BD7B6B">
        <w:trPr>
          <w:cantSplit/>
        </w:trPr>
        <w:tc>
          <w:tcPr>
            <w:tcW w:w="705" w:type="pct"/>
            <w:shd w:val="clear" w:color="auto" w:fill="auto"/>
          </w:tcPr>
          <w:p w14:paraId="68B7ED62" w14:textId="77777777" w:rsidR="00CE2C69" w:rsidRPr="005B6D7B" w:rsidRDefault="00CE2C69" w:rsidP="00127E53">
            <w:pPr>
              <w:pStyle w:val="TableText0"/>
            </w:pPr>
            <w:r w:rsidRPr="005B6D7B">
              <w:t>Intervention</w:t>
            </w:r>
          </w:p>
        </w:tc>
        <w:tc>
          <w:tcPr>
            <w:tcW w:w="4295" w:type="pct"/>
            <w:shd w:val="clear" w:color="auto" w:fill="auto"/>
          </w:tcPr>
          <w:p w14:paraId="098B2019" w14:textId="77777777" w:rsidR="00356BEC" w:rsidRPr="005B6D7B" w:rsidRDefault="00356BEC" w:rsidP="00127E53">
            <w:pPr>
              <w:pStyle w:val="TableText0"/>
            </w:pPr>
            <w:r w:rsidRPr="005B6D7B">
              <w:t>RIS is an IL-23 inhibitor.</w:t>
            </w:r>
          </w:p>
          <w:p w14:paraId="731ABDB6" w14:textId="03FC851B" w:rsidR="00CE2C69" w:rsidRPr="005B6D7B" w:rsidRDefault="00CE2C69" w:rsidP="00127E53">
            <w:pPr>
              <w:pStyle w:val="TableText0"/>
            </w:pPr>
            <w:bookmarkStart w:id="2" w:name="_Hlk151121083"/>
            <w:r w:rsidRPr="005B6D7B">
              <w:t>RIS 150 mg (1x 150 mg injection) subcutaneously at Week 0, 4, then every 12 weeks</w:t>
            </w:r>
            <w:r w:rsidR="00356BEC" w:rsidRPr="005B6D7B">
              <w:t xml:space="preserve">. </w:t>
            </w:r>
            <w:bookmarkEnd w:id="2"/>
          </w:p>
        </w:tc>
      </w:tr>
      <w:tr w:rsidR="00CE2C69" w:rsidRPr="005B6D7B" w14:paraId="76A931EE" w14:textId="77777777" w:rsidTr="007A4A2F">
        <w:trPr>
          <w:cantSplit/>
        </w:trPr>
        <w:tc>
          <w:tcPr>
            <w:tcW w:w="705" w:type="pct"/>
            <w:shd w:val="clear" w:color="auto" w:fill="auto"/>
          </w:tcPr>
          <w:p w14:paraId="131914F3" w14:textId="77777777" w:rsidR="00CE2C69" w:rsidRPr="005B6D7B" w:rsidRDefault="00CE2C69" w:rsidP="00127E53">
            <w:pPr>
              <w:pStyle w:val="TableText0"/>
            </w:pPr>
            <w:r w:rsidRPr="005B6D7B">
              <w:t>Comparator</w:t>
            </w:r>
          </w:p>
        </w:tc>
        <w:tc>
          <w:tcPr>
            <w:tcW w:w="4295" w:type="pct"/>
            <w:shd w:val="clear" w:color="auto" w:fill="auto"/>
          </w:tcPr>
          <w:p w14:paraId="4445795B" w14:textId="77777777" w:rsidR="00CE2C69" w:rsidRPr="005B6D7B" w:rsidRDefault="00CE2C69" w:rsidP="00127E53">
            <w:pPr>
              <w:pStyle w:val="TableText0"/>
            </w:pPr>
            <w:r w:rsidRPr="005B6D7B">
              <w:t>Current form: RIS 150 mg (2x 75 mg injections) subcutaneously at Week 0, 4, then every 12 weeks</w:t>
            </w:r>
          </w:p>
          <w:p w14:paraId="384D720C" w14:textId="02320AC4" w:rsidR="00CE2C69" w:rsidRPr="005B6D7B" w:rsidRDefault="00CE2C69" w:rsidP="00127E53">
            <w:pPr>
              <w:pStyle w:val="TableText0"/>
            </w:pPr>
            <w:r w:rsidRPr="005B6D7B">
              <w:t>Other listed</w:t>
            </w:r>
            <w:r w:rsidR="00824DFF" w:rsidRPr="005B6D7B">
              <w:t xml:space="preserve"> / near-market</w:t>
            </w:r>
            <w:r w:rsidRPr="005B6D7B">
              <w:t xml:space="preserve"> biologics:</w:t>
            </w:r>
          </w:p>
          <w:p w14:paraId="60410101" w14:textId="0B14455E" w:rsidR="00BE22FF" w:rsidRPr="005B6D7B" w:rsidRDefault="00BE22FF" w:rsidP="00127E53">
            <w:pPr>
              <w:pStyle w:val="TableText0"/>
              <w:numPr>
                <w:ilvl w:val="0"/>
                <w:numId w:val="8"/>
              </w:numPr>
              <w:ind w:left="343" w:hanging="236"/>
              <w:rPr>
                <w:u w:val="single"/>
              </w:rPr>
            </w:pPr>
            <w:r w:rsidRPr="005B6D7B">
              <w:rPr>
                <w:u w:val="single"/>
              </w:rPr>
              <w:t>TNFa inhibitors</w:t>
            </w:r>
          </w:p>
          <w:p w14:paraId="0E1D15F9" w14:textId="3C34115F" w:rsidR="00CE2C69" w:rsidRPr="005B6D7B" w:rsidRDefault="00CE2C69" w:rsidP="00127E53">
            <w:pPr>
              <w:pStyle w:val="TableText0"/>
              <w:numPr>
                <w:ilvl w:val="1"/>
                <w:numId w:val="8"/>
              </w:numPr>
              <w:ind w:left="544" w:hanging="187"/>
            </w:pPr>
            <w:r w:rsidRPr="005B6D7B">
              <w:t xml:space="preserve">ADA </w:t>
            </w:r>
            <w:r w:rsidRPr="005B6D7B">
              <w:rPr>
                <w:rFonts w:cstheme="minorHAnsi"/>
                <w:szCs w:val="20"/>
              </w:rPr>
              <w:t xml:space="preserve">80 mg </w:t>
            </w:r>
            <w:r w:rsidRPr="005B6D7B">
              <w:t xml:space="preserve">subcutaneously at </w:t>
            </w:r>
            <w:r w:rsidRPr="005B6D7B">
              <w:rPr>
                <w:rFonts w:cstheme="minorHAnsi"/>
                <w:szCs w:val="20"/>
              </w:rPr>
              <w:t>Week 0, 40 mg Week 1, then every 2 weeks</w:t>
            </w:r>
          </w:p>
          <w:p w14:paraId="3012ED48" w14:textId="7849BA42" w:rsidR="00BE22FF" w:rsidRPr="005B6D7B" w:rsidRDefault="00BE22FF" w:rsidP="00127E53">
            <w:pPr>
              <w:pStyle w:val="TableText0"/>
              <w:numPr>
                <w:ilvl w:val="1"/>
                <w:numId w:val="8"/>
              </w:numPr>
              <w:ind w:left="544" w:hanging="187"/>
            </w:pPr>
            <w:r w:rsidRPr="005B6D7B">
              <w:t xml:space="preserve">ETN </w:t>
            </w:r>
            <w:r w:rsidRPr="005B6D7B">
              <w:rPr>
                <w:rFonts w:cstheme="minorHAnsi"/>
                <w:szCs w:val="20"/>
              </w:rPr>
              <w:t>50 mg</w:t>
            </w:r>
            <w:r w:rsidRPr="005B6D7B">
              <w:t xml:space="preserve"> subcutaneously</w:t>
            </w:r>
            <w:r w:rsidRPr="005B6D7B">
              <w:rPr>
                <w:rFonts w:cstheme="minorHAnsi"/>
                <w:szCs w:val="20"/>
              </w:rPr>
              <w:t xml:space="preserve"> once weekly, or 25 mg twice weekly</w:t>
            </w:r>
          </w:p>
          <w:p w14:paraId="3F7B6BD7" w14:textId="0CD967F6" w:rsidR="00BE22FF" w:rsidRPr="005B6D7B" w:rsidRDefault="00BE22FF" w:rsidP="00127E53">
            <w:pPr>
              <w:pStyle w:val="TableText0"/>
              <w:numPr>
                <w:ilvl w:val="1"/>
                <w:numId w:val="8"/>
              </w:numPr>
              <w:ind w:left="544" w:hanging="187"/>
            </w:pPr>
            <w:r w:rsidRPr="005B6D7B">
              <w:t>IFX (excluded as a comparator)</w:t>
            </w:r>
          </w:p>
          <w:p w14:paraId="348B2D79" w14:textId="4B1AB335" w:rsidR="00BE22FF" w:rsidRPr="005B6D7B" w:rsidRDefault="00BE22FF" w:rsidP="00127E53">
            <w:pPr>
              <w:pStyle w:val="TableText0"/>
              <w:numPr>
                <w:ilvl w:val="0"/>
                <w:numId w:val="8"/>
              </w:numPr>
              <w:ind w:left="343" w:hanging="236"/>
              <w:rPr>
                <w:u w:val="single"/>
              </w:rPr>
            </w:pPr>
            <w:r w:rsidRPr="005B6D7B">
              <w:rPr>
                <w:u w:val="single"/>
              </w:rPr>
              <w:t>IL-23 inhibitors</w:t>
            </w:r>
          </w:p>
          <w:p w14:paraId="3E3A3CBA" w14:textId="77777777" w:rsidR="00BE22FF" w:rsidRPr="005B6D7B" w:rsidRDefault="00BE22FF" w:rsidP="00127E53">
            <w:pPr>
              <w:pStyle w:val="TableText0"/>
              <w:numPr>
                <w:ilvl w:val="1"/>
                <w:numId w:val="8"/>
              </w:numPr>
              <w:ind w:left="544" w:hanging="187"/>
            </w:pPr>
            <w:r w:rsidRPr="005B6D7B">
              <w:t xml:space="preserve">GUS </w:t>
            </w:r>
            <w:r w:rsidRPr="005B6D7B">
              <w:rPr>
                <w:rFonts w:cstheme="minorHAnsi"/>
                <w:szCs w:val="20"/>
              </w:rPr>
              <w:t xml:space="preserve">100 mg </w:t>
            </w:r>
            <w:r w:rsidRPr="005B6D7B">
              <w:t>subcutaneously</w:t>
            </w:r>
            <w:r w:rsidRPr="005B6D7B">
              <w:rPr>
                <w:rFonts w:cstheme="minorHAnsi"/>
                <w:szCs w:val="20"/>
              </w:rPr>
              <w:t xml:space="preserve"> at Week 0, 4, then every 8 weeks</w:t>
            </w:r>
          </w:p>
          <w:p w14:paraId="12F49263" w14:textId="77777777" w:rsidR="00BE22FF" w:rsidRPr="005B6D7B" w:rsidRDefault="00BE22FF" w:rsidP="00127E53">
            <w:pPr>
              <w:pStyle w:val="TableText0"/>
              <w:numPr>
                <w:ilvl w:val="1"/>
                <w:numId w:val="8"/>
              </w:numPr>
              <w:ind w:left="544" w:hanging="187"/>
            </w:pPr>
            <w:r w:rsidRPr="005B6D7B">
              <w:t xml:space="preserve">TIL </w:t>
            </w:r>
            <w:r w:rsidRPr="005B6D7B">
              <w:rPr>
                <w:rFonts w:cstheme="minorHAnsi"/>
                <w:szCs w:val="20"/>
              </w:rPr>
              <w:t xml:space="preserve">100 mg </w:t>
            </w:r>
            <w:r w:rsidRPr="005B6D7B">
              <w:t xml:space="preserve">subcutaneously at </w:t>
            </w:r>
            <w:r w:rsidRPr="005B6D7B">
              <w:rPr>
                <w:rFonts w:cstheme="minorHAnsi"/>
                <w:szCs w:val="20"/>
              </w:rPr>
              <w:t>Week 0, 2, then every 12 weeks</w:t>
            </w:r>
          </w:p>
          <w:p w14:paraId="5DBC9768" w14:textId="692ED567" w:rsidR="00BE22FF" w:rsidRPr="005B6D7B" w:rsidRDefault="00824DFF" w:rsidP="00127E53">
            <w:pPr>
              <w:pStyle w:val="TableText0"/>
              <w:numPr>
                <w:ilvl w:val="0"/>
                <w:numId w:val="8"/>
              </w:numPr>
              <w:ind w:left="343" w:hanging="236"/>
              <w:rPr>
                <w:u w:val="single"/>
              </w:rPr>
            </w:pPr>
            <w:r w:rsidRPr="005B6D7B">
              <w:rPr>
                <w:u w:val="single"/>
              </w:rPr>
              <w:t>IL</w:t>
            </w:r>
            <w:r w:rsidR="00BE22FF" w:rsidRPr="005B6D7B">
              <w:rPr>
                <w:u w:val="single"/>
              </w:rPr>
              <w:t>-17A inhibitors</w:t>
            </w:r>
          </w:p>
          <w:p w14:paraId="0CE09C3F" w14:textId="491310F7" w:rsidR="00CE2C69" w:rsidRPr="005B6D7B" w:rsidRDefault="00CE2C69" w:rsidP="00127E53">
            <w:pPr>
              <w:pStyle w:val="TableText0"/>
              <w:numPr>
                <w:ilvl w:val="1"/>
                <w:numId w:val="8"/>
              </w:numPr>
              <w:ind w:left="544" w:hanging="187"/>
            </w:pPr>
            <w:r w:rsidRPr="005B6D7B">
              <w:t xml:space="preserve">BKZ </w:t>
            </w:r>
            <w:r w:rsidRPr="005B6D7B">
              <w:rPr>
                <w:rFonts w:cstheme="minorHAnsi"/>
                <w:szCs w:val="20"/>
              </w:rPr>
              <w:t>320 mg</w:t>
            </w:r>
            <w:r w:rsidRPr="005B6D7B">
              <w:t xml:space="preserve"> subcutaneously at</w:t>
            </w:r>
            <w:r w:rsidRPr="005B6D7B">
              <w:rPr>
                <w:rFonts w:cstheme="minorHAnsi"/>
                <w:szCs w:val="20"/>
              </w:rPr>
              <w:t xml:space="preserve"> Week 0, 4, 8, 12, 16, then every 8 weeks</w:t>
            </w:r>
            <w:r w:rsidR="00824DFF" w:rsidRPr="005B6D7B">
              <w:rPr>
                <w:rFonts w:cstheme="minorHAnsi"/>
                <w:szCs w:val="20"/>
              </w:rPr>
              <w:t xml:space="preserve"> (near-market)</w:t>
            </w:r>
          </w:p>
          <w:p w14:paraId="3DD3D4BF" w14:textId="77777777" w:rsidR="00CE2C69" w:rsidRPr="005B6D7B" w:rsidRDefault="00CE2C69" w:rsidP="00127E53">
            <w:pPr>
              <w:pStyle w:val="TableText0"/>
              <w:numPr>
                <w:ilvl w:val="1"/>
                <w:numId w:val="8"/>
              </w:numPr>
              <w:ind w:left="544" w:hanging="187"/>
            </w:pPr>
            <w:r w:rsidRPr="005B6D7B">
              <w:t xml:space="preserve">IXE </w:t>
            </w:r>
            <w:r w:rsidRPr="005B6D7B">
              <w:rPr>
                <w:rFonts w:cstheme="minorHAnsi"/>
                <w:szCs w:val="20"/>
              </w:rPr>
              <w:t>160 mg</w:t>
            </w:r>
            <w:r w:rsidRPr="005B6D7B">
              <w:t xml:space="preserve"> subcutaneously at</w:t>
            </w:r>
            <w:r w:rsidRPr="005B6D7B">
              <w:rPr>
                <w:rFonts w:cstheme="minorHAnsi"/>
                <w:szCs w:val="20"/>
              </w:rPr>
              <w:t xml:space="preserve"> Week 0, 80 mg Week 2, 4, 6, 8, 10, 12, then every 4 weeks </w:t>
            </w:r>
          </w:p>
          <w:p w14:paraId="02958805" w14:textId="3F41CD63" w:rsidR="00CE2C69" w:rsidRPr="005B6D7B" w:rsidRDefault="00CE2C69" w:rsidP="00127E53">
            <w:pPr>
              <w:pStyle w:val="TableText0"/>
              <w:numPr>
                <w:ilvl w:val="1"/>
                <w:numId w:val="8"/>
              </w:numPr>
              <w:ind w:left="544" w:hanging="187"/>
            </w:pPr>
            <w:r w:rsidRPr="005B6D7B">
              <w:t xml:space="preserve">SEC </w:t>
            </w:r>
            <w:r w:rsidRPr="005B6D7B">
              <w:rPr>
                <w:rFonts w:cstheme="minorHAnsi"/>
                <w:szCs w:val="20"/>
              </w:rPr>
              <w:t xml:space="preserve">300 mg </w:t>
            </w:r>
            <w:r w:rsidRPr="005B6D7B">
              <w:t xml:space="preserve">subcutaneously at </w:t>
            </w:r>
            <w:r w:rsidRPr="005B6D7B">
              <w:rPr>
                <w:rFonts w:cstheme="minorHAnsi"/>
                <w:szCs w:val="20"/>
              </w:rPr>
              <w:t>Week 0, 1, 2, 3, 4, then monthly</w:t>
            </w:r>
          </w:p>
          <w:p w14:paraId="5A7117F2" w14:textId="00222891" w:rsidR="00824DFF" w:rsidRPr="005B6D7B" w:rsidRDefault="00824DFF" w:rsidP="00127E53">
            <w:pPr>
              <w:pStyle w:val="TableText0"/>
              <w:numPr>
                <w:ilvl w:val="0"/>
                <w:numId w:val="8"/>
              </w:numPr>
              <w:ind w:left="343" w:hanging="236"/>
              <w:rPr>
                <w:u w:val="single"/>
              </w:rPr>
            </w:pPr>
            <w:r w:rsidRPr="005B6D7B">
              <w:rPr>
                <w:u w:val="single"/>
              </w:rPr>
              <w:t>IL-12/23 inhibitors</w:t>
            </w:r>
          </w:p>
          <w:p w14:paraId="528941AB" w14:textId="77777777" w:rsidR="00CE2C69" w:rsidRPr="005B6D7B" w:rsidRDefault="00CE2C69" w:rsidP="00127E53">
            <w:pPr>
              <w:pStyle w:val="TableText0"/>
              <w:numPr>
                <w:ilvl w:val="1"/>
                <w:numId w:val="8"/>
              </w:numPr>
              <w:ind w:left="544" w:hanging="187"/>
            </w:pPr>
            <w:r w:rsidRPr="005B6D7B">
              <w:t xml:space="preserve">UST </w:t>
            </w:r>
            <w:r w:rsidRPr="005B6D7B">
              <w:rPr>
                <w:rFonts w:cstheme="minorHAnsi"/>
                <w:szCs w:val="20"/>
              </w:rPr>
              <w:t xml:space="preserve">45 mg or 90 mg (&gt;100 kg) </w:t>
            </w:r>
            <w:r w:rsidRPr="005B6D7B">
              <w:t xml:space="preserve">subcutaneously </w:t>
            </w:r>
            <w:r w:rsidRPr="005B6D7B">
              <w:rPr>
                <w:rFonts w:cstheme="minorHAnsi"/>
                <w:szCs w:val="20"/>
              </w:rPr>
              <w:t>at Week 0, 4, then every 12 weeks</w:t>
            </w:r>
          </w:p>
        </w:tc>
      </w:tr>
      <w:tr w:rsidR="00CE2C69" w:rsidRPr="005B6D7B" w14:paraId="59836724" w14:textId="77777777" w:rsidTr="007A4A2F">
        <w:trPr>
          <w:cantSplit/>
        </w:trPr>
        <w:tc>
          <w:tcPr>
            <w:tcW w:w="705" w:type="pct"/>
            <w:shd w:val="clear" w:color="auto" w:fill="auto"/>
          </w:tcPr>
          <w:p w14:paraId="53ED7E7B" w14:textId="77777777" w:rsidR="00CE2C69" w:rsidRPr="005B6D7B" w:rsidRDefault="00CE2C69" w:rsidP="00127E53">
            <w:pPr>
              <w:pStyle w:val="TableText0"/>
            </w:pPr>
            <w:r w:rsidRPr="005B6D7B">
              <w:t>Outcomes</w:t>
            </w:r>
          </w:p>
        </w:tc>
        <w:tc>
          <w:tcPr>
            <w:tcW w:w="4295" w:type="pct"/>
            <w:shd w:val="clear" w:color="auto" w:fill="auto"/>
          </w:tcPr>
          <w:p w14:paraId="591A1ACF" w14:textId="77777777" w:rsidR="00CE2C69" w:rsidRPr="005B6D7B" w:rsidRDefault="00CE2C69" w:rsidP="00127E53">
            <w:pPr>
              <w:pStyle w:val="TableText0"/>
              <w:rPr>
                <w:rFonts w:eastAsia="Times New Roman" w:cs="Arial"/>
                <w:bCs w:val="0"/>
                <w:snapToGrid w:val="0"/>
                <w:szCs w:val="20"/>
              </w:rPr>
            </w:pPr>
            <w:r w:rsidRPr="005B6D7B">
              <w:t>PASI 75, PASI 90, PASI 100, sPGA(0,1), DLQI(0,1)</w:t>
            </w:r>
          </w:p>
        </w:tc>
      </w:tr>
      <w:tr w:rsidR="00CE2C69" w:rsidRPr="005B6D7B" w14:paraId="02997FCB" w14:textId="77777777" w:rsidTr="007A4A2F">
        <w:trPr>
          <w:cantSplit/>
        </w:trPr>
        <w:tc>
          <w:tcPr>
            <w:tcW w:w="705" w:type="pct"/>
            <w:shd w:val="clear" w:color="auto" w:fill="auto"/>
          </w:tcPr>
          <w:p w14:paraId="2118B828" w14:textId="77777777" w:rsidR="00CE2C69" w:rsidRPr="005B6D7B" w:rsidRDefault="00CE2C69" w:rsidP="00127E53">
            <w:pPr>
              <w:pStyle w:val="TableText0"/>
            </w:pPr>
            <w:r w:rsidRPr="005B6D7B">
              <w:t>Clinical claim</w:t>
            </w:r>
          </w:p>
        </w:tc>
        <w:tc>
          <w:tcPr>
            <w:tcW w:w="4295" w:type="pct"/>
            <w:shd w:val="clear" w:color="auto" w:fill="auto"/>
          </w:tcPr>
          <w:p w14:paraId="4C5D9578" w14:textId="77777777" w:rsidR="00CE2C69" w:rsidRPr="005B6D7B" w:rsidRDefault="00CE2C69" w:rsidP="00127E53">
            <w:pPr>
              <w:pStyle w:val="TableText0"/>
            </w:pPr>
            <w:r w:rsidRPr="005B6D7B">
              <w:t xml:space="preserve">In patients with severe CPP, RIS 150 mg (1x 150 mg injection) is equivalent to RIS 150 mg (2x 75 mg injection) in efficacy and safety. </w:t>
            </w:r>
          </w:p>
          <w:p w14:paraId="3D3C0C9D" w14:textId="77777777" w:rsidR="00CE2C69" w:rsidRPr="005B6D7B" w:rsidRDefault="00CE2C69" w:rsidP="00127E53">
            <w:pPr>
              <w:pStyle w:val="TableText0"/>
            </w:pPr>
            <w:r w:rsidRPr="005B6D7B">
              <w:t>Compared to other listed biologics (excluding IFX):</w:t>
            </w:r>
          </w:p>
          <w:p w14:paraId="43BCABB7" w14:textId="77777777" w:rsidR="00CE2C69" w:rsidRPr="005B6D7B" w:rsidRDefault="00CE2C69" w:rsidP="00127E53">
            <w:pPr>
              <w:pStyle w:val="TableText0"/>
              <w:numPr>
                <w:ilvl w:val="0"/>
                <w:numId w:val="8"/>
              </w:numPr>
              <w:ind w:left="343" w:hanging="236"/>
            </w:pPr>
            <w:r w:rsidRPr="005B6D7B">
              <w:t>In terms of efficacy, RIS is superior to ADA, ETN, SEC, TIL, UST and non-inferior to BKZ, GUS, IXE.</w:t>
            </w:r>
          </w:p>
          <w:p w14:paraId="38146CAA" w14:textId="77777777" w:rsidR="00CE2C69" w:rsidRPr="005B6D7B" w:rsidRDefault="00CE2C69" w:rsidP="00127E53">
            <w:pPr>
              <w:pStyle w:val="TableText0"/>
              <w:numPr>
                <w:ilvl w:val="0"/>
                <w:numId w:val="8"/>
              </w:numPr>
              <w:ind w:left="343" w:hanging="236"/>
              <w:rPr>
                <w:rFonts w:eastAsia="Times New Roman" w:cs="Arial"/>
                <w:bCs w:val="0"/>
                <w:snapToGrid w:val="0"/>
                <w:szCs w:val="20"/>
              </w:rPr>
            </w:pPr>
            <w:r w:rsidRPr="005B6D7B">
              <w:t>In terms of safety, RIS is non-inferior to ADA, ETN, SEC, TIL, UST, BKZ, GUZ, IXE.</w:t>
            </w:r>
          </w:p>
        </w:tc>
      </w:tr>
    </w:tbl>
    <w:p w14:paraId="7B87FA12" w14:textId="77777777" w:rsidR="00CE2C69" w:rsidRPr="005B6D7B" w:rsidRDefault="00CE2C69" w:rsidP="00BE4C70">
      <w:pPr>
        <w:pStyle w:val="FooterTableFigure"/>
        <w:keepNext/>
        <w:rPr>
          <w:sz w:val="20"/>
        </w:rPr>
      </w:pPr>
      <w:r w:rsidRPr="005B6D7B">
        <w:t>Source: Table 1.1, p14 of the submission.</w:t>
      </w:r>
    </w:p>
    <w:p w14:paraId="2A918DCF" w14:textId="5FF6F202" w:rsidR="00CE2C69" w:rsidRPr="005B6D7B" w:rsidRDefault="00CE2C69" w:rsidP="00BE4C70">
      <w:pPr>
        <w:pStyle w:val="FooterTableFigure"/>
        <w:keepNext/>
      </w:pPr>
      <w:r w:rsidRPr="005B6D7B">
        <w:t>CPP</w:t>
      </w:r>
      <w:r w:rsidR="00DF018C" w:rsidRPr="005B6D7B">
        <w:t>=</w:t>
      </w:r>
      <w:r w:rsidRPr="005B6D7B">
        <w:t>chronic plaque psoriasis, RIS</w:t>
      </w:r>
      <w:r w:rsidR="00DF018C" w:rsidRPr="005B6D7B">
        <w:t>=</w:t>
      </w:r>
      <w:r w:rsidRPr="005B6D7B">
        <w:t>Risankizumab, IFX</w:t>
      </w:r>
      <w:r w:rsidR="00DF018C" w:rsidRPr="005B6D7B">
        <w:t>=</w:t>
      </w:r>
      <w:r w:rsidRPr="005B6D7B">
        <w:t>Infliximab, ADA</w:t>
      </w:r>
      <w:r w:rsidR="00DF018C" w:rsidRPr="005B6D7B">
        <w:t>=</w:t>
      </w:r>
      <w:r w:rsidRPr="005B6D7B">
        <w:t>Adalimumab, BKZ</w:t>
      </w:r>
      <w:r w:rsidR="00DF018C" w:rsidRPr="005B6D7B">
        <w:t>=</w:t>
      </w:r>
      <w:r w:rsidRPr="005B6D7B">
        <w:t>Bimekizumab, ETN</w:t>
      </w:r>
      <w:r w:rsidR="00DF018C" w:rsidRPr="005B6D7B">
        <w:t>=</w:t>
      </w:r>
      <w:r w:rsidRPr="005B6D7B">
        <w:t>Etanercept, GUS</w:t>
      </w:r>
      <w:r w:rsidR="00DF018C" w:rsidRPr="005B6D7B">
        <w:t>=</w:t>
      </w:r>
      <w:r w:rsidRPr="005B6D7B">
        <w:t>Guselkumab, IXE</w:t>
      </w:r>
      <w:r w:rsidR="00DF018C" w:rsidRPr="005B6D7B">
        <w:t>=</w:t>
      </w:r>
      <w:r w:rsidRPr="005B6D7B">
        <w:t>Ixekizumab, SEC</w:t>
      </w:r>
      <w:r w:rsidR="00DF018C" w:rsidRPr="005B6D7B">
        <w:t>=</w:t>
      </w:r>
      <w:r w:rsidRPr="005B6D7B">
        <w:t>Secukinumab, TIL</w:t>
      </w:r>
      <w:r w:rsidR="00DF018C" w:rsidRPr="005B6D7B">
        <w:t>=</w:t>
      </w:r>
      <w:r w:rsidRPr="005B6D7B">
        <w:t>Tildrakizumab, UST</w:t>
      </w:r>
      <w:r w:rsidR="00DF018C" w:rsidRPr="005B6D7B">
        <w:t>=</w:t>
      </w:r>
      <w:r w:rsidRPr="005B6D7B">
        <w:t>Ustekinumab, PASI x</w:t>
      </w:r>
      <w:r w:rsidR="00DF018C" w:rsidRPr="005B6D7B">
        <w:t>=</w:t>
      </w:r>
      <w:r w:rsidRPr="005B6D7B">
        <w:t>psoriasis area and severity index x response criteria, sPGA</w:t>
      </w:r>
      <w:r w:rsidR="00DF018C" w:rsidRPr="005B6D7B">
        <w:t>=</w:t>
      </w:r>
      <w:r w:rsidRPr="005B6D7B">
        <w:t>static Physician's Global Assessment, DLQI</w:t>
      </w:r>
      <w:r w:rsidR="00DF018C" w:rsidRPr="005B6D7B">
        <w:t>=</w:t>
      </w:r>
      <w:r w:rsidRPr="005B6D7B">
        <w:t>Dermatology Life Quality Index</w:t>
      </w:r>
      <w:r w:rsidR="00625D09" w:rsidRPr="005B6D7B">
        <w:t>, IL</w:t>
      </w:r>
      <w:r w:rsidR="00DF018C" w:rsidRPr="005B6D7B">
        <w:t>=</w:t>
      </w:r>
      <w:r w:rsidR="00625D09" w:rsidRPr="005B6D7B">
        <w:t>interleukin, TNFa</w:t>
      </w:r>
      <w:r w:rsidR="00DF018C" w:rsidRPr="005B6D7B">
        <w:t>=</w:t>
      </w:r>
      <w:r w:rsidR="00625D09" w:rsidRPr="005B6D7B">
        <w:t>tumour necrosis factor alpha</w:t>
      </w:r>
    </w:p>
    <w:p w14:paraId="2CFA0F0C" w14:textId="77777777" w:rsidR="00CE2C69" w:rsidRPr="005B6D7B" w:rsidRDefault="00CE2C69" w:rsidP="00CE2C69">
      <w:pPr>
        <w:pStyle w:val="2-SectionHeading"/>
        <w:numPr>
          <w:ilvl w:val="0"/>
          <w:numId w:val="1"/>
        </w:numPr>
      </w:pPr>
      <w:bookmarkStart w:id="3" w:name="_Toc107927619"/>
      <w:bookmarkStart w:id="4" w:name="_Toc143506194"/>
      <w:r w:rsidRPr="005B6D7B">
        <w:t>Background</w:t>
      </w:r>
      <w:bookmarkEnd w:id="3"/>
      <w:bookmarkEnd w:id="4"/>
    </w:p>
    <w:p w14:paraId="102018D4" w14:textId="77777777" w:rsidR="00CE2C69" w:rsidRPr="005B6D7B" w:rsidRDefault="00CE2C69" w:rsidP="00CE2C69">
      <w:pPr>
        <w:pStyle w:val="4-SubsectionHeading"/>
      </w:pPr>
      <w:bookmarkStart w:id="5" w:name="_Toc22897638"/>
      <w:bookmarkStart w:id="6" w:name="_Toc107927620"/>
      <w:bookmarkStart w:id="7" w:name="_Toc143506195"/>
      <w:r w:rsidRPr="005B6D7B">
        <w:t>Registration status</w:t>
      </w:r>
      <w:bookmarkEnd w:id="5"/>
      <w:bookmarkEnd w:id="6"/>
      <w:bookmarkEnd w:id="7"/>
    </w:p>
    <w:p w14:paraId="3A652BD9" w14:textId="77777777" w:rsidR="00CE2C69" w:rsidRPr="00102715" w:rsidRDefault="00CE2C69" w:rsidP="00CE2C69">
      <w:pPr>
        <w:pStyle w:val="3-BodyText"/>
      </w:pPr>
      <w:r w:rsidRPr="00102715">
        <w:t>Risankizumab was TGA registered on 16 July 2019 for the treatment of moderate to severe plaque psoriasis in adults (18 years or older) who are candidates for phototherapy or systemic therapy. The recommended dose is 150 mg by subcutaneous injection at Week 0, Week 4 and every 12 weeks thereafter.</w:t>
      </w:r>
    </w:p>
    <w:p w14:paraId="564FEB76" w14:textId="535D88B3" w:rsidR="00CE2C69" w:rsidRPr="005B6D7B" w:rsidRDefault="00CE2C69" w:rsidP="00CE2C69">
      <w:pPr>
        <w:pStyle w:val="3-BodyText"/>
      </w:pPr>
      <w:r w:rsidRPr="005B6D7B">
        <w:t>The risankizumab 75 mg PFS was listed on the Australian Register of Therapeutic Goods (ARTG) on 16 July 2019; the 150 mg PFP and 150 mg PFS were listed on the ARTG on 19 August 2021. The product information (PI) states bioequivalence was demonstrated between a single 150 mg injection and two 75 mg injections</w:t>
      </w:r>
      <w:r w:rsidR="00C05EEF" w:rsidRPr="005B6D7B">
        <w:t>, with the recommended 150 mg dose administered either as two 75 mg injections or one 150</w:t>
      </w:r>
      <w:r w:rsidR="00127E53">
        <w:t> </w:t>
      </w:r>
      <w:r w:rsidR="00C05EEF" w:rsidRPr="005B6D7B">
        <w:t>mg injection</w:t>
      </w:r>
      <w:r w:rsidRPr="005B6D7B">
        <w:t>.</w:t>
      </w:r>
    </w:p>
    <w:p w14:paraId="051B2638" w14:textId="77777777" w:rsidR="00A26734" w:rsidRDefault="00A26734">
      <w:pPr>
        <w:jc w:val="left"/>
        <w:rPr>
          <w:rFonts w:asciiTheme="minorHAnsi" w:eastAsiaTheme="majorEastAsia" w:hAnsiTheme="minorHAnsi" w:cstheme="majorBidi"/>
          <w:b/>
          <w:i/>
          <w:spacing w:val="5"/>
          <w:kern w:val="28"/>
          <w:sz w:val="28"/>
          <w:szCs w:val="36"/>
        </w:rPr>
      </w:pPr>
      <w:bookmarkStart w:id="8" w:name="_Toc22897639"/>
      <w:bookmarkStart w:id="9" w:name="_Toc107927621"/>
      <w:bookmarkStart w:id="10" w:name="_Toc143506196"/>
      <w:r>
        <w:br w:type="page"/>
      </w:r>
    </w:p>
    <w:p w14:paraId="53090095" w14:textId="399E3319" w:rsidR="00CE2C69" w:rsidRPr="005B6D7B" w:rsidRDefault="00CE2C69" w:rsidP="00CE2C69">
      <w:pPr>
        <w:pStyle w:val="4-SubsectionHeading"/>
      </w:pPr>
      <w:r w:rsidRPr="005B6D7B">
        <w:lastRenderedPageBreak/>
        <w:t>Previous PBAC consideration</w:t>
      </w:r>
      <w:bookmarkEnd w:id="8"/>
      <w:bookmarkEnd w:id="9"/>
      <w:bookmarkEnd w:id="10"/>
    </w:p>
    <w:p w14:paraId="1B68317E" w14:textId="32339308" w:rsidR="00CE2C69" w:rsidRPr="005B6D7B" w:rsidRDefault="00CE2C69" w:rsidP="008E0C50">
      <w:pPr>
        <w:pStyle w:val="3-BodyText"/>
      </w:pPr>
      <w:r w:rsidRPr="005B6D7B">
        <w:t xml:space="preserve">At its July 2019 meeting, the PBAC recommended listing risankizumab for severe CPP on a cost-minimisation basis with the least costly biologic currently listed on the PBS. Risankizumab 75 mg PFS </w:t>
      </w:r>
      <w:r w:rsidR="008E0C50" w:rsidRPr="005B6D7B">
        <w:t xml:space="preserve">(two pack) </w:t>
      </w:r>
      <w:r w:rsidRPr="005B6D7B">
        <w:t xml:space="preserve">was subsequently PBS-listed on 1 December 2019, </w:t>
      </w:r>
      <w:r w:rsidR="008E0C50" w:rsidRPr="005B6D7B">
        <w:t>with</w:t>
      </w:r>
      <w:r w:rsidRPr="005B6D7B">
        <w:t xml:space="preserve"> patients require</w:t>
      </w:r>
      <w:r w:rsidR="008E0C50" w:rsidRPr="005B6D7B">
        <w:t>d to administer</w:t>
      </w:r>
      <w:r w:rsidRPr="005B6D7B">
        <w:t xml:space="preserve"> two 75 mg injections per dose.</w:t>
      </w:r>
    </w:p>
    <w:p w14:paraId="073F6EB1" w14:textId="6E3B3AB2" w:rsidR="00CE2C69" w:rsidRPr="005B6D7B" w:rsidRDefault="00CE2C69" w:rsidP="00CE2C69">
      <w:pPr>
        <w:pStyle w:val="3-BodyText"/>
      </w:pPr>
      <w:r w:rsidRPr="005B6D7B">
        <w:t>At its November 2021 meeting, the PBAC recommended listing risankizumab 150 mg PFP and 150 mg PFS for severe CPP under the same circumstances as risankizumab 75</w:t>
      </w:r>
      <w:r w:rsidR="001162A4" w:rsidRPr="005B6D7B">
        <w:t> </w:t>
      </w:r>
      <w:r w:rsidRPr="005B6D7B">
        <w:t xml:space="preserve">mg PFS on a cost-minimisation basis with the least costly biologic available. The sponsor had requested the same published and effective prices for the 150 mg presentations as the 75 mg PFS (two pack). The PBAC considered </w:t>
      </w:r>
      <w:r w:rsidR="004A270D" w:rsidRPr="005B6D7B">
        <w:t xml:space="preserve">that </w:t>
      </w:r>
      <w:r w:rsidRPr="005B6D7B">
        <w:t>the 150 mg presentations were likely to be equivalent in efficacy and safety compared to the 75</w:t>
      </w:r>
      <w:r w:rsidR="001162A4" w:rsidRPr="005B6D7B">
        <w:t> </w:t>
      </w:r>
      <w:r w:rsidRPr="005B6D7B">
        <w:t>mg PFS (i.e. 2 x 75 mg), but advised that the 150 mg presentations should be cost-minimised to the lowest cost biologic under Section 101(3B) of</w:t>
      </w:r>
      <w:r w:rsidR="00C16135">
        <w:t xml:space="preserve"> </w:t>
      </w:r>
      <w:r w:rsidR="00C16135">
        <w:rPr>
          <w:i/>
          <w:iCs/>
        </w:rPr>
        <w:t>the National Health Act 1953</w:t>
      </w:r>
      <w:r w:rsidRPr="005B6D7B">
        <w:t xml:space="preserve"> </w:t>
      </w:r>
      <w:r w:rsidR="00C16135">
        <w:t>(herein referred to as ‘</w:t>
      </w:r>
      <w:r w:rsidRPr="005B6D7B">
        <w:t>the Act</w:t>
      </w:r>
      <w:r w:rsidR="00C16135">
        <w:t>’)</w:t>
      </w:r>
      <w:r w:rsidRPr="005B6D7B">
        <w:t>.</w:t>
      </w:r>
      <w:r w:rsidR="00765AFF" w:rsidRPr="005B6D7B">
        <w:t xml:space="preserve"> No comparative clinical data versus other biologics were presented in t</w:t>
      </w:r>
      <w:r w:rsidR="001162A4" w:rsidRPr="005B6D7B">
        <w:t>he November 2021</w:t>
      </w:r>
      <w:r w:rsidR="00765AFF" w:rsidRPr="005B6D7B">
        <w:t xml:space="preserve"> </w:t>
      </w:r>
      <w:r w:rsidR="00DB6CCC">
        <w:t xml:space="preserve">Category 4 </w:t>
      </w:r>
      <w:r w:rsidR="00765AFF" w:rsidRPr="005B6D7B">
        <w:t>submission</w:t>
      </w:r>
      <w:r w:rsidR="00C30DE3">
        <w:t>.</w:t>
      </w:r>
    </w:p>
    <w:p w14:paraId="27862D75" w14:textId="1C133CE7" w:rsidR="00CE2C69" w:rsidRPr="005B6D7B" w:rsidRDefault="00CE2C69" w:rsidP="00CE2C69">
      <w:pPr>
        <w:pStyle w:val="3-BodyText"/>
      </w:pPr>
      <w:r w:rsidRPr="005B6D7B">
        <w:t>In this</w:t>
      </w:r>
      <w:r w:rsidR="001162A4" w:rsidRPr="005B6D7B">
        <w:t xml:space="preserve"> current</w:t>
      </w:r>
      <w:r w:rsidRPr="005B6D7B">
        <w:t xml:space="preserve"> submission, the sponsor stated that adalimumab is currently the least costly biologic and priced </w:t>
      </w:r>
      <w:r w:rsidR="008A02DF" w:rsidRPr="004D70E1">
        <w:rPr>
          <w:color w:val="000000"/>
          <w:w w:val="15"/>
          <w:shd w:val="solid" w:color="000000" w:fill="000000"/>
          <w:fitText w:val="-20" w:id="-1032089088"/>
          <w14:textFill>
            <w14:solidFill>
              <w14:srgbClr w14:val="000000">
                <w14:alpha w14:val="100000"/>
              </w14:srgbClr>
            </w14:solidFill>
          </w14:textFill>
        </w:rPr>
        <w:t xml:space="preserve">|  </w:t>
      </w:r>
      <w:r w:rsidR="008A02DF" w:rsidRPr="004D70E1">
        <w:rPr>
          <w:color w:val="000000"/>
          <w:spacing w:val="-69"/>
          <w:w w:val="15"/>
          <w:shd w:val="solid" w:color="000000" w:fill="000000"/>
          <w:fitText w:val="-20" w:id="-1032089088"/>
          <w14:textFill>
            <w14:solidFill>
              <w14:srgbClr w14:val="000000">
                <w14:alpha w14:val="100000"/>
              </w14:srgbClr>
            </w14:solidFill>
          </w14:textFill>
        </w:rPr>
        <w:t>|</w:t>
      </w:r>
      <w:r w:rsidRPr="005B6D7B">
        <w:t xml:space="preserve">% below risankizumab. Hence, the decision to replace the current presentation with a new presentation would require the sponsor to accept a </w:t>
      </w:r>
      <w:r w:rsidR="008A02DF" w:rsidRPr="004D70E1">
        <w:rPr>
          <w:color w:val="000000"/>
          <w:w w:val="15"/>
          <w:shd w:val="solid" w:color="000000" w:fill="000000"/>
          <w:fitText w:val="-20" w:id="-1032089087"/>
          <w14:textFill>
            <w14:solidFill>
              <w14:srgbClr w14:val="000000">
                <w14:alpha w14:val="100000"/>
              </w14:srgbClr>
            </w14:solidFill>
          </w14:textFill>
        </w:rPr>
        <w:t xml:space="preserve">|  </w:t>
      </w:r>
      <w:r w:rsidR="008A02DF" w:rsidRPr="004D70E1">
        <w:rPr>
          <w:color w:val="000000"/>
          <w:spacing w:val="-69"/>
          <w:w w:val="15"/>
          <w:shd w:val="solid" w:color="000000" w:fill="000000"/>
          <w:fitText w:val="-20" w:id="-1032089087"/>
          <w14:textFill>
            <w14:solidFill>
              <w14:srgbClr w14:val="000000">
                <w14:alpha w14:val="100000"/>
              </w14:srgbClr>
            </w14:solidFill>
          </w14:textFill>
        </w:rPr>
        <w:t>|</w:t>
      </w:r>
      <w:r w:rsidRPr="005B6D7B">
        <w:t>% price reduction</w:t>
      </w:r>
      <w:r w:rsidR="00675D8C">
        <w:t>.</w:t>
      </w:r>
      <w:r w:rsidRPr="005B6D7B">
        <w:t xml:space="preserve"> Therefore, the purpose of the submission was to request that the PBAC reconsider its decision to recommend listing of the 150 mg preparations on a cost-minimisation basis to the least costly PBS-listed biologic. The </w:t>
      </w:r>
      <w:r w:rsidR="001162A4" w:rsidRPr="005B6D7B">
        <w:t xml:space="preserve">current </w:t>
      </w:r>
      <w:r w:rsidRPr="005B6D7B">
        <w:t>submission approached this issue in two ways:</w:t>
      </w:r>
    </w:p>
    <w:p w14:paraId="618A9AF9" w14:textId="20B892DC" w:rsidR="00CE2C69" w:rsidRPr="005B6D7B" w:rsidRDefault="00CE2C69" w:rsidP="00BE4C70">
      <w:pPr>
        <w:pStyle w:val="3-BodyText"/>
        <w:numPr>
          <w:ilvl w:val="0"/>
          <w:numId w:val="9"/>
        </w:numPr>
        <w:ind w:left="1134"/>
      </w:pPr>
      <w:r w:rsidRPr="005B6D7B">
        <w:t xml:space="preserve">The submission argued that the 150 mg PFP and </w:t>
      </w:r>
      <w:r w:rsidR="004A270D" w:rsidRPr="005B6D7B">
        <w:t xml:space="preserve">150 mg </w:t>
      </w:r>
      <w:r w:rsidRPr="005B6D7B">
        <w:t>PFS are an equivalent intervention to the 75 mg PFS</w:t>
      </w:r>
      <w:r w:rsidR="004A270D" w:rsidRPr="005B6D7B">
        <w:t xml:space="preserve"> (two pack)</w:t>
      </w:r>
      <w:r w:rsidRPr="005B6D7B">
        <w:t xml:space="preserve">, and bioequivalence was accepted by the TGA and </w:t>
      </w:r>
      <w:r w:rsidR="00F21B0F">
        <w:t xml:space="preserve">noted by the </w:t>
      </w:r>
      <w:r w:rsidRPr="005B6D7B">
        <w:t>PBAC. Given the 150 mg preparations will directly substitute for the 75 mg PFS, the submission requested the same list price in line with the November 2021 submission.</w:t>
      </w:r>
    </w:p>
    <w:p w14:paraId="1D682883" w14:textId="4BEA6030" w:rsidR="00CE2C69" w:rsidRPr="005B6D7B" w:rsidRDefault="00CE2C69" w:rsidP="00BE4C70">
      <w:pPr>
        <w:pStyle w:val="3-BodyText"/>
        <w:numPr>
          <w:ilvl w:val="0"/>
          <w:numId w:val="9"/>
        </w:numPr>
        <w:ind w:left="1134"/>
      </w:pPr>
      <w:r w:rsidRPr="005B6D7B">
        <w:t>The submission argued listing on a cost-minimisation basis versus adalimumab does not reflect the incremental value of risankizumab. Direct and indirect evidence presented in the submission show</w:t>
      </w:r>
      <w:r w:rsidR="001162A4" w:rsidRPr="005B6D7B">
        <w:t>ed</w:t>
      </w:r>
      <w:r w:rsidRPr="005B6D7B">
        <w:t xml:space="preserve"> that risankizumab has superior efficacy versus some biologics (adalimumab, etanercept,</w:t>
      </w:r>
      <w:r w:rsidRPr="005B6D7B">
        <w:rPr>
          <w:szCs w:val="22"/>
        </w:rPr>
        <w:t xml:space="preserve"> secukinumab, tildrakizumab, ustekinumab</w:t>
      </w:r>
      <w:r w:rsidRPr="005B6D7B">
        <w:t>) and non-inferior efficacy versus others (bimekizumab, ixekizumab, guselkumab). Given this, the submission alternatively requested listing on a cost-minimisation basis versus the least costly alternative therapy of ixekizumab, guselkumab and bimekizumab (if PBS listed). The submission argued that infliximab should not be considered a relevant comparator given low utilisation.</w:t>
      </w:r>
    </w:p>
    <w:p w14:paraId="3FE6EC34" w14:textId="7B6E6DDA" w:rsidR="00CE2C69" w:rsidRPr="005B6D7B" w:rsidRDefault="00CE2C69" w:rsidP="00CE2C69">
      <w:pPr>
        <w:pStyle w:val="3-BodyText"/>
      </w:pPr>
      <w:r w:rsidRPr="005B6D7B">
        <w:t xml:space="preserve">Prior to its March 2023 meeting, the PBAC had recommended listing the most recent biologics (ixekizumab, guselkumab, tildrakizumab, certolizumab, risankizumab) on a cost-minimisation basis versus the lowest cost biologic. At its March 2023 meeting, </w:t>
      </w:r>
      <w:r w:rsidRPr="005B6D7B">
        <w:lastRenderedPageBreak/>
        <w:t>the PBAC recommended listing of bimekizumab on a cost-minimisation basis of the least costly alternative therapy of infliximab, guselkumab, ixekizumab, risankizumab, tildrakizumab and secukinumab (excluding adalimumab, etanercept and ustekinumab). The PBAC considered there was sufficient evidence to conclude bimekizumab provides, for some patients, a significant improvement in efficacy compared to adalimumab, etanercept and ustekinumab.</w:t>
      </w:r>
    </w:p>
    <w:p w14:paraId="3B8C3A23" w14:textId="0AAEA236" w:rsidR="00CE2C69" w:rsidRPr="005B6D7B" w:rsidRDefault="00D7485C" w:rsidP="00BE4C70">
      <w:pPr>
        <w:pStyle w:val="2-SectionHeading"/>
      </w:pPr>
      <w:bookmarkStart w:id="11" w:name="_Toc107902078"/>
      <w:bookmarkEnd w:id="11"/>
      <w:r w:rsidRPr="00DE26E7">
        <w:t>Requested listing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114"/>
        <w:gridCol w:w="1843"/>
        <w:gridCol w:w="992"/>
        <w:gridCol w:w="992"/>
        <w:gridCol w:w="992"/>
        <w:gridCol w:w="1084"/>
      </w:tblGrid>
      <w:tr w:rsidR="00CE2C69" w:rsidRPr="005B6D7B" w14:paraId="1B2BED2C" w14:textId="77777777" w:rsidTr="007A4A2F">
        <w:trPr>
          <w:cantSplit/>
          <w:trHeight w:val="20"/>
        </w:trPr>
        <w:tc>
          <w:tcPr>
            <w:tcW w:w="3114" w:type="dxa"/>
            <w:vAlign w:val="center"/>
          </w:tcPr>
          <w:p w14:paraId="0D9F1DE5" w14:textId="77777777" w:rsidR="00CE2C69" w:rsidRPr="005B6D7B" w:rsidRDefault="00CE2C69" w:rsidP="00BE4C70">
            <w:pPr>
              <w:pStyle w:val="TableFigureHeading"/>
            </w:pPr>
            <w:bookmarkStart w:id="12" w:name="_Hlk104809055"/>
            <w:r w:rsidRPr="005B6D7B">
              <w:t>MEDICINAL PRODUCT</w:t>
            </w:r>
          </w:p>
          <w:p w14:paraId="2C4A911E" w14:textId="77777777" w:rsidR="00CE2C69" w:rsidRPr="005B6D7B" w:rsidRDefault="00CE2C69" w:rsidP="00BE4C70">
            <w:pPr>
              <w:pStyle w:val="TableFigureHeading"/>
            </w:pPr>
            <w:r w:rsidRPr="005B6D7B">
              <w:t>medicinal product pack</w:t>
            </w:r>
          </w:p>
        </w:tc>
        <w:tc>
          <w:tcPr>
            <w:tcW w:w="1843" w:type="dxa"/>
            <w:vAlign w:val="center"/>
          </w:tcPr>
          <w:p w14:paraId="43ADE4D8" w14:textId="28B7EAE6" w:rsidR="00CE2C69" w:rsidRPr="005B6D7B" w:rsidRDefault="00CE2C69" w:rsidP="00BE4C70">
            <w:pPr>
              <w:pStyle w:val="TableFigureHeading"/>
              <w:jc w:val="center"/>
            </w:pPr>
            <w:r w:rsidRPr="005B6D7B">
              <w:rPr>
                <w:snapToGrid w:val="0"/>
              </w:rPr>
              <w:t>Dispensed Price for Max. Qty</w:t>
            </w:r>
          </w:p>
        </w:tc>
        <w:tc>
          <w:tcPr>
            <w:tcW w:w="992" w:type="dxa"/>
            <w:vAlign w:val="center"/>
          </w:tcPr>
          <w:p w14:paraId="01310E1C" w14:textId="77777777" w:rsidR="00CE2C69" w:rsidRPr="005B6D7B" w:rsidRDefault="00CE2C69" w:rsidP="00BE4C70">
            <w:pPr>
              <w:pStyle w:val="TableFigureHeading"/>
              <w:jc w:val="center"/>
            </w:pPr>
            <w:r w:rsidRPr="005B6D7B">
              <w:t>Max. qty packs</w:t>
            </w:r>
          </w:p>
        </w:tc>
        <w:tc>
          <w:tcPr>
            <w:tcW w:w="992" w:type="dxa"/>
            <w:vAlign w:val="center"/>
          </w:tcPr>
          <w:p w14:paraId="51F70144" w14:textId="77777777" w:rsidR="00CE2C69" w:rsidRPr="005B6D7B" w:rsidRDefault="00CE2C69" w:rsidP="00BE4C70">
            <w:pPr>
              <w:pStyle w:val="TableFigureHeading"/>
              <w:jc w:val="center"/>
            </w:pPr>
            <w:r w:rsidRPr="005B6D7B">
              <w:t>Max. qty units</w:t>
            </w:r>
          </w:p>
        </w:tc>
        <w:tc>
          <w:tcPr>
            <w:tcW w:w="992" w:type="dxa"/>
            <w:vAlign w:val="center"/>
          </w:tcPr>
          <w:p w14:paraId="0BF87748" w14:textId="77777777" w:rsidR="00CE2C69" w:rsidRPr="005B6D7B" w:rsidRDefault="00CE2C69" w:rsidP="00BE4C70">
            <w:pPr>
              <w:pStyle w:val="TableFigureHeading"/>
              <w:jc w:val="center"/>
            </w:pPr>
            <w:r w:rsidRPr="005B6D7B">
              <w:t>№.of</w:t>
            </w:r>
          </w:p>
          <w:p w14:paraId="5604C179" w14:textId="77777777" w:rsidR="00CE2C69" w:rsidRPr="005B6D7B" w:rsidRDefault="00CE2C69" w:rsidP="00BE4C70">
            <w:pPr>
              <w:pStyle w:val="TableFigureHeading"/>
              <w:jc w:val="center"/>
            </w:pPr>
            <w:r w:rsidRPr="005B6D7B">
              <w:t>Rpts</w:t>
            </w:r>
          </w:p>
        </w:tc>
        <w:tc>
          <w:tcPr>
            <w:tcW w:w="1084" w:type="dxa"/>
            <w:vAlign w:val="center"/>
          </w:tcPr>
          <w:p w14:paraId="0F7F2144" w14:textId="77777777" w:rsidR="00CE2C69" w:rsidRPr="005B6D7B" w:rsidRDefault="00CE2C69" w:rsidP="00BE4C70">
            <w:pPr>
              <w:pStyle w:val="TableFigureHeading"/>
              <w:jc w:val="center"/>
            </w:pPr>
            <w:r w:rsidRPr="005B6D7B">
              <w:t>Available brands</w:t>
            </w:r>
          </w:p>
        </w:tc>
      </w:tr>
      <w:tr w:rsidR="00CE2C69" w:rsidRPr="005B6D7B" w14:paraId="08D89E9D" w14:textId="77777777" w:rsidTr="007A4A2F">
        <w:trPr>
          <w:cantSplit/>
          <w:trHeight w:val="20"/>
        </w:trPr>
        <w:tc>
          <w:tcPr>
            <w:tcW w:w="3114" w:type="dxa"/>
            <w:vAlign w:val="center"/>
          </w:tcPr>
          <w:p w14:paraId="7F365EB0" w14:textId="77777777" w:rsidR="00CE2C69" w:rsidRPr="005B6D7B" w:rsidRDefault="00CE2C69" w:rsidP="00BE4C70">
            <w:pPr>
              <w:pStyle w:val="Tabletext"/>
            </w:pPr>
            <w:r w:rsidRPr="005B6D7B">
              <w:t>RISANKIZUMAB</w:t>
            </w:r>
          </w:p>
          <w:p w14:paraId="63DB7E7F" w14:textId="77777777" w:rsidR="00CE2C69" w:rsidRPr="005B6D7B" w:rsidRDefault="00CE2C69" w:rsidP="00BE4C70">
            <w:pPr>
              <w:pStyle w:val="Tabletext"/>
              <w:rPr>
                <w:szCs w:val="20"/>
              </w:rPr>
            </w:pPr>
            <w:r w:rsidRPr="005B6D7B">
              <w:t>150 mg/1 mL injection, 1 mL syringe</w:t>
            </w:r>
          </w:p>
        </w:tc>
        <w:tc>
          <w:tcPr>
            <w:tcW w:w="1843" w:type="dxa"/>
          </w:tcPr>
          <w:p w14:paraId="7690B203" w14:textId="14F754C5" w:rsidR="00CE2C69" w:rsidRPr="005B6D7B" w:rsidRDefault="00CE2C69" w:rsidP="00BE4C70">
            <w:pPr>
              <w:pStyle w:val="Tabletext"/>
              <w:jc w:val="center"/>
            </w:pPr>
            <w:r w:rsidRPr="005B6D7B">
              <w:t>$5,400.57 published</w:t>
            </w:r>
          </w:p>
          <w:p w14:paraId="280A222A" w14:textId="7053FA66" w:rsidR="00CE2C69" w:rsidRPr="005B6D7B" w:rsidRDefault="00CE2C69" w:rsidP="00BE4C70">
            <w:pPr>
              <w:pStyle w:val="Tabletext"/>
              <w:jc w:val="center"/>
              <w:rPr>
                <w:szCs w:val="20"/>
              </w:rPr>
            </w:pPr>
            <w:r w:rsidRPr="005B6D7B">
              <w:t>$</w:t>
            </w:r>
            <w:r w:rsidR="008A02DF" w:rsidRPr="008A02DF">
              <w:rPr>
                <w:rFonts w:hint="eastAsia"/>
                <w:color w:val="000000"/>
                <w:w w:val="15"/>
                <w:shd w:val="solid" w:color="000000" w:fill="000000"/>
                <w:fitText w:val="55" w:id="-1032089086"/>
                <w14:textFill>
                  <w14:solidFill>
                    <w14:srgbClr w14:val="000000">
                      <w14:alpha w14:val="100000"/>
                    </w14:srgbClr>
                  </w14:solidFill>
                </w14:textFill>
              </w:rPr>
              <w:t xml:space="preserve">　</w:t>
            </w:r>
            <w:r w:rsidR="008A02DF" w:rsidRPr="008A02DF">
              <w:rPr>
                <w:color w:val="000000"/>
                <w:w w:val="15"/>
                <w:shd w:val="solid" w:color="000000" w:fill="000000"/>
                <w:fitText w:val="55" w:id="-1032089086"/>
                <w14:textFill>
                  <w14:solidFill>
                    <w14:srgbClr w14:val="000000">
                      <w14:alpha w14:val="100000"/>
                    </w14:srgbClr>
                  </w14:solidFill>
                </w14:textFill>
              </w:rPr>
              <w:t>|</w:t>
            </w:r>
            <w:r w:rsidR="008A02DF" w:rsidRPr="008A02DF">
              <w:rPr>
                <w:rFonts w:hint="eastAsia"/>
                <w:color w:val="000000"/>
                <w:spacing w:val="-10"/>
                <w:w w:val="15"/>
                <w:shd w:val="solid" w:color="000000" w:fill="000000"/>
                <w:fitText w:val="55" w:id="-1032089086"/>
                <w14:textFill>
                  <w14:solidFill>
                    <w14:srgbClr w14:val="000000">
                      <w14:alpha w14:val="100000"/>
                    </w14:srgbClr>
                  </w14:solidFill>
                </w14:textFill>
              </w:rPr>
              <w:t xml:space="preserve">　</w:t>
            </w:r>
            <w:r w:rsidRPr="005B6D7B">
              <w:t xml:space="preserve"> effective</w:t>
            </w:r>
          </w:p>
        </w:tc>
        <w:tc>
          <w:tcPr>
            <w:tcW w:w="992" w:type="dxa"/>
            <w:vAlign w:val="center"/>
          </w:tcPr>
          <w:p w14:paraId="27CD6F83" w14:textId="77777777" w:rsidR="00CE2C69" w:rsidRPr="005B6D7B" w:rsidRDefault="00CE2C69" w:rsidP="00BE4C70">
            <w:pPr>
              <w:pStyle w:val="Tabletext"/>
              <w:jc w:val="center"/>
              <w:rPr>
                <w:szCs w:val="20"/>
              </w:rPr>
            </w:pPr>
            <w:r w:rsidRPr="005B6D7B">
              <w:t>1</w:t>
            </w:r>
          </w:p>
        </w:tc>
        <w:tc>
          <w:tcPr>
            <w:tcW w:w="992" w:type="dxa"/>
            <w:vAlign w:val="center"/>
          </w:tcPr>
          <w:p w14:paraId="0F3BCEA8" w14:textId="77777777" w:rsidR="00CE2C69" w:rsidRPr="005B6D7B" w:rsidRDefault="00CE2C69" w:rsidP="00BE4C70">
            <w:pPr>
              <w:pStyle w:val="Tabletext"/>
              <w:jc w:val="center"/>
              <w:rPr>
                <w:szCs w:val="20"/>
              </w:rPr>
            </w:pPr>
            <w:r w:rsidRPr="005B6D7B">
              <w:rPr>
                <w:szCs w:val="20"/>
              </w:rPr>
              <w:t>1</w:t>
            </w:r>
          </w:p>
        </w:tc>
        <w:tc>
          <w:tcPr>
            <w:tcW w:w="992" w:type="dxa"/>
            <w:vAlign w:val="center"/>
          </w:tcPr>
          <w:p w14:paraId="0473C340" w14:textId="77777777" w:rsidR="00CE2C69" w:rsidRPr="005B6D7B" w:rsidRDefault="00CE2C69" w:rsidP="00BE4C70">
            <w:pPr>
              <w:pStyle w:val="Tabletext"/>
              <w:jc w:val="center"/>
              <w:rPr>
                <w:szCs w:val="20"/>
              </w:rPr>
            </w:pPr>
            <w:r w:rsidRPr="005B6D7B">
              <w:rPr>
                <w:szCs w:val="20"/>
              </w:rPr>
              <w:t>Init: 2</w:t>
            </w:r>
          </w:p>
          <w:p w14:paraId="681614E9" w14:textId="77777777" w:rsidR="00CE2C69" w:rsidRPr="005B6D7B" w:rsidRDefault="00CE2C69" w:rsidP="00BE4C70">
            <w:pPr>
              <w:pStyle w:val="Tabletext"/>
              <w:jc w:val="center"/>
              <w:rPr>
                <w:szCs w:val="20"/>
              </w:rPr>
            </w:pPr>
            <w:r w:rsidRPr="005B6D7B">
              <w:rPr>
                <w:szCs w:val="20"/>
              </w:rPr>
              <w:t>Cont: 1</w:t>
            </w:r>
          </w:p>
        </w:tc>
        <w:tc>
          <w:tcPr>
            <w:tcW w:w="1084" w:type="dxa"/>
            <w:vAlign w:val="center"/>
          </w:tcPr>
          <w:p w14:paraId="322D245C" w14:textId="77777777" w:rsidR="00CE2C69" w:rsidRPr="005B6D7B" w:rsidRDefault="00CE2C69" w:rsidP="00BE4C70">
            <w:pPr>
              <w:pStyle w:val="Tabletext"/>
              <w:rPr>
                <w:szCs w:val="20"/>
              </w:rPr>
            </w:pPr>
            <w:r w:rsidRPr="005B6D7B">
              <w:rPr>
                <w:szCs w:val="20"/>
              </w:rPr>
              <w:t>Skyrizi</w:t>
            </w:r>
          </w:p>
        </w:tc>
      </w:tr>
      <w:tr w:rsidR="00CE2C69" w:rsidRPr="005B6D7B" w14:paraId="0745AB4D" w14:textId="77777777" w:rsidTr="007A4A2F">
        <w:trPr>
          <w:cantSplit/>
          <w:trHeight w:val="20"/>
        </w:trPr>
        <w:tc>
          <w:tcPr>
            <w:tcW w:w="3114" w:type="dxa"/>
            <w:vAlign w:val="center"/>
          </w:tcPr>
          <w:p w14:paraId="7949A18F" w14:textId="77777777" w:rsidR="00CE2C69" w:rsidRPr="005B6D7B" w:rsidRDefault="00CE2C69" w:rsidP="00BE4C70">
            <w:pPr>
              <w:pStyle w:val="Tabletext"/>
            </w:pPr>
            <w:r w:rsidRPr="005B6D7B">
              <w:t>RISANKIZUMAB</w:t>
            </w:r>
          </w:p>
          <w:p w14:paraId="18C7D174" w14:textId="77777777" w:rsidR="00CE2C69" w:rsidRPr="005B6D7B" w:rsidRDefault="00CE2C69" w:rsidP="00BE4C70">
            <w:pPr>
              <w:pStyle w:val="Tabletext"/>
              <w:rPr>
                <w:szCs w:val="20"/>
              </w:rPr>
            </w:pPr>
            <w:r w:rsidRPr="005B6D7B">
              <w:t>150 mg/1 mL injection, 1 mL pen device</w:t>
            </w:r>
          </w:p>
        </w:tc>
        <w:tc>
          <w:tcPr>
            <w:tcW w:w="1843" w:type="dxa"/>
          </w:tcPr>
          <w:p w14:paraId="44BB1533" w14:textId="7B0FC9A5" w:rsidR="00CE2C69" w:rsidRPr="005B6D7B" w:rsidRDefault="00CE2C69" w:rsidP="00BE4C70">
            <w:pPr>
              <w:pStyle w:val="Tabletext"/>
              <w:jc w:val="center"/>
            </w:pPr>
            <w:r w:rsidRPr="005B6D7B">
              <w:t>$5,400.57 published</w:t>
            </w:r>
          </w:p>
          <w:p w14:paraId="582918FF" w14:textId="3E591446" w:rsidR="00CE2C69" w:rsidRPr="005B6D7B" w:rsidRDefault="00CE2C69" w:rsidP="00BE4C70">
            <w:pPr>
              <w:pStyle w:val="Tabletext"/>
              <w:jc w:val="center"/>
              <w:rPr>
                <w:szCs w:val="20"/>
              </w:rPr>
            </w:pPr>
            <w:r w:rsidRPr="005B6D7B">
              <w:t>$</w:t>
            </w:r>
            <w:r w:rsidR="008A02DF" w:rsidRPr="00254FC6">
              <w:rPr>
                <w:rFonts w:hint="eastAsia"/>
                <w:color w:val="000000"/>
                <w:w w:val="15"/>
                <w:shd w:val="solid" w:color="000000" w:fill="000000"/>
                <w:fitText w:val="55" w:id="-1032089085"/>
                <w14:textFill>
                  <w14:solidFill>
                    <w14:srgbClr w14:val="000000">
                      <w14:alpha w14:val="100000"/>
                    </w14:srgbClr>
                  </w14:solidFill>
                </w14:textFill>
              </w:rPr>
              <w:t xml:space="preserve">　</w:t>
            </w:r>
            <w:r w:rsidR="008A02DF" w:rsidRPr="00254FC6">
              <w:rPr>
                <w:color w:val="000000"/>
                <w:w w:val="15"/>
                <w:shd w:val="solid" w:color="000000" w:fill="000000"/>
                <w:fitText w:val="55" w:id="-1032089085"/>
                <w14:textFill>
                  <w14:solidFill>
                    <w14:srgbClr w14:val="000000">
                      <w14:alpha w14:val="100000"/>
                    </w14:srgbClr>
                  </w14:solidFill>
                </w14:textFill>
              </w:rPr>
              <w:t>|</w:t>
            </w:r>
            <w:r w:rsidR="008A02DF" w:rsidRPr="00254FC6">
              <w:rPr>
                <w:rFonts w:hint="eastAsia"/>
                <w:color w:val="000000"/>
                <w:spacing w:val="-10"/>
                <w:w w:val="15"/>
                <w:shd w:val="solid" w:color="000000" w:fill="000000"/>
                <w:fitText w:val="55" w:id="-1032089085"/>
                <w14:textFill>
                  <w14:solidFill>
                    <w14:srgbClr w14:val="000000">
                      <w14:alpha w14:val="100000"/>
                    </w14:srgbClr>
                  </w14:solidFill>
                </w14:textFill>
              </w:rPr>
              <w:t xml:space="preserve">　</w:t>
            </w:r>
            <w:r w:rsidRPr="005B6D7B">
              <w:t xml:space="preserve"> effective</w:t>
            </w:r>
          </w:p>
        </w:tc>
        <w:tc>
          <w:tcPr>
            <w:tcW w:w="992" w:type="dxa"/>
            <w:vAlign w:val="center"/>
          </w:tcPr>
          <w:p w14:paraId="3BB0D5D0" w14:textId="77777777" w:rsidR="00CE2C69" w:rsidRPr="005B6D7B" w:rsidRDefault="00CE2C69" w:rsidP="00BE4C70">
            <w:pPr>
              <w:pStyle w:val="Tabletext"/>
              <w:jc w:val="center"/>
              <w:rPr>
                <w:szCs w:val="20"/>
              </w:rPr>
            </w:pPr>
            <w:r w:rsidRPr="005B6D7B">
              <w:t>1</w:t>
            </w:r>
          </w:p>
        </w:tc>
        <w:tc>
          <w:tcPr>
            <w:tcW w:w="992" w:type="dxa"/>
            <w:vAlign w:val="center"/>
          </w:tcPr>
          <w:p w14:paraId="0A076AFA" w14:textId="77777777" w:rsidR="00CE2C69" w:rsidRPr="005B6D7B" w:rsidRDefault="00CE2C69" w:rsidP="00BE4C70">
            <w:pPr>
              <w:pStyle w:val="Tabletext"/>
              <w:jc w:val="center"/>
              <w:rPr>
                <w:szCs w:val="20"/>
              </w:rPr>
            </w:pPr>
            <w:r w:rsidRPr="005B6D7B">
              <w:t>1</w:t>
            </w:r>
          </w:p>
        </w:tc>
        <w:tc>
          <w:tcPr>
            <w:tcW w:w="992" w:type="dxa"/>
            <w:vAlign w:val="center"/>
          </w:tcPr>
          <w:p w14:paraId="599FA733" w14:textId="77777777" w:rsidR="00CE2C69" w:rsidRPr="005B6D7B" w:rsidRDefault="00CE2C69" w:rsidP="00BE4C70">
            <w:pPr>
              <w:pStyle w:val="Tabletext"/>
              <w:jc w:val="center"/>
              <w:rPr>
                <w:szCs w:val="20"/>
              </w:rPr>
            </w:pPr>
            <w:r w:rsidRPr="005B6D7B">
              <w:rPr>
                <w:szCs w:val="20"/>
              </w:rPr>
              <w:t>Init: 2</w:t>
            </w:r>
          </w:p>
          <w:p w14:paraId="5CDE3A13" w14:textId="77777777" w:rsidR="00CE2C69" w:rsidRPr="005B6D7B" w:rsidRDefault="00CE2C69" w:rsidP="00BE4C70">
            <w:pPr>
              <w:pStyle w:val="Tabletext"/>
              <w:jc w:val="center"/>
              <w:rPr>
                <w:szCs w:val="20"/>
              </w:rPr>
            </w:pPr>
            <w:r w:rsidRPr="005B6D7B">
              <w:rPr>
                <w:szCs w:val="20"/>
              </w:rPr>
              <w:t>Cont: 1</w:t>
            </w:r>
          </w:p>
        </w:tc>
        <w:tc>
          <w:tcPr>
            <w:tcW w:w="1084" w:type="dxa"/>
            <w:vAlign w:val="center"/>
          </w:tcPr>
          <w:p w14:paraId="5466CFFB" w14:textId="77777777" w:rsidR="00CE2C69" w:rsidRPr="005B6D7B" w:rsidRDefault="00CE2C69" w:rsidP="00BE4C70">
            <w:pPr>
              <w:pStyle w:val="Tabletext"/>
              <w:rPr>
                <w:szCs w:val="20"/>
              </w:rPr>
            </w:pPr>
            <w:r w:rsidRPr="005B6D7B">
              <w:rPr>
                <w:szCs w:val="20"/>
              </w:rPr>
              <w:t>Skyrizi</w:t>
            </w:r>
          </w:p>
        </w:tc>
      </w:tr>
      <w:tr w:rsidR="00CE2C69" w:rsidRPr="005B6D7B" w14:paraId="453481BA" w14:textId="77777777" w:rsidTr="007A4A2F">
        <w:tblPrEx>
          <w:tblCellMar>
            <w:top w:w="15" w:type="dxa"/>
            <w:left w:w="108" w:type="dxa"/>
            <w:bottom w:w="15" w:type="dxa"/>
            <w:right w:w="108" w:type="dxa"/>
          </w:tblCellMar>
          <w:tblLook w:val="04A0" w:firstRow="1" w:lastRow="0" w:firstColumn="1" w:lastColumn="0" w:noHBand="0" w:noVBand="1"/>
        </w:tblPrEx>
        <w:trPr>
          <w:cantSplit/>
          <w:trHeight w:val="20"/>
        </w:trPr>
        <w:tc>
          <w:tcPr>
            <w:tcW w:w="9017" w:type="dxa"/>
            <w:gridSpan w:val="6"/>
            <w:vAlign w:val="center"/>
          </w:tcPr>
          <w:p w14:paraId="16C957A8" w14:textId="77777777" w:rsidR="00CE2C69" w:rsidRPr="005B6D7B" w:rsidRDefault="00CE2C69" w:rsidP="001162A4">
            <w:pPr>
              <w:pStyle w:val="TableText0"/>
              <w:keepLines/>
              <w:rPr>
                <w:b/>
              </w:rPr>
            </w:pPr>
            <w:bookmarkStart w:id="13" w:name="_Hlk104809470"/>
            <w:bookmarkEnd w:id="12"/>
            <w:r w:rsidRPr="005B6D7B">
              <w:rPr>
                <w:b/>
              </w:rPr>
              <w:t xml:space="preserve">Severity: </w:t>
            </w:r>
            <w:r w:rsidRPr="005B6D7B">
              <w:rPr>
                <w:bCs w:val="0"/>
              </w:rPr>
              <w:t>Severe</w:t>
            </w:r>
          </w:p>
        </w:tc>
      </w:tr>
      <w:tr w:rsidR="00CE2C69" w:rsidRPr="005B6D7B" w14:paraId="5C0AD4DE" w14:textId="77777777" w:rsidTr="007A4A2F">
        <w:tblPrEx>
          <w:tblCellMar>
            <w:top w:w="15" w:type="dxa"/>
            <w:left w:w="108" w:type="dxa"/>
            <w:bottom w:w="15" w:type="dxa"/>
            <w:right w:w="108" w:type="dxa"/>
          </w:tblCellMar>
          <w:tblLook w:val="04A0" w:firstRow="1" w:lastRow="0" w:firstColumn="1" w:lastColumn="0" w:noHBand="0" w:noVBand="1"/>
        </w:tblPrEx>
        <w:trPr>
          <w:cantSplit/>
          <w:trHeight w:val="20"/>
        </w:trPr>
        <w:tc>
          <w:tcPr>
            <w:tcW w:w="9017" w:type="dxa"/>
            <w:gridSpan w:val="6"/>
            <w:vAlign w:val="center"/>
          </w:tcPr>
          <w:p w14:paraId="0A61912B" w14:textId="77777777" w:rsidR="00CE2C69" w:rsidRPr="005B6D7B" w:rsidRDefault="00CE2C69" w:rsidP="001162A4">
            <w:pPr>
              <w:pStyle w:val="TableText0"/>
              <w:keepLines/>
              <w:rPr>
                <w:b/>
              </w:rPr>
            </w:pPr>
            <w:r w:rsidRPr="005B6D7B">
              <w:rPr>
                <w:b/>
              </w:rPr>
              <w:t xml:space="preserve">Condition: </w:t>
            </w:r>
            <w:r w:rsidRPr="005B6D7B">
              <w:rPr>
                <w:bCs w:val="0"/>
              </w:rPr>
              <w:t>Chronic plaque psoriasis</w:t>
            </w:r>
          </w:p>
        </w:tc>
      </w:tr>
      <w:tr w:rsidR="00CE2C69" w:rsidRPr="005B6D7B" w14:paraId="45444575" w14:textId="77777777" w:rsidTr="007A4A2F">
        <w:tblPrEx>
          <w:tblCellMar>
            <w:top w:w="15" w:type="dxa"/>
            <w:left w:w="108" w:type="dxa"/>
            <w:bottom w:w="15" w:type="dxa"/>
            <w:right w:w="108" w:type="dxa"/>
          </w:tblCellMar>
          <w:tblLook w:val="04A0" w:firstRow="1" w:lastRow="0" w:firstColumn="1" w:lastColumn="0" w:noHBand="0" w:noVBand="1"/>
        </w:tblPrEx>
        <w:trPr>
          <w:cantSplit/>
          <w:trHeight w:val="20"/>
        </w:trPr>
        <w:tc>
          <w:tcPr>
            <w:tcW w:w="9017" w:type="dxa"/>
            <w:gridSpan w:val="6"/>
          </w:tcPr>
          <w:p w14:paraId="269535F8" w14:textId="77777777" w:rsidR="00CE2C69" w:rsidRPr="005B6D7B" w:rsidRDefault="00CE2C69" w:rsidP="001162A4">
            <w:pPr>
              <w:pStyle w:val="TableText0"/>
              <w:keepLines/>
              <w:rPr>
                <w:b/>
              </w:rPr>
            </w:pPr>
            <w:r w:rsidRPr="005B6D7B">
              <w:rPr>
                <w:b/>
              </w:rPr>
              <w:t xml:space="preserve">Treatment Phase: </w:t>
            </w:r>
            <w:r w:rsidRPr="005B6D7B">
              <w:rPr>
                <w:bCs w:val="0"/>
              </w:rPr>
              <w:t>Initial treatment</w:t>
            </w:r>
          </w:p>
        </w:tc>
      </w:tr>
      <w:tr w:rsidR="00CE2C69" w:rsidRPr="005B6D7B" w14:paraId="3C9104C3" w14:textId="77777777" w:rsidTr="007A4A2F">
        <w:tblPrEx>
          <w:tblCellMar>
            <w:top w:w="15" w:type="dxa"/>
            <w:left w:w="108" w:type="dxa"/>
            <w:bottom w:w="15" w:type="dxa"/>
            <w:right w:w="108" w:type="dxa"/>
          </w:tblCellMar>
          <w:tblLook w:val="04A0" w:firstRow="1" w:lastRow="0" w:firstColumn="1" w:lastColumn="0" w:noHBand="0" w:noVBand="1"/>
        </w:tblPrEx>
        <w:trPr>
          <w:cantSplit/>
          <w:trHeight w:val="20"/>
        </w:trPr>
        <w:tc>
          <w:tcPr>
            <w:tcW w:w="9017" w:type="dxa"/>
            <w:gridSpan w:val="6"/>
          </w:tcPr>
          <w:p w14:paraId="67297597" w14:textId="77777777" w:rsidR="00CE2C69" w:rsidRPr="005B6D7B" w:rsidRDefault="00CE2C69" w:rsidP="001162A4">
            <w:pPr>
              <w:pStyle w:val="TableText0"/>
              <w:keepLines/>
              <w:rPr>
                <w:b/>
              </w:rPr>
            </w:pPr>
            <w:r w:rsidRPr="005B6D7B">
              <w:rPr>
                <w:b/>
              </w:rPr>
              <w:t xml:space="preserve">Restriction type: </w:t>
            </w:r>
            <w:r w:rsidRPr="005B6D7B">
              <w:rPr>
                <w:rFonts w:eastAsia="Times New Roman"/>
              </w:rPr>
              <w:fldChar w:fldCharType="begin" w:fldLock="1">
                <w:ffData>
                  <w:name w:val=""/>
                  <w:enabled/>
                  <w:calcOnExit w:val="0"/>
                  <w:checkBox>
                    <w:sizeAuto/>
                    <w:default w:val="1"/>
                  </w:checkBox>
                </w:ffData>
              </w:fldChar>
            </w:r>
            <w:r w:rsidRPr="005B6D7B">
              <w:rPr>
                <w:rFonts w:eastAsia="Times New Roman"/>
              </w:rPr>
              <w:instrText xml:space="preserve"> FORMCHECKBOX </w:instrText>
            </w:r>
            <w:r w:rsidR="004D70E1">
              <w:rPr>
                <w:rFonts w:eastAsia="Times New Roman"/>
              </w:rPr>
            </w:r>
            <w:r w:rsidR="004D70E1">
              <w:rPr>
                <w:rFonts w:eastAsia="Times New Roman"/>
              </w:rPr>
              <w:fldChar w:fldCharType="separate"/>
            </w:r>
            <w:r w:rsidRPr="005B6D7B">
              <w:rPr>
                <w:rFonts w:eastAsia="Times New Roman"/>
              </w:rPr>
              <w:fldChar w:fldCharType="end"/>
            </w:r>
            <w:r w:rsidRPr="005B6D7B">
              <w:rPr>
                <w:rFonts w:eastAsia="Times New Roman"/>
              </w:rPr>
              <w:t>Authority Required - in writing</w:t>
            </w:r>
          </w:p>
        </w:tc>
      </w:tr>
      <w:tr w:rsidR="00CE2C69" w:rsidRPr="005B6D7B" w14:paraId="5092A267" w14:textId="77777777" w:rsidTr="007A4A2F">
        <w:tblPrEx>
          <w:tblCellMar>
            <w:top w:w="15" w:type="dxa"/>
            <w:left w:w="108" w:type="dxa"/>
            <w:bottom w:w="15" w:type="dxa"/>
            <w:right w:w="108" w:type="dxa"/>
          </w:tblCellMar>
          <w:tblLook w:val="04A0" w:firstRow="1" w:lastRow="0" w:firstColumn="1" w:lastColumn="0" w:noHBand="0" w:noVBand="1"/>
        </w:tblPrEx>
        <w:trPr>
          <w:cantSplit/>
          <w:trHeight w:val="20"/>
        </w:trPr>
        <w:tc>
          <w:tcPr>
            <w:tcW w:w="9017" w:type="dxa"/>
            <w:gridSpan w:val="6"/>
            <w:vAlign w:val="center"/>
          </w:tcPr>
          <w:p w14:paraId="22707DB1" w14:textId="74E4F0F6" w:rsidR="00CE2C69" w:rsidRPr="005B6D7B" w:rsidRDefault="00CE2C69" w:rsidP="001162A4">
            <w:pPr>
              <w:pStyle w:val="TableText0"/>
              <w:keepLines/>
              <w:rPr>
                <w:b/>
              </w:rPr>
            </w:pPr>
            <w:r w:rsidRPr="005B6D7B">
              <w:rPr>
                <w:b/>
              </w:rPr>
              <w:t xml:space="preserve">Treatment criteria: </w:t>
            </w:r>
            <w:r w:rsidRPr="005B6D7B">
              <w:rPr>
                <w:bCs w:val="0"/>
              </w:rPr>
              <w:t>As per current risankizumab listing</w:t>
            </w:r>
          </w:p>
        </w:tc>
      </w:tr>
      <w:tr w:rsidR="00CE2C69" w:rsidRPr="005B6D7B" w14:paraId="65BD5079" w14:textId="77777777" w:rsidTr="007A4A2F">
        <w:tblPrEx>
          <w:tblCellMar>
            <w:top w:w="15" w:type="dxa"/>
            <w:left w:w="108" w:type="dxa"/>
            <w:bottom w:w="15" w:type="dxa"/>
            <w:right w:w="108" w:type="dxa"/>
          </w:tblCellMar>
          <w:tblLook w:val="04A0" w:firstRow="1" w:lastRow="0" w:firstColumn="1" w:lastColumn="0" w:noHBand="0" w:noVBand="1"/>
        </w:tblPrEx>
        <w:trPr>
          <w:cantSplit/>
          <w:trHeight w:val="20"/>
        </w:trPr>
        <w:tc>
          <w:tcPr>
            <w:tcW w:w="9017" w:type="dxa"/>
            <w:gridSpan w:val="6"/>
            <w:vAlign w:val="center"/>
            <w:hideMark/>
          </w:tcPr>
          <w:p w14:paraId="246D1E9D" w14:textId="0DFD1524" w:rsidR="00CE2C69" w:rsidRPr="005B6D7B" w:rsidRDefault="00CE2C69" w:rsidP="001162A4">
            <w:pPr>
              <w:pStyle w:val="TableText0"/>
              <w:keepLines/>
              <w:rPr>
                <w:bCs w:val="0"/>
              </w:rPr>
            </w:pPr>
            <w:r w:rsidRPr="005B6D7B">
              <w:rPr>
                <w:b/>
              </w:rPr>
              <w:t xml:space="preserve">Clinical criteria: </w:t>
            </w:r>
            <w:r w:rsidRPr="005B6D7B">
              <w:rPr>
                <w:bCs w:val="0"/>
              </w:rPr>
              <w:t>As per current risankizumab listing, but with removal of the ‘3-strike rule’:</w:t>
            </w:r>
          </w:p>
          <w:p w14:paraId="093C34AC" w14:textId="77777777" w:rsidR="00CE2C69" w:rsidRPr="005B6D7B" w:rsidRDefault="00CE2C69" w:rsidP="001162A4">
            <w:pPr>
              <w:pStyle w:val="TableText0"/>
              <w:keepLines/>
              <w:rPr>
                <w:bCs w:val="0"/>
                <w:strike/>
              </w:rPr>
            </w:pPr>
            <w:r w:rsidRPr="005B6D7B">
              <w:rPr>
                <w:bCs w:val="0"/>
                <w:strike/>
              </w:rPr>
              <w:t>Patient must not have already failed, or ceased to respond to, PBS-subsidised treatment with 3 biological medicines for this condition within this treatment cycle</w:t>
            </w:r>
          </w:p>
        </w:tc>
      </w:tr>
      <w:tr w:rsidR="00CE2C69" w:rsidRPr="005B6D7B" w14:paraId="64E97CB3" w14:textId="77777777" w:rsidTr="007A4A2F">
        <w:tblPrEx>
          <w:tblCellMar>
            <w:top w:w="15" w:type="dxa"/>
            <w:left w:w="108" w:type="dxa"/>
            <w:bottom w:w="15" w:type="dxa"/>
            <w:right w:w="108" w:type="dxa"/>
          </w:tblCellMar>
          <w:tblLook w:val="04A0" w:firstRow="1" w:lastRow="0" w:firstColumn="1" w:lastColumn="0" w:noHBand="0" w:noVBand="1"/>
        </w:tblPrEx>
        <w:trPr>
          <w:cantSplit/>
          <w:trHeight w:val="20"/>
        </w:trPr>
        <w:tc>
          <w:tcPr>
            <w:tcW w:w="9017" w:type="dxa"/>
            <w:gridSpan w:val="6"/>
          </w:tcPr>
          <w:p w14:paraId="2AC50F52" w14:textId="77777777" w:rsidR="00CE2C69" w:rsidRPr="005B6D7B" w:rsidRDefault="00CE2C69" w:rsidP="001162A4">
            <w:pPr>
              <w:pStyle w:val="TableText0"/>
              <w:keepLines/>
              <w:rPr>
                <w:b/>
              </w:rPr>
            </w:pPr>
            <w:r w:rsidRPr="005B6D7B">
              <w:rPr>
                <w:b/>
              </w:rPr>
              <w:t xml:space="preserve">Treatment Phase: </w:t>
            </w:r>
            <w:r w:rsidRPr="005B6D7B">
              <w:rPr>
                <w:bCs w:val="0"/>
              </w:rPr>
              <w:t>Continuing treatment</w:t>
            </w:r>
          </w:p>
        </w:tc>
      </w:tr>
      <w:tr w:rsidR="00CE2C69" w:rsidRPr="005B6D7B" w14:paraId="0164901E" w14:textId="77777777" w:rsidTr="007A4A2F">
        <w:tblPrEx>
          <w:tblCellMar>
            <w:top w:w="15" w:type="dxa"/>
            <w:left w:w="108" w:type="dxa"/>
            <w:bottom w:w="15" w:type="dxa"/>
            <w:right w:w="108" w:type="dxa"/>
          </w:tblCellMar>
          <w:tblLook w:val="04A0" w:firstRow="1" w:lastRow="0" w:firstColumn="1" w:lastColumn="0" w:noHBand="0" w:noVBand="1"/>
        </w:tblPrEx>
        <w:trPr>
          <w:cantSplit/>
          <w:trHeight w:val="20"/>
        </w:trPr>
        <w:tc>
          <w:tcPr>
            <w:tcW w:w="9017" w:type="dxa"/>
            <w:gridSpan w:val="6"/>
          </w:tcPr>
          <w:p w14:paraId="6C61DCE8" w14:textId="77777777" w:rsidR="00CE2C69" w:rsidRPr="005B6D7B" w:rsidRDefault="00CE2C69" w:rsidP="001162A4">
            <w:pPr>
              <w:pStyle w:val="TableText0"/>
              <w:keepLines/>
              <w:rPr>
                <w:b/>
              </w:rPr>
            </w:pPr>
            <w:r w:rsidRPr="005B6D7B">
              <w:rPr>
                <w:b/>
              </w:rPr>
              <w:t xml:space="preserve">Restriction type: </w:t>
            </w:r>
            <w:r w:rsidRPr="005B6D7B">
              <w:rPr>
                <w:rFonts w:eastAsia="Times New Roman"/>
              </w:rPr>
              <w:fldChar w:fldCharType="begin" w:fldLock="1">
                <w:ffData>
                  <w:name w:val=""/>
                  <w:enabled/>
                  <w:calcOnExit w:val="0"/>
                  <w:checkBox>
                    <w:sizeAuto/>
                    <w:default w:val="1"/>
                  </w:checkBox>
                </w:ffData>
              </w:fldChar>
            </w:r>
            <w:r w:rsidRPr="005B6D7B">
              <w:rPr>
                <w:rFonts w:eastAsia="Times New Roman"/>
              </w:rPr>
              <w:instrText xml:space="preserve"> FORMCHECKBOX </w:instrText>
            </w:r>
            <w:r w:rsidR="004D70E1">
              <w:rPr>
                <w:rFonts w:eastAsia="Times New Roman"/>
              </w:rPr>
            </w:r>
            <w:r w:rsidR="004D70E1">
              <w:rPr>
                <w:rFonts w:eastAsia="Times New Roman"/>
              </w:rPr>
              <w:fldChar w:fldCharType="separate"/>
            </w:r>
            <w:r w:rsidRPr="005B6D7B">
              <w:rPr>
                <w:rFonts w:eastAsia="Times New Roman"/>
              </w:rPr>
              <w:fldChar w:fldCharType="end"/>
            </w:r>
            <w:r w:rsidRPr="005B6D7B">
              <w:rPr>
                <w:rFonts w:eastAsia="Times New Roman"/>
              </w:rPr>
              <w:t xml:space="preserve"> Authority Required (STREAMLINED)</w:t>
            </w:r>
          </w:p>
        </w:tc>
      </w:tr>
      <w:tr w:rsidR="00CE2C69" w:rsidRPr="005B6D7B" w14:paraId="45E2D957" w14:textId="77777777" w:rsidTr="007A4A2F">
        <w:tblPrEx>
          <w:tblCellMar>
            <w:top w:w="15" w:type="dxa"/>
            <w:left w:w="108" w:type="dxa"/>
            <w:bottom w:w="15" w:type="dxa"/>
            <w:right w:w="108" w:type="dxa"/>
          </w:tblCellMar>
          <w:tblLook w:val="04A0" w:firstRow="1" w:lastRow="0" w:firstColumn="1" w:lastColumn="0" w:noHBand="0" w:noVBand="1"/>
        </w:tblPrEx>
        <w:trPr>
          <w:cantSplit/>
          <w:trHeight w:val="20"/>
        </w:trPr>
        <w:tc>
          <w:tcPr>
            <w:tcW w:w="9017" w:type="dxa"/>
            <w:gridSpan w:val="6"/>
            <w:vAlign w:val="center"/>
          </w:tcPr>
          <w:p w14:paraId="09F98EAB" w14:textId="4120BEA6" w:rsidR="00CE2C69" w:rsidRPr="005B6D7B" w:rsidRDefault="00CE2C69" w:rsidP="001162A4">
            <w:pPr>
              <w:pStyle w:val="TableText0"/>
              <w:keepLines/>
              <w:rPr>
                <w:b/>
              </w:rPr>
            </w:pPr>
            <w:r w:rsidRPr="005B6D7B">
              <w:rPr>
                <w:b/>
              </w:rPr>
              <w:t xml:space="preserve">Treatment criteria: </w:t>
            </w:r>
            <w:r w:rsidRPr="005B6D7B">
              <w:rPr>
                <w:bCs w:val="0"/>
              </w:rPr>
              <w:t>As per current risankizumab listing</w:t>
            </w:r>
          </w:p>
        </w:tc>
      </w:tr>
      <w:tr w:rsidR="00CE2C69" w:rsidRPr="005B6D7B" w14:paraId="09A464EB" w14:textId="77777777" w:rsidTr="007A4A2F">
        <w:tblPrEx>
          <w:tblCellMar>
            <w:top w:w="15" w:type="dxa"/>
            <w:left w:w="108" w:type="dxa"/>
            <w:bottom w:w="15" w:type="dxa"/>
            <w:right w:w="108" w:type="dxa"/>
          </w:tblCellMar>
          <w:tblLook w:val="04A0" w:firstRow="1" w:lastRow="0" w:firstColumn="1" w:lastColumn="0" w:noHBand="0" w:noVBand="1"/>
        </w:tblPrEx>
        <w:trPr>
          <w:cantSplit/>
          <w:trHeight w:val="20"/>
        </w:trPr>
        <w:tc>
          <w:tcPr>
            <w:tcW w:w="9017" w:type="dxa"/>
            <w:gridSpan w:val="6"/>
            <w:vAlign w:val="center"/>
          </w:tcPr>
          <w:p w14:paraId="2AB8ABD2" w14:textId="203EC577" w:rsidR="00CE2C69" w:rsidRPr="005B6D7B" w:rsidRDefault="00CE2C69" w:rsidP="001162A4">
            <w:pPr>
              <w:pStyle w:val="TableText0"/>
              <w:keepLines/>
              <w:rPr>
                <w:bCs w:val="0"/>
              </w:rPr>
            </w:pPr>
            <w:r w:rsidRPr="005B6D7B">
              <w:rPr>
                <w:b/>
              </w:rPr>
              <w:t xml:space="preserve">Clinical criteria: </w:t>
            </w:r>
            <w:r w:rsidRPr="005B6D7B">
              <w:rPr>
                <w:bCs w:val="0"/>
              </w:rPr>
              <w:t>As per current risankizumab listing</w:t>
            </w:r>
          </w:p>
        </w:tc>
      </w:tr>
    </w:tbl>
    <w:bookmarkEnd w:id="13"/>
    <w:p w14:paraId="2F612833" w14:textId="77777777" w:rsidR="00CE2C69" w:rsidRPr="009A24F9" w:rsidRDefault="00CE2C69" w:rsidP="00BE4C70">
      <w:pPr>
        <w:pStyle w:val="3-BodyText"/>
        <w:spacing w:before="120"/>
      </w:pPr>
      <w:r w:rsidRPr="009A24F9">
        <w:t>The submission requested listing of risankizumab 150 mg PFP and 150 mg PFS under similar circumstances as the currently listed risankizumab 75 mg PFS. The sponsor requested the same published and effective prices as the 75 mg PFS (two pack), but proposed changes to the Restriction Authority level and treatment cycle criteria.</w:t>
      </w:r>
    </w:p>
    <w:p w14:paraId="3D4FE77F" w14:textId="08BB73C4" w:rsidR="00CE2C69" w:rsidRPr="009A24F9" w:rsidRDefault="00CE2C69" w:rsidP="008803F4">
      <w:pPr>
        <w:pStyle w:val="3-BodyText"/>
      </w:pPr>
      <w:r w:rsidRPr="009A24F9">
        <w:t>The sponsor requested that the Authority Required level is lowered from a written authority to a streamlined authority application for continuing treatment. The submission</w:t>
      </w:r>
      <w:r w:rsidR="00675D8C">
        <w:t xml:space="preserve"> </w:t>
      </w:r>
      <w:r w:rsidRPr="009A24F9">
        <w:t>argued there is no clinical, economic or administrative basis to continue to stipulate a written authority for continuing treatment. Clinicians are familiar with the treatment options and the likelihood of patients continuing to access treatment despite not achieving the continuation criteria is low given a reasonably high proportion of patients would meet the criteria across the available treatments. To mitigate the risk of use beyond the restriction, the submission proposed to maintain the written authority for all initial applications.</w:t>
      </w:r>
    </w:p>
    <w:p w14:paraId="3D70CB1A" w14:textId="5B0053D5" w:rsidR="00CE2C69" w:rsidRPr="009A24F9" w:rsidRDefault="00CE2C69" w:rsidP="008803F4">
      <w:pPr>
        <w:pStyle w:val="3-BodyText"/>
      </w:pPr>
      <w:r w:rsidRPr="009A24F9">
        <w:t xml:space="preserve">At its March 2022 meeting, the PBAC reviewed the written authority level of biologics for CPP (Adult) as part of the Tranche 6 medicines. The </w:t>
      </w:r>
      <w:r w:rsidR="00542B91" w:rsidRPr="009A24F9">
        <w:t>C</w:t>
      </w:r>
      <w:r w:rsidRPr="009A24F9">
        <w:t xml:space="preserve">ommittee acknowledged the administrative burden of written authority applications for prescribers but did not recommend an amendment to the authority requirements </w:t>
      </w:r>
      <w:r w:rsidR="00542B91" w:rsidRPr="009A24F9">
        <w:t>of</w:t>
      </w:r>
      <w:r w:rsidRPr="009A24F9">
        <w:t xml:space="preserve"> any medicine for CPP (Adult) due to market instability, growth in utilisation</w:t>
      </w:r>
      <w:r w:rsidR="00542B91" w:rsidRPr="009A24F9">
        <w:t xml:space="preserve"> /</w:t>
      </w:r>
      <w:r w:rsidRPr="009A24F9">
        <w:t xml:space="preserve"> expenditure of the new </w:t>
      </w:r>
      <w:r w:rsidRPr="009A24F9">
        <w:lastRenderedPageBreak/>
        <w:t>biologic medicines, the risk of use beyond the restriction and the financial risk to government (Tranche 6 Review of Written Authority PBS listings,</w:t>
      </w:r>
      <w:r w:rsidR="005E36C8">
        <w:t xml:space="preserve"> PBAC Outcomes</w:t>
      </w:r>
      <w:r w:rsidRPr="009A24F9">
        <w:t xml:space="preserve"> March 2022). </w:t>
      </w:r>
      <w:r w:rsidR="00BA36C0" w:rsidRPr="005D1E8B">
        <w:t>The Pre-Sub-Committee Response</w:t>
      </w:r>
      <w:r w:rsidR="00C94F93">
        <w:t xml:space="preserve"> (PSCR)</w:t>
      </w:r>
      <w:r w:rsidR="00BA36C0" w:rsidRPr="005D1E8B">
        <w:t xml:space="preserve"> </w:t>
      </w:r>
      <w:r w:rsidR="00675D8C">
        <w:t>reiterated</w:t>
      </w:r>
      <w:r w:rsidR="00675D8C" w:rsidRPr="005D1E8B">
        <w:t xml:space="preserve"> </w:t>
      </w:r>
      <w:r w:rsidR="00BA36C0" w:rsidRPr="005D1E8B">
        <w:t>there is no clinical, economic or administrative basis to continue to stipulate a written authority for continuing prescriptions in severe CPP which compounds existing challenges faced by the dermatology workforce to meet demand, and</w:t>
      </w:r>
      <w:r w:rsidR="007C6E35" w:rsidRPr="005D1E8B">
        <w:t xml:space="preserve"> the change</w:t>
      </w:r>
      <w:r w:rsidR="00BA36C0" w:rsidRPr="005D1E8B">
        <w:t xml:space="preserve"> would remove an administrative burden for these specialists.</w:t>
      </w:r>
      <w:r w:rsidR="00BA36C0">
        <w:rPr>
          <w:i/>
          <w:iCs/>
        </w:rPr>
        <w:t xml:space="preserve"> </w:t>
      </w:r>
    </w:p>
    <w:p w14:paraId="2B2C87BA" w14:textId="5D5D5B87" w:rsidR="00CE2C69" w:rsidRPr="009A24F9" w:rsidRDefault="00CE2C69" w:rsidP="005935B9">
      <w:pPr>
        <w:pStyle w:val="3-BodyText"/>
      </w:pPr>
      <w:r w:rsidRPr="009A24F9">
        <w:t xml:space="preserve">The submission requested removal of the current ‘three-strike’ rule from the restriction and implementation of a more </w:t>
      </w:r>
      <w:r w:rsidR="005935B9" w:rsidRPr="009A24F9">
        <w:t>‘</w:t>
      </w:r>
      <w:r w:rsidRPr="009A24F9">
        <w:t>patient-centric</w:t>
      </w:r>
      <w:r w:rsidR="005935B9" w:rsidRPr="009A24F9">
        <w:t>’</w:t>
      </w:r>
      <w:r w:rsidRPr="009A24F9">
        <w:t xml:space="preserve"> approach to optimising treatment outcomes. Currently, patients must undergo a five year break from treatment after failing or ceasing to respond to three biologics for this condition. </w:t>
      </w:r>
      <w:r w:rsidR="005935B9" w:rsidRPr="009A24F9">
        <w:t xml:space="preserve">The submission </w:t>
      </w:r>
      <w:r w:rsidR="00675D8C">
        <w:t>stated</w:t>
      </w:r>
      <w:r w:rsidR="00675D8C" w:rsidRPr="009A24F9">
        <w:t xml:space="preserve"> </w:t>
      </w:r>
      <w:r w:rsidR="005935B9" w:rsidRPr="009A24F9">
        <w:t>s</w:t>
      </w:r>
      <w:r w:rsidRPr="009A24F9">
        <w:t xml:space="preserve">pecifying a maximum number of failed therapies (or strikes) causes clinician reticence around switching treatments in patients achieving suboptimal outcomes and leads to over prescribing of topical treatments. </w:t>
      </w:r>
      <w:r w:rsidR="00675D8C">
        <w:t>The submission stated n</w:t>
      </w:r>
      <w:r w:rsidRPr="009A24F9">
        <w:t>either of these therapeutic strategies is in the best interests of patients.</w:t>
      </w:r>
    </w:p>
    <w:p w14:paraId="665FB7E5" w14:textId="6A6E9179" w:rsidR="00CE2C69" w:rsidRPr="009A24F9" w:rsidRDefault="00CE2C69" w:rsidP="005935B9">
      <w:pPr>
        <w:pStyle w:val="3-BodyText"/>
      </w:pPr>
      <w:bookmarkStart w:id="14" w:name="_Ref150781703"/>
      <w:r w:rsidRPr="009A24F9">
        <w:t>The submission did not propose any wording for the proposed</w:t>
      </w:r>
      <w:r w:rsidR="005935B9" w:rsidRPr="009A24F9">
        <w:t xml:space="preserve"> restriction to achieve a more </w:t>
      </w:r>
      <w:r w:rsidRPr="009A24F9">
        <w:t>patient-centric approach to prescribing biologics, nor any economic evidence to support removal of the current three-strike criteria. At its November 2022, the PBAC noted a request to amend the three-strike rule to a four-strike rule when considering listing of upadacitinib for the treatment of radiographic axial spondyloarthritis. The PBAC considered it may be reasonable to review the design of treatment cycle requirements for biologics broadly given the range of available treatments with different mechanisms of action since these requirements were originally devised. The PBAC noted such a review was broader than the scope of its consideration of upadacitinib (</w:t>
      </w:r>
      <w:bookmarkStart w:id="15" w:name="_Hlk150943526"/>
      <w:r w:rsidRPr="009A24F9">
        <w:t xml:space="preserve">paragraph 7.3, </w:t>
      </w:r>
      <w:r w:rsidR="00ED28D6">
        <w:t>upadacitinib</w:t>
      </w:r>
      <w:r w:rsidR="00ED28D6" w:rsidRPr="009A24F9">
        <w:t xml:space="preserve"> </w:t>
      </w:r>
      <w:r w:rsidR="00347207" w:rsidRPr="00347207">
        <w:t xml:space="preserve">Public Summary Document </w:t>
      </w:r>
      <w:r w:rsidR="00347207">
        <w:t>(</w:t>
      </w:r>
      <w:r w:rsidRPr="009A24F9">
        <w:t>PSD</w:t>
      </w:r>
      <w:r w:rsidR="00347207">
        <w:t>)</w:t>
      </w:r>
      <w:r w:rsidRPr="009A24F9">
        <w:t>, November 2022</w:t>
      </w:r>
      <w:bookmarkEnd w:id="15"/>
      <w:r w:rsidRPr="009A24F9">
        <w:t>).</w:t>
      </w:r>
      <w:r w:rsidR="00BA36C0">
        <w:t xml:space="preserve"> </w:t>
      </w:r>
      <w:r w:rsidR="00BA36C0" w:rsidRPr="005D1E8B">
        <w:t>The</w:t>
      </w:r>
      <w:r w:rsidR="00347207" w:rsidRPr="00347207">
        <w:rPr>
          <w:rFonts w:ascii="Times New Roman" w:eastAsiaTheme="minorHAnsi" w:hAnsi="Times New Roman" w:cstheme="minorBidi"/>
          <w:snapToGrid/>
          <w:szCs w:val="22"/>
          <w:lang w:eastAsia="en-US"/>
        </w:rPr>
        <w:t xml:space="preserve"> </w:t>
      </w:r>
      <w:r w:rsidR="00BA36C0" w:rsidRPr="005D1E8B">
        <w:t xml:space="preserve">PSCR agreed a broader review of strike rules for biologics was a reasonable approach and </w:t>
      </w:r>
      <w:r w:rsidR="0003575A" w:rsidRPr="005D1E8B">
        <w:t>argued that specifying a maximum number of failed therapies which does not take into consideration the number of available mechanisms of action, followed by a punitive measure of losing subsidised access to treatment for 5 years is not in the best interest of patients and is misaligned with a treatment paradigm of optimal patient care.</w:t>
      </w:r>
      <w:bookmarkEnd w:id="14"/>
      <w:r w:rsidR="0003575A" w:rsidRPr="005D1E8B">
        <w:t xml:space="preserve"> </w:t>
      </w:r>
    </w:p>
    <w:p w14:paraId="011EB76B" w14:textId="456B8A74" w:rsidR="00CE2C69" w:rsidRDefault="00CE2C69" w:rsidP="007324D0">
      <w:pPr>
        <w:pStyle w:val="3-BodyText"/>
      </w:pPr>
      <w:r w:rsidRPr="009A24F9">
        <w:t>The submission also requested that all preparations of risankizumab (150 mg PFP, 150</w:t>
      </w:r>
      <w:r w:rsidR="00DA467F">
        <w:t> </w:t>
      </w:r>
      <w:r w:rsidRPr="009A24F9">
        <w:t xml:space="preserve">mg PFS and 75 mg PFS) be considered equivalent for the purposes of substitution (i.e. ‘a’ flagged in the Schedule) under Section 101(4AACD) of the </w:t>
      </w:r>
      <w:r w:rsidRPr="0055090C">
        <w:rPr>
          <w:i/>
          <w:iCs/>
        </w:rPr>
        <w:t>National Health Act 1953</w:t>
      </w:r>
      <w:r w:rsidRPr="009A24F9">
        <w:t xml:space="preserve">. </w:t>
      </w:r>
      <w:r w:rsidR="007324D0" w:rsidRPr="009A24F9">
        <w:t>The submission</w:t>
      </w:r>
      <w:r w:rsidR="00675D8C">
        <w:t xml:space="preserve"> stated</w:t>
      </w:r>
      <w:r w:rsidR="007324D0" w:rsidRPr="009A24F9">
        <w:t xml:space="preserve"> a</w:t>
      </w:r>
      <w:r w:rsidRPr="009A24F9">
        <w:t>ny training in the use of each preparation could be adequately managed by prescribers and pharmacists, and the sponsor will continue to provide tailored patient education and administration training via the existing Patient Support Program.</w:t>
      </w:r>
    </w:p>
    <w:p w14:paraId="31B06F84" w14:textId="77777777" w:rsidR="00DF49E7" w:rsidRPr="005B6D7B" w:rsidRDefault="00DF49E7" w:rsidP="00DF49E7">
      <w:pPr>
        <w:pStyle w:val="3-BodyText"/>
      </w:pPr>
      <w:r w:rsidRPr="005B6D7B">
        <w:t>The submission stated that the sponsor intends to remove the 75 mg PFS from the PBS after the 150 mg presentations are PBS-listed.</w:t>
      </w:r>
    </w:p>
    <w:p w14:paraId="59C17CE8" w14:textId="08BB9B3C" w:rsidR="005D1E8B" w:rsidRPr="009A24F9" w:rsidRDefault="005D1E8B" w:rsidP="0055090C">
      <w:pPr>
        <w:ind w:firstLine="709"/>
      </w:pPr>
      <w:r w:rsidRPr="00C33D30">
        <w:rPr>
          <w:rFonts w:asciiTheme="minorHAnsi" w:hAnsiTheme="minorHAnsi"/>
          <w:i/>
        </w:rPr>
        <w:t>For more detail on PBAC’s view, see section 7 PBAC outcome.</w:t>
      </w:r>
    </w:p>
    <w:p w14:paraId="4F40C7CA" w14:textId="77777777" w:rsidR="00CE2C69" w:rsidRPr="005B6D7B" w:rsidRDefault="00CE2C69" w:rsidP="00CE2C69">
      <w:pPr>
        <w:pStyle w:val="2-SectionHeading"/>
        <w:numPr>
          <w:ilvl w:val="0"/>
          <w:numId w:val="1"/>
        </w:numPr>
      </w:pPr>
      <w:bookmarkStart w:id="16" w:name="_Toc107927623"/>
      <w:bookmarkStart w:id="17" w:name="_Toc143506198"/>
      <w:r w:rsidRPr="005B6D7B" w:rsidDel="00195452">
        <w:lastRenderedPageBreak/>
        <w:t>Population and disease</w:t>
      </w:r>
      <w:bookmarkEnd w:id="16"/>
      <w:bookmarkEnd w:id="17"/>
    </w:p>
    <w:p w14:paraId="033D744E" w14:textId="47E1D919" w:rsidR="00CE2C69" w:rsidRPr="005B6D7B" w:rsidRDefault="008959F0" w:rsidP="008959F0">
      <w:pPr>
        <w:pStyle w:val="3-BodyText"/>
      </w:pPr>
      <w:r w:rsidRPr="005B6D7B">
        <w:t>Plaque p</w:t>
      </w:r>
      <w:r w:rsidR="00CE2C69" w:rsidRPr="005B6D7B">
        <w:t xml:space="preserve">soriasis is a chronic immune-mediated, painful, and disabling disease of the skin, characterised by disfiguring, scaling and erythematous plaques that may cause significant reductions in quality of life. The target population proposed for the new </w:t>
      </w:r>
      <w:r w:rsidRPr="005B6D7B">
        <w:t>presentations</w:t>
      </w:r>
      <w:r w:rsidR="00CE2C69" w:rsidRPr="005B6D7B">
        <w:t xml:space="preserve"> </w:t>
      </w:r>
      <w:r w:rsidRPr="005B6D7B">
        <w:t xml:space="preserve">of risankizumab </w:t>
      </w:r>
      <w:r w:rsidR="00CE2C69" w:rsidRPr="005B6D7B">
        <w:t xml:space="preserve">(150 mg </w:t>
      </w:r>
      <w:r w:rsidRPr="005B6D7B">
        <w:t>PFP</w:t>
      </w:r>
      <w:r w:rsidR="00CE2C69" w:rsidRPr="005B6D7B">
        <w:t xml:space="preserve"> and 150 mg </w:t>
      </w:r>
      <w:r w:rsidRPr="005B6D7B">
        <w:t>PFS</w:t>
      </w:r>
      <w:r w:rsidR="00CE2C69" w:rsidRPr="005B6D7B">
        <w:t xml:space="preserve">) is the same as for the currently listed </w:t>
      </w:r>
      <w:r w:rsidRPr="005B6D7B">
        <w:t>presentation</w:t>
      </w:r>
      <w:r w:rsidR="00CE2C69" w:rsidRPr="005B6D7B">
        <w:t xml:space="preserve"> </w:t>
      </w:r>
      <w:r w:rsidRPr="005B6D7B">
        <w:t xml:space="preserve">of risankizumab </w:t>
      </w:r>
      <w:r w:rsidR="00CE2C69" w:rsidRPr="005B6D7B">
        <w:t xml:space="preserve">(75 mg </w:t>
      </w:r>
      <w:r w:rsidRPr="005B6D7B">
        <w:t>PFS</w:t>
      </w:r>
      <w:r w:rsidR="00CE2C69" w:rsidRPr="005B6D7B">
        <w:t xml:space="preserve">): </w:t>
      </w:r>
      <w:r w:rsidR="00CE2C69" w:rsidRPr="005B6D7B">
        <w:rPr>
          <w:szCs w:val="22"/>
          <w:lang w:eastAsia="en-US"/>
        </w:rPr>
        <w:t xml:space="preserve">patients with severe CPP who have failed to achieve an adequate response with at least two therapies </w:t>
      </w:r>
      <w:r w:rsidR="00CE2C69" w:rsidRPr="005B6D7B">
        <w:rPr>
          <w:lang w:eastAsia="en-US"/>
        </w:rPr>
        <w:t>including methotrexate, cyclosporin, acitretin, apremilast</w:t>
      </w:r>
      <w:r w:rsidR="00675D8C">
        <w:rPr>
          <w:lang w:eastAsia="en-US"/>
        </w:rPr>
        <w:t xml:space="preserve">, deucravacitinib (as of </w:t>
      </w:r>
      <w:r w:rsidR="006A3DA5">
        <w:rPr>
          <w:lang w:eastAsia="en-US"/>
        </w:rPr>
        <w:t>1 </w:t>
      </w:r>
      <w:r w:rsidR="00675D8C">
        <w:rPr>
          <w:lang w:eastAsia="en-US"/>
        </w:rPr>
        <w:t>October</w:t>
      </w:r>
      <w:r w:rsidR="006A3DA5">
        <w:rPr>
          <w:lang w:eastAsia="en-US"/>
        </w:rPr>
        <w:t> </w:t>
      </w:r>
      <w:r w:rsidR="00675D8C">
        <w:rPr>
          <w:lang w:eastAsia="en-US"/>
        </w:rPr>
        <w:t>2023)</w:t>
      </w:r>
      <w:r w:rsidR="006A3DA5">
        <w:rPr>
          <w:lang w:eastAsia="en-US"/>
        </w:rPr>
        <w:t xml:space="preserve"> </w:t>
      </w:r>
      <w:r w:rsidR="00CE2C69" w:rsidRPr="005B6D7B">
        <w:rPr>
          <w:lang w:eastAsia="en-US"/>
        </w:rPr>
        <w:t>or phototherapy (either UVB or PUVA)</w:t>
      </w:r>
      <w:r w:rsidR="00CE2C69" w:rsidRPr="005B6D7B">
        <w:rPr>
          <w:szCs w:val="22"/>
          <w:lang w:eastAsia="en-US"/>
        </w:rPr>
        <w:t>. On the PBS, disease severity and response to treatment on the PBS is measured by the Psoriasis Area Severity Index (PASI).</w:t>
      </w:r>
    </w:p>
    <w:p w14:paraId="67A37CF2" w14:textId="77777777" w:rsidR="00CE2C69" w:rsidRPr="005B6D7B" w:rsidRDefault="00CE2C69" w:rsidP="0055090C">
      <w:pPr>
        <w:pStyle w:val="3-BodyText"/>
        <w:numPr>
          <w:ilvl w:val="0"/>
          <w:numId w:val="9"/>
        </w:numPr>
        <w:ind w:left="1134"/>
        <w:rPr>
          <w:lang w:eastAsia="en-US"/>
        </w:rPr>
      </w:pPr>
      <w:r w:rsidRPr="005B6D7B">
        <w:rPr>
          <w:lang w:eastAsia="en-US"/>
        </w:rPr>
        <w:t>For whole body disease, patients must have a PASI score &gt; 15 for an initial course of treatment. Continuing treatment is conditional on patients achieving and maintaining a 75% reduction in the PASI score at baseline (i.e., PASI 75 response).</w:t>
      </w:r>
    </w:p>
    <w:p w14:paraId="7956AC91" w14:textId="28C24522" w:rsidR="005D1E8B" w:rsidRPr="005B6D7B" w:rsidRDefault="00CE2C69" w:rsidP="0055090C">
      <w:pPr>
        <w:pStyle w:val="3-BodyText"/>
        <w:numPr>
          <w:ilvl w:val="0"/>
          <w:numId w:val="9"/>
        </w:numPr>
        <w:ind w:left="1134"/>
      </w:pPr>
      <w:r w:rsidRPr="005B6D7B">
        <w:rPr>
          <w:szCs w:val="22"/>
          <w:lang w:eastAsia="en-US"/>
        </w:rPr>
        <w:t xml:space="preserve">For disease affecting the face, hand or foot, patients must have </w:t>
      </w:r>
      <w:r w:rsidRPr="005B6D7B">
        <w:t>2 of 3 PASI symptom sub-scores for erythema, thickness or scaling rated as ‘severe’ or ‘very severe’, or the skin affected is more than 30% of the face, palm of hand or sole of foot. Continuing treatment is conditional on patients achieving and maintain</w:t>
      </w:r>
      <w:r w:rsidR="00AA0D0B" w:rsidRPr="005B6D7B">
        <w:t>ing</w:t>
      </w:r>
      <w:r w:rsidRPr="005B6D7B">
        <w:t xml:space="preserve"> an adequate response, defined as all 3 PASI sub-scores for erythema, thickness or scaling rated as ‘slight’ or ‘better’, or a 75% reduction in the skin area affected compared to baseline.</w:t>
      </w:r>
      <w:r w:rsidR="005D1E8B">
        <w:t xml:space="preserve"> </w:t>
      </w:r>
    </w:p>
    <w:p w14:paraId="74226D8E" w14:textId="77777777" w:rsidR="00CE2C69" w:rsidRPr="005B6D7B" w:rsidRDefault="00CE2C69" w:rsidP="00CE2C69">
      <w:pPr>
        <w:pStyle w:val="2-SectionHeading"/>
        <w:numPr>
          <w:ilvl w:val="0"/>
          <w:numId w:val="1"/>
        </w:numPr>
      </w:pPr>
      <w:bookmarkStart w:id="18" w:name="_Toc107927624"/>
      <w:bookmarkStart w:id="19" w:name="_Toc143506199"/>
      <w:r w:rsidRPr="005B6D7B">
        <w:t>Comparator</w:t>
      </w:r>
      <w:bookmarkEnd w:id="18"/>
      <w:bookmarkEnd w:id="19"/>
    </w:p>
    <w:p w14:paraId="67D1DF70" w14:textId="03D1C381" w:rsidR="00CE2C69" w:rsidRPr="009A24F9" w:rsidRDefault="00CE2C69" w:rsidP="001562B0">
      <w:pPr>
        <w:pStyle w:val="3-BodyText"/>
        <w:rPr>
          <w:snapToGrid/>
        </w:rPr>
      </w:pPr>
      <w:r w:rsidRPr="009A24F9">
        <w:rPr>
          <w:snapToGrid/>
        </w:rPr>
        <w:t xml:space="preserve">The submission stated that </w:t>
      </w:r>
      <w:r w:rsidRPr="009A24F9">
        <w:t xml:space="preserve">the new </w:t>
      </w:r>
      <w:r w:rsidR="00DB6175" w:rsidRPr="009A24F9">
        <w:t>presentations</w:t>
      </w:r>
      <w:r w:rsidRPr="009A24F9">
        <w:t xml:space="preserve"> of risankizumab (150 mg </w:t>
      </w:r>
      <w:r w:rsidR="00DB6175" w:rsidRPr="009A24F9">
        <w:t>PFP and 150 mg PFS)</w:t>
      </w:r>
      <w:r w:rsidRPr="009A24F9">
        <w:t xml:space="preserve"> will directly substitute for the current</w:t>
      </w:r>
      <w:r w:rsidR="00F8549C" w:rsidRPr="009A24F9">
        <w:t>ly listed</w:t>
      </w:r>
      <w:r w:rsidRPr="009A24F9">
        <w:t xml:space="preserve"> </w:t>
      </w:r>
      <w:r w:rsidR="00DB6175" w:rsidRPr="009A24F9">
        <w:t>presentation</w:t>
      </w:r>
      <w:r w:rsidRPr="009A24F9">
        <w:t xml:space="preserve"> of risankizumab (75 mg </w:t>
      </w:r>
      <w:r w:rsidR="00DB6175" w:rsidRPr="009A24F9">
        <w:t xml:space="preserve">PFS, two </w:t>
      </w:r>
      <w:r w:rsidR="001562B0" w:rsidRPr="009A24F9">
        <w:t>pack</w:t>
      </w:r>
      <w:r w:rsidRPr="009A24F9">
        <w:t xml:space="preserve">). Given the demonstrated bioequivalence </w:t>
      </w:r>
      <w:r w:rsidR="001562B0" w:rsidRPr="009A24F9">
        <w:t>across</w:t>
      </w:r>
      <w:r w:rsidRPr="009A24F9">
        <w:t xml:space="preserve"> the </w:t>
      </w:r>
      <w:r w:rsidR="00DB6175" w:rsidRPr="009A24F9">
        <w:t>presentations</w:t>
      </w:r>
      <w:r w:rsidRPr="009A24F9">
        <w:t xml:space="preserve">, </w:t>
      </w:r>
      <w:r w:rsidR="00DB6175" w:rsidRPr="009A24F9">
        <w:t>the submission</w:t>
      </w:r>
      <w:r w:rsidR="00675D8C">
        <w:t xml:space="preserve"> stated</w:t>
      </w:r>
      <w:r w:rsidR="00DB6175" w:rsidRPr="009A24F9">
        <w:t xml:space="preserve"> that the 150 mg PFP and 150 mg PFS are an equivalent intervention to the 75 mg PFS (two pack) </w:t>
      </w:r>
      <w:r w:rsidRPr="009A24F9">
        <w:t>rather than a comparator as defined by the PBAC guidelines.</w:t>
      </w:r>
    </w:p>
    <w:p w14:paraId="7975B974" w14:textId="15F4E8E6" w:rsidR="00CE2C69" w:rsidRPr="009A24F9" w:rsidRDefault="00CE2C69" w:rsidP="00220706">
      <w:pPr>
        <w:pStyle w:val="3-BodyText"/>
        <w:rPr>
          <w:snapToGrid/>
        </w:rPr>
      </w:pPr>
      <w:r w:rsidRPr="009A24F9">
        <w:t xml:space="preserve">At its November 2021 meeting, the PBAC considered the current </w:t>
      </w:r>
      <w:r w:rsidR="001562B0" w:rsidRPr="009A24F9">
        <w:t>presentation</w:t>
      </w:r>
      <w:r w:rsidRPr="009A24F9">
        <w:t xml:space="preserve"> of risankizumab (75 mg </w:t>
      </w:r>
      <w:r w:rsidR="001562B0" w:rsidRPr="009A24F9">
        <w:t>PFS, two pack</w:t>
      </w:r>
      <w:r w:rsidRPr="009A24F9">
        <w:t xml:space="preserve">) was the appropriate comparator. However, the PBAC also considered relevant </w:t>
      </w:r>
      <w:r w:rsidR="00DB6CCC" w:rsidRPr="009A24F9">
        <w:t xml:space="preserve">alternative therapies </w:t>
      </w:r>
      <w:r w:rsidRPr="009A24F9">
        <w:t xml:space="preserve">under Section 101(3B) of the Act included other PBS-listed biologics: adalimumab, etanercept, guselkumab, infliximab, ixekizumab, risankizumab, secukinumab, tildrakizumab and ustekinumab (paragraphs 4.1 and 6.3, </w:t>
      </w:r>
      <w:r w:rsidR="00F50E2C" w:rsidRPr="009A24F9">
        <w:t>risankizumab</w:t>
      </w:r>
      <w:r w:rsidR="00F50E2C" w:rsidRPr="009A24F9" w:rsidDel="00F50E2C">
        <w:t xml:space="preserve"> </w:t>
      </w:r>
      <w:r w:rsidRPr="009A24F9">
        <w:t>PSD, November 2021).</w:t>
      </w:r>
      <w:r w:rsidR="00163242" w:rsidRPr="009A24F9">
        <w:t xml:space="preserve"> </w:t>
      </w:r>
      <w:r w:rsidR="00DB6CCC" w:rsidRPr="009A24F9">
        <w:t>T</w:t>
      </w:r>
      <w:r w:rsidRPr="009A24F9">
        <w:t xml:space="preserve">he </w:t>
      </w:r>
      <w:r w:rsidR="00E10E5E" w:rsidRPr="009A24F9">
        <w:t xml:space="preserve">current </w:t>
      </w:r>
      <w:r w:rsidRPr="009A24F9">
        <w:t xml:space="preserve">submission identified bimekizumab as a near-market comparator, which the PBAC recommended for CPP </w:t>
      </w:r>
      <w:r w:rsidR="00220706" w:rsidRPr="009A24F9">
        <w:t xml:space="preserve">in March 2023 but </w:t>
      </w:r>
      <w:r w:rsidR="00E10E5E" w:rsidRPr="009A24F9">
        <w:t xml:space="preserve">was </w:t>
      </w:r>
      <w:r w:rsidR="00220706" w:rsidRPr="009A24F9">
        <w:t xml:space="preserve">not currently listed at the time of the submission </w:t>
      </w:r>
      <w:r w:rsidRPr="009A24F9">
        <w:t xml:space="preserve">(paragraph 7.1, </w:t>
      </w:r>
      <w:r w:rsidR="00212F81" w:rsidRPr="009A24F9">
        <w:t>bimekizumab</w:t>
      </w:r>
      <w:r w:rsidR="00212F81" w:rsidRPr="009A24F9" w:rsidDel="00212F81">
        <w:t xml:space="preserve"> </w:t>
      </w:r>
      <w:r w:rsidRPr="009A24F9">
        <w:t>PSD, March 2023).</w:t>
      </w:r>
      <w:r w:rsidR="00675D8C">
        <w:t xml:space="preserve"> Bimekizumab was listed on the PBS on </w:t>
      </w:r>
      <w:r w:rsidR="00212F81">
        <w:t>1 </w:t>
      </w:r>
      <w:r w:rsidR="00675D8C">
        <w:t>October</w:t>
      </w:r>
      <w:r w:rsidR="00212F81">
        <w:t> </w:t>
      </w:r>
      <w:r w:rsidR="00675D8C">
        <w:t xml:space="preserve">2023. </w:t>
      </w:r>
    </w:p>
    <w:p w14:paraId="34589B51" w14:textId="4C855367" w:rsidR="00CE2C69" w:rsidRPr="009A24F9" w:rsidRDefault="00CE2C69" w:rsidP="00220706">
      <w:pPr>
        <w:pStyle w:val="3-BodyText"/>
        <w:rPr>
          <w:snapToGrid/>
        </w:rPr>
      </w:pPr>
      <w:bookmarkStart w:id="20" w:name="_Ref151295689"/>
      <w:r w:rsidRPr="009A24F9">
        <w:lastRenderedPageBreak/>
        <w:t xml:space="preserve">The sponsor </w:t>
      </w:r>
      <w:r w:rsidR="00220706" w:rsidRPr="009A24F9">
        <w:t>stated</w:t>
      </w:r>
      <w:r w:rsidRPr="009A24F9">
        <w:t xml:space="preserve"> that other PBS-listed biologics can be considered alternative therapies to risankizumab in general, with the exception of infliximab due to limited use. </w:t>
      </w:r>
      <w:r w:rsidR="00E10E5E" w:rsidRPr="009A24F9">
        <w:t>The submission stated that a</w:t>
      </w:r>
      <w:r w:rsidRPr="009A24F9">
        <w:t xml:space="preserve">n analysis of PBS data indicated that infliximab was virtually never initiated (approximately 10 patients initiated treatment with infliximab from May 2022 to April 2023, representing 0.2% of all patients initiating a biologic treatment for CPP). The submission attributed the low use to the burdensome intravenous administration for initial treatment and a preference for prescribing newer biologics with better evidence of achieving clear skin. Prospection data presented </w:t>
      </w:r>
      <w:r w:rsidR="00304ED2">
        <w:t xml:space="preserve">in </w:t>
      </w:r>
      <w:r w:rsidRPr="009A24F9">
        <w:t>the submission showed an average of 80 patients per month were treated with infliximab (initial and continuing) in the 2022 calendar year. This compares to an average of 189 patients per month treated with etanercept (the next least used treatment) and an average of 1,211 patients per month treated with secukinumab (the most commonly used treatment)</w:t>
      </w:r>
      <w:r w:rsidR="00220706" w:rsidRPr="009A24F9">
        <w:t xml:space="preserve"> in the 2022 calendar year</w:t>
      </w:r>
      <w:r w:rsidRPr="009A24F9">
        <w:t>.</w:t>
      </w:r>
      <w:bookmarkEnd w:id="20"/>
    </w:p>
    <w:p w14:paraId="0B7853C7" w14:textId="02DD25DC" w:rsidR="004A66BE" w:rsidRPr="004A66BE" w:rsidRDefault="00615EA4" w:rsidP="00CE2C69">
      <w:pPr>
        <w:pStyle w:val="3-BodyText"/>
        <w:rPr>
          <w:snapToGrid/>
        </w:rPr>
      </w:pPr>
      <w:r>
        <w:t>T</w:t>
      </w:r>
      <w:r w:rsidR="00CE2C69" w:rsidRPr="009A24F9">
        <w:t xml:space="preserve">he relatively low utilisation </w:t>
      </w:r>
      <w:r>
        <w:t xml:space="preserve">of infliximab </w:t>
      </w:r>
      <w:r w:rsidR="00CE2C69" w:rsidRPr="009A24F9">
        <w:t>compared to other biologics</w:t>
      </w:r>
      <w:r>
        <w:t xml:space="preserve"> does not preclude it from being</w:t>
      </w:r>
      <w:r w:rsidR="00CE2C69" w:rsidRPr="009A24F9">
        <w:t xml:space="preserve"> an alternative treatment. The PBAC ha</w:t>
      </w:r>
      <w:r w:rsidR="00E10E5E" w:rsidRPr="009A24F9">
        <w:t>d</w:t>
      </w:r>
      <w:r w:rsidR="00CE2C69" w:rsidRPr="009A24F9">
        <w:t xml:space="preserve"> consistently considered infliximab a</w:t>
      </w:r>
      <w:r w:rsidR="00DB6CCC" w:rsidRPr="009A24F9">
        <w:t xml:space="preserve">n alternative therapy </w:t>
      </w:r>
      <w:r w:rsidR="00CE2C69" w:rsidRPr="009A24F9">
        <w:t xml:space="preserve">when deciding to list other biologics for CPP, including for risankizumab in July 2019 and November 2021. It </w:t>
      </w:r>
      <w:r w:rsidR="00E10E5E" w:rsidRPr="009A24F9">
        <w:t>wa</w:t>
      </w:r>
      <w:r w:rsidR="00CE2C69" w:rsidRPr="009A24F9">
        <w:t>s noted that a subcutaneous version of infliximab was PBS-listed in August 2022 for maintenance treatment (following intravenous induction)</w:t>
      </w:r>
      <w:r w:rsidR="00462969" w:rsidRPr="009A24F9">
        <w:t>.</w:t>
      </w:r>
      <w:r w:rsidR="0003575A">
        <w:t xml:space="preserve"> </w:t>
      </w:r>
    </w:p>
    <w:p w14:paraId="0F45B3C4" w14:textId="6F97823D" w:rsidR="003E51D0" w:rsidRPr="00F21B0F" w:rsidRDefault="0003575A" w:rsidP="00CE2C69">
      <w:pPr>
        <w:pStyle w:val="3-BodyText"/>
        <w:rPr>
          <w:snapToGrid/>
        </w:rPr>
      </w:pPr>
      <w:r w:rsidRPr="005D1E8B">
        <w:t xml:space="preserve">The PSCR </w:t>
      </w:r>
      <w:r w:rsidR="00F220C7" w:rsidRPr="005D1E8B">
        <w:t>argued infliximab should not be considered a comparator in this submission, on the basis the PBAC Guidelines (version 5.0) state a comparator should be selected in the context of the therapies most likely to be replaced in clinical practice. The Response reiterated current utilisation suggests it is the least utilised therapy in CPP</w:t>
      </w:r>
      <w:r w:rsidR="00675D8C">
        <w:t xml:space="preserve"> </w:t>
      </w:r>
      <w:r w:rsidR="00F220C7" w:rsidRPr="005D1E8B">
        <w:t xml:space="preserve">and argued the majority of current treatments being used target the IL-17/23 pathways. Therefore, the PSCR argued infliximab should be considered of historical relevance only and not be considered a comparator. </w:t>
      </w:r>
      <w:r w:rsidR="007C1511" w:rsidRPr="005D1E8B">
        <w:t>The ESC considered that while the use of infliximab in CPP was very low, it may still be reasonably considered an alternative therapy.</w:t>
      </w:r>
      <w:r w:rsidR="007C1511">
        <w:rPr>
          <w:i/>
          <w:iCs/>
        </w:rPr>
        <w:t xml:space="preserve"> </w:t>
      </w:r>
      <w:r w:rsidR="005D1E8B">
        <w:rPr>
          <w:i/>
          <w:iCs/>
        </w:rPr>
        <w:t xml:space="preserve"> </w:t>
      </w:r>
      <w:r w:rsidR="00F21B0F" w:rsidRPr="009E2890">
        <w:t>The pre-PBAC response stated that expert opinion attributed the lack of infliximab use to the excessive administrative and patient burden in arranging and attending an infusion centre which may not be readily accessible. The pre-PBAC response stated that newer, more convenient subcutaneous (SC) therapies are also widely accepted as providing greater efficacy, improved durability of response, and being better tolerated than infliximab. The pre-PBAC response stated that with nine SC alternatives currently reimbursed, the majority of which target the IL-17/23 axis, the treatment paradigm in CPP has changed with there now being essentially no clinical reason for dermatologists to prescribe infliximab for CPP.</w:t>
      </w:r>
    </w:p>
    <w:p w14:paraId="1396AED1" w14:textId="77777777" w:rsidR="005D1E8B" w:rsidRPr="00C33D30" w:rsidRDefault="005D1E8B" w:rsidP="005D1E8B">
      <w:pPr>
        <w:ind w:firstLine="709"/>
        <w:rPr>
          <w:rFonts w:asciiTheme="minorHAnsi" w:hAnsiTheme="minorHAnsi"/>
          <w:i/>
        </w:rPr>
      </w:pPr>
      <w:r w:rsidRPr="00C33D30">
        <w:rPr>
          <w:rFonts w:asciiTheme="minorHAnsi" w:hAnsiTheme="minorHAnsi"/>
          <w:i/>
        </w:rPr>
        <w:t>For more detail on PBAC’s view, see section 7 PBAC outcome.</w:t>
      </w:r>
    </w:p>
    <w:p w14:paraId="7F9C27C8" w14:textId="77777777" w:rsidR="00223D5A" w:rsidRPr="005B6D7B" w:rsidRDefault="00223D5A" w:rsidP="00223D5A">
      <w:pPr>
        <w:pStyle w:val="2-SectionHeading"/>
        <w:numPr>
          <w:ilvl w:val="0"/>
          <w:numId w:val="1"/>
        </w:numPr>
      </w:pPr>
      <w:bookmarkStart w:id="21" w:name="_Toc143506200"/>
      <w:bookmarkStart w:id="22" w:name="_Toc22897640"/>
      <w:r w:rsidRPr="005B6D7B">
        <w:t>Consideration of the evidence</w:t>
      </w:r>
      <w:bookmarkEnd w:id="21"/>
    </w:p>
    <w:p w14:paraId="2EF62B24" w14:textId="77777777" w:rsidR="005D1E8B" w:rsidRPr="006E1229" w:rsidRDefault="005D1E8B" w:rsidP="00036DFF">
      <w:pPr>
        <w:pStyle w:val="4-SubsectionHeading"/>
      </w:pPr>
      <w:bookmarkStart w:id="23" w:name="_Hlk76375935"/>
      <w:bookmarkStart w:id="24" w:name="_Toc143506201"/>
      <w:r w:rsidRPr="006E1229">
        <w:t>Sponsor hearing</w:t>
      </w:r>
    </w:p>
    <w:p w14:paraId="34E1D91F" w14:textId="6FD91DFB" w:rsidR="005D1E8B" w:rsidRPr="00836F75" w:rsidRDefault="005D1E8B" w:rsidP="005D1E8B">
      <w:pPr>
        <w:widowControl w:val="0"/>
        <w:numPr>
          <w:ilvl w:val="1"/>
          <w:numId w:val="1"/>
        </w:numPr>
        <w:spacing w:after="120"/>
        <w:rPr>
          <w:rFonts w:asciiTheme="minorHAnsi" w:hAnsiTheme="minorHAnsi"/>
          <w:bCs/>
          <w:snapToGrid w:val="0"/>
        </w:rPr>
      </w:pPr>
      <w:bookmarkStart w:id="25" w:name="_Hlk76382586"/>
      <w:r w:rsidRPr="00836F75">
        <w:rPr>
          <w:rFonts w:asciiTheme="minorHAnsi" w:hAnsiTheme="minorHAnsi"/>
          <w:bCs/>
          <w:snapToGrid w:val="0"/>
        </w:rPr>
        <w:t xml:space="preserve">The sponsor requested a hearing for this item.  </w:t>
      </w:r>
      <w:r w:rsidR="00FE3512">
        <w:rPr>
          <w:rFonts w:asciiTheme="minorHAnsi" w:hAnsiTheme="minorHAnsi"/>
          <w:bCs/>
          <w:snapToGrid w:val="0"/>
        </w:rPr>
        <w:t xml:space="preserve">The clinician noted in the years </w:t>
      </w:r>
      <w:r w:rsidR="00FE3512">
        <w:rPr>
          <w:rFonts w:asciiTheme="minorHAnsi" w:hAnsiTheme="minorHAnsi"/>
          <w:bCs/>
          <w:snapToGrid w:val="0"/>
        </w:rPr>
        <w:lastRenderedPageBreak/>
        <w:t>following the introduction of the</w:t>
      </w:r>
      <w:r w:rsidR="00F21B0F">
        <w:rPr>
          <w:rFonts w:asciiTheme="minorHAnsi" w:hAnsiTheme="minorHAnsi"/>
          <w:bCs/>
          <w:snapToGrid w:val="0"/>
        </w:rPr>
        <w:t xml:space="preserve"> first</w:t>
      </w:r>
      <w:r w:rsidR="00FE3512">
        <w:rPr>
          <w:rFonts w:asciiTheme="minorHAnsi" w:hAnsiTheme="minorHAnsi"/>
          <w:bCs/>
          <w:snapToGrid w:val="0"/>
        </w:rPr>
        <w:t xml:space="preserve"> biologics for CPP (</w:t>
      </w:r>
      <w:r w:rsidR="00F21B0F">
        <w:rPr>
          <w:rFonts w:asciiTheme="minorHAnsi" w:hAnsiTheme="minorHAnsi"/>
          <w:bCs/>
          <w:snapToGrid w:val="0"/>
        </w:rPr>
        <w:t>TNF</w:t>
      </w:r>
      <w:r w:rsidR="00F21B0F">
        <w:rPr>
          <w:rFonts w:asciiTheme="minorHAnsi" w:hAnsiTheme="minorHAnsi" w:cstheme="minorHAnsi"/>
          <w:bCs/>
          <w:snapToGrid w:val="0"/>
        </w:rPr>
        <w:t>α</w:t>
      </w:r>
      <w:r w:rsidR="00F21B0F">
        <w:rPr>
          <w:rFonts w:asciiTheme="minorHAnsi" w:hAnsiTheme="minorHAnsi"/>
          <w:bCs/>
          <w:snapToGrid w:val="0"/>
        </w:rPr>
        <w:t xml:space="preserve"> inhibitors, IL-12/23 inhibitor</w:t>
      </w:r>
      <w:r w:rsidR="00FE3512">
        <w:rPr>
          <w:rFonts w:asciiTheme="minorHAnsi" w:hAnsiTheme="minorHAnsi"/>
          <w:bCs/>
          <w:snapToGrid w:val="0"/>
        </w:rPr>
        <w:t>), the newer IL-17 and IL-23 inhibitors have emerged as highly effective treatment options and there is a clinical view that these newer agents are superior to the older options and highly favoured in practice. The clinician noted the most recent review of treatment goals in psoriasis include</w:t>
      </w:r>
      <w:r w:rsidR="00F21B0F">
        <w:rPr>
          <w:rFonts w:asciiTheme="minorHAnsi" w:hAnsiTheme="minorHAnsi"/>
          <w:bCs/>
          <w:snapToGrid w:val="0"/>
        </w:rPr>
        <w:t>d</w:t>
      </w:r>
      <w:r w:rsidR="00FE3512">
        <w:rPr>
          <w:rFonts w:asciiTheme="minorHAnsi" w:hAnsiTheme="minorHAnsi"/>
          <w:bCs/>
          <w:snapToGrid w:val="0"/>
        </w:rPr>
        <w:t xml:space="preserve"> a consensus statement from clinicians that</w:t>
      </w:r>
      <w:r w:rsidR="00F21B0F">
        <w:rPr>
          <w:rFonts w:asciiTheme="minorHAnsi" w:hAnsiTheme="minorHAnsi"/>
          <w:bCs/>
          <w:snapToGrid w:val="0"/>
        </w:rPr>
        <w:t xml:space="preserve">, with the availability of these newer therapies, an absolute PASI score </w:t>
      </w:r>
      <w:r w:rsidR="00F21B0F">
        <w:rPr>
          <w:rFonts w:asciiTheme="minorHAnsi" w:hAnsiTheme="minorHAnsi" w:cstheme="minorHAnsi"/>
          <w:bCs/>
          <w:snapToGrid w:val="0"/>
        </w:rPr>
        <w:t>≤</w:t>
      </w:r>
      <w:r w:rsidR="00F21B0F">
        <w:rPr>
          <w:rFonts w:asciiTheme="minorHAnsi" w:hAnsiTheme="minorHAnsi"/>
          <w:bCs/>
          <w:snapToGrid w:val="0"/>
        </w:rPr>
        <w:t xml:space="preserve"> 3, a physician global assessment (PGA) score of 0 or 1 (‘clear/ almost clear’) or a </w:t>
      </w:r>
      <w:r w:rsidR="00FE3512">
        <w:rPr>
          <w:rFonts w:asciiTheme="minorHAnsi" w:hAnsiTheme="minorHAnsi"/>
          <w:bCs/>
          <w:snapToGrid w:val="0"/>
        </w:rPr>
        <w:t xml:space="preserve">PASI90 </w:t>
      </w:r>
      <w:r w:rsidR="00F21B0F">
        <w:rPr>
          <w:rFonts w:asciiTheme="minorHAnsi" w:hAnsiTheme="minorHAnsi"/>
          <w:bCs/>
          <w:snapToGrid w:val="0"/>
        </w:rPr>
        <w:t>response should be the goal of treatment.</w:t>
      </w:r>
      <w:r w:rsidR="00F21B0F">
        <w:rPr>
          <w:rStyle w:val="FootnoteReference"/>
          <w:rFonts w:asciiTheme="minorHAnsi" w:hAnsiTheme="minorHAnsi"/>
          <w:bCs/>
          <w:snapToGrid w:val="0"/>
        </w:rPr>
        <w:footnoteReference w:id="1"/>
      </w:r>
      <w:r w:rsidR="00FE3512">
        <w:rPr>
          <w:rFonts w:asciiTheme="minorHAnsi" w:hAnsiTheme="minorHAnsi"/>
          <w:bCs/>
          <w:snapToGrid w:val="0"/>
        </w:rPr>
        <w:t xml:space="preserve"> </w:t>
      </w:r>
      <w:r w:rsidR="00F21B0F">
        <w:rPr>
          <w:rFonts w:asciiTheme="minorHAnsi" w:hAnsiTheme="minorHAnsi"/>
          <w:bCs/>
          <w:snapToGrid w:val="0"/>
        </w:rPr>
        <w:t xml:space="preserve"> The clinician noted safety concerns for TNF</w:t>
      </w:r>
      <w:r w:rsidR="00F21B0F">
        <w:rPr>
          <w:rFonts w:asciiTheme="minorHAnsi" w:hAnsiTheme="minorHAnsi" w:cstheme="minorHAnsi"/>
          <w:bCs/>
          <w:snapToGrid w:val="0"/>
        </w:rPr>
        <w:t>α</w:t>
      </w:r>
      <w:r w:rsidR="00F21B0F">
        <w:rPr>
          <w:rFonts w:asciiTheme="minorHAnsi" w:hAnsiTheme="minorHAnsi"/>
          <w:bCs/>
          <w:snapToGrid w:val="0"/>
        </w:rPr>
        <w:t xml:space="preserve"> inhibitors including tuberculosis reactivation (infliximab), increased infections, paradoxical autoimmune reactions that, though rare, can lead to the development of</w:t>
      </w:r>
      <w:r w:rsidR="00EA55A4">
        <w:rPr>
          <w:rFonts w:asciiTheme="minorHAnsi" w:hAnsiTheme="minorHAnsi"/>
          <w:bCs/>
          <w:snapToGrid w:val="0"/>
        </w:rPr>
        <w:t xml:space="preserve"> autoimmune conditions </w:t>
      </w:r>
      <w:r w:rsidR="00F21B0F">
        <w:rPr>
          <w:rFonts w:asciiTheme="minorHAnsi" w:hAnsiTheme="minorHAnsi"/>
          <w:bCs/>
          <w:snapToGrid w:val="0"/>
        </w:rPr>
        <w:t xml:space="preserve">and the development of neutralising antibodies that can result in decreased efficacy. The clinician noted infliximab infusions can be inconvenient and time consuming. The clinician noted risankizumab is one of the more effective treatments and stated the availability of a 150 mg form was </w:t>
      </w:r>
      <w:r w:rsidR="00F21B0F" w:rsidRPr="00F21B0F">
        <w:rPr>
          <w:rFonts w:asciiTheme="minorHAnsi" w:hAnsiTheme="minorHAnsi"/>
          <w:bCs/>
          <w:snapToGrid w:val="0"/>
        </w:rPr>
        <w:t>unlikely to change prescribing pattern</w:t>
      </w:r>
      <w:r w:rsidR="00F21B0F">
        <w:rPr>
          <w:rFonts w:asciiTheme="minorHAnsi" w:hAnsiTheme="minorHAnsi"/>
          <w:bCs/>
          <w:snapToGrid w:val="0"/>
        </w:rPr>
        <w:t>s</w:t>
      </w:r>
      <w:r w:rsidR="00F21B0F" w:rsidRPr="00F21B0F">
        <w:rPr>
          <w:rFonts w:asciiTheme="minorHAnsi" w:hAnsiTheme="minorHAnsi"/>
          <w:bCs/>
          <w:snapToGrid w:val="0"/>
        </w:rPr>
        <w:t xml:space="preserve"> significantly</w:t>
      </w:r>
      <w:r w:rsidR="00F21B0F">
        <w:rPr>
          <w:rFonts w:asciiTheme="minorHAnsi" w:hAnsiTheme="minorHAnsi"/>
          <w:bCs/>
          <w:snapToGrid w:val="0"/>
        </w:rPr>
        <w:t>. The clinician noted the ability to give the recommended dose (</w:t>
      </w:r>
      <w:r w:rsidR="00F21B0F" w:rsidRPr="00F21B0F">
        <w:rPr>
          <w:rFonts w:asciiTheme="minorHAnsi" w:hAnsiTheme="minorHAnsi"/>
          <w:bCs/>
          <w:snapToGrid w:val="0"/>
        </w:rPr>
        <w:t>150</w:t>
      </w:r>
      <w:r w:rsidR="00F21B0F">
        <w:rPr>
          <w:rFonts w:asciiTheme="minorHAnsi" w:hAnsiTheme="minorHAnsi"/>
          <w:bCs/>
          <w:snapToGrid w:val="0"/>
        </w:rPr>
        <w:t xml:space="preserve"> </w:t>
      </w:r>
      <w:r w:rsidR="00F21B0F" w:rsidRPr="00F21B0F">
        <w:rPr>
          <w:rFonts w:asciiTheme="minorHAnsi" w:hAnsiTheme="minorHAnsi"/>
          <w:bCs/>
          <w:snapToGrid w:val="0"/>
        </w:rPr>
        <w:t>mg</w:t>
      </w:r>
      <w:r w:rsidR="00F21B0F">
        <w:rPr>
          <w:rFonts w:asciiTheme="minorHAnsi" w:hAnsiTheme="minorHAnsi"/>
          <w:bCs/>
          <w:snapToGrid w:val="0"/>
        </w:rPr>
        <w:t xml:space="preserve">) as a single injection, rather than two injections, would provide significant benefit </w:t>
      </w:r>
      <w:r w:rsidR="00F21B0F" w:rsidRPr="00F21B0F">
        <w:rPr>
          <w:rFonts w:asciiTheme="minorHAnsi" w:hAnsiTheme="minorHAnsi"/>
          <w:bCs/>
          <w:snapToGrid w:val="0"/>
        </w:rPr>
        <w:t xml:space="preserve">for patients </w:t>
      </w:r>
      <w:r w:rsidR="00F21B0F">
        <w:rPr>
          <w:rFonts w:asciiTheme="minorHAnsi" w:hAnsiTheme="minorHAnsi"/>
          <w:bCs/>
          <w:snapToGrid w:val="0"/>
        </w:rPr>
        <w:t xml:space="preserve">and noted some patients experience anxiety </w:t>
      </w:r>
      <w:r w:rsidR="00F21B0F" w:rsidRPr="00F21B0F">
        <w:rPr>
          <w:rFonts w:asciiTheme="minorHAnsi" w:hAnsiTheme="minorHAnsi"/>
          <w:bCs/>
          <w:snapToGrid w:val="0"/>
        </w:rPr>
        <w:t>w</w:t>
      </w:r>
      <w:r w:rsidR="00F21B0F">
        <w:rPr>
          <w:rFonts w:asciiTheme="minorHAnsi" w:hAnsiTheme="minorHAnsi"/>
          <w:bCs/>
          <w:snapToGrid w:val="0"/>
        </w:rPr>
        <w:t xml:space="preserve">ith the second injection. </w:t>
      </w:r>
    </w:p>
    <w:bookmarkEnd w:id="25"/>
    <w:p w14:paraId="6D931C36" w14:textId="77777777" w:rsidR="005D1E8B" w:rsidRPr="006E1229" w:rsidRDefault="005D1E8B" w:rsidP="00036DFF">
      <w:pPr>
        <w:pStyle w:val="4-SubsectionHeading"/>
      </w:pPr>
      <w:r w:rsidRPr="006E1229">
        <w:t>Consumer comments</w:t>
      </w:r>
    </w:p>
    <w:p w14:paraId="189841A1" w14:textId="2E6EDBE2" w:rsidR="005D1E8B" w:rsidRDefault="005D1E8B" w:rsidP="005D1E8B">
      <w:pPr>
        <w:widowControl w:val="0"/>
        <w:numPr>
          <w:ilvl w:val="1"/>
          <w:numId w:val="1"/>
        </w:numPr>
        <w:spacing w:after="120"/>
        <w:rPr>
          <w:rFonts w:asciiTheme="minorHAnsi" w:hAnsiTheme="minorHAnsi"/>
          <w:bCs/>
          <w:snapToGrid w:val="0"/>
        </w:rPr>
      </w:pPr>
      <w:bookmarkStart w:id="26" w:name="_Hlk76382618"/>
      <w:r w:rsidRPr="00836F75">
        <w:rPr>
          <w:rFonts w:asciiTheme="minorHAnsi" w:hAnsiTheme="minorHAnsi"/>
          <w:bCs/>
          <w:snapToGrid w:val="0"/>
        </w:rPr>
        <w:t xml:space="preserve">The PBAC noted the advice received from </w:t>
      </w:r>
      <w:r w:rsidR="00FE3512">
        <w:rPr>
          <w:rFonts w:asciiTheme="minorHAnsi" w:hAnsiTheme="minorHAnsi"/>
          <w:bCs/>
          <w:snapToGrid w:val="0"/>
        </w:rPr>
        <w:t>the Australasian College of Dermatologists, which supported the listing and noted the availability of a single 150 mg injection to replace the 2 x 75 mg form reduces injection burden and will likely improve patient compliance to treatment.</w:t>
      </w:r>
    </w:p>
    <w:bookmarkEnd w:id="23"/>
    <w:bookmarkEnd w:id="26"/>
    <w:p w14:paraId="609C0765" w14:textId="71ECCC05" w:rsidR="00B60939" w:rsidRPr="005B6D7B" w:rsidRDefault="00B60939" w:rsidP="002E4F02">
      <w:pPr>
        <w:pStyle w:val="4-SubsectionHeading"/>
      </w:pPr>
      <w:r w:rsidRPr="005B6D7B">
        <w:t xml:space="preserve">Clinical </w:t>
      </w:r>
      <w:bookmarkEnd w:id="22"/>
      <w:r w:rsidR="007E7AC8" w:rsidRPr="005B6D7B">
        <w:t>trials</w:t>
      </w:r>
      <w:bookmarkEnd w:id="24"/>
    </w:p>
    <w:p w14:paraId="401DD4DD" w14:textId="58181E59" w:rsidR="00D00A02" w:rsidRPr="005B6D7B" w:rsidRDefault="007E7AC8" w:rsidP="00926FFB">
      <w:pPr>
        <w:pStyle w:val="3-BodyText"/>
      </w:pPr>
      <w:r w:rsidRPr="005B6D7B">
        <w:rPr>
          <w:snapToGrid/>
        </w:rPr>
        <w:t>The submission was based on</w:t>
      </w:r>
      <w:r w:rsidR="00D0222D">
        <w:rPr>
          <w:snapToGrid/>
        </w:rPr>
        <w:t>:</w:t>
      </w:r>
      <w:r w:rsidRPr="005B6D7B">
        <w:rPr>
          <w:snapToGrid/>
        </w:rPr>
        <w:t xml:space="preserve"> </w:t>
      </w:r>
      <w:r w:rsidR="002A61C4" w:rsidRPr="005B6D7B">
        <w:rPr>
          <w:snapToGrid/>
        </w:rPr>
        <w:t xml:space="preserve">i) </w:t>
      </w:r>
      <w:r w:rsidR="00CB2398" w:rsidRPr="005B6D7B">
        <w:rPr>
          <w:snapToGrid/>
        </w:rPr>
        <w:t>four</w:t>
      </w:r>
      <w:r w:rsidR="002A61C4" w:rsidRPr="005B6D7B">
        <w:rPr>
          <w:snapToGrid/>
        </w:rPr>
        <w:t xml:space="preserve"> direct randomised controlled trials (RCTs) comparing risankizumab to adalimumab (IMMvent), secukinumab (IMMerge) and ustekinumab (UltIMMa-1 and UltIMMa-2), and ii) an indirect treatment comparison (ITC) comparing risankizumab to etanercept, guselkumab, ixekizumab and tildrakizumab</w:t>
      </w:r>
      <w:r w:rsidR="00E36C64" w:rsidRPr="005B6D7B">
        <w:rPr>
          <w:snapToGrid/>
        </w:rPr>
        <w:t>. The ITC</w:t>
      </w:r>
      <w:r w:rsidR="00AC27E7" w:rsidRPr="005B6D7B">
        <w:rPr>
          <w:snapToGrid/>
        </w:rPr>
        <w:t xml:space="preserve"> </w:t>
      </w:r>
      <w:r w:rsidR="001F259E" w:rsidRPr="005B6D7B">
        <w:rPr>
          <w:snapToGrid/>
        </w:rPr>
        <w:t>included data from a total of 27 RCTs (the four direct RCTs plus a further 23 RCTs) and presented comparisons using placebo and/or active common comparators</w:t>
      </w:r>
      <w:r w:rsidR="00E36C64" w:rsidRPr="005B6D7B">
        <w:rPr>
          <w:snapToGrid/>
        </w:rPr>
        <w:t>.</w:t>
      </w:r>
      <w:r w:rsidR="00D00A02" w:rsidRPr="005B6D7B">
        <w:rPr>
          <w:snapToGrid/>
        </w:rPr>
        <w:t xml:space="preserve"> </w:t>
      </w:r>
      <w:r w:rsidR="00D00A02" w:rsidRPr="005B6D7B">
        <w:rPr>
          <w:snapToGrid/>
        </w:rPr>
        <w:fldChar w:fldCharType="begin" w:fldLock="1"/>
      </w:r>
      <w:r w:rsidR="00D00A02" w:rsidRPr="005B6D7B">
        <w:rPr>
          <w:snapToGrid/>
        </w:rPr>
        <w:instrText xml:space="preserve"> REF _Ref142043456 \h </w:instrText>
      </w:r>
      <w:r w:rsidR="00D00A02" w:rsidRPr="005B6D7B">
        <w:rPr>
          <w:snapToGrid/>
        </w:rPr>
      </w:r>
      <w:r w:rsidR="00D00A02" w:rsidRPr="005B6D7B">
        <w:rPr>
          <w:snapToGrid/>
        </w:rPr>
        <w:fldChar w:fldCharType="separate"/>
      </w:r>
      <w:r w:rsidR="00D00A02" w:rsidRPr="005B6D7B">
        <w:t xml:space="preserve">Figure </w:t>
      </w:r>
      <w:r w:rsidR="00D00A02" w:rsidRPr="005B6D7B">
        <w:rPr>
          <w:noProof/>
        </w:rPr>
        <w:t>1</w:t>
      </w:r>
      <w:r w:rsidR="00D00A02" w:rsidRPr="005B6D7B">
        <w:rPr>
          <w:snapToGrid/>
        </w:rPr>
        <w:fldChar w:fldCharType="end"/>
      </w:r>
      <w:r w:rsidR="00D00A02" w:rsidRPr="005B6D7B">
        <w:rPr>
          <w:snapToGrid/>
        </w:rPr>
        <w:t xml:space="preserve"> presents the network diagram of </w:t>
      </w:r>
      <w:r w:rsidR="00926FFB" w:rsidRPr="005B6D7B">
        <w:rPr>
          <w:snapToGrid/>
        </w:rPr>
        <w:t>RCTs</w:t>
      </w:r>
      <w:r w:rsidR="00D00A02" w:rsidRPr="005B6D7B">
        <w:rPr>
          <w:snapToGrid/>
        </w:rPr>
        <w:t xml:space="preserve"> included in the direct </w:t>
      </w:r>
      <w:r w:rsidR="00926FFB" w:rsidRPr="005B6D7B">
        <w:rPr>
          <w:snapToGrid/>
        </w:rPr>
        <w:t xml:space="preserve">comparisons </w:t>
      </w:r>
      <w:r w:rsidR="00D00A02" w:rsidRPr="005B6D7B">
        <w:rPr>
          <w:snapToGrid/>
        </w:rPr>
        <w:t xml:space="preserve">and </w:t>
      </w:r>
      <w:r w:rsidR="00926FFB" w:rsidRPr="005B6D7B">
        <w:rPr>
          <w:snapToGrid/>
        </w:rPr>
        <w:t>ITC</w:t>
      </w:r>
      <w:r w:rsidR="00D00A02" w:rsidRPr="005B6D7B">
        <w:rPr>
          <w:snapToGrid/>
        </w:rPr>
        <w:t>.</w:t>
      </w:r>
    </w:p>
    <w:p w14:paraId="5CDBC9E5" w14:textId="6DABB7D0" w:rsidR="00D00A02" w:rsidRPr="005B6D7B" w:rsidRDefault="00D00A02" w:rsidP="00854C7E">
      <w:pPr>
        <w:pStyle w:val="TableFigureHeading"/>
      </w:pPr>
      <w:bookmarkStart w:id="27" w:name="_Ref142043456"/>
      <w:bookmarkStart w:id="28" w:name="_Ref142043441"/>
      <w:r w:rsidRPr="005B6D7B">
        <w:lastRenderedPageBreak/>
        <w:t xml:space="preserve">Figure </w:t>
      </w:r>
      <w:r w:rsidR="004D70E1">
        <w:fldChar w:fldCharType="begin" w:fldLock="1"/>
      </w:r>
      <w:r w:rsidR="004D70E1">
        <w:instrText xml:space="preserve"> SEQ Figure \* ARABIC </w:instrText>
      </w:r>
      <w:r w:rsidR="004D70E1">
        <w:fldChar w:fldCharType="separate"/>
      </w:r>
      <w:r w:rsidRPr="005B6D7B">
        <w:rPr>
          <w:noProof/>
        </w:rPr>
        <w:t>1</w:t>
      </w:r>
      <w:r w:rsidR="004D70E1">
        <w:rPr>
          <w:noProof/>
        </w:rPr>
        <w:fldChar w:fldCharType="end"/>
      </w:r>
      <w:bookmarkEnd w:id="27"/>
      <w:r w:rsidRPr="005B6D7B">
        <w:t>: Network diagram of trials included in the direct and indirect comparisons of risankizumab vs comparators for short-term PASI 75 and PASI 90 outcomes (Weeks 12-</w:t>
      </w:r>
      <w:r w:rsidR="00854C7E" w:rsidRPr="005B6D7B">
        <w:t>16</w:t>
      </w:r>
      <w:r w:rsidRPr="005B6D7B">
        <w:t>)</w:t>
      </w:r>
      <w:bookmarkEnd w:id="28"/>
    </w:p>
    <w:p w14:paraId="76DD4D66" w14:textId="77777777" w:rsidR="00D00A02" w:rsidRPr="005B6D7B" w:rsidRDefault="00D00A02" w:rsidP="0055090C">
      <w:pPr>
        <w:pStyle w:val="3-BodyText"/>
        <w:numPr>
          <w:ilvl w:val="0"/>
          <w:numId w:val="0"/>
        </w:numPr>
        <w:spacing w:after="0"/>
        <w:jc w:val="center"/>
      </w:pPr>
      <w:r w:rsidRPr="005B6D7B">
        <w:rPr>
          <w:noProof/>
          <w:lang w:eastAsia="zh-CN"/>
        </w:rPr>
        <w:drawing>
          <wp:inline distT="0" distB="0" distL="0" distR="0" wp14:anchorId="797DFAFB" wp14:editId="108515BA">
            <wp:extent cx="4625038" cy="2784143"/>
            <wp:effectExtent l="0" t="0" r="4445" b="0"/>
            <wp:docPr id="1" name="Picture 1" descr="Figure 1: Network diagram of trials included in the direct and indirect comparisons of risankizumab vs comparators for short-term PASI 75 and PASI 90 outcomes (Weeks 1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1: Network diagram of trials included in the direct and indirect comparisons of risankizumab vs comparators for short-term PASI 75 and PASI 90 outcomes (Weeks 12-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32818" cy="2788827"/>
                    </a:xfrm>
                    <a:prstGeom prst="rect">
                      <a:avLst/>
                    </a:prstGeom>
                    <a:noFill/>
                  </pic:spPr>
                </pic:pic>
              </a:graphicData>
            </a:graphic>
          </wp:inline>
        </w:drawing>
      </w:r>
    </w:p>
    <w:p w14:paraId="22EF41E2" w14:textId="4C5F36C1" w:rsidR="00D00A02" w:rsidRPr="005B6D7B" w:rsidRDefault="00D00A02" w:rsidP="00D00A02">
      <w:pPr>
        <w:pStyle w:val="TableFigureFooter"/>
      </w:pPr>
      <w:r w:rsidRPr="005B6D7B">
        <w:t xml:space="preserve">Source: </w:t>
      </w:r>
      <w:r w:rsidR="00A0362B" w:rsidRPr="005B6D7B">
        <w:t>Figure 2.3, p 54 of the submission</w:t>
      </w:r>
    </w:p>
    <w:p w14:paraId="4FBF5072" w14:textId="51E62F02" w:rsidR="00D00A02" w:rsidRPr="005B6D7B" w:rsidRDefault="00D00A02" w:rsidP="00D00A02">
      <w:pPr>
        <w:pStyle w:val="TableFigureFooter"/>
      </w:pPr>
      <w:r w:rsidRPr="005B6D7B">
        <w:t>RIS</w:t>
      </w:r>
      <w:r w:rsidR="00DF018C" w:rsidRPr="005B6D7B">
        <w:t>=</w:t>
      </w:r>
      <w:r w:rsidRPr="005B6D7B">
        <w:t>Risankizumab, IFX</w:t>
      </w:r>
      <w:r w:rsidR="00DF018C" w:rsidRPr="005B6D7B">
        <w:t>=</w:t>
      </w:r>
      <w:r w:rsidRPr="005B6D7B">
        <w:t>Infliximab, ADA</w:t>
      </w:r>
      <w:r w:rsidR="00DF018C" w:rsidRPr="005B6D7B">
        <w:t>=</w:t>
      </w:r>
      <w:r w:rsidRPr="005B6D7B">
        <w:t>Adalimumab, BKZ</w:t>
      </w:r>
      <w:r w:rsidR="00DF018C" w:rsidRPr="005B6D7B">
        <w:t>=</w:t>
      </w:r>
      <w:r w:rsidRPr="005B6D7B">
        <w:t>Bimekizumab, ETN</w:t>
      </w:r>
      <w:r w:rsidR="00DF018C" w:rsidRPr="005B6D7B">
        <w:t>=</w:t>
      </w:r>
      <w:r w:rsidRPr="005B6D7B">
        <w:t>Etanercept, GUS</w:t>
      </w:r>
      <w:r w:rsidR="00DF018C" w:rsidRPr="005B6D7B">
        <w:t>=</w:t>
      </w:r>
      <w:r w:rsidRPr="005B6D7B">
        <w:t>Guselkumab, IXE</w:t>
      </w:r>
      <w:r w:rsidR="00DF018C" w:rsidRPr="005B6D7B">
        <w:t>=</w:t>
      </w:r>
      <w:r w:rsidRPr="005B6D7B">
        <w:t>Ixekizumab, SEC</w:t>
      </w:r>
      <w:r w:rsidR="00DF018C" w:rsidRPr="005B6D7B">
        <w:t>=</w:t>
      </w:r>
      <w:r w:rsidRPr="005B6D7B">
        <w:t>Secukinumab, TIL</w:t>
      </w:r>
      <w:r w:rsidR="00DF018C" w:rsidRPr="005B6D7B">
        <w:t>=</w:t>
      </w:r>
      <w:r w:rsidRPr="005B6D7B">
        <w:t>Tildrakizumab, UST</w:t>
      </w:r>
      <w:r w:rsidR="00DF018C" w:rsidRPr="005B6D7B">
        <w:t>=</w:t>
      </w:r>
      <w:r w:rsidRPr="005B6D7B">
        <w:t>Ustekinumab</w:t>
      </w:r>
    </w:p>
    <w:p w14:paraId="201ED16B" w14:textId="2517192A" w:rsidR="00D00A02" w:rsidRPr="009A24F9" w:rsidRDefault="00D00A02" w:rsidP="00A4777F">
      <w:pPr>
        <w:pStyle w:val="3-BodyText"/>
      </w:pPr>
      <w:r w:rsidRPr="009A24F9">
        <w:rPr>
          <w:snapToGrid/>
        </w:rPr>
        <w:t>The submission conducted a pragmatic literature search to identify all relevant trials that were not identified in the risankizumab July 2019 submission</w:t>
      </w:r>
      <w:r w:rsidR="00161225" w:rsidRPr="009A24F9">
        <w:rPr>
          <w:snapToGrid/>
        </w:rPr>
        <w:t>; the bioequivalence study (M15-990) presented in the risankizumab November 2021 submission was excluded in this submission</w:t>
      </w:r>
      <w:r w:rsidRPr="009A24F9">
        <w:rPr>
          <w:snapToGrid/>
        </w:rPr>
        <w:t xml:space="preserve">. </w:t>
      </w:r>
      <w:r w:rsidRPr="009A24F9">
        <w:t>The PBAC ha</w:t>
      </w:r>
      <w:r w:rsidR="008E40C7" w:rsidRPr="009A24F9">
        <w:t>d</w:t>
      </w:r>
      <w:r w:rsidRPr="009A24F9">
        <w:t xml:space="preserve"> (directly) considered evidence from 21 of the 27 included RCTs in past submissions of biologics for severe CPP, including three of the six </w:t>
      </w:r>
      <w:r w:rsidRPr="009A24F9">
        <w:rPr>
          <w:snapToGrid/>
        </w:rPr>
        <w:t xml:space="preserve">risankizumab trials across the </w:t>
      </w:r>
      <w:r w:rsidR="002B50C6" w:rsidRPr="009A24F9">
        <w:rPr>
          <w:snapToGrid/>
        </w:rPr>
        <w:t xml:space="preserve">risankizumab </w:t>
      </w:r>
      <w:r w:rsidRPr="009A24F9">
        <w:rPr>
          <w:snapToGrid/>
        </w:rPr>
        <w:t xml:space="preserve">July 2019 and November 2021 submissions. </w:t>
      </w:r>
      <w:r w:rsidR="00A4777F" w:rsidRPr="009A24F9">
        <w:rPr>
          <w:snapToGrid/>
        </w:rPr>
        <w:t>New trials included IMMhance (risankizumab versus placebo), IMMvent (risankizumab versus adalimumab), IMMerge (</w:t>
      </w:r>
      <w:r w:rsidR="00CD03F8" w:rsidRPr="009A24F9">
        <w:rPr>
          <w:snapToGrid/>
        </w:rPr>
        <w:t>risankizumab</w:t>
      </w:r>
      <w:r w:rsidR="00A4777F" w:rsidRPr="009A24F9">
        <w:rPr>
          <w:snapToGrid/>
        </w:rPr>
        <w:t xml:space="preserve"> versus secukinumab), ORION (guselkumab versus placebo), Ohtsuki 2018 (guselkumab versus placebo) and ECLIPSE (guselkumab versus secukinumab). However, t</w:t>
      </w:r>
      <w:r w:rsidRPr="009A24F9">
        <w:rPr>
          <w:snapToGrid/>
        </w:rPr>
        <w:t xml:space="preserve">he PBAC </w:t>
      </w:r>
      <w:r w:rsidR="002B50C6" w:rsidRPr="009A24F9">
        <w:rPr>
          <w:snapToGrid/>
        </w:rPr>
        <w:t>ha</w:t>
      </w:r>
      <w:r w:rsidR="008E40C7" w:rsidRPr="009A24F9">
        <w:rPr>
          <w:snapToGrid/>
        </w:rPr>
        <w:t>d</w:t>
      </w:r>
      <w:r w:rsidR="002B50C6" w:rsidRPr="009A24F9">
        <w:rPr>
          <w:snapToGrid/>
        </w:rPr>
        <w:t xml:space="preserve"> also considered </w:t>
      </w:r>
      <w:r w:rsidRPr="009A24F9">
        <w:rPr>
          <w:snapToGrid/>
        </w:rPr>
        <w:t xml:space="preserve">evidence from published </w:t>
      </w:r>
      <w:r w:rsidRPr="009A24F9">
        <w:t xml:space="preserve">network meta-analyses (NMAs) by </w:t>
      </w:r>
      <w:r w:rsidR="00A0362B" w:rsidRPr="009A24F9">
        <w:t>Armstrong et al 2022</w:t>
      </w:r>
      <w:r w:rsidR="00A0362B" w:rsidRPr="009A24F9">
        <w:rPr>
          <w:rStyle w:val="FootnoteReference"/>
        </w:rPr>
        <w:footnoteReference w:id="2"/>
      </w:r>
      <w:r w:rsidR="00A0362B" w:rsidRPr="009A24F9">
        <w:t xml:space="preserve"> and Sbidian et al 2022</w:t>
      </w:r>
      <w:r w:rsidR="00A0362B" w:rsidRPr="009A24F9">
        <w:rPr>
          <w:rStyle w:val="FootnoteReference"/>
        </w:rPr>
        <w:footnoteReference w:id="3"/>
      </w:r>
      <w:r w:rsidR="00A0362B" w:rsidRPr="009A24F9">
        <w:t xml:space="preserve"> </w:t>
      </w:r>
      <w:r w:rsidRPr="009A24F9">
        <w:t>that included data from all 27 RCTs (paragraph 6.2, bimekizumab PSD, March 2023).</w:t>
      </w:r>
    </w:p>
    <w:p w14:paraId="0EC0EF9E" w14:textId="1674D89D" w:rsidR="00503B3C" w:rsidRPr="009A24F9" w:rsidRDefault="00CB2398" w:rsidP="00A4777F">
      <w:pPr>
        <w:pStyle w:val="3-BodyText"/>
      </w:pPr>
      <w:r w:rsidRPr="009A24F9">
        <w:rPr>
          <w:snapToGrid/>
        </w:rPr>
        <w:t xml:space="preserve">Details of the trials included in the submission are provided in </w:t>
      </w:r>
      <w:r w:rsidRPr="009A24F9">
        <w:rPr>
          <w:snapToGrid/>
        </w:rPr>
        <w:fldChar w:fldCharType="begin" w:fldLock="1"/>
      </w:r>
      <w:r w:rsidRPr="009A24F9">
        <w:rPr>
          <w:snapToGrid/>
        </w:rPr>
        <w:instrText xml:space="preserve"> REF _Ref104803956 \h  \* MERGEFORMAT </w:instrText>
      </w:r>
      <w:r w:rsidRPr="009A24F9">
        <w:rPr>
          <w:snapToGrid/>
        </w:rPr>
      </w:r>
      <w:r w:rsidRPr="009A24F9">
        <w:rPr>
          <w:snapToGrid/>
        </w:rPr>
        <w:fldChar w:fldCharType="separate"/>
      </w:r>
      <w:r w:rsidRPr="009A24F9">
        <w:rPr>
          <w:rFonts w:ascii="Calibri" w:hAnsi="Calibri"/>
        </w:rPr>
        <w:t>Table 2</w:t>
      </w:r>
      <w:r w:rsidRPr="009A24F9">
        <w:rPr>
          <w:snapToGrid/>
        </w:rPr>
        <w:fldChar w:fldCharType="end"/>
      </w:r>
      <w:r w:rsidRPr="009A24F9">
        <w:rPr>
          <w:snapToGrid/>
        </w:rPr>
        <w:t>.</w:t>
      </w:r>
      <w:r w:rsidR="00A4777F" w:rsidRPr="009A24F9">
        <w:rPr>
          <w:snapToGrid/>
        </w:rPr>
        <w:t xml:space="preserve"> </w:t>
      </w:r>
    </w:p>
    <w:p w14:paraId="3C3E3C6F" w14:textId="39C4273E" w:rsidR="007E7AC8" w:rsidRPr="005B6D7B" w:rsidRDefault="00696EF9" w:rsidP="00161225">
      <w:pPr>
        <w:pStyle w:val="3-BodyText"/>
        <w:keepNext/>
        <w:numPr>
          <w:ilvl w:val="0"/>
          <w:numId w:val="0"/>
        </w:numPr>
        <w:spacing w:after="0"/>
        <w:rPr>
          <w:rStyle w:val="CommentReference"/>
          <w:szCs w:val="24"/>
        </w:rPr>
      </w:pPr>
      <w:bookmarkStart w:id="29" w:name="_Ref104803956"/>
      <w:r w:rsidRPr="005B6D7B">
        <w:rPr>
          <w:rStyle w:val="CommentReference"/>
          <w:szCs w:val="24"/>
        </w:rPr>
        <w:lastRenderedPageBreak/>
        <w:t xml:space="preserve">Table </w:t>
      </w:r>
      <w:r w:rsidR="00816C28" w:rsidRPr="005B6D7B">
        <w:rPr>
          <w:rStyle w:val="CommentReference"/>
          <w:szCs w:val="24"/>
        </w:rPr>
        <w:fldChar w:fldCharType="begin" w:fldLock="1"/>
      </w:r>
      <w:r w:rsidR="00816C28" w:rsidRPr="005B6D7B">
        <w:rPr>
          <w:rStyle w:val="CommentReference"/>
          <w:szCs w:val="24"/>
        </w:rPr>
        <w:instrText xml:space="preserve"> SEQ Table \* ARABIC </w:instrText>
      </w:r>
      <w:r w:rsidR="00816C28" w:rsidRPr="005B6D7B">
        <w:rPr>
          <w:rStyle w:val="CommentReference"/>
          <w:szCs w:val="24"/>
        </w:rPr>
        <w:fldChar w:fldCharType="separate"/>
      </w:r>
      <w:r w:rsidR="00435AF2">
        <w:rPr>
          <w:rStyle w:val="CommentReference"/>
          <w:noProof/>
          <w:szCs w:val="24"/>
        </w:rPr>
        <w:t>2</w:t>
      </w:r>
      <w:r w:rsidR="00816C28" w:rsidRPr="005B6D7B">
        <w:rPr>
          <w:rStyle w:val="CommentReference"/>
          <w:szCs w:val="24"/>
        </w:rPr>
        <w:fldChar w:fldCharType="end"/>
      </w:r>
      <w:bookmarkEnd w:id="29"/>
      <w:r w:rsidRPr="005B6D7B">
        <w:rPr>
          <w:rStyle w:val="CommentReference"/>
          <w:szCs w:val="24"/>
        </w:rPr>
        <w:t>:</w:t>
      </w:r>
      <w:r w:rsidR="00BC591F" w:rsidRPr="005B6D7B">
        <w:rPr>
          <w:rStyle w:val="CommentReference"/>
          <w:szCs w:val="24"/>
        </w:rPr>
        <w:t xml:space="preserve"> </w:t>
      </w:r>
      <w:r w:rsidR="007E7AC8" w:rsidRPr="005B6D7B">
        <w:rPr>
          <w:rStyle w:val="CommentReference"/>
          <w:szCs w:val="24"/>
        </w:rPr>
        <w:t xml:space="preserve">Trials </w:t>
      </w:r>
      <w:r w:rsidR="008E0D3C" w:rsidRPr="005B6D7B">
        <w:rPr>
          <w:rStyle w:val="CommentReference"/>
          <w:szCs w:val="24"/>
        </w:rPr>
        <w:t>and associated reports presented in the submission</w:t>
      </w:r>
    </w:p>
    <w:tbl>
      <w:tblPr>
        <w:tblStyle w:val="TableGrid"/>
        <w:tblW w:w="0" w:type="auto"/>
        <w:tblCellMar>
          <w:left w:w="28" w:type="dxa"/>
          <w:right w:w="28" w:type="dxa"/>
        </w:tblCellMar>
        <w:tblLook w:val="04A0" w:firstRow="1" w:lastRow="0" w:firstColumn="1" w:lastColumn="0" w:noHBand="0" w:noVBand="1"/>
        <w:tblCaption w:val="Table 2: Trials and associated reports presented in the submission"/>
      </w:tblPr>
      <w:tblGrid>
        <w:gridCol w:w="1413"/>
        <w:gridCol w:w="5670"/>
        <w:gridCol w:w="1934"/>
      </w:tblGrid>
      <w:tr w:rsidR="00C230A3" w:rsidRPr="005B6D7B" w14:paraId="4CAB1288" w14:textId="77777777" w:rsidTr="006E51DD">
        <w:trPr>
          <w:tblHeader/>
        </w:trPr>
        <w:tc>
          <w:tcPr>
            <w:tcW w:w="1413" w:type="dxa"/>
            <w:shd w:val="clear" w:color="auto" w:fill="auto"/>
            <w:vAlign w:val="center"/>
          </w:tcPr>
          <w:p w14:paraId="519D965A" w14:textId="5B28A79A" w:rsidR="00C230A3" w:rsidRPr="005B6D7B" w:rsidRDefault="00C230A3" w:rsidP="00C230A3">
            <w:pPr>
              <w:pStyle w:val="3-BodyText"/>
              <w:numPr>
                <w:ilvl w:val="0"/>
                <w:numId w:val="0"/>
              </w:numPr>
              <w:spacing w:after="0"/>
              <w:rPr>
                <w:rFonts w:ascii="Arial Narrow" w:hAnsi="Arial Narrow"/>
                <w:bCs/>
                <w:sz w:val="20"/>
                <w:szCs w:val="20"/>
              </w:rPr>
            </w:pPr>
            <w:r w:rsidRPr="005B6D7B">
              <w:rPr>
                <w:rFonts w:ascii="Arial Narrow" w:hAnsi="Arial Narrow"/>
                <w:b/>
                <w:sz w:val="20"/>
                <w:szCs w:val="20"/>
              </w:rPr>
              <w:t>Trial ID</w:t>
            </w:r>
          </w:p>
        </w:tc>
        <w:tc>
          <w:tcPr>
            <w:tcW w:w="5670" w:type="dxa"/>
            <w:shd w:val="clear" w:color="auto" w:fill="auto"/>
            <w:vAlign w:val="center"/>
          </w:tcPr>
          <w:p w14:paraId="259DEB17" w14:textId="41B2B482" w:rsidR="00C230A3" w:rsidRPr="005B6D7B" w:rsidRDefault="00C230A3" w:rsidP="00C230A3">
            <w:pPr>
              <w:pStyle w:val="3-BodyText"/>
              <w:numPr>
                <w:ilvl w:val="0"/>
                <w:numId w:val="0"/>
              </w:numPr>
              <w:spacing w:after="0"/>
              <w:rPr>
                <w:rFonts w:ascii="Arial Narrow" w:hAnsi="Arial Narrow"/>
                <w:bCs/>
                <w:sz w:val="20"/>
                <w:szCs w:val="20"/>
              </w:rPr>
            </w:pPr>
            <w:r w:rsidRPr="005B6D7B">
              <w:rPr>
                <w:rFonts w:ascii="Arial Narrow" w:hAnsi="Arial Narrow"/>
                <w:b/>
                <w:sz w:val="20"/>
                <w:szCs w:val="20"/>
              </w:rPr>
              <w:t>Protocol title/ Publication title</w:t>
            </w:r>
          </w:p>
        </w:tc>
        <w:tc>
          <w:tcPr>
            <w:tcW w:w="1934" w:type="dxa"/>
            <w:shd w:val="clear" w:color="auto" w:fill="auto"/>
            <w:vAlign w:val="center"/>
          </w:tcPr>
          <w:p w14:paraId="36509684" w14:textId="7FC3B8D6" w:rsidR="00C230A3" w:rsidRPr="005B6D7B" w:rsidRDefault="00C230A3" w:rsidP="00C230A3">
            <w:pPr>
              <w:pStyle w:val="3-BodyText"/>
              <w:numPr>
                <w:ilvl w:val="0"/>
                <w:numId w:val="0"/>
              </w:numPr>
              <w:spacing w:after="0"/>
              <w:rPr>
                <w:rFonts w:ascii="Arial Narrow" w:hAnsi="Arial Narrow"/>
                <w:bCs/>
                <w:sz w:val="20"/>
                <w:szCs w:val="20"/>
              </w:rPr>
            </w:pPr>
            <w:r w:rsidRPr="005B6D7B">
              <w:rPr>
                <w:rFonts w:ascii="Arial Narrow" w:hAnsi="Arial Narrow"/>
                <w:b/>
                <w:sz w:val="20"/>
                <w:szCs w:val="20"/>
              </w:rPr>
              <w:t>Publication citation</w:t>
            </w:r>
          </w:p>
        </w:tc>
      </w:tr>
      <w:tr w:rsidR="009F2680" w:rsidRPr="005B6D7B" w14:paraId="637F081D" w14:textId="77777777" w:rsidTr="006E51DD">
        <w:tc>
          <w:tcPr>
            <w:tcW w:w="9017" w:type="dxa"/>
            <w:gridSpan w:val="3"/>
            <w:shd w:val="clear" w:color="auto" w:fill="auto"/>
            <w:vAlign w:val="center"/>
          </w:tcPr>
          <w:p w14:paraId="76E8FEAC" w14:textId="04986390" w:rsidR="009F2680" w:rsidRPr="005B6D7B" w:rsidRDefault="009F2680" w:rsidP="009F2680">
            <w:pPr>
              <w:pStyle w:val="TableText0"/>
              <w:rPr>
                <w:b/>
                <w:bCs w:val="0"/>
                <w:szCs w:val="20"/>
              </w:rPr>
            </w:pPr>
            <w:r w:rsidRPr="005B6D7B">
              <w:rPr>
                <w:b/>
                <w:bCs w:val="0"/>
                <w:szCs w:val="20"/>
              </w:rPr>
              <w:t>Risankizumab trials</w:t>
            </w:r>
          </w:p>
        </w:tc>
      </w:tr>
      <w:tr w:rsidR="007A4A2F" w:rsidRPr="005B6D7B" w14:paraId="596DC948" w14:textId="77777777" w:rsidTr="006E51DD">
        <w:tc>
          <w:tcPr>
            <w:tcW w:w="1413" w:type="dxa"/>
            <w:tcBorders>
              <w:bottom w:val="nil"/>
            </w:tcBorders>
            <w:shd w:val="clear" w:color="auto" w:fill="auto"/>
          </w:tcPr>
          <w:p w14:paraId="0FB99BC6" w14:textId="77777777" w:rsidR="009F2680" w:rsidRPr="005B6D7B" w:rsidRDefault="009F2680" w:rsidP="00926FFB">
            <w:pPr>
              <w:pStyle w:val="TableText0"/>
              <w:rPr>
                <w:szCs w:val="20"/>
              </w:rPr>
            </w:pPr>
            <w:r w:rsidRPr="005B6D7B">
              <w:rPr>
                <w:szCs w:val="20"/>
              </w:rPr>
              <w:t>M15-999</w:t>
            </w:r>
          </w:p>
          <w:p w14:paraId="1B6735A7" w14:textId="5E99B0BA" w:rsidR="009F2680" w:rsidRPr="005B6D7B" w:rsidRDefault="009F2680" w:rsidP="00926FFB">
            <w:pPr>
              <w:pStyle w:val="3-BodyText"/>
              <w:numPr>
                <w:ilvl w:val="0"/>
                <w:numId w:val="0"/>
              </w:numPr>
              <w:spacing w:after="0"/>
              <w:jc w:val="left"/>
              <w:rPr>
                <w:rFonts w:ascii="Arial Narrow" w:hAnsi="Arial Narrow"/>
                <w:bCs/>
                <w:sz w:val="20"/>
                <w:szCs w:val="20"/>
              </w:rPr>
            </w:pPr>
            <w:r w:rsidRPr="005B6D7B">
              <w:rPr>
                <w:rFonts w:ascii="Arial Narrow" w:hAnsi="Arial Narrow"/>
                <w:sz w:val="20"/>
                <w:szCs w:val="20"/>
              </w:rPr>
              <w:t>NCT03875482</w:t>
            </w:r>
          </w:p>
        </w:tc>
        <w:tc>
          <w:tcPr>
            <w:tcW w:w="5670" w:type="dxa"/>
            <w:shd w:val="clear" w:color="auto" w:fill="auto"/>
            <w:vAlign w:val="center"/>
          </w:tcPr>
          <w:p w14:paraId="6181F778" w14:textId="491DB972" w:rsidR="009F2680" w:rsidRPr="005B6D7B" w:rsidRDefault="009F2680" w:rsidP="009F2680">
            <w:pPr>
              <w:pStyle w:val="3-BodyText"/>
              <w:numPr>
                <w:ilvl w:val="0"/>
                <w:numId w:val="0"/>
              </w:numPr>
              <w:spacing w:after="0"/>
              <w:rPr>
                <w:rFonts w:ascii="Arial Narrow" w:hAnsi="Arial Narrow"/>
                <w:bCs/>
                <w:sz w:val="20"/>
                <w:szCs w:val="20"/>
              </w:rPr>
            </w:pPr>
            <w:r w:rsidRPr="005B6D7B">
              <w:rPr>
                <w:rFonts w:ascii="Arial Narrow" w:hAnsi="Arial Narrow"/>
                <w:sz w:val="20"/>
                <w:szCs w:val="20"/>
              </w:rPr>
              <w:t>M15-999 CSR. A multicentre, randomized, double-blind, placebo-controlled study to assess the safety and efficacy of risankizumab using a new formulation for the treatment of adult subjects with moderate to severe plaque psoriasis</w:t>
            </w:r>
          </w:p>
        </w:tc>
        <w:tc>
          <w:tcPr>
            <w:tcW w:w="1934" w:type="dxa"/>
            <w:shd w:val="clear" w:color="auto" w:fill="auto"/>
            <w:vAlign w:val="center"/>
          </w:tcPr>
          <w:p w14:paraId="51FFB273" w14:textId="14601725" w:rsidR="009F2680" w:rsidRPr="005B6D7B" w:rsidRDefault="009F2680" w:rsidP="00141176">
            <w:pPr>
              <w:pStyle w:val="3-BodyText"/>
              <w:numPr>
                <w:ilvl w:val="0"/>
                <w:numId w:val="0"/>
              </w:numPr>
              <w:spacing w:after="0"/>
              <w:jc w:val="left"/>
              <w:rPr>
                <w:rFonts w:ascii="Arial Narrow" w:hAnsi="Arial Narrow"/>
                <w:bCs/>
                <w:sz w:val="20"/>
                <w:szCs w:val="20"/>
              </w:rPr>
            </w:pPr>
            <w:r w:rsidRPr="005B6D7B">
              <w:rPr>
                <w:rFonts w:ascii="Arial Narrow" w:hAnsi="Arial Narrow"/>
                <w:sz w:val="20"/>
                <w:szCs w:val="20"/>
              </w:rPr>
              <w:t>October 2020</w:t>
            </w:r>
          </w:p>
        </w:tc>
      </w:tr>
      <w:tr w:rsidR="007A4A2F" w:rsidRPr="005B6D7B" w14:paraId="34D2D74B" w14:textId="77777777" w:rsidTr="006E51DD">
        <w:tc>
          <w:tcPr>
            <w:tcW w:w="1413" w:type="dxa"/>
            <w:tcBorders>
              <w:top w:val="nil"/>
              <w:bottom w:val="single" w:sz="4" w:space="0" w:color="auto"/>
            </w:tcBorders>
            <w:shd w:val="clear" w:color="auto" w:fill="auto"/>
          </w:tcPr>
          <w:p w14:paraId="63CFB163" w14:textId="77777777" w:rsidR="009F2680" w:rsidRPr="005B6D7B" w:rsidRDefault="009F2680" w:rsidP="00926FFB">
            <w:pPr>
              <w:pStyle w:val="3-BodyText"/>
              <w:numPr>
                <w:ilvl w:val="0"/>
                <w:numId w:val="0"/>
              </w:numPr>
              <w:spacing w:after="0"/>
              <w:jc w:val="left"/>
              <w:rPr>
                <w:rFonts w:ascii="Arial Narrow" w:hAnsi="Arial Narrow"/>
                <w:bCs/>
                <w:sz w:val="20"/>
                <w:szCs w:val="20"/>
              </w:rPr>
            </w:pPr>
          </w:p>
        </w:tc>
        <w:tc>
          <w:tcPr>
            <w:tcW w:w="5670" w:type="dxa"/>
            <w:shd w:val="clear" w:color="auto" w:fill="auto"/>
            <w:vAlign w:val="center"/>
          </w:tcPr>
          <w:p w14:paraId="31D501D3" w14:textId="6CD0F177" w:rsidR="009F2680" w:rsidRPr="005B6D7B" w:rsidRDefault="009F2680" w:rsidP="009F2680">
            <w:pPr>
              <w:pStyle w:val="3-BodyText"/>
              <w:numPr>
                <w:ilvl w:val="0"/>
                <w:numId w:val="0"/>
              </w:numPr>
              <w:spacing w:after="0"/>
              <w:rPr>
                <w:rFonts w:ascii="Arial Narrow" w:hAnsi="Arial Narrow"/>
                <w:sz w:val="20"/>
                <w:szCs w:val="20"/>
              </w:rPr>
            </w:pPr>
            <w:r w:rsidRPr="005B6D7B">
              <w:rPr>
                <w:rFonts w:ascii="Arial Narrow" w:hAnsi="Arial Narrow"/>
                <w:sz w:val="20"/>
                <w:szCs w:val="20"/>
              </w:rPr>
              <w:t>Blauvelt A, Gordon KB, Lee P et al. Efficacy, safety, usability, and acceptability of risankizumab 150</w:t>
            </w:r>
            <w:r w:rsidRPr="005B6D7B">
              <w:rPr>
                <w:rFonts w:ascii="Arial" w:hAnsi="Arial"/>
                <w:sz w:val="20"/>
                <w:szCs w:val="20"/>
              </w:rPr>
              <w:t> </w:t>
            </w:r>
            <w:r w:rsidRPr="005B6D7B">
              <w:rPr>
                <w:rFonts w:ascii="Arial Narrow" w:hAnsi="Arial Narrow"/>
                <w:sz w:val="20"/>
                <w:szCs w:val="20"/>
              </w:rPr>
              <w:t>mg formulation administered by prefilled syringe or by an autoinjector for moderate to severe plaque psoriasis.</w:t>
            </w:r>
          </w:p>
        </w:tc>
        <w:tc>
          <w:tcPr>
            <w:tcW w:w="1934" w:type="dxa"/>
            <w:shd w:val="clear" w:color="auto" w:fill="auto"/>
            <w:vAlign w:val="center"/>
          </w:tcPr>
          <w:p w14:paraId="53B3D3D8" w14:textId="26CC437D" w:rsidR="009F2680" w:rsidRPr="005B6D7B" w:rsidRDefault="009F2680" w:rsidP="00141176">
            <w:pPr>
              <w:pStyle w:val="3-BodyText"/>
              <w:numPr>
                <w:ilvl w:val="0"/>
                <w:numId w:val="0"/>
              </w:numPr>
              <w:spacing w:after="0"/>
              <w:jc w:val="left"/>
              <w:rPr>
                <w:rFonts w:ascii="Arial Narrow" w:hAnsi="Arial Narrow"/>
                <w:sz w:val="20"/>
                <w:szCs w:val="20"/>
              </w:rPr>
            </w:pPr>
            <w:r w:rsidRPr="005B6D7B">
              <w:rPr>
                <w:rFonts w:ascii="Arial Narrow" w:hAnsi="Arial Narrow"/>
                <w:sz w:val="20"/>
                <w:szCs w:val="20"/>
              </w:rPr>
              <w:t>The Journal of dermatological treatment 2022;33(4):2085-2093</w:t>
            </w:r>
          </w:p>
        </w:tc>
      </w:tr>
      <w:tr w:rsidR="009F2680" w:rsidRPr="005B6D7B" w14:paraId="4C7B62B6" w14:textId="77777777" w:rsidTr="006E51DD">
        <w:tc>
          <w:tcPr>
            <w:tcW w:w="1413" w:type="dxa"/>
            <w:tcBorders>
              <w:bottom w:val="nil"/>
            </w:tcBorders>
            <w:shd w:val="clear" w:color="auto" w:fill="auto"/>
          </w:tcPr>
          <w:p w14:paraId="38643779" w14:textId="77777777" w:rsidR="009F2680" w:rsidRPr="005B6D7B" w:rsidRDefault="009F2680" w:rsidP="00926FFB">
            <w:pPr>
              <w:pStyle w:val="3-BodyText"/>
              <w:numPr>
                <w:ilvl w:val="0"/>
                <w:numId w:val="0"/>
              </w:numPr>
              <w:spacing w:after="0"/>
              <w:jc w:val="left"/>
              <w:rPr>
                <w:rFonts w:ascii="Arial Narrow" w:hAnsi="Arial Narrow"/>
                <w:sz w:val="20"/>
                <w:szCs w:val="20"/>
              </w:rPr>
            </w:pPr>
            <w:r w:rsidRPr="005B6D7B">
              <w:rPr>
                <w:rFonts w:ascii="Arial Narrow" w:hAnsi="Arial Narrow"/>
                <w:sz w:val="20"/>
                <w:szCs w:val="20"/>
              </w:rPr>
              <w:t>IMMhance</w:t>
            </w:r>
          </w:p>
          <w:p w14:paraId="77B0FB5D" w14:textId="77777777" w:rsidR="009F2680" w:rsidRPr="005B6D7B" w:rsidRDefault="009F2680" w:rsidP="00926FFB">
            <w:pPr>
              <w:pStyle w:val="3-BodyText"/>
              <w:numPr>
                <w:ilvl w:val="0"/>
                <w:numId w:val="0"/>
              </w:numPr>
              <w:spacing w:after="0"/>
              <w:jc w:val="left"/>
              <w:rPr>
                <w:rFonts w:ascii="Arial Narrow" w:hAnsi="Arial Narrow"/>
                <w:sz w:val="20"/>
                <w:szCs w:val="20"/>
              </w:rPr>
            </w:pPr>
            <w:r w:rsidRPr="005B6D7B">
              <w:rPr>
                <w:rFonts w:ascii="Arial Narrow" w:hAnsi="Arial Narrow"/>
                <w:sz w:val="20"/>
                <w:szCs w:val="20"/>
              </w:rPr>
              <w:t>M15-992</w:t>
            </w:r>
          </w:p>
          <w:p w14:paraId="179A1936" w14:textId="5BA819E4" w:rsidR="009F2680" w:rsidRPr="005B6D7B" w:rsidRDefault="009F2680" w:rsidP="00926FFB">
            <w:pPr>
              <w:pStyle w:val="3-BodyText"/>
              <w:numPr>
                <w:ilvl w:val="0"/>
                <w:numId w:val="0"/>
              </w:numPr>
              <w:spacing w:after="0"/>
              <w:jc w:val="left"/>
              <w:rPr>
                <w:rFonts w:ascii="Arial Narrow" w:hAnsi="Arial Narrow"/>
                <w:sz w:val="20"/>
                <w:szCs w:val="20"/>
              </w:rPr>
            </w:pPr>
            <w:r w:rsidRPr="005B6D7B">
              <w:rPr>
                <w:rFonts w:ascii="Arial Narrow" w:hAnsi="Arial Narrow"/>
                <w:sz w:val="20"/>
                <w:szCs w:val="20"/>
              </w:rPr>
              <w:t>NCT02672852</w:t>
            </w:r>
          </w:p>
        </w:tc>
        <w:tc>
          <w:tcPr>
            <w:tcW w:w="5670" w:type="dxa"/>
            <w:shd w:val="clear" w:color="auto" w:fill="auto"/>
            <w:vAlign w:val="center"/>
          </w:tcPr>
          <w:p w14:paraId="0DC5F29B" w14:textId="5AF62A73" w:rsidR="009F2680" w:rsidRPr="005B6D7B" w:rsidRDefault="009F2680" w:rsidP="009F2680">
            <w:pPr>
              <w:pStyle w:val="3-BodyText"/>
              <w:numPr>
                <w:ilvl w:val="0"/>
                <w:numId w:val="0"/>
              </w:numPr>
              <w:spacing w:after="0"/>
              <w:rPr>
                <w:rFonts w:ascii="Arial Narrow" w:hAnsi="Arial Narrow"/>
                <w:sz w:val="20"/>
                <w:szCs w:val="20"/>
              </w:rPr>
            </w:pPr>
            <w:r w:rsidRPr="005B6D7B">
              <w:rPr>
                <w:rFonts w:ascii="Arial Narrow" w:hAnsi="Arial Narrow"/>
                <w:sz w:val="20"/>
                <w:szCs w:val="20"/>
              </w:rPr>
              <w:t>M15-992 CSR. Risankizumab versus placebo in a multicenter randomized double-blind study in patients with moderate to severe chronic plaque psoriasis evaluating the efficacy and safety with randomized withdrawal and re-treatment</w:t>
            </w:r>
          </w:p>
        </w:tc>
        <w:tc>
          <w:tcPr>
            <w:tcW w:w="1934" w:type="dxa"/>
            <w:shd w:val="clear" w:color="auto" w:fill="auto"/>
            <w:vAlign w:val="center"/>
          </w:tcPr>
          <w:p w14:paraId="7DF8CA72" w14:textId="30C769D3" w:rsidR="009F2680" w:rsidRPr="005B6D7B" w:rsidRDefault="009F2680" w:rsidP="00141176">
            <w:pPr>
              <w:pStyle w:val="3-BodyText"/>
              <w:numPr>
                <w:ilvl w:val="0"/>
                <w:numId w:val="0"/>
              </w:numPr>
              <w:spacing w:after="0"/>
              <w:jc w:val="left"/>
              <w:rPr>
                <w:rFonts w:ascii="Arial Narrow" w:hAnsi="Arial Narrow"/>
                <w:sz w:val="20"/>
                <w:szCs w:val="20"/>
              </w:rPr>
            </w:pPr>
            <w:r w:rsidRPr="005B6D7B">
              <w:rPr>
                <w:rFonts w:ascii="Arial Narrow" w:hAnsi="Arial Narrow"/>
                <w:sz w:val="20"/>
                <w:szCs w:val="20"/>
              </w:rPr>
              <w:t>January 2018</w:t>
            </w:r>
          </w:p>
        </w:tc>
      </w:tr>
      <w:tr w:rsidR="009F2680" w:rsidRPr="005B6D7B" w14:paraId="17B6D0BE" w14:textId="77777777" w:rsidTr="006E51DD">
        <w:tc>
          <w:tcPr>
            <w:tcW w:w="1413" w:type="dxa"/>
            <w:tcBorders>
              <w:top w:val="nil"/>
              <w:bottom w:val="single" w:sz="4" w:space="0" w:color="auto"/>
            </w:tcBorders>
            <w:shd w:val="clear" w:color="auto" w:fill="auto"/>
          </w:tcPr>
          <w:p w14:paraId="3486BE27" w14:textId="77777777" w:rsidR="009F2680" w:rsidRPr="005B6D7B" w:rsidRDefault="009F2680" w:rsidP="00926FFB">
            <w:pPr>
              <w:pStyle w:val="3-BodyText"/>
              <w:numPr>
                <w:ilvl w:val="0"/>
                <w:numId w:val="0"/>
              </w:numPr>
              <w:spacing w:after="0"/>
              <w:jc w:val="left"/>
              <w:rPr>
                <w:rFonts w:ascii="Arial Narrow" w:hAnsi="Arial Narrow"/>
                <w:sz w:val="20"/>
                <w:szCs w:val="20"/>
              </w:rPr>
            </w:pPr>
          </w:p>
        </w:tc>
        <w:tc>
          <w:tcPr>
            <w:tcW w:w="5670" w:type="dxa"/>
            <w:shd w:val="clear" w:color="auto" w:fill="auto"/>
            <w:vAlign w:val="center"/>
          </w:tcPr>
          <w:p w14:paraId="3039B66F" w14:textId="7504675C" w:rsidR="009F2680" w:rsidRPr="005B6D7B" w:rsidRDefault="009F2680" w:rsidP="009F2680">
            <w:pPr>
              <w:pStyle w:val="3-BodyText"/>
              <w:numPr>
                <w:ilvl w:val="0"/>
                <w:numId w:val="0"/>
              </w:numPr>
              <w:spacing w:after="0"/>
              <w:rPr>
                <w:rFonts w:ascii="Arial Narrow" w:hAnsi="Arial Narrow"/>
                <w:sz w:val="20"/>
                <w:szCs w:val="20"/>
              </w:rPr>
            </w:pPr>
            <w:r w:rsidRPr="005B6D7B">
              <w:rPr>
                <w:rFonts w:ascii="Arial Narrow" w:hAnsi="Arial Narrow"/>
                <w:sz w:val="20"/>
                <w:szCs w:val="20"/>
              </w:rPr>
              <w:t xml:space="preserve">Blauvelt A, Leonardi CL, Gooderham M et al. Efficacy and safety of continuous risankizumab therapy vs treatment withdrawal in patients with moderate to severe plaque psoriasis: a phase 3 randomized clinical trial. </w:t>
            </w:r>
          </w:p>
        </w:tc>
        <w:tc>
          <w:tcPr>
            <w:tcW w:w="1934" w:type="dxa"/>
            <w:shd w:val="clear" w:color="auto" w:fill="auto"/>
            <w:vAlign w:val="center"/>
          </w:tcPr>
          <w:p w14:paraId="3118991E" w14:textId="44FE1B26" w:rsidR="009F2680" w:rsidRPr="005B6D7B" w:rsidRDefault="009F2680" w:rsidP="00141176">
            <w:pPr>
              <w:pStyle w:val="3-BodyText"/>
              <w:numPr>
                <w:ilvl w:val="0"/>
                <w:numId w:val="0"/>
              </w:numPr>
              <w:spacing w:after="0"/>
              <w:jc w:val="left"/>
              <w:rPr>
                <w:rFonts w:ascii="Arial Narrow" w:hAnsi="Arial Narrow"/>
                <w:sz w:val="20"/>
                <w:szCs w:val="20"/>
              </w:rPr>
            </w:pPr>
            <w:r w:rsidRPr="005B6D7B">
              <w:rPr>
                <w:rFonts w:ascii="Arial Narrow" w:hAnsi="Arial Narrow"/>
                <w:sz w:val="20"/>
                <w:szCs w:val="20"/>
              </w:rPr>
              <w:t>JAMA Dermatology 2020;156(6):649-658</w:t>
            </w:r>
          </w:p>
        </w:tc>
      </w:tr>
      <w:tr w:rsidR="009F2680" w:rsidRPr="005B6D7B" w14:paraId="5F4DDD32" w14:textId="77777777" w:rsidTr="006E51DD">
        <w:tc>
          <w:tcPr>
            <w:tcW w:w="1413" w:type="dxa"/>
            <w:tcBorders>
              <w:bottom w:val="nil"/>
            </w:tcBorders>
            <w:shd w:val="clear" w:color="auto" w:fill="auto"/>
          </w:tcPr>
          <w:p w14:paraId="7EFB4717" w14:textId="77777777" w:rsidR="009F2680" w:rsidRPr="005B6D7B" w:rsidRDefault="009F2680" w:rsidP="00926FFB">
            <w:pPr>
              <w:pStyle w:val="3-BodyText"/>
              <w:numPr>
                <w:ilvl w:val="0"/>
                <w:numId w:val="0"/>
              </w:numPr>
              <w:spacing w:after="0"/>
              <w:jc w:val="left"/>
              <w:rPr>
                <w:rFonts w:ascii="Arial Narrow" w:hAnsi="Arial Narrow"/>
                <w:sz w:val="20"/>
                <w:szCs w:val="20"/>
              </w:rPr>
            </w:pPr>
            <w:r w:rsidRPr="005B6D7B">
              <w:rPr>
                <w:rFonts w:ascii="Arial Narrow" w:hAnsi="Arial Narrow"/>
                <w:sz w:val="20"/>
                <w:szCs w:val="20"/>
              </w:rPr>
              <w:t>IMMvent</w:t>
            </w:r>
          </w:p>
          <w:p w14:paraId="08E33BB0" w14:textId="77777777" w:rsidR="009F2680" w:rsidRPr="005B6D7B" w:rsidRDefault="009F2680" w:rsidP="00926FFB">
            <w:pPr>
              <w:pStyle w:val="3-BodyText"/>
              <w:numPr>
                <w:ilvl w:val="0"/>
                <w:numId w:val="0"/>
              </w:numPr>
              <w:spacing w:after="0"/>
              <w:jc w:val="left"/>
              <w:rPr>
                <w:rFonts w:ascii="Arial Narrow" w:hAnsi="Arial Narrow"/>
                <w:sz w:val="20"/>
                <w:szCs w:val="20"/>
              </w:rPr>
            </w:pPr>
            <w:r w:rsidRPr="005B6D7B">
              <w:rPr>
                <w:rFonts w:ascii="Arial Narrow" w:hAnsi="Arial Narrow"/>
                <w:sz w:val="20"/>
                <w:szCs w:val="20"/>
              </w:rPr>
              <w:t>M16-010</w:t>
            </w:r>
          </w:p>
          <w:p w14:paraId="5B72CF61" w14:textId="10758C02" w:rsidR="009F2680" w:rsidRPr="005B6D7B" w:rsidRDefault="009F2680" w:rsidP="00926FFB">
            <w:pPr>
              <w:pStyle w:val="3-BodyText"/>
              <w:numPr>
                <w:ilvl w:val="0"/>
                <w:numId w:val="0"/>
              </w:numPr>
              <w:spacing w:after="0"/>
              <w:jc w:val="left"/>
              <w:rPr>
                <w:rFonts w:ascii="Arial Narrow" w:hAnsi="Arial Narrow"/>
                <w:sz w:val="20"/>
                <w:szCs w:val="20"/>
              </w:rPr>
            </w:pPr>
            <w:r w:rsidRPr="005B6D7B">
              <w:rPr>
                <w:rFonts w:ascii="Arial Narrow" w:hAnsi="Arial Narrow"/>
                <w:sz w:val="20"/>
                <w:szCs w:val="20"/>
              </w:rPr>
              <w:t>NCT02694523</w:t>
            </w:r>
          </w:p>
        </w:tc>
        <w:tc>
          <w:tcPr>
            <w:tcW w:w="5670" w:type="dxa"/>
            <w:shd w:val="clear" w:color="auto" w:fill="auto"/>
            <w:vAlign w:val="center"/>
          </w:tcPr>
          <w:p w14:paraId="5E8AAB95" w14:textId="0888DDA1" w:rsidR="009F2680" w:rsidRPr="005B6D7B" w:rsidRDefault="009F2680" w:rsidP="009F2680">
            <w:pPr>
              <w:pStyle w:val="3-BodyText"/>
              <w:numPr>
                <w:ilvl w:val="0"/>
                <w:numId w:val="0"/>
              </w:numPr>
              <w:spacing w:after="0"/>
              <w:rPr>
                <w:rFonts w:ascii="Arial Narrow" w:hAnsi="Arial Narrow"/>
                <w:sz w:val="20"/>
                <w:szCs w:val="20"/>
              </w:rPr>
            </w:pPr>
            <w:r w:rsidRPr="005B6D7B">
              <w:rPr>
                <w:rFonts w:ascii="Arial Narrow" w:hAnsi="Arial Narrow"/>
                <w:sz w:val="20"/>
                <w:szCs w:val="20"/>
              </w:rPr>
              <w:t>M16-010 CSR. Risankizumab versus adalimumab in a randomised, double-blind, parallel group trial in moderate to severe plaque psoriasis to assess safety and efficacy after 16 weeks of treatment and after incomplete adalimumab response</w:t>
            </w:r>
          </w:p>
        </w:tc>
        <w:tc>
          <w:tcPr>
            <w:tcW w:w="1934" w:type="dxa"/>
            <w:shd w:val="clear" w:color="auto" w:fill="auto"/>
            <w:vAlign w:val="center"/>
          </w:tcPr>
          <w:p w14:paraId="08E549D3" w14:textId="05AB261C" w:rsidR="009F2680" w:rsidRPr="005B6D7B" w:rsidRDefault="009F2680" w:rsidP="00141176">
            <w:pPr>
              <w:pStyle w:val="3-BodyText"/>
              <w:numPr>
                <w:ilvl w:val="0"/>
                <w:numId w:val="0"/>
              </w:numPr>
              <w:spacing w:after="0"/>
              <w:jc w:val="left"/>
              <w:rPr>
                <w:rFonts w:ascii="Arial Narrow" w:hAnsi="Arial Narrow"/>
                <w:sz w:val="20"/>
                <w:szCs w:val="20"/>
              </w:rPr>
            </w:pPr>
            <w:r w:rsidRPr="005B6D7B">
              <w:rPr>
                <w:rFonts w:ascii="Arial Narrow" w:hAnsi="Arial Narrow"/>
                <w:sz w:val="20"/>
                <w:szCs w:val="20"/>
              </w:rPr>
              <w:t>September 2017</w:t>
            </w:r>
          </w:p>
        </w:tc>
      </w:tr>
      <w:tr w:rsidR="009F2680" w:rsidRPr="005B6D7B" w14:paraId="65F35C87" w14:textId="77777777" w:rsidTr="006E51DD">
        <w:tc>
          <w:tcPr>
            <w:tcW w:w="1413" w:type="dxa"/>
            <w:tcBorders>
              <w:top w:val="nil"/>
              <w:bottom w:val="single" w:sz="4" w:space="0" w:color="auto"/>
            </w:tcBorders>
            <w:shd w:val="clear" w:color="auto" w:fill="auto"/>
          </w:tcPr>
          <w:p w14:paraId="492BB42F" w14:textId="77777777" w:rsidR="009F2680" w:rsidRPr="005B6D7B" w:rsidRDefault="009F2680" w:rsidP="00926FFB">
            <w:pPr>
              <w:pStyle w:val="3-BodyText"/>
              <w:numPr>
                <w:ilvl w:val="0"/>
                <w:numId w:val="0"/>
              </w:numPr>
              <w:spacing w:after="0"/>
              <w:jc w:val="left"/>
              <w:rPr>
                <w:rFonts w:ascii="Arial Narrow" w:hAnsi="Arial Narrow"/>
                <w:bCs/>
                <w:sz w:val="20"/>
                <w:szCs w:val="20"/>
              </w:rPr>
            </w:pPr>
          </w:p>
        </w:tc>
        <w:tc>
          <w:tcPr>
            <w:tcW w:w="5670" w:type="dxa"/>
            <w:shd w:val="clear" w:color="auto" w:fill="auto"/>
            <w:vAlign w:val="center"/>
          </w:tcPr>
          <w:p w14:paraId="2CAC53EE" w14:textId="0AE0BC02" w:rsidR="009F2680" w:rsidRPr="005B6D7B" w:rsidRDefault="009F2680" w:rsidP="009F2680">
            <w:pPr>
              <w:pStyle w:val="3-BodyText"/>
              <w:numPr>
                <w:ilvl w:val="0"/>
                <w:numId w:val="0"/>
              </w:numPr>
              <w:spacing w:after="0"/>
              <w:rPr>
                <w:rFonts w:ascii="Arial Narrow" w:hAnsi="Arial Narrow"/>
                <w:sz w:val="20"/>
                <w:szCs w:val="20"/>
              </w:rPr>
            </w:pPr>
            <w:r w:rsidRPr="005B6D7B">
              <w:rPr>
                <w:rFonts w:ascii="Arial Narrow" w:hAnsi="Arial Narrow"/>
                <w:sz w:val="20"/>
                <w:szCs w:val="20"/>
              </w:rPr>
              <w:t>Reich K, Gooderham M, Thaci D et al. Risankizumab compared with adalimumab in patients with moderate-to-severe plaque psoriasis (IMMvent): a randomised, double-blind, active-comparator-controlled phase 3 trial.</w:t>
            </w:r>
          </w:p>
        </w:tc>
        <w:tc>
          <w:tcPr>
            <w:tcW w:w="1934" w:type="dxa"/>
            <w:shd w:val="clear" w:color="auto" w:fill="auto"/>
            <w:vAlign w:val="center"/>
          </w:tcPr>
          <w:p w14:paraId="6A1C97AB" w14:textId="6A99495A" w:rsidR="009F2680" w:rsidRPr="005B6D7B" w:rsidRDefault="009F2680" w:rsidP="00141176">
            <w:pPr>
              <w:pStyle w:val="3-BodyText"/>
              <w:numPr>
                <w:ilvl w:val="0"/>
                <w:numId w:val="0"/>
              </w:numPr>
              <w:spacing w:after="0"/>
              <w:jc w:val="left"/>
              <w:rPr>
                <w:rFonts w:ascii="Arial Narrow" w:hAnsi="Arial Narrow"/>
                <w:sz w:val="20"/>
                <w:szCs w:val="20"/>
              </w:rPr>
            </w:pPr>
            <w:r w:rsidRPr="005B6D7B">
              <w:rPr>
                <w:rFonts w:ascii="Arial Narrow" w:hAnsi="Arial Narrow"/>
                <w:sz w:val="20"/>
                <w:szCs w:val="20"/>
              </w:rPr>
              <w:t>Lancet 2019;394(10198):576-586</w:t>
            </w:r>
          </w:p>
        </w:tc>
      </w:tr>
      <w:tr w:rsidR="009F2680" w:rsidRPr="005B6D7B" w14:paraId="3FF7E9E6" w14:textId="77777777" w:rsidTr="006E51DD">
        <w:tc>
          <w:tcPr>
            <w:tcW w:w="1413" w:type="dxa"/>
            <w:tcBorders>
              <w:bottom w:val="nil"/>
            </w:tcBorders>
            <w:shd w:val="clear" w:color="auto" w:fill="auto"/>
          </w:tcPr>
          <w:p w14:paraId="4F521F8E" w14:textId="77777777" w:rsidR="009F2680" w:rsidRPr="005B6D7B" w:rsidRDefault="009F2680" w:rsidP="00926FFB">
            <w:pPr>
              <w:pStyle w:val="3-BodyText"/>
              <w:numPr>
                <w:ilvl w:val="0"/>
                <w:numId w:val="0"/>
              </w:numPr>
              <w:spacing w:after="0"/>
              <w:jc w:val="left"/>
              <w:rPr>
                <w:rFonts w:ascii="Arial Narrow" w:hAnsi="Arial Narrow"/>
                <w:sz w:val="20"/>
                <w:szCs w:val="20"/>
              </w:rPr>
            </w:pPr>
            <w:r w:rsidRPr="005B6D7B">
              <w:rPr>
                <w:rFonts w:ascii="Arial Narrow" w:hAnsi="Arial Narrow"/>
                <w:sz w:val="20"/>
                <w:szCs w:val="20"/>
              </w:rPr>
              <w:t>IMMerge</w:t>
            </w:r>
          </w:p>
          <w:p w14:paraId="1C916AB9" w14:textId="77777777" w:rsidR="009F2680" w:rsidRPr="005B6D7B" w:rsidRDefault="009F2680" w:rsidP="00926FFB">
            <w:pPr>
              <w:pStyle w:val="3-BodyText"/>
              <w:numPr>
                <w:ilvl w:val="0"/>
                <w:numId w:val="0"/>
              </w:numPr>
              <w:spacing w:after="0"/>
              <w:jc w:val="left"/>
              <w:rPr>
                <w:rFonts w:ascii="Arial Narrow" w:hAnsi="Arial Narrow"/>
                <w:sz w:val="20"/>
                <w:szCs w:val="20"/>
              </w:rPr>
            </w:pPr>
            <w:r w:rsidRPr="005B6D7B">
              <w:rPr>
                <w:rFonts w:ascii="Arial Narrow" w:hAnsi="Arial Narrow"/>
                <w:sz w:val="20"/>
                <w:szCs w:val="20"/>
              </w:rPr>
              <w:t>M16-766</w:t>
            </w:r>
          </w:p>
          <w:p w14:paraId="430EB369" w14:textId="11B7F069" w:rsidR="009F2680" w:rsidRPr="005B6D7B" w:rsidRDefault="009F2680" w:rsidP="00926FFB">
            <w:pPr>
              <w:pStyle w:val="3-BodyText"/>
              <w:numPr>
                <w:ilvl w:val="0"/>
                <w:numId w:val="0"/>
              </w:numPr>
              <w:spacing w:after="0"/>
              <w:jc w:val="left"/>
              <w:rPr>
                <w:rFonts w:ascii="Arial Narrow" w:hAnsi="Arial Narrow"/>
                <w:sz w:val="20"/>
                <w:szCs w:val="20"/>
              </w:rPr>
            </w:pPr>
            <w:r w:rsidRPr="005B6D7B">
              <w:rPr>
                <w:rFonts w:ascii="Arial Narrow" w:hAnsi="Arial Narrow"/>
                <w:sz w:val="20"/>
                <w:szCs w:val="20"/>
              </w:rPr>
              <w:t>NCT03478787</w:t>
            </w:r>
          </w:p>
        </w:tc>
        <w:tc>
          <w:tcPr>
            <w:tcW w:w="5670" w:type="dxa"/>
            <w:shd w:val="clear" w:color="auto" w:fill="auto"/>
            <w:vAlign w:val="center"/>
          </w:tcPr>
          <w:p w14:paraId="26059139" w14:textId="588E9E45" w:rsidR="009F2680" w:rsidRPr="005B6D7B" w:rsidRDefault="009F2680" w:rsidP="009F2680">
            <w:pPr>
              <w:pStyle w:val="3-BodyText"/>
              <w:numPr>
                <w:ilvl w:val="0"/>
                <w:numId w:val="0"/>
              </w:numPr>
              <w:spacing w:after="0"/>
              <w:rPr>
                <w:rFonts w:ascii="Arial Narrow" w:hAnsi="Arial Narrow"/>
                <w:sz w:val="20"/>
                <w:szCs w:val="20"/>
              </w:rPr>
            </w:pPr>
            <w:r w:rsidRPr="005B6D7B">
              <w:rPr>
                <w:rFonts w:ascii="Arial Narrow" w:hAnsi="Arial Narrow"/>
                <w:sz w:val="20"/>
                <w:szCs w:val="20"/>
              </w:rPr>
              <w:t>M16-766 CSR. A multicenter, randomized, open label, efficacy assessor-blinded study of risankizumab compared to secukinumab for the treatment of adult subjects with moderate to severe plaque psoriasis who are candidates for systemic therapy</w:t>
            </w:r>
          </w:p>
        </w:tc>
        <w:tc>
          <w:tcPr>
            <w:tcW w:w="1934" w:type="dxa"/>
            <w:shd w:val="clear" w:color="auto" w:fill="auto"/>
            <w:vAlign w:val="center"/>
          </w:tcPr>
          <w:p w14:paraId="3EA0F586" w14:textId="725AAAC2" w:rsidR="009F2680" w:rsidRPr="005B6D7B" w:rsidRDefault="009F2680" w:rsidP="00141176">
            <w:pPr>
              <w:pStyle w:val="3-BodyText"/>
              <w:numPr>
                <w:ilvl w:val="0"/>
                <w:numId w:val="0"/>
              </w:numPr>
              <w:spacing w:after="0"/>
              <w:jc w:val="left"/>
              <w:rPr>
                <w:rFonts w:ascii="Arial Narrow" w:hAnsi="Arial Narrow"/>
                <w:sz w:val="20"/>
                <w:szCs w:val="20"/>
              </w:rPr>
            </w:pPr>
            <w:r w:rsidRPr="005B6D7B">
              <w:rPr>
                <w:rFonts w:ascii="Arial Narrow" w:hAnsi="Arial Narrow"/>
                <w:sz w:val="20"/>
                <w:szCs w:val="20"/>
              </w:rPr>
              <w:t>July 2020</w:t>
            </w:r>
          </w:p>
        </w:tc>
      </w:tr>
      <w:tr w:rsidR="009F2680" w:rsidRPr="005B6D7B" w14:paraId="47437E88" w14:textId="77777777" w:rsidTr="006E51DD">
        <w:tc>
          <w:tcPr>
            <w:tcW w:w="1413" w:type="dxa"/>
            <w:tcBorders>
              <w:top w:val="nil"/>
              <w:bottom w:val="single" w:sz="4" w:space="0" w:color="auto"/>
            </w:tcBorders>
            <w:shd w:val="clear" w:color="auto" w:fill="auto"/>
          </w:tcPr>
          <w:p w14:paraId="223DA689" w14:textId="77777777" w:rsidR="009F2680" w:rsidRPr="005B6D7B" w:rsidRDefault="009F2680" w:rsidP="00926FFB">
            <w:pPr>
              <w:pStyle w:val="3-BodyText"/>
              <w:numPr>
                <w:ilvl w:val="0"/>
                <w:numId w:val="0"/>
              </w:numPr>
              <w:spacing w:after="0"/>
              <w:jc w:val="left"/>
              <w:rPr>
                <w:rFonts w:ascii="Arial Narrow" w:hAnsi="Arial Narrow"/>
                <w:sz w:val="20"/>
                <w:szCs w:val="20"/>
              </w:rPr>
            </w:pPr>
          </w:p>
        </w:tc>
        <w:tc>
          <w:tcPr>
            <w:tcW w:w="5670" w:type="dxa"/>
            <w:shd w:val="clear" w:color="auto" w:fill="auto"/>
            <w:vAlign w:val="center"/>
          </w:tcPr>
          <w:p w14:paraId="322A9157" w14:textId="2361970F" w:rsidR="009F2680" w:rsidRPr="005B6D7B" w:rsidRDefault="009F2680" w:rsidP="009F2680">
            <w:pPr>
              <w:pStyle w:val="3-BodyText"/>
              <w:numPr>
                <w:ilvl w:val="0"/>
                <w:numId w:val="0"/>
              </w:numPr>
              <w:spacing w:after="0"/>
              <w:rPr>
                <w:rFonts w:ascii="Arial Narrow" w:hAnsi="Arial Narrow"/>
                <w:sz w:val="20"/>
                <w:szCs w:val="20"/>
              </w:rPr>
            </w:pPr>
            <w:r w:rsidRPr="005B6D7B">
              <w:rPr>
                <w:rFonts w:ascii="Arial Narrow" w:hAnsi="Arial Narrow"/>
                <w:sz w:val="20"/>
                <w:szCs w:val="20"/>
              </w:rPr>
              <w:t>Warren RB, Blauvelt A, Poulin Y et al. Efficacy and safety of risankizumab vs. secukinumab in patients with moderate-to-severe plaque psoriasis (IMMerge): results from a phase III, randomized, open-label, efficacy–assessor-blinded clinical trial</w:t>
            </w:r>
          </w:p>
        </w:tc>
        <w:tc>
          <w:tcPr>
            <w:tcW w:w="1934" w:type="dxa"/>
            <w:shd w:val="clear" w:color="auto" w:fill="auto"/>
            <w:vAlign w:val="center"/>
          </w:tcPr>
          <w:p w14:paraId="26167998" w14:textId="71ECDC4F" w:rsidR="009F2680" w:rsidRPr="005B6D7B" w:rsidRDefault="009F2680" w:rsidP="00141176">
            <w:pPr>
              <w:pStyle w:val="3-BodyText"/>
              <w:numPr>
                <w:ilvl w:val="0"/>
                <w:numId w:val="0"/>
              </w:numPr>
              <w:spacing w:after="0"/>
              <w:jc w:val="left"/>
              <w:rPr>
                <w:rFonts w:ascii="Arial Narrow" w:hAnsi="Arial Narrow"/>
                <w:sz w:val="20"/>
                <w:szCs w:val="20"/>
              </w:rPr>
            </w:pPr>
            <w:r w:rsidRPr="005B6D7B">
              <w:rPr>
                <w:rFonts w:ascii="Arial Narrow" w:hAnsi="Arial Narrow"/>
                <w:sz w:val="20"/>
                <w:szCs w:val="20"/>
              </w:rPr>
              <w:t>British Journal of Dermatology 2021;184(1):50-59</w:t>
            </w:r>
          </w:p>
        </w:tc>
      </w:tr>
      <w:tr w:rsidR="009F2680" w:rsidRPr="005B6D7B" w14:paraId="7AF27915" w14:textId="77777777" w:rsidTr="006E51DD">
        <w:tc>
          <w:tcPr>
            <w:tcW w:w="1413" w:type="dxa"/>
            <w:tcBorders>
              <w:bottom w:val="nil"/>
            </w:tcBorders>
            <w:shd w:val="clear" w:color="auto" w:fill="auto"/>
          </w:tcPr>
          <w:p w14:paraId="725BC8C0" w14:textId="77777777" w:rsidR="009F2680" w:rsidRPr="005B6D7B" w:rsidRDefault="009F2680" w:rsidP="00926FFB">
            <w:pPr>
              <w:pStyle w:val="3-BodyText"/>
              <w:numPr>
                <w:ilvl w:val="0"/>
                <w:numId w:val="0"/>
              </w:numPr>
              <w:spacing w:after="0"/>
              <w:jc w:val="left"/>
              <w:rPr>
                <w:rFonts w:ascii="Arial Narrow" w:hAnsi="Arial Narrow"/>
                <w:sz w:val="20"/>
                <w:szCs w:val="20"/>
              </w:rPr>
            </w:pPr>
            <w:r w:rsidRPr="005B6D7B">
              <w:rPr>
                <w:rFonts w:ascii="Arial Narrow" w:hAnsi="Arial Narrow"/>
                <w:sz w:val="20"/>
                <w:szCs w:val="20"/>
              </w:rPr>
              <w:t>UltIMMa-1</w:t>
            </w:r>
          </w:p>
          <w:p w14:paraId="46315646" w14:textId="77777777" w:rsidR="009F2680" w:rsidRPr="005B6D7B" w:rsidRDefault="009F2680" w:rsidP="00926FFB">
            <w:pPr>
              <w:pStyle w:val="3-BodyText"/>
              <w:numPr>
                <w:ilvl w:val="0"/>
                <w:numId w:val="0"/>
              </w:numPr>
              <w:spacing w:after="0"/>
              <w:jc w:val="left"/>
              <w:rPr>
                <w:rFonts w:ascii="Arial Narrow" w:hAnsi="Arial Narrow"/>
                <w:sz w:val="20"/>
                <w:szCs w:val="20"/>
              </w:rPr>
            </w:pPr>
            <w:r w:rsidRPr="005B6D7B">
              <w:rPr>
                <w:rFonts w:ascii="Arial Narrow" w:hAnsi="Arial Narrow"/>
                <w:sz w:val="20"/>
                <w:szCs w:val="20"/>
              </w:rPr>
              <w:t>M16-008</w:t>
            </w:r>
          </w:p>
          <w:p w14:paraId="74A01216" w14:textId="7ADC7743" w:rsidR="009F2680" w:rsidRPr="005B6D7B" w:rsidRDefault="009F2680" w:rsidP="00926FFB">
            <w:pPr>
              <w:pStyle w:val="3-BodyText"/>
              <w:numPr>
                <w:ilvl w:val="0"/>
                <w:numId w:val="0"/>
              </w:numPr>
              <w:spacing w:after="0"/>
              <w:jc w:val="left"/>
              <w:rPr>
                <w:rFonts w:ascii="Arial Narrow" w:hAnsi="Arial Narrow"/>
                <w:sz w:val="20"/>
                <w:szCs w:val="20"/>
              </w:rPr>
            </w:pPr>
            <w:r w:rsidRPr="005B6D7B">
              <w:rPr>
                <w:rFonts w:ascii="Arial Narrow" w:hAnsi="Arial Narrow"/>
                <w:sz w:val="20"/>
                <w:szCs w:val="20"/>
              </w:rPr>
              <w:t>NCT02684370</w:t>
            </w:r>
            <w:r w:rsidR="000E24D9" w:rsidRPr="005B6D7B">
              <w:rPr>
                <w:rFonts w:ascii="Arial Narrow" w:hAnsi="Arial Narrow"/>
                <w:sz w:val="20"/>
                <w:szCs w:val="20"/>
              </w:rPr>
              <w:t xml:space="preserve"> /</w:t>
            </w:r>
          </w:p>
        </w:tc>
        <w:tc>
          <w:tcPr>
            <w:tcW w:w="5670" w:type="dxa"/>
            <w:shd w:val="clear" w:color="auto" w:fill="auto"/>
            <w:vAlign w:val="center"/>
          </w:tcPr>
          <w:p w14:paraId="3BE2D42C" w14:textId="5F13DC43" w:rsidR="009F2680" w:rsidRPr="005B6D7B" w:rsidRDefault="009F2680" w:rsidP="009F2680">
            <w:pPr>
              <w:pStyle w:val="3-BodyText"/>
              <w:numPr>
                <w:ilvl w:val="0"/>
                <w:numId w:val="0"/>
              </w:numPr>
              <w:spacing w:after="0"/>
              <w:rPr>
                <w:rFonts w:ascii="Arial Narrow" w:hAnsi="Arial Narrow"/>
                <w:sz w:val="20"/>
                <w:szCs w:val="20"/>
              </w:rPr>
            </w:pPr>
            <w:r w:rsidRPr="005B6D7B">
              <w:rPr>
                <w:rFonts w:ascii="Arial Narrow" w:hAnsi="Arial Narrow"/>
                <w:sz w:val="20"/>
                <w:szCs w:val="20"/>
              </w:rPr>
              <w:t>M16-008 CSR. Risankizumab versus and placebo comparators in a randomised double- blind trial for maintenance use in moderate to severe plaque type psoriasis (trial 1)</w:t>
            </w:r>
          </w:p>
        </w:tc>
        <w:tc>
          <w:tcPr>
            <w:tcW w:w="1934" w:type="dxa"/>
            <w:shd w:val="clear" w:color="auto" w:fill="auto"/>
          </w:tcPr>
          <w:p w14:paraId="1DC1484C" w14:textId="08ED0B11" w:rsidR="009F2680" w:rsidRPr="005B6D7B" w:rsidRDefault="009F2680" w:rsidP="00141176">
            <w:pPr>
              <w:pStyle w:val="3-BodyText"/>
              <w:numPr>
                <w:ilvl w:val="0"/>
                <w:numId w:val="0"/>
              </w:numPr>
              <w:spacing w:after="0"/>
              <w:jc w:val="left"/>
              <w:rPr>
                <w:rFonts w:ascii="Arial Narrow" w:hAnsi="Arial Narrow"/>
                <w:sz w:val="20"/>
                <w:szCs w:val="20"/>
              </w:rPr>
            </w:pPr>
            <w:r w:rsidRPr="005B6D7B">
              <w:rPr>
                <w:rFonts w:ascii="Arial Narrow" w:hAnsi="Arial Narrow"/>
                <w:sz w:val="20"/>
                <w:szCs w:val="20"/>
              </w:rPr>
              <w:t>December 2017</w:t>
            </w:r>
          </w:p>
          <w:p w14:paraId="07F27155" w14:textId="54D1F74E" w:rsidR="009F2680" w:rsidRPr="005B6D7B" w:rsidRDefault="009F2680" w:rsidP="00141176">
            <w:pPr>
              <w:pStyle w:val="3-BodyText"/>
              <w:numPr>
                <w:ilvl w:val="0"/>
                <w:numId w:val="0"/>
              </w:numPr>
              <w:spacing w:after="0"/>
              <w:jc w:val="left"/>
              <w:rPr>
                <w:rFonts w:ascii="Arial Narrow" w:hAnsi="Arial Narrow"/>
                <w:sz w:val="20"/>
                <w:szCs w:val="20"/>
              </w:rPr>
            </w:pPr>
          </w:p>
        </w:tc>
      </w:tr>
      <w:tr w:rsidR="009F2680" w:rsidRPr="005B6D7B" w14:paraId="3F8CF8C6" w14:textId="77777777" w:rsidTr="006E51DD">
        <w:tc>
          <w:tcPr>
            <w:tcW w:w="1413" w:type="dxa"/>
            <w:tcBorders>
              <w:top w:val="nil"/>
              <w:bottom w:val="nil"/>
            </w:tcBorders>
            <w:shd w:val="clear" w:color="auto" w:fill="auto"/>
          </w:tcPr>
          <w:p w14:paraId="2A0A48A4" w14:textId="77777777" w:rsidR="009F2680" w:rsidRPr="005B6D7B" w:rsidRDefault="009F2680" w:rsidP="009F2680">
            <w:pPr>
              <w:pStyle w:val="3-BodyText"/>
              <w:numPr>
                <w:ilvl w:val="0"/>
                <w:numId w:val="0"/>
              </w:numPr>
              <w:spacing w:after="0"/>
              <w:rPr>
                <w:rFonts w:ascii="Arial Narrow" w:hAnsi="Arial Narrow"/>
                <w:sz w:val="20"/>
                <w:szCs w:val="20"/>
              </w:rPr>
            </w:pPr>
            <w:r w:rsidRPr="005B6D7B">
              <w:rPr>
                <w:rFonts w:ascii="Arial Narrow" w:hAnsi="Arial Narrow"/>
                <w:sz w:val="20"/>
                <w:szCs w:val="20"/>
              </w:rPr>
              <w:t>UltIMMa-2</w:t>
            </w:r>
          </w:p>
          <w:p w14:paraId="679171E6" w14:textId="77777777" w:rsidR="009F2680" w:rsidRPr="005B6D7B" w:rsidRDefault="009F2680" w:rsidP="009F2680">
            <w:pPr>
              <w:pStyle w:val="3-BodyText"/>
              <w:numPr>
                <w:ilvl w:val="0"/>
                <w:numId w:val="0"/>
              </w:numPr>
              <w:spacing w:after="0"/>
              <w:rPr>
                <w:rFonts w:ascii="Arial Narrow" w:hAnsi="Arial Narrow"/>
                <w:sz w:val="20"/>
                <w:szCs w:val="20"/>
              </w:rPr>
            </w:pPr>
            <w:r w:rsidRPr="005B6D7B">
              <w:rPr>
                <w:rFonts w:ascii="Arial Narrow" w:hAnsi="Arial Narrow"/>
                <w:sz w:val="20"/>
                <w:szCs w:val="20"/>
              </w:rPr>
              <w:t>M15-995</w:t>
            </w:r>
          </w:p>
          <w:p w14:paraId="4EC9A41C" w14:textId="51CB78D8" w:rsidR="009F2680" w:rsidRPr="005B6D7B" w:rsidRDefault="009F2680" w:rsidP="009F2680">
            <w:pPr>
              <w:pStyle w:val="3-BodyText"/>
              <w:numPr>
                <w:ilvl w:val="0"/>
                <w:numId w:val="0"/>
              </w:numPr>
              <w:spacing w:after="0"/>
              <w:rPr>
                <w:rFonts w:ascii="Arial Narrow" w:hAnsi="Arial Narrow"/>
                <w:bCs/>
                <w:sz w:val="20"/>
                <w:szCs w:val="20"/>
              </w:rPr>
            </w:pPr>
            <w:r w:rsidRPr="005B6D7B">
              <w:rPr>
                <w:rFonts w:ascii="Arial Narrow" w:hAnsi="Arial Narrow"/>
                <w:sz w:val="20"/>
                <w:szCs w:val="20"/>
              </w:rPr>
              <w:t>NCT02684357</w:t>
            </w:r>
          </w:p>
        </w:tc>
        <w:tc>
          <w:tcPr>
            <w:tcW w:w="5670" w:type="dxa"/>
            <w:shd w:val="clear" w:color="auto" w:fill="auto"/>
          </w:tcPr>
          <w:p w14:paraId="28A9B6F1" w14:textId="0643C8BC" w:rsidR="009F2680" w:rsidRPr="005B6D7B" w:rsidRDefault="009F2680" w:rsidP="009F2680">
            <w:pPr>
              <w:pStyle w:val="3-BodyText"/>
              <w:numPr>
                <w:ilvl w:val="0"/>
                <w:numId w:val="0"/>
              </w:numPr>
              <w:spacing w:after="0"/>
              <w:rPr>
                <w:rFonts w:ascii="Arial Narrow" w:hAnsi="Arial Narrow"/>
                <w:bCs/>
                <w:sz w:val="20"/>
                <w:szCs w:val="20"/>
              </w:rPr>
            </w:pPr>
            <w:r w:rsidRPr="005B6D7B">
              <w:rPr>
                <w:rFonts w:ascii="Arial Narrow" w:hAnsi="Arial Narrow"/>
                <w:sz w:val="20"/>
                <w:szCs w:val="20"/>
              </w:rPr>
              <w:t>M15-995 CSR. Risankizumab versus and placebo comparators in a randomised double- blind trial for maintenance use in moderate to severe plaque type psoriasis (trial 2)</w:t>
            </w:r>
          </w:p>
        </w:tc>
        <w:tc>
          <w:tcPr>
            <w:tcW w:w="1934" w:type="dxa"/>
            <w:shd w:val="clear" w:color="auto" w:fill="auto"/>
          </w:tcPr>
          <w:p w14:paraId="11DBFD31" w14:textId="16093ECF" w:rsidR="009F2680" w:rsidRPr="005B6D7B" w:rsidRDefault="009F2680" w:rsidP="00141176">
            <w:pPr>
              <w:pStyle w:val="3-BodyText"/>
              <w:numPr>
                <w:ilvl w:val="0"/>
                <w:numId w:val="0"/>
              </w:numPr>
              <w:spacing w:after="0"/>
              <w:jc w:val="left"/>
              <w:rPr>
                <w:rFonts w:ascii="Arial Narrow" w:hAnsi="Arial Narrow"/>
                <w:bCs/>
                <w:sz w:val="20"/>
                <w:szCs w:val="20"/>
              </w:rPr>
            </w:pPr>
            <w:r w:rsidRPr="005B6D7B">
              <w:rPr>
                <w:rFonts w:ascii="Arial Narrow" w:hAnsi="Arial Narrow"/>
                <w:sz w:val="20"/>
                <w:szCs w:val="20"/>
              </w:rPr>
              <w:t>December 2017</w:t>
            </w:r>
          </w:p>
        </w:tc>
      </w:tr>
      <w:tr w:rsidR="009F2680" w:rsidRPr="005B6D7B" w14:paraId="7E976D07" w14:textId="77777777" w:rsidTr="006E51DD">
        <w:tc>
          <w:tcPr>
            <w:tcW w:w="1413" w:type="dxa"/>
            <w:tcBorders>
              <w:top w:val="nil"/>
            </w:tcBorders>
            <w:shd w:val="clear" w:color="auto" w:fill="auto"/>
            <w:vAlign w:val="center"/>
          </w:tcPr>
          <w:p w14:paraId="40E590B2" w14:textId="77777777" w:rsidR="009F2680" w:rsidRPr="005B6D7B" w:rsidRDefault="009F2680" w:rsidP="00926FFB">
            <w:pPr>
              <w:pStyle w:val="3-BodyText"/>
              <w:numPr>
                <w:ilvl w:val="0"/>
                <w:numId w:val="0"/>
              </w:numPr>
              <w:spacing w:after="0"/>
              <w:jc w:val="left"/>
              <w:rPr>
                <w:rFonts w:ascii="Arial Narrow" w:hAnsi="Arial Narrow"/>
                <w:bCs/>
                <w:sz w:val="20"/>
                <w:szCs w:val="20"/>
              </w:rPr>
            </w:pPr>
          </w:p>
        </w:tc>
        <w:tc>
          <w:tcPr>
            <w:tcW w:w="5670" w:type="dxa"/>
            <w:shd w:val="clear" w:color="auto" w:fill="auto"/>
            <w:vAlign w:val="center"/>
          </w:tcPr>
          <w:p w14:paraId="41ECD11C" w14:textId="58A61307" w:rsidR="009F2680" w:rsidRPr="005B6D7B" w:rsidRDefault="009F2680" w:rsidP="009F2680">
            <w:pPr>
              <w:pStyle w:val="3-BodyText"/>
              <w:numPr>
                <w:ilvl w:val="0"/>
                <w:numId w:val="0"/>
              </w:numPr>
              <w:spacing w:after="0"/>
              <w:rPr>
                <w:rFonts w:ascii="Arial Narrow" w:hAnsi="Arial Narrow"/>
                <w:sz w:val="20"/>
                <w:szCs w:val="20"/>
              </w:rPr>
            </w:pPr>
            <w:r w:rsidRPr="005B6D7B">
              <w:rPr>
                <w:rFonts w:ascii="Arial Narrow" w:hAnsi="Arial Narrow"/>
                <w:sz w:val="20"/>
                <w:szCs w:val="20"/>
              </w:rPr>
              <w:t>Gordon KB, Strober B, Lebwohl M et al. Efficacy and safety of risankizumab in moderate-to-severe plaque psoriasis (UltIMMa-1 and UltIMMa-2): results from two double-blind, randomised, placebo-controlled and ustekinumab-controlled phase 3 trials.</w:t>
            </w:r>
          </w:p>
        </w:tc>
        <w:tc>
          <w:tcPr>
            <w:tcW w:w="1934" w:type="dxa"/>
            <w:shd w:val="clear" w:color="auto" w:fill="auto"/>
            <w:vAlign w:val="center"/>
          </w:tcPr>
          <w:p w14:paraId="351EEDD9" w14:textId="7634D792" w:rsidR="009F2680" w:rsidRPr="005B6D7B" w:rsidRDefault="009F2680" w:rsidP="00141176">
            <w:pPr>
              <w:pStyle w:val="3-BodyText"/>
              <w:numPr>
                <w:ilvl w:val="0"/>
                <w:numId w:val="0"/>
              </w:numPr>
              <w:spacing w:after="0"/>
              <w:jc w:val="left"/>
              <w:rPr>
                <w:rFonts w:ascii="Arial Narrow" w:hAnsi="Arial Narrow"/>
                <w:sz w:val="20"/>
                <w:szCs w:val="20"/>
              </w:rPr>
            </w:pPr>
            <w:r w:rsidRPr="005B6D7B">
              <w:rPr>
                <w:rFonts w:ascii="Arial Narrow" w:hAnsi="Arial Narrow"/>
                <w:sz w:val="20"/>
                <w:szCs w:val="20"/>
              </w:rPr>
              <w:t>Lancet 2018;392(10148):650-661</w:t>
            </w:r>
          </w:p>
        </w:tc>
      </w:tr>
      <w:tr w:rsidR="009F2680" w:rsidRPr="005B6D7B" w14:paraId="65E0BFD6" w14:textId="77777777" w:rsidTr="006E51DD">
        <w:tc>
          <w:tcPr>
            <w:tcW w:w="9017" w:type="dxa"/>
            <w:gridSpan w:val="3"/>
            <w:shd w:val="clear" w:color="auto" w:fill="auto"/>
          </w:tcPr>
          <w:p w14:paraId="374ED226" w14:textId="787480C9" w:rsidR="009F2680" w:rsidRPr="005B6D7B" w:rsidRDefault="009F2680" w:rsidP="00141176">
            <w:pPr>
              <w:pStyle w:val="3-BodyText"/>
              <w:numPr>
                <w:ilvl w:val="0"/>
                <w:numId w:val="0"/>
              </w:numPr>
              <w:spacing w:after="0"/>
              <w:jc w:val="left"/>
              <w:rPr>
                <w:rFonts w:ascii="Arial Narrow" w:hAnsi="Arial Narrow"/>
                <w:b/>
                <w:bCs/>
                <w:sz w:val="20"/>
                <w:szCs w:val="20"/>
              </w:rPr>
            </w:pPr>
            <w:r w:rsidRPr="005B6D7B">
              <w:rPr>
                <w:rFonts w:ascii="Arial Narrow" w:hAnsi="Arial Narrow"/>
                <w:b/>
                <w:bCs/>
                <w:sz w:val="20"/>
                <w:szCs w:val="20"/>
              </w:rPr>
              <w:t>Bimekizumab trials</w:t>
            </w:r>
          </w:p>
        </w:tc>
      </w:tr>
      <w:tr w:rsidR="009F2680" w:rsidRPr="005B6D7B" w14:paraId="3494124C" w14:textId="77777777" w:rsidTr="006E51DD">
        <w:tc>
          <w:tcPr>
            <w:tcW w:w="1413" w:type="dxa"/>
            <w:shd w:val="clear" w:color="auto" w:fill="auto"/>
          </w:tcPr>
          <w:p w14:paraId="2959B6D5" w14:textId="77777777" w:rsidR="009F2680" w:rsidRPr="005B6D7B" w:rsidRDefault="009F2680" w:rsidP="00926FFB">
            <w:pPr>
              <w:pStyle w:val="3-BodyText"/>
              <w:numPr>
                <w:ilvl w:val="0"/>
                <w:numId w:val="0"/>
              </w:numPr>
              <w:spacing w:after="0"/>
              <w:jc w:val="left"/>
              <w:rPr>
                <w:rFonts w:ascii="Arial Narrow" w:hAnsi="Arial Narrow"/>
                <w:sz w:val="20"/>
                <w:szCs w:val="20"/>
              </w:rPr>
            </w:pPr>
            <w:r w:rsidRPr="005B6D7B">
              <w:rPr>
                <w:rFonts w:ascii="Arial Narrow" w:hAnsi="Arial Narrow"/>
                <w:sz w:val="20"/>
                <w:szCs w:val="20"/>
              </w:rPr>
              <w:t>BE ABLE 1</w:t>
            </w:r>
          </w:p>
          <w:p w14:paraId="71C7D3A1" w14:textId="77777777" w:rsidR="009F2680" w:rsidRPr="005B6D7B" w:rsidRDefault="009F2680" w:rsidP="00926FFB">
            <w:pPr>
              <w:pStyle w:val="3-BodyText"/>
              <w:numPr>
                <w:ilvl w:val="0"/>
                <w:numId w:val="0"/>
              </w:numPr>
              <w:spacing w:after="0"/>
              <w:jc w:val="left"/>
              <w:rPr>
                <w:rFonts w:ascii="Arial Narrow" w:hAnsi="Arial Narrow"/>
                <w:sz w:val="20"/>
                <w:szCs w:val="20"/>
              </w:rPr>
            </w:pPr>
            <w:r w:rsidRPr="005B6D7B">
              <w:rPr>
                <w:rFonts w:ascii="Arial Narrow" w:hAnsi="Arial Narrow"/>
                <w:sz w:val="20"/>
                <w:szCs w:val="20"/>
              </w:rPr>
              <w:t>PS0010</w:t>
            </w:r>
          </w:p>
          <w:p w14:paraId="49628E06" w14:textId="1A0EC7EB" w:rsidR="009F2680" w:rsidRPr="005B6D7B" w:rsidRDefault="009F2680" w:rsidP="00926FFB">
            <w:pPr>
              <w:pStyle w:val="3-BodyText"/>
              <w:numPr>
                <w:ilvl w:val="0"/>
                <w:numId w:val="0"/>
              </w:numPr>
              <w:spacing w:after="0"/>
              <w:jc w:val="left"/>
              <w:rPr>
                <w:rFonts w:ascii="Arial Narrow" w:hAnsi="Arial Narrow"/>
                <w:bCs/>
                <w:sz w:val="20"/>
                <w:szCs w:val="20"/>
              </w:rPr>
            </w:pPr>
            <w:r w:rsidRPr="005B6D7B">
              <w:rPr>
                <w:rFonts w:ascii="Arial Narrow" w:hAnsi="Arial Narrow"/>
                <w:sz w:val="20"/>
                <w:szCs w:val="20"/>
              </w:rPr>
              <w:t>NCT02905006</w:t>
            </w:r>
          </w:p>
        </w:tc>
        <w:tc>
          <w:tcPr>
            <w:tcW w:w="5670" w:type="dxa"/>
            <w:shd w:val="clear" w:color="auto" w:fill="auto"/>
          </w:tcPr>
          <w:p w14:paraId="64EF4ED3" w14:textId="54195D74" w:rsidR="009F2680" w:rsidRPr="005B6D7B" w:rsidRDefault="009F2680" w:rsidP="009F2680">
            <w:pPr>
              <w:pStyle w:val="3-BodyText"/>
              <w:numPr>
                <w:ilvl w:val="0"/>
                <w:numId w:val="0"/>
              </w:numPr>
              <w:spacing w:after="0"/>
              <w:rPr>
                <w:rFonts w:ascii="Arial Narrow" w:hAnsi="Arial Narrow"/>
                <w:sz w:val="20"/>
                <w:szCs w:val="20"/>
              </w:rPr>
            </w:pPr>
            <w:r w:rsidRPr="005B6D7B">
              <w:rPr>
                <w:rFonts w:ascii="Arial Narrow" w:hAnsi="Arial Narrow"/>
                <w:sz w:val="20"/>
                <w:szCs w:val="20"/>
              </w:rPr>
              <w:t xml:space="preserve">Papp KA, Merola JF, Gottlieb AB et al. Dual neutralization of both interleukin 17A and interleukin 17F with bimekizumab in patients with psoriasis: Results from BE ABLE 1, a 12-week randomized, double-blinded, placebo-controlled phase 2b trial. </w:t>
            </w:r>
          </w:p>
        </w:tc>
        <w:tc>
          <w:tcPr>
            <w:tcW w:w="1934" w:type="dxa"/>
            <w:shd w:val="clear" w:color="auto" w:fill="auto"/>
          </w:tcPr>
          <w:p w14:paraId="4BAFDBE7" w14:textId="6C231FCD" w:rsidR="009F2680" w:rsidRPr="005B6D7B" w:rsidRDefault="009F2680" w:rsidP="00141176">
            <w:pPr>
              <w:pStyle w:val="3-BodyText"/>
              <w:numPr>
                <w:ilvl w:val="0"/>
                <w:numId w:val="0"/>
              </w:numPr>
              <w:spacing w:after="0"/>
              <w:jc w:val="left"/>
              <w:rPr>
                <w:rFonts w:ascii="Arial Narrow" w:hAnsi="Arial Narrow"/>
                <w:sz w:val="20"/>
                <w:szCs w:val="20"/>
              </w:rPr>
            </w:pPr>
            <w:r w:rsidRPr="005B6D7B">
              <w:rPr>
                <w:rFonts w:ascii="Arial Narrow" w:hAnsi="Arial Narrow"/>
                <w:sz w:val="20"/>
                <w:szCs w:val="20"/>
              </w:rPr>
              <w:t>Journal of the American Academy of Dermatology 2018;79(2):277-286.e10</w:t>
            </w:r>
          </w:p>
        </w:tc>
      </w:tr>
      <w:tr w:rsidR="009F2680" w:rsidRPr="005B6D7B" w14:paraId="682BDE2A" w14:textId="77777777" w:rsidTr="006E51DD">
        <w:tc>
          <w:tcPr>
            <w:tcW w:w="1413" w:type="dxa"/>
            <w:shd w:val="clear" w:color="auto" w:fill="auto"/>
          </w:tcPr>
          <w:p w14:paraId="17939CD2" w14:textId="77777777" w:rsidR="009F2680" w:rsidRPr="005B6D7B" w:rsidRDefault="009F2680" w:rsidP="00926FFB">
            <w:pPr>
              <w:pStyle w:val="3-BodyText"/>
              <w:numPr>
                <w:ilvl w:val="0"/>
                <w:numId w:val="0"/>
              </w:numPr>
              <w:spacing w:after="0"/>
              <w:jc w:val="left"/>
              <w:rPr>
                <w:rFonts w:ascii="Arial Narrow" w:hAnsi="Arial Narrow"/>
                <w:sz w:val="20"/>
                <w:szCs w:val="20"/>
              </w:rPr>
            </w:pPr>
            <w:r w:rsidRPr="005B6D7B">
              <w:rPr>
                <w:rFonts w:ascii="Arial Narrow" w:hAnsi="Arial Narrow"/>
                <w:sz w:val="20"/>
                <w:szCs w:val="20"/>
              </w:rPr>
              <w:t>BE READY</w:t>
            </w:r>
          </w:p>
          <w:p w14:paraId="14F3E28F" w14:textId="77777777" w:rsidR="009F2680" w:rsidRPr="005B6D7B" w:rsidRDefault="009F2680" w:rsidP="00926FFB">
            <w:pPr>
              <w:pStyle w:val="3-BodyText"/>
              <w:numPr>
                <w:ilvl w:val="0"/>
                <w:numId w:val="0"/>
              </w:numPr>
              <w:spacing w:after="0"/>
              <w:jc w:val="left"/>
              <w:rPr>
                <w:rFonts w:ascii="Arial Narrow" w:hAnsi="Arial Narrow"/>
                <w:sz w:val="20"/>
                <w:szCs w:val="20"/>
              </w:rPr>
            </w:pPr>
            <w:r w:rsidRPr="005B6D7B">
              <w:rPr>
                <w:rFonts w:ascii="Arial Narrow" w:hAnsi="Arial Narrow"/>
                <w:sz w:val="20"/>
                <w:szCs w:val="20"/>
              </w:rPr>
              <w:t>PS0013</w:t>
            </w:r>
          </w:p>
          <w:p w14:paraId="031A9430" w14:textId="6B473940" w:rsidR="009F2680" w:rsidRPr="005B6D7B" w:rsidRDefault="009F2680" w:rsidP="00926FFB">
            <w:pPr>
              <w:pStyle w:val="3-BodyText"/>
              <w:numPr>
                <w:ilvl w:val="0"/>
                <w:numId w:val="0"/>
              </w:numPr>
              <w:spacing w:after="0"/>
              <w:jc w:val="left"/>
              <w:rPr>
                <w:rFonts w:ascii="Arial Narrow" w:hAnsi="Arial Narrow"/>
                <w:bCs/>
                <w:sz w:val="20"/>
                <w:szCs w:val="20"/>
              </w:rPr>
            </w:pPr>
            <w:r w:rsidRPr="005B6D7B">
              <w:rPr>
                <w:rFonts w:ascii="Arial Narrow" w:hAnsi="Arial Narrow"/>
                <w:sz w:val="20"/>
                <w:szCs w:val="20"/>
              </w:rPr>
              <w:t>NCT03410992</w:t>
            </w:r>
          </w:p>
        </w:tc>
        <w:tc>
          <w:tcPr>
            <w:tcW w:w="5670" w:type="dxa"/>
            <w:shd w:val="clear" w:color="auto" w:fill="auto"/>
          </w:tcPr>
          <w:p w14:paraId="2DB39D14" w14:textId="1A87F48F" w:rsidR="009F2680" w:rsidRPr="005B6D7B" w:rsidRDefault="009F2680" w:rsidP="009F2680">
            <w:pPr>
              <w:pStyle w:val="3-BodyText"/>
              <w:numPr>
                <w:ilvl w:val="0"/>
                <w:numId w:val="0"/>
              </w:numPr>
              <w:spacing w:after="0"/>
              <w:rPr>
                <w:rFonts w:ascii="Arial Narrow" w:hAnsi="Arial Narrow"/>
                <w:sz w:val="20"/>
                <w:szCs w:val="20"/>
              </w:rPr>
            </w:pPr>
            <w:r w:rsidRPr="005B6D7B">
              <w:rPr>
                <w:rFonts w:ascii="Arial Narrow" w:hAnsi="Arial Narrow"/>
                <w:sz w:val="20"/>
                <w:szCs w:val="20"/>
              </w:rPr>
              <w:t>Gordon KB, Foley P, Krueger JG et al. Bimekizumab efficacy and safety in moderate to severe plaque psoriasis (BE READY): a multicentre, double-blind, placebo-controlled, randomised withdrawal phase 3 trial.</w:t>
            </w:r>
          </w:p>
        </w:tc>
        <w:tc>
          <w:tcPr>
            <w:tcW w:w="1934" w:type="dxa"/>
            <w:shd w:val="clear" w:color="auto" w:fill="auto"/>
          </w:tcPr>
          <w:p w14:paraId="5E9DD61C" w14:textId="6CBDD9CE" w:rsidR="009F2680" w:rsidRPr="005B6D7B" w:rsidRDefault="009F2680" w:rsidP="00141176">
            <w:pPr>
              <w:pStyle w:val="3-BodyText"/>
              <w:numPr>
                <w:ilvl w:val="0"/>
                <w:numId w:val="0"/>
              </w:numPr>
              <w:spacing w:after="0"/>
              <w:jc w:val="left"/>
              <w:rPr>
                <w:rFonts w:ascii="Arial Narrow" w:hAnsi="Arial Narrow"/>
                <w:sz w:val="20"/>
                <w:szCs w:val="20"/>
              </w:rPr>
            </w:pPr>
            <w:r w:rsidRPr="005B6D7B">
              <w:rPr>
                <w:rFonts w:ascii="Arial Narrow" w:hAnsi="Arial Narrow"/>
                <w:sz w:val="20"/>
                <w:szCs w:val="20"/>
              </w:rPr>
              <w:t>Lancet 2021;397(10273):475-486</w:t>
            </w:r>
          </w:p>
        </w:tc>
      </w:tr>
      <w:tr w:rsidR="009F2680" w:rsidRPr="005B6D7B" w14:paraId="5A2E65F4" w14:textId="77777777" w:rsidTr="006E51DD">
        <w:tc>
          <w:tcPr>
            <w:tcW w:w="1413" w:type="dxa"/>
            <w:shd w:val="clear" w:color="auto" w:fill="auto"/>
          </w:tcPr>
          <w:p w14:paraId="7E66E41F" w14:textId="77777777" w:rsidR="009F2680" w:rsidRPr="005B6D7B" w:rsidRDefault="009F2680" w:rsidP="00926FFB">
            <w:pPr>
              <w:pStyle w:val="3-BodyText"/>
              <w:numPr>
                <w:ilvl w:val="0"/>
                <w:numId w:val="0"/>
              </w:numPr>
              <w:spacing w:after="0"/>
              <w:jc w:val="left"/>
              <w:rPr>
                <w:rFonts w:ascii="Arial Narrow" w:hAnsi="Arial Narrow"/>
                <w:sz w:val="20"/>
                <w:szCs w:val="20"/>
              </w:rPr>
            </w:pPr>
            <w:r w:rsidRPr="005B6D7B">
              <w:rPr>
                <w:rFonts w:ascii="Arial Narrow" w:hAnsi="Arial Narrow"/>
                <w:sz w:val="20"/>
                <w:szCs w:val="20"/>
              </w:rPr>
              <w:t>BE SURE</w:t>
            </w:r>
          </w:p>
          <w:p w14:paraId="4C4A8620" w14:textId="77777777" w:rsidR="009F2680" w:rsidRPr="005B6D7B" w:rsidRDefault="009F2680" w:rsidP="00926FFB">
            <w:pPr>
              <w:pStyle w:val="3-BodyText"/>
              <w:numPr>
                <w:ilvl w:val="0"/>
                <w:numId w:val="0"/>
              </w:numPr>
              <w:spacing w:after="0"/>
              <w:jc w:val="left"/>
              <w:rPr>
                <w:rFonts w:ascii="Arial Narrow" w:hAnsi="Arial Narrow"/>
                <w:sz w:val="20"/>
                <w:szCs w:val="20"/>
              </w:rPr>
            </w:pPr>
            <w:r w:rsidRPr="005B6D7B">
              <w:rPr>
                <w:rFonts w:ascii="Arial Narrow" w:hAnsi="Arial Narrow"/>
                <w:sz w:val="20"/>
                <w:szCs w:val="20"/>
              </w:rPr>
              <w:t>PS0008</w:t>
            </w:r>
          </w:p>
          <w:p w14:paraId="46AE2829" w14:textId="6208660B" w:rsidR="009F2680" w:rsidRPr="005B6D7B" w:rsidRDefault="009F2680" w:rsidP="00926FFB">
            <w:pPr>
              <w:pStyle w:val="3-BodyText"/>
              <w:numPr>
                <w:ilvl w:val="0"/>
                <w:numId w:val="0"/>
              </w:numPr>
              <w:spacing w:after="0"/>
              <w:jc w:val="left"/>
              <w:rPr>
                <w:rFonts w:ascii="Arial Narrow" w:hAnsi="Arial Narrow"/>
                <w:bCs/>
                <w:sz w:val="20"/>
                <w:szCs w:val="20"/>
              </w:rPr>
            </w:pPr>
            <w:r w:rsidRPr="005B6D7B">
              <w:rPr>
                <w:rFonts w:ascii="Arial Narrow" w:hAnsi="Arial Narrow"/>
                <w:sz w:val="20"/>
                <w:szCs w:val="20"/>
              </w:rPr>
              <w:t>NCT03412747</w:t>
            </w:r>
          </w:p>
        </w:tc>
        <w:tc>
          <w:tcPr>
            <w:tcW w:w="5670" w:type="dxa"/>
            <w:shd w:val="clear" w:color="auto" w:fill="auto"/>
          </w:tcPr>
          <w:p w14:paraId="22478C95" w14:textId="4A599518" w:rsidR="009F2680" w:rsidRPr="005B6D7B" w:rsidRDefault="009F2680" w:rsidP="009F2680">
            <w:pPr>
              <w:pStyle w:val="3-BodyText"/>
              <w:numPr>
                <w:ilvl w:val="0"/>
                <w:numId w:val="0"/>
              </w:numPr>
              <w:spacing w:after="0"/>
              <w:rPr>
                <w:rFonts w:ascii="Arial Narrow" w:hAnsi="Arial Narrow"/>
                <w:sz w:val="20"/>
                <w:szCs w:val="20"/>
              </w:rPr>
            </w:pPr>
            <w:r w:rsidRPr="005B6D7B">
              <w:rPr>
                <w:rFonts w:ascii="Arial Narrow" w:hAnsi="Arial Narrow"/>
                <w:sz w:val="20"/>
                <w:szCs w:val="20"/>
              </w:rPr>
              <w:t xml:space="preserve">Warren RB, Blauvelt A, Bagel J et al. Bimekizumab versus Adalimumab in Plaque Psoriasis. </w:t>
            </w:r>
          </w:p>
        </w:tc>
        <w:tc>
          <w:tcPr>
            <w:tcW w:w="1934" w:type="dxa"/>
            <w:shd w:val="clear" w:color="auto" w:fill="auto"/>
          </w:tcPr>
          <w:p w14:paraId="2DE8E1E2" w14:textId="69B98ADD" w:rsidR="009F2680" w:rsidRPr="005B6D7B" w:rsidRDefault="009F2680" w:rsidP="00141176">
            <w:pPr>
              <w:pStyle w:val="3-BodyText"/>
              <w:numPr>
                <w:ilvl w:val="0"/>
                <w:numId w:val="0"/>
              </w:numPr>
              <w:spacing w:after="0"/>
              <w:jc w:val="left"/>
              <w:rPr>
                <w:rFonts w:ascii="Arial Narrow" w:hAnsi="Arial Narrow"/>
                <w:sz w:val="20"/>
                <w:szCs w:val="20"/>
              </w:rPr>
            </w:pPr>
            <w:r w:rsidRPr="005B6D7B">
              <w:rPr>
                <w:rFonts w:ascii="Arial Narrow" w:hAnsi="Arial Narrow"/>
                <w:sz w:val="20"/>
                <w:szCs w:val="20"/>
              </w:rPr>
              <w:t>N Engl J Med 2021;385(2):130-141</w:t>
            </w:r>
          </w:p>
        </w:tc>
      </w:tr>
      <w:tr w:rsidR="009F2680" w:rsidRPr="005B6D7B" w14:paraId="3593B653" w14:textId="77777777" w:rsidTr="006E51DD">
        <w:tc>
          <w:tcPr>
            <w:tcW w:w="1413" w:type="dxa"/>
            <w:shd w:val="clear" w:color="auto" w:fill="auto"/>
          </w:tcPr>
          <w:p w14:paraId="7A90E2C0" w14:textId="77777777" w:rsidR="009F2680" w:rsidRPr="005B6D7B" w:rsidRDefault="009F2680" w:rsidP="00926FFB">
            <w:pPr>
              <w:pStyle w:val="3-BodyText"/>
              <w:numPr>
                <w:ilvl w:val="0"/>
                <w:numId w:val="0"/>
              </w:numPr>
              <w:spacing w:after="0"/>
              <w:jc w:val="left"/>
              <w:rPr>
                <w:rFonts w:ascii="Arial Narrow" w:hAnsi="Arial Narrow"/>
                <w:sz w:val="20"/>
                <w:szCs w:val="20"/>
              </w:rPr>
            </w:pPr>
            <w:r w:rsidRPr="005B6D7B">
              <w:rPr>
                <w:rFonts w:ascii="Arial Narrow" w:hAnsi="Arial Narrow"/>
                <w:sz w:val="20"/>
                <w:szCs w:val="20"/>
              </w:rPr>
              <w:lastRenderedPageBreak/>
              <w:t>BE RADIANT</w:t>
            </w:r>
          </w:p>
          <w:p w14:paraId="2357EABE" w14:textId="77777777" w:rsidR="009F2680" w:rsidRPr="005B6D7B" w:rsidRDefault="009F2680" w:rsidP="00926FFB">
            <w:pPr>
              <w:pStyle w:val="3-BodyText"/>
              <w:numPr>
                <w:ilvl w:val="0"/>
                <w:numId w:val="0"/>
              </w:numPr>
              <w:spacing w:after="0"/>
              <w:jc w:val="left"/>
              <w:rPr>
                <w:rFonts w:ascii="Arial Narrow" w:hAnsi="Arial Narrow"/>
                <w:sz w:val="20"/>
                <w:szCs w:val="20"/>
              </w:rPr>
            </w:pPr>
            <w:r w:rsidRPr="005B6D7B">
              <w:rPr>
                <w:rFonts w:ascii="Arial Narrow" w:hAnsi="Arial Narrow"/>
                <w:sz w:val="20"/>
                <w:szCs w:val="20"/>
              </w:rPr>
              <w:t>PS0015</w:t>
            </w:r>
          </w:p>
          <w:p w14:paraId="5583B838" w14:textId="7ED552C3" w:rsidR="009F2680" w:rsidRPr="005B6D7B" w:rsidRDefault="009F2680" w:rsidP="00926FFB">
            <w:pPr>
              <w:pStyle w:val="3-BodyText"/>
              <w:numPr>
                <w:ilvl w:val="0"/>
                <w:numId w:val="0"/>
              </w:numPr>
              <w:spacing w:after="0"/>
              <w:jc w:val="left"/>
              <w:rPr>
                <w:rFonts w:ascii="Arial Narrow" w:hAnsi="Arial Narrow"/>
                <w:bCs/>
                <w:sz w:val="20"/>
                <w:szCs w:val="20"/>
              </w:rPr>
            </w:pPr>
            <w:r w:rsidRPr="005B6D7B">
              <w:rPr>
                <w:rFonts w:ascii="Arial Narrow" w:hAnsi="Arial Narrow"/>
                <w:sz w:val="20"/>
                <w:szCs w:val="20"/>
              </w:rPr>
              <w:t>NCT03536884</w:t>
            </w:r>
          </w:p>
        </w:tc>
        <w:tc>
          <w:tcPr>
            <w:tcW w:w="5670" w:type="dxa"/>
            <w:shd w:val="clear" w:color="auto" w:fill="auto"/>
          </w:tcPr>
          <w:p w14:paraId="393F31E8" w14:textId="0E1135A0" w:rsidR="009F2680" w:rsidRPr="005B6D7B" w:rsidRDefault="009F2680" w:rsidP="009F2680">
            <w:pPr>
              <w:pStyle w:val="3-BodyText"/>
              <w:numPr>
                <w:ilvl w:val="0"/>
                <w:numId w:val="0"/>
              </w:numPr>
              <w:spacing w:after="0"/>
              <w:rPr>
                <w:rFonts w:ascii="Arial Narrow" w:hAnsi="Arial Narrow"/>
                <w:sz w:val="20"/>
                <w:szCs w:val="20"/>
              </w:rPr>
            </w:pPr>
            <w:r w:rsidRPr="005B6D7B">
              <w:rPr>
                <w:rFonts w:ascii="Arial Narrow" w:hAnsi="Arial Narrow"/>
                <w:sz w:val="20"/>
                <w:szCs w:val="20"/>
              </w:rPr>
              <w:t xml:space="preserve">Reich K, Papp KA, Blauvelt A et al. Bimekizumab versus ustekinumab for the treatment of moderate to severe plaque psoriasis (BE VIVID): efficacy and safety from a 52-week, multicentre, double-blind, active comparator and placebo controlled phase 3 trial. </w:t>
            </w:r>
          </w:p>
        </w:tc>
        <w:tc>
          <w:tcPr>
            <w:tcW w:w="1934" w:type="dxa"/>
            <w:shd w:val="clear" w:color="auto" w:fill="auto"/>
          </w:tcPr>
          <w:p w14:paraId="486A6AE5" w14:textId="4542FFD6" w:rsidR="009F2680" w:rsidRPr="005B6D7B" w:rsidRDefault="009F2680" w:rsidP="00141176">
            <w:pPr>
              <w:pStyle w:val="3-BodyText"/>
              <w:numPr>
                <w:ilvl w:val="0"/>
                <w:numId w:val="0"/>
              </w:numPr>
              <w:spacing w:after="0"/>
              <w:jc w:val="left"/>
              <w:rPr>
                <w:rFonts w:ascii="Arial Narrow" w:hAnsi="Arial Narrow"/>
                <w:sz w:val="20"/>
                <w:szCs w:val="20"/>
              </w:rPr>
            </w:pPr>
            <w:r w:rsidRPr="005B6D7B">
              <w:rPr>
                <w:rFonts w:ascii="Arial Narrow" w:hAnsi="Arial Narrow"/>
                <w:sz w:val="20"/>
                <w:szCs w:val="20"/>
              </w:rPr>
              <w:t>Lancet 2021;397(10273):487-498</w:t>
            </w:r>
          </w:p>
        </w:tc>
      </w:tr>
      <w:tr w:rsidR="009F2680" w:rsidRPr="005B6D7B" w14:paraId="0A248471" w14:textId="77777777" w:rsidTr="006E51DD">
        <w:tc>
          <w:tcPr>
            <w:tcW w:w="1413" w:type="dxa"/>
            <w:shd w:val="clear" w:color="auto" w:fill="auto"/>
          </w:tcPr>
          <w:p w14:paraId="1DC19DB3" w14:textId="77777777" w:rsidR="009F2680" w:rsidRPr="005B6D7B" w:rsidRDefault="009F2680" w:rsidP="00926FFB">
            <w:pPr>
              <w:pStyle w:val="3-BodyText"/>
              <w:numPr>
                <w:ilvl w:val="0"/>
                <w:numId w:val="0"/>
              </w:numPr>
              <w:spacing w:after="0"/>
              <w:jc w:val="left"/>
              <w:rPr>
                <w:rFonts w:ascii="Arial Narrow" w:hAnsi="Arial Narrow"/>
                <w:sz w:val="20"/>
                <w:szCs w:val="20"/>
              </w:rPr>
            </w:pPr>
            <w:r w:rsidRPr="005B6D7B">
              <w:rPr>
                <w:rFonts w:ascii="Arial Narrow" w:hAnsi="Arial Narrow"/>
                <w:sz w:val="20"/>
                <w:szCs w:val="20"/>
              </w:rPr>
              <w:t>BE VIVID</w:t>
            </w:r>
          </w:p>
          <w:p w14:paraId="27CB9F51" w14:textId="77777777" w:rsidR="009F2680" w:rsidRPr="005B6D7B" w:rsidRDefault="009F2680" w:rsidP="00926FFB">
            <w:pPr>
              <w:pStyle w:val="3-BodyText"/>
              <w:numPr>
                <w:ilvl w:val="0"/>
                <w:numId w:val="0"/>
              </w:numPr>
              <w:spacing w:after="0"/>
              <w:jc w:val="left"/>
              <w:rPr>
                <w:rFonts w:ascii="Arial Narrow" w:hAnsi="Arial Narrow"/>
                <w:sz w:val="20"/>
                <w:szCs w:val="20"/>
              </w:rPr>
            </w:pPr>
            <w:r w:rsidRPr="005B6D7B">
              <w:rPr>
                <w:rFonts w:ascii="Arial Narrow" w:hAnsi="Arial Narrow"/>
                <w:sz w:val="20"/>
                <w:szCs w:val="20"/>
              </w:rPr>
              <w:t>PS0009</w:t>
            </w:r>
          </w:p>
          <w:p w14:paraId="0553C6B3" w14:textId="49AB9E3F" w:rsidR="009F2680" w:rsidRPr="005B6D7B" w:rsidRDefault="009F2680" w:rsidP="00926FFB">
            <w:pPr>
              <w:pStyle w:val="3-BodyText"/>
              <w:numPr>
                <w:ilvl w:val="0"/>
                <w:numId w:val="0"/>
              </w:numPr>
              <w:spacing w:after="0"/>
              <w:jc w:val="left"/>
              <w:rPr>
                <w:rFonts w:ascii="Arial Narrow" w:hAnsi="Arial Narrow"/>
                <w:bCs/>
                <w:sz w:val="20"/>
                <w:szCs w:val="20"/>
              </w:rPr>
            </w:pPr>
            <w:r w:rsidRPr="005B6D7B">
              <w:rPr>
                <w:rFonts w:ascii="Arial Narrow" w:hAnsi="Arial Narrow"/>
                <w:sz w:val="20"/>
                <w:szCs w:val="20"/>
              </w:rPr>
              <w:t>NCT03370133</w:t>
            </w:r>
          </w:p>
        </w:tc>
        <w:tc>
          <w:tcPr>
            <w:tcW w:w="5670" w:type="dxa"/>
            <w:shd w:val="clear" w:color="auto" w:fill="auto"/>
          </w:tcPr>
          <w:p w14:paraId="79FA7EB1" w14:textId="365D7DE0" w:rsidR="009F2680" w:rsidRPr="005B6D7B" w:rsidRDefault="009F2680" w:rsidP="009F2680">
            <w:pPr>
              <w:pStyle w:val="3-BodyText"/>
              <w:numPr>
                <w:ilvl w:val="0"/>
                <w:numId w:val="0"/>
              </w:numPr>
              <w:spacing w:after="0"/>
              <w:rPr>
                <w:rFonts w:ascii="Arial Narrow" w:hAnsi="Arial Narrow"/>
                <w:sz w:val="20"/>
                <w:szCs w:val="20"/>
              </w:rPr>
            </w:pPr>
            <w:r w:rsidRPr="005B6D7B">
              <w:rPr>
                <w:rFonts w:ascii="Arial Narrow" w:hAnsi="Arial Narrow"/>
                <w:sz w:val="20"/>
                <w:szCs w:val="20"/>
              </w:rPr>
              <w:t xml:space="preserve">Reich K, Warren RB, Lebwohl M et al. Bimekizumab versus Secukinumab in Plaque Psoriasis.  </w:t>
            </w:r>
          </w:p>
        </w:tc>
        <w:tc>
          <w:tcPr>
            <w:tcW w:w="1934" w:type="dxa"/>
            <w:shd w:val="clear" w:color="auto" w:fill="auto"/>
          </w:tcPr>
          <w:p w14:paraId="19DB38F3" w14:textId="3BB2B8A4" w:rsidR="009F2680" w:rsidRPr="005B6D7B" w:rsidRDefault="009F2680" w:rsidP="00141176">
            <w:pPr>
              <w:pStyle w:val="3-BodyText"/>
              <w:numPr>
                <w:ilvl w:val="0"/>
                <w:numId w:val="0"/>
              </w:numPr>
              <w:spacing w:after="0"/>
              <w:jc w:val="left"/>
              <w:rPr>
                <w:rFonts w:ascii="Arial Narrow" w:hAnsi="Arial Narrow"/>
                <w:sz w:val="20"/>
                <w:szCs w:val="20"/>
              </w:rPr>
            </w:pPr>
            <w:r w:rsidRPr="005B6D7B">
              <w:rPr>
                <w:rFonts w:ascii="Arial Narrow" w:hAnsi="Arial Narrow"/>
                <w:sz w:val="20"/>
                <w:szCs w:val="20"/>
              </w:rPr>
              <w:t>N Engl J Med 2021;385(2):142-152</w:t>
            </w:r>
          </w:p>
        </w:tc>
      </w:tr>
      <w:tr w:rsidR="007A4A2F" w:rsidRPr="005B6D7B" w14:paraId="46BEF6E8" w14:textId="77777777" w:rsidTr="006E51DD">
        <w:tc>
          <w:tcPr>
            <w:tcW w:w="9017" w:type="dxa"/>
            <w:gridSpan w:val="3"/>
            <w:shd w:val="clear" w:color="auto" w:fill="auto"/>
          </w:tcPr>
          <w:p w14:paraId="1250F475" w14:textId="4FA961CF" w:rsidR="007A4A2F" w:rsidRPr="005B6D7B" w:rsidRDefault="007A4A2F" w:rsidP="00141176">
            <w:pPr>
              <w:pStyle w:val="3-BodyText"/>
              <w:numPr>
                <w:ilvl w:val="0"/>
                <w:numId w:val="0"/>
              </w:numPr>
              <w:spacing w:after="0"/>
              <w:jc w:val="left"/>
              <w:rPr>
                <w:rFonts w:ascii="Arial Narrow" w:hAnsi="Arial Narrow"/>
                <w:bCs/>
                <w:sz w:val="20"/>
                <w:szCs w:val="20"/>
              </w:rPr>
            </w:pPr>
            <w:r w:rsidRPr="005B6D7B">
              <w:rPr>
                <w:rFonts w:ascii="Arial Narrow" w:hAnsi="Arial Narrow"/>
                <w:b/>
                <w:bCs/>
                <w:sz w:val="20"/>
                <w:szCs w:val="20"/>
              </w:rPr>
              <w:t>Etanercept trials</w:t>
            </w:r>
          </w:p>
        </w:tc>
      </w:tr>
      <w:tr w:rsidR="00926FFB" w:rsidRPr="005B6D7B" w14:paraId="715C105B" w14:textId="77777777" w:rsidTr="006E51DD">
        <w:tc>
          <w:tcPr>
            <w:tcW w:w="1413" w:type="dxa"/>
            <w:shd w:val="clear" w:color="auto" w:fill="auto"/>
          </w:tcPr>
          <w:p w14:paraId="3C4AAFF1" w14:textId="518FD57B" w:rsidR="00926FFB" w:rsidRPr="005B6D7B" w:rsidRDefault="00926FFB" w:rsidP="00926FFB">
            <w:pPr>
              <w:pStyle w:val="3-BodyText"/>
              <w:numPr>
                <w:ilvl w:val="0"/>
                <w:numId w:val="0"/>
              </w:numPr>
              <w:spacing w:after="0"/>
              <w:jc w:val="left"/>
              <w:rPr>
                <w:rFonts w:ascii="Arial Narrow" w:hAnsi="Arial Narrow"/>
                <w:bCs/>
                <w:sz w:val="20"/>
                <w:szCs w:val="20"/>
              </w:rPr>
            </w:pPr>
            <w:r w:rsidRPr="005B6D7B">
              <w:rPr>
                <w:rFonts w:ascii="Arial Narrow" w:hAnsi="Arial Narrow"/>
                <w:bCs/>
                <w:sz w:val="20"/>
                <w:szCs w:val="20"/>
              </w:rPr>
              <w:t>Leonardi 2003</w:t>
            </w:r>
          </w:p>
        </w:tc>
        <w:tc>
          <w:tcPr>
            <w:tcW w:w="5670" w:type="dxa"/>
            <w:shd w:val="clear" w:color="auto" w:fill="auto"/>
            <w:vAlign w:val="center"/>
          </w:tcPr>
          <w:p w14:paraId="184C8DD7" w14:textId="4A0B8638" w:rsidR="00926FFB" w:rsidRPr="005B6D7B" w:rsidRDefault="00926FFB" w:rsidP="00926FFB">
            <w:pPr>
              <w:pStyle w:val="3-BodyText"/>
              <w:numPr>
                <w:ilvl w:val="0"/>
                <w:numId w:val="0"/>
              </w:numPr>
              <w:spacing w:after="0"/>
              <w:rPr>
                <w:rFonts w:ascii="Arial Narrow" w:hAnsi="Arial Narrow"/>
                <w:sz w:val="20"/>
                <w:szCs w:val="20"/>
              </w:rPr>
            </w:pPr>
            <w:r w:rsidRPr="005B6D7B">
              <w:rPr>
                <w:rFonts w:ascii="Arial Narrow" w:hAnsi="Arial Narrow"/>
                <w:sz w:val="20"/>
                <w:szCs w:val="20"/>
              </w:rPr>
              <w:t>Leonardi CL, Powers JL, Matheson RT, et al. Etanercept as monotherapy in patients with psoriasis</w:t>
            </w:r>
          </w:p>
        </w:tc>
        <w:tc>
          <w:tcPr>
            <w:tcW w:w="1934" w:type="dxa"/>
            <w:shd w:val="clear" w:color="auto" w:fill="auto"/>
            <w:vAlign w:val="center"/>
          </w:tcPr>
          <w:p w14:paraId="4BEA2A0D" w14:textId="3728DF25" w:rsidR="00926FFB" w:rsidRPr="005B6D7B" w:rsidRDefault="00926FFB" w:rsidP="00141176">
            <w:pPr>
              <w:pStyle w:val="3-BodyText"/>
              <w:numPr>
                <w:ilvl w:val="0"/>
                <w:numId w:val="0"/>
              </w:numPr>
              <w:spacing w:after="0"/>
              <w:jc w:val="left"/>
              <w:rPr>
                <w:rFonts w:ascii="Arial Narrow" w:hAnsi="Arial Narrow"/>
                <w:sz w:val="20"/>
                <w:szCs w:val="20"/>
              </w:rPr>
            </w:pPr>
            <w:r w:rsidRPr="005B6D7B">
              <w:rPr>
                <w:rFonts w:ascii="Arial Narrow" w:hAnsi="Arial Narrow"/>
                <w:sz w:val="20"/>
                <w:szCs w:val="20"/>
              </w:rPr>
              <w:t>N Engl J Med 2003;349(21):2014-22</w:t>
            </w:r>
          </w:p>
        </w:tc>
      </w:tr>
      <w:tr w:rsidR="00926FFB" w:rsidRPr="005B6D7B" w14:paraId="20A67FBE" w14:textId="77777777" w:rsidTr="006E51DD">
        <w:tc>
          <w:tcPr>
            <w:tcW w:w="1413" w:type="dxa"/>
            <w:shd w:val="clear" w:color="auto" w:fill="auto"/>
          </w:tcPr>
          <w:p w14:paraId="0BDE0FCB" w14:textId="75CDE958" w:rsidR="00926FFB" w:rsidRPr="005B6D7B" w:rsidRDefault="00926FFB" w:rsidP="00926FFB">
            <w:pPr>
              <w:pStyle w:val="3-BodyText"/>
              <w:numPr>
                <w:ilvl w:val="0"/>
                <w:numId w:val="0"/>
              </w:numPr>
              <w:spacing w:after="0"/>
              <w:jc w:val="left"/>
              <w:rPr>
                <w:rFonts w:ascii="Arial Narrow" w:hAnsi="Arial Narrow"/>
                <w:bCs/>
                <w:sz w:val="20"/>
                <w:szCs w:val="20"/>
              </w:rPr>
            </w:pPr>
            <w:r w:rsidRPr="005B6D7B">
              <w:rPr>
                <w:rFonts w:ascii="Arial Narrow" w:hAnsi="Arial Narrow"/>
                <w:bCs/>
                <w:sz w:val="20"/>
                <w:szCs w:val="20"/>
              </w:rPr>
              <w:t>Papp 2005</w:t>
            </w:r>
          </w:p>
        </w:tc>
        <w:tc>
          <w:tcPr>
            <w:tcW w:w="5670" w:type="dxa"/>
            <w:shd w:val="clear" w:color="auto" w:fill="auto"/>
            <w:vAlign w:val="center"/>
          </w:tcPr>
          <w:p w14:paraId="611096F1" w14:textId="36056F40" w:rsidR="00926FFB" w:rsidRPr="005B6D7B" w:rsidRDefault="00926FFB" w:rsidP="00926FFB">
            <w:pPr>
              <w:pStyle w:val="3-BodyText"/>
              <w:numPr>
                <w:ilvl w:val="0"/>
                <w:numId w:val="0"/>
              </w:numPr>
              <w:spacing w:after="0"/>
              <w:rPr>
                <w:rFonts w:ascii="Arial Narrow" w:hAnsi="Arial Narrow"/>
                <w:sz w:val="20"/>
                <w:szCs w:val="20"/>
              </w:rPr>
            </w:pPr>
            <w:r w:rsidRPr="005B6D7B">
              <w:rPr>
                <w:rFonts w:ascii="Arial Narrow" w:hAnsi="Arial Narrow"/>
                <w:sz w:val="20"/>
                <w:szCs w:val="20"/>
              </w:rPr>
              <w:t xml:space="preserve">Papp KA, Tyring S, Lahfa M, et al. A global phase III randomized controlled trial of etanercept in psoriasis: safety, efficacy, and effect of dose reduction. </w:t>
            </w:r>
          </w:p>
        </w:tc>
        <w:tc>
          <w:tcPr>
            <w:tcW w:w="1934" w:type="dxa"/>
            <w:shd w:val="clear" w:color="auto" w:fill="auto"/>
            <w:vAlign w:val="center"/>
          </w:tcPr>
          <w:p w14:paraId="547B7E3B" w14:textId="0989B7CE" w:rsidR="00926FFB" w:rsidRPr="005B6D7B" w:rsidRDefault="00926FFB" w:rsidP="00141176">
            <w:pPr>
              <w:pStyle w:val="3-BodyText"/>
              <w:numPr>
                <w:ilvl w:val="0"/>
                <w:numId w:val="0"/>
              </w:numPr>
              <w:spacing w:after="0"/>
              <w:jc w:val="left"/>
              <w:rPr>
                <w:rFonts w:ascii="Arial Narrow" w:hAnsi="Arial Narrow"/>
                <w:sz w:val="20"/>
                <w:szCs w:val="20"/>
              </w:rPr>
            </w:pPr>
            <w:r w:rsidRPr="005B6D7B">
              <w:rPr>
                <w:rFonts w:ascii="Arial Narrow" w:hAnsi="Arial Narrow"/>
                <w:sz w:val="20"/>
                <w:szCs w:val="20"/>
              </w:rPr>
              <w:t>Br J Dermatol 2005;152(6):1304-12</w:t>
            </w:r>
          </w:p>
        </w:tc>
      </w:tr>
      <w:tr w:rsidR="00926FFB" w:rsidRPr="005B6D7B" w14:paraId="4F3A8F1F" w14:textId="77777777" w:rsidTr="006E51DD">
        <w:tc>
          <w:tcPr>
            <w:tcW w:w="1413" w:type="dxa"/>
            <w:shd w:val="clear" w:color="auto" w:fill="auto"/>
          </w:tcPr>
          <w:p w14:paraId="5E031392" w14:textId="35BCDFBD" w:rsidR="00926FFB" w:rsidRPr="005B6D7B" w:rsidRDefault="00926FFB" w:rsidP="00926FFB">
            <w:pPr>
              <w:pStyle w:val="3-BodyText"/>
              <w:numPr>
                <w:ilvl w:val="0"/>
                <w:numId w:val="0"/>
              </w:numPr>
              <w:spacing w:after="0"/>
              <w:jc w:val="left"/>
              <w:rPr>
                <w:rFonts w:ascii="Arial Narrow" w:hAnsi="Arial Narrow"/>
                <w:bCs/>
                <w:sz w:val="20"/>
                <w:szCs w:val="20"/>
              </w:rPr>
            </w:pPr>
            <w:r w:rsidRPr="005B6D7B">
              <w:rPr>
                <w:rFonts w:ascii="Arial Narrow" w:hAnsi="Arial Narrow"/>
                <w:bCs/>
                <w:sz w:val="20"/>
                <w:szCs w:val="20"/>
              </w:rPr>
              <w:t>Van De Kerkof 2008</w:t>
            </w:r>
          </w:p>
        </w:tc>
        <w:tc>
          <w:tcPr>
            <w:tcW w:w="5670" w:type="dxa"/>
            <w:shd w:val="clear" w:color="auto" w:fill="auto"/>
            <w:vAlign w:val="center"/>
          </w:tcPr>
          <w:p w14:paraId="3712B13D" w14:textId="035D0D3E" w:rsidR="00926FFB" w:rsidRPr="005B6D7B" w:rsidRDefault="00926FFB" w:rsidP="00926FFB">
            <w:pPr>
              <w:pStyle w:val="3-BodyText"/>
              <w:numPr>
                <w:ilvl w:val="0"/>
                <w:numId w:val="0"/>
              </w:numPr>
              <w:spacing w:after="0"/>
              <w:rPr>
                <w:rFonts w:ascii="Arial Narrow" w:hAnsi="Arial Narrow"/>
                <w:sz w:val="20"/>
                <w:szCs w:val="20"/>
              </w:rPr>
            </w:pPr>
            <w:r w:rsidRPr="005B6D7B">
              <w:rPr>
                <w:rFonts w:ascii="Arial Narrow" w:hAnsi="Arial Narrow"/>
                <w:sz w:val="20"/>
                <w:szCs w:val="20"/>
              </w:rPr>
              <w:t xml:space="preserve">van de Kerkhof PC, Segaert S, Lahfa M, et al. Once weekly administration of etanercept 50 mg is efficacious and well tolerated in patients with moderate-to-severe plaque psoriasis: a randomized controlled trial with open-label extension. </w:t>
            </w:r>
          </w:p>
        </w:tc>
        <w:tc>
          <w:tcPr>
            <w:tcW w:w="1934" w:type="dxa"/>
            <w:shd w:val="clear" w:color="auto" w:fill="auto"/>
            <w:vAlign w:val="center"/>
          </w:tcPr>
          <w:p w14:paraId="63264BE6" w14:textId="23D1A7DE" w:rsidR="00926FFB" w:rsidRPr="005B6D7B" w:rsidRDefault="00926FFB" w:rsidP="00141176">
            <w:pPr>
              <w:pStyle w:val="3-BodyText"/>
              <w:numPr>
                <w:ilvl w:val="0"/>
                <w:numId w:val="0"/>
              </w:numPr>
              <w:spacing w:after="0"/>
              <w:jc w:val="left"/>
              <w:rPr>
                <w:rFonts w:ascii="Arial Narrow" w:hAnsi="Arial Narrow"/>
                <w:sz w:val="20"/>
                <w:szCs w:val="20"/>
              </w:rPr>
            </w:pPr>
            <w:r w:rsidRPr="005B6D7B">
              <w:rPr>
                <w:rFonts w:ascii="Arial Narrow" w:hAnsi="Arial Narrow"/>
                <w:sz w:val="20"/>
                <w:szCs w:val="20"/>
              </w:rPr>
              <w:t>Br J Dermatol 2008;159(5):1177-85</w:t>
            </w:r>
          </w:p>
        </w:tc>
      </w:tr>
      <w:tr w:rsidR="00926FFB" w:rsidRPr="005B6D7B" w14:paraId="35956C7D" w14:textId="77777777" w:rsidTr="006E51DD">
        <w:tc>
          <w:tcPr>
            <w:tcW w:w="1413" w:type="dxa"/>
            <w:shd w:val="clear" w:color="auto" w:fill="auto"/>
          </w:tcPr>
          <w:p w14:paraId="2BFF822B" w14:textId="767E3FF6" w:rsidR="00926FFB" w:rsidRPr="005B6D7B" w:rsidRDefault="00926FFB" w:rsidP="00926FFB">
            <w:pPr>
              <w:pStyle w:val="3-BodyText"/>
              <w:numPr>
                <w:ilvl w:val="0"/>
                <w:numId w:val="0"/>
              </w:numPr>
              <w:spacing w:after="0"/>
              <w:jc w:val="left"/>
              <w:rPr>
                <w:rFonts w:ascii="Arial Narrow" w:hAnsi="Arial Narrow"/>
                <w:bCs/>
                <w:sz w:val="20"/>
                <w:szCs w:val="20"/>
              </w:rPr>
            </w:pPr>
            <w:r w:rsidRPr="005B6D7B">
              <w:rPr>
                <w:rFonts w:ascii="Arial Narrow" w:hAnsi="Arial Narrow"/>
                <w:bCs/>
                <w:sz w:val="20"/>
                <w:szCs w:val="20"/>
              </w:rPr>
              <w:t>Gottlieb 2003</w:t>
            </w:r>
          </w:p>
        </w:tc>
        <w:tc>
          <w:tcPr>
            <w:tcW w:w="5670" w:type="dxa"/>
            <w:shd w:val="clear" w:color="auto" w:fill="auto"/>
            <w:vAlign w:val="center"/>
          </w:tcPr>
          <w:p w14:paraId="04316339" w14:textId="3D21A6CC" w:rsidR="00926FFB" w:rsidRPr="005B6D7B" w:rsidRDefault="00926FFB" w:rsidP="00926FFB">
            <w:pPr>
              <w:pStyle w:val="3-BodyText"/>
              <w:numPr>
                <w:ilvl w:val="0"/>
                <w:numId w:val="0"/>
              </w:numPr>
              <w:spacing w:after="0"/>
              <w:rPr>
                <w:rFonts w:ascii="Arial Narrow" w:hAnsi="Arial Narrow"/>
                <w:sz w:val="20"/>
                <w:szCs w:val="20"/>
              </w:rPr>
            </w:pPr>
            <w:r w:rsidRPr="005B6D7B">
              <w:rPr>
                <w:rFonts w:ascii="Arial Narrow" w:hAnsi="Arial Narrow"/>
                <w:sz w:val="20"/>
                <w:szCs w:val="20"/>
              </w:rPr>
              <w:t>Gottlieb AB, Matheson RT, Lowe N, et al. A randomized trial of etanercept as monotherapy for psoriasis.</w:t>
            </w:r>
          </w:p>
        </w:tc>
        <w:tc>
          <w:tcPr>
            <w:tcW w:w="1934" w:type="dxa"/>
            <w:shd w:val="clear" w:color="auto" w:fill="auto"/>
            <w:vAlign w:val="center"/>
          </w:tcPr>
          <w:p w14:paraId="75B82CA3" w14:textId="4F08ADF6" w:rsidR="00926FFB" w:rsidRPr="005B6D7B" w:rsidRDefault="00926FFB" w:rsidP="00141176">
            <w:pPr>
              <w:pStyle w:val="3-BodyText"/>
              <w:numPr>
                <w:ilvl w:val="0"/>
                <w:numId w:val="0"/>
              </w:numPr>
              <w:spacing w:after="0"/>
              <w:jc w:val="left"/>
              <w:rPr>
                <w:rFonts w:ascii="Arial Narrow" w:hAnsi="Arial Narrow"/>
                <w:sz w:val="20"/>
                <w:szCs w:val="20"/>
              </w:rPr>
            </w:pPr>
            <w:r w:rsidRPr="005B6D7B">
              <w:rPr>
                <w:rFonts w:ascii="Arial Narrow" w:hAnsi="Arial Narrow"/>
                <w:sz w:val="20"/>
                <w:szCs w:val="20"/>
              </w:rPr>
              <w:t>Arch Dermatol 2003;139(12):1627-32</w:t>
            </w:r>
          </w:p>
        </w:tc>
      </w:tr>
      <w:tr w:rsidR="007A4A2F" w:rsidRPr="005B6D7B" w14:paraId="2F6C402A" w14:textId="77777777" w:rsidTr="006E51DD">
        <w:tc>
          <w:tcPr>
            <w:tcW w:w="9017" w:type="dxa"/>
            <w:gridSpan w:val="3"/>
            <w:shd w:val="clear" w:color="auto" w:fill="auto"/>
            <w:vAlign w:val="center"/>
          </w:tcPr>
          <w:p w14:paraId="05BFF024" w14:textId="03830E80" w:rsidR="007A4A2F" w:rsidRPr="005B6D7B" w:rsidRDefault="007A4A2F" w:rsidP="00141176">
            <w:pPr>
              <w:pStyle w:val="3-BodyText"/>
              <w:numPr>
                <w:ilvl w:val="0"/>
                <w:numId w:val="0"/>
              </w:numPr>
              <w:spacing w:after="0"/>
              <w:jc w:val="left"/>
              <w:rPr>
                <w:rFonts w:ascii="Arial Narrow" w:hAnsi="Arial Narrow"/>
                <w:bCs/>
                <w:sz w:val="20"/>
                <w:szCs w:val="20"/>
              </w:rPr>
            </w:pPr>
            <w:r w:rsidRPr="005B6D7B">
              <w:rPr>
                <w:rFonts w:ascii="Arial Narrow" w:hAnsi="Arial Narrow"/>
                <w:b/>
                <w:bCs/>
                <w:sz w:val="20"/>
                <w:szCs w:val="20"/>
              </w:rPr>
              <w:t>Guselkumab trials</w:t>
            </w:r>
          </w:p>
        </w:tc>
      </w:tr>
      <w:tr w:rsidR="007A4A2F" w:rsidRPr="005B6D7B" w14:paraId="3406462B" w14:textId="77777777" w:rsidTr="006E51DD">
        <w:tc>
          <w:tcPr>
            <w:tcW w:w="1413" w:type="dxa"/>
            <w:shd w:val="clear" w:color="auto" w:fill="auto"/>
          </w:tcPr>
          <w:p w14:paraId="0C1BDD68" w14:textId="77777777" w:rsidR="007A4A2F" w:rsidRPr="005B6D7B" w:rsidRDefault="007A4A2F" w:rsidP="00926FFB">
            <w:pPr>
              <w:pStyle w:val="3-BodyText"/>
              <w:numPr>
                <w:ilvl w:val="0"/>
                <w:numId w:val="0"/>
              </w:numPr>
              <w:spacing w:after="0"/>
              <w:jc w:val="left"/>
              <w:rPr>
                <w:rFonts w:ascii="Arial Narrow" w:hAnsi="Arial Narrow"/>
                <w:sz w:val="20"/>
                <w:szCs w:val="20"/>
              </w:rPr>
            </w:pPr>
            <w:r w:rsidRPr="005B6D7B">
              <w:rPr>
                <w:rFonts w:ascii="Arial Narrow" w:hAnsi="Arial Narrow"/>
                <w:sz w:val="20"/>
                <w:szCs w:val="20"/>
              </w:rPr>
              <w:t>ORION</w:t>
            </w:r>
          </w:p>
          <w:p w14:paraId="3BABC93D" w14:textId="2409872B" w:rsidR="007A4A2F" w:rsidRPr="005B6D7B" w:rsidRDefault="007A4A2F" w:rsidP="00926FFB">
            <w:pPr>
              <w:pStyle w:val="3-BodyText"/>
              <w:numPr>
                <w:ilvl w:val="0"/>
                <w:numId w:val="0"/>
              </w:numPr>
              <w:spacing w:after="0"/>
              <w:jc w:val="left"/>
              <w:rPr>
                <w:rFonts w:ascii="Arial Narrow" w:hAnsi="Arial Narrow"/>
                <w:sz w:val="20"/>
                <w:szCs w:val="20"/>
              </w:rPr>
            </w:pPr>
            <w:r w:rsidRPr="005B6D7B">
              <w:rPr>
                <w:rFonts w:ascii="Arial Narrow" w:hAnsi="Arial Narrow"/>
                <w:sz w:val="20"/>
                <w:szCs w:val="20"/>
              </w:rPr>
              <w:t>NCT02905331</w:t>
            </w:r>
          </w:p>
        </w:tc>
        <w:tc>
          <w:tcPr>
            <w:tcW w:w="5670" w:type="dxa"/>
            <w:shd w:val="clear" w:color="auto" w:fill="auto"/>
            <w:vAlign w:val="center"/>
          </w:tcPr>
          <w:p w14:paraId="4853F7D6" w14:textId="4E2D1863" w:rsidR="007A4A2F" w:rsidRPr="005B6D7B" w:rsidRDefault="007A4A2F" w:rsidP="007A4A2F">
            <w:pPr>
              <w:pStyle w:val="3-BodyText"/>
              <w:numPr>
                <w:ilvl w:val="0"/>
                <w:numId w:val="0"/>
              </w:numPr>
              <w:spacing w:after="0"/>
              <w:rPr>
                <w:rFonts w:ascii="Arial Narrow" w:hAnsi="Arial Narrow"/>
                <w:sz w:val="20"/>
                <w:szCs w:val="20"/>
              </w:rPr>
            </w:pPr>
            <w:r w:rsidRPr="005B6D7B">
              <w:rPr>
                <w:rFonts w:ascii="Arial Narrow" w:hAnsi="Arial Narrow"/>
                <w:sz w:val="20"/>
                <w:szCs w:val="20"/>
              </w:rPr>
              <w:t>Ferris LK, Ott E, Jiang J, et al. Efficacy and safety of guselkumab, administered with a novel patient-controlled injector (One-Press), for moderate-to-severe psoriasis: results from the phase 3 ORION study</w:t>
            </w:r>
          </w:p>
        </w:tc>
        <w:tc>
          <w:tcPr>
            <w:tcW w:w="1934" w:type="dxa"/>
            <w:shd w:val="clear" w:color="auto" w:fill="auto"/>
            <w:vAlign w:val="center"/>
          </w:tcPr>
          <w:p w14:paraId="58579BF1" w14:textId="330D7E0F" w:rsidR="007A4A2F" w:rsidRPr="005B6D7B" w:rsidRDefault="007A4A2F" w:rsidP="00141176">
            <w:pPr>
              <w:pStyle w:val="3-BodyText"/>
              <w:numPr>
                <w:ilvl w:val="0"/>
                <w:numId w:val="0"/>
              </w:numPr>
              <w:spacing w:after="0"/>
              <w:jc w:val="left"/>
              <w:rPr>
                <w:rFonts w:ascii="Arial Narrow" w:hAnsi="Arial Narrow"/>
                <w:sz w:val="20"/>
                <w:szCs w:val="20"/>
              </w:rPr>
            </w:pPr>
            <w:r w:rsidRPr="005B6D7B">
              <w:rPr>
                <w:rFonts w:ascii="Arial Narrow" w:hAnsi="Arial Narrow"/>
                <w:sz w:val="20"/>
                <w:szCs w:val="20"/>
              </w:rPr>
              <w:t>J Dermatolog Treat 2020;31(2):152-159</w:t>
            </w:r>
          </w:p>
        </w:tc>
      </w:tr>
      <w:tr w:rsidR="007A4A2F" w:rsidRPr="005B6D7B" w14:paraId="13E2CA88" w14:textId="77777777" w:rsidTr="006E51DD">
        <w:tc>
          <w:tcPr>
            <w:tcW w:w="1413" w:type="dxa"/>
            <w:shd w:val="clear" w:color="auto" w:fill="auto"/>
          </w:tcPr>
          <w:p w14:paraId="7F6BACB4" w14:textId="0537E3F2" w:rsidR="007A4A2F" w:rsidRPr="005B6D7B" w:rsidRDefault="006C1704" w:rsidP="00926FFB">
            <w:pPr>
              <w:pStyle w:val="3-BodyText"/>
              <w:numPr>
                <w:ilvl w:val="0"/>
                <w:numId w:val="0"/>
              </w:numPr>
              <w:spacing w:after="0"/>
              <w:jc w:val="left"/>
              <w:rPr>
                <w:rFonts w:ascii="Arial Narrow" w:hAnsi="Arial Narrow"/>
                <w:sz w:val="20"/>
                <w:szCs w:val="20"/>
              </w:rPr>
            </w:pPr>
            <w:r w:rsidRPr="005B6D7B">
              <w:rPr>
                <w:rFonts w:ascii="Arial Narrow" w:hAnsi="Arial Narrow"/>
                <w:sz w:val="20"/>
                <w:szCs w:val="20"/>
              </w:rPr>
              <w:t xml:space="preserve">Ohtsuki </w:t>
            </w:r>
            <w:r w:rsidR="007A4A2F" w:rsidRPr="005B6D7B">
              <w:rPr>
                <w:rFonts w:ascii="Arial Narrow" w:hAnsi="Arial Narrow"/>
                <w:sz w:val="20"/>
                <w:szCs w:val="20"/>
              </w:rPr>
              <w:t>2018</w:t>
            </w:r>
            <w:r w:rsidR="007A4A2F" w:rsidRPr="005B6D7B">
              <w:rPr>
                <w:rFonts w:ascii="Arial Narrow" w:hAnsi="Arial Narrow"/>
                <w:sz w:val="20"/>
                <w:szCs w:val="20"/>
              </w:rPr>
              <w:br/>
              <w:t>NCT02325219</w:t>
            </w:r>
          </w:p>
        </w:tc>
        <w:tc>
          <w:tcPr>
            <w:tcW w:w="5670" w:type="dxa"/>
            <w:shd w:val="clear" w:color="auto" w:fill="auto"/>
            <w:vAlign w:val="center"/>
          </w:tcPr>
          <w:p w14:paraId="60CD7A16" w14:textId="27A9D51A" w:rsidR="007A4A2F" w:rsidRPr="005B6D7B" w:rsidRDefault="007A4A2F" w:rsidP="007A4A2F">
            <w:pPr>
              <w:pStyle w:val="3-BodyText"/>
              <w:numPr>
                <w:ilvl w:val="0"/>
                <w:numId w:val="0"/>
              </w:numPr>
              <w:spacing w:after="0"/>
              <w:rPr>
                <w:rFonts w:ascii="Arial Narrow" w:hAnsi="Arial Narrow"/>
                <w:sz w:val="20"/>
                <w:szCs w:val="20"/>
              </w:rPr>
            </w:pPr>
            <w:r w:rsidRPr="005B6D7B">
              <w:rPr>
                <w:rFonts w:ascii="Arial Narrow" w:hAnsi="Arial Narrow"/>
                <w:sz w:val="20"/>
                <w:szCs w:val="20"/>
              </w:rPr>
              <w:t xml:space="preserve">Ohtsuki M, Kubo H, Morishima H, Goto R, Zheng R, Nakagawa H. Guselkumab, an anti-interleukin-23 monoclonal antibody, for the treatment of moderate to severe plaque-type psoriasis in Japanese patients: Efficacy and safety results from a phase 3, randomized, double-blind, placebo-controlled study. </w:t>
            </w:r>
          </w:p>
        </w:tc>
        <w:tc>
          <w:tcPr>
            <w:tcW w:w="1934" w:type="dxa"/>
            <w:shd w:val="clear" w:color="auto" w:fill="auto"/>
            <w:vAlign w:val="center"/>
          </w:tcPr>
          <w:p w14:paraId="45D19235" w14:textId="3960FD25" w:rsidR="007A4A2F" w:rsidRPr="005B6D7B" w:rsidRDefault="007A4A2F" w:rsidP="00141176">
            <w:pPr>
              <w:pStyle w:val="3-BodyText"/>
              <w:numPr>
                <w:ilvl w:val="0"/>
                <w:numId w:val="0"/>
              </w:numPr>
              <w:spacing w:after="0"/>
              <w:jc w:val="left"/>
              <w:rPr>
                <w:rFonts w:ascii="Arial Narrow" w:hAnsi="Arial Narrow"/>
                <w:sz w:val="20"/>
                <w:szCs w:val="20"/>
              </w:rPr>
            </w:pPr>
            <w:r w:rsidRPr="005B6D7B">
              <w:rPr>
                <w:rFonts w:ascii="Arial Narrow" w:hAnsi="Arial Narrow"/>
                <w:sz w:val="20"/>
                <w:szCs w:val="20"/>
              </w:rPr>
              <w:t>J Dermatol 2018;45(9):1053-1062</w:t>
            </w:r>
          </w:p>
        </w:tc>
      </w:tr>
      <w:tr w:rsidR="007A4A2F" w:rsidRPr="005B6D7B" w14:paraId="6B3617F7" w14:textId="77777777" w:rsidTr="006E51DD">
        <w:tc>
          <w:tcPr>
            <w:tcW w:w="1413" w:type="dxa"/>
            <w:shd w:val="clear" w:color="auto" w:fill="auto"/>
          </w:tcPr>
          <w:p w14:paraId="5ADBE4E0" w14:textId="77777777" w:rsidR="007A4A2F" w:rsidRPr="005B6D7B" w:rsidRDefault="007A4A2F" w:rsidP="00926FFB">
            <w:pPr>
              <w:pStyle w:val="3-BodyText"/>
              <w:numPr>
                <w:ilvl w:val="0"/>
                <w:numId w:val="0"/>
              </w:numPr>
              <w:spacing w:after="0"/>
              <w:jc w:val="left"/>
              <w:rPr>
                <w:rFonts w:ascii="Arial Narrow" w:hAnsi="Arial Narrow"/>
                <w:sz w:val="20"/>
                <w:szCs w:val="20"/>
              </w:rPr>
            </w:pPr>
            <w:r w:rsidRPr="005B6D7B">
              <w:rPr>
                <w:rFonts w:ascii="Arial Narrow" w:hAnsi="Arial Narrow"/>
                <w:sz w:val="20"/>
                <w:szCs w:val="20"/>
              </w:rPr>
              <w:t>VOYAGE-1</w:t>
            </w:r>
          </w:p>
          <w:p w14:paraId="35AEE93F" w14:textId="40E848E1" w:rsidR="007A4A2F" w:rsidRPr="005B6D7B" w:rsidRDefault="007A4A2F" w:rsidP="00926FFB">
            <w:pPr>
              <w:pStyle w:val="3-BodyText"/>
              <w:numPr>
                <w:ilvl w:val="0"/>
                <w:numId w:val="0"/>
              </w:numPr>
              <w:spacing w:after="0"/>
              <w:jc w:val="left"/>
              <w:rPr>
                <w:rFonts w:ascii="Arial Narrow" w:hAnsi="Arial Narrow"/>
                <w:sz w:val="20"/>
                <w:szCs w:val="20"/>
              </w:rPr>
            </w:pPr>
            <w:r w:rsidRPr="005B6D7B">
              <w:rPr>
                <w:rFonts w:ascii="Arial Narrow" w:hAnsi="Arial Narrow"/>
                <w:sz w:val="20"/>
                <w:szCs w:val="20"/>
              </w:rPr>
              <w:t>NCT02207231</w:t>
            </w:r>
          </w:p>
        </w:tc>
        <w:tc>
          <w:tcPr>
            <w:tcW w:w="5670" w:type="dxa"/>
            <w:shd w:val="clear" w:color="auto" w:fill="auto"/>
            <w:vAlign w:val="center"/>
          </w:tcPr>
          <w:p w14:paraId="1236DF3F" w14:textId="58DC3ED8" w:rsidR="007A4A2F" w:rsidRPr="005B6D7B" w:rsidRDefault="007A4A2F" w:rsidP="007A4A2F">
            <w:pPr>
              <w:pStyle w:val="3-BodyText"/>
              <w:numPr>
                <w:ilvl w:val="0"/>
                <w:numId w:val="0"/>
              </w:numPr>
              <w:spacing w:after="0"/>
              <w:rPr>
                <w:rFonts w:ascii="Arial Narrow" w:hAnsi="Arial Narrow"/>
                <w:sz w:val="20"/>
                <w:szCs w:val="20"/>
              </w:rPr>
            </w:pPr>
            <w:r w:rsidRPr="005B6D7B">
              <w:rPr>
                <w:rFonts w:ascii="Arial Narrow" w:hAnsi="Arial Narrow"/>
                <w:sz w:val="20"/>
                <w:szCs w:val="20"/>
              </w:rPr>
              <w:t xml:space="preserve">Blauvelt A, Papp KA, Griffiths CE, et al. Efficacy and safety of guselkumab, an anti-interleukin-23 monoclonal antibody, compared with adalimumab for the continuous treatment of patients with moderate to severe psoriasis: Results from the phase III, double-blinded, placebo- and active comparator-controlled VOYAGE 1 trial. </w:t>
            </w:r>
          </w:p>
        </w:tc>
        <w:tc>
          <w:tcPr>
            <w:tcW w:w="1934" w:type="dxa"/>
            <w:shd w:val="clear" w:color="auto" w:fill="auto"/>
            <w:vAlign w:val="center"/>
          </w:tcPr>
          <w:p w14:paraId="5E1F20B1" w14:textId="1463CC79" w:rsidR="007A4A2F" w:rsidRPr="005B6D7B" w:rsidRDefault="007A4A2F" w:rsidP="00141176">
            <w:pPr>
              <w:pStyle w:val="3-BodyText"/>
              <w:numPr>
                <w:ilvl w:val="0"/>
                <w:numId w:val="0"/>
              </w:numPr>
              <w:spacing w:after="0"/>
              <w:jc w:val="left"/>
              <w:rPr>
                <w:rFonts w:ascii="Arial Narrow" w:hAnsi="Arial Narrow"/>
                <w:sz w:val="20"/>
                <w:szCs w:val="20"/>
              </w:rPr>
            </w:pPr>
            <w:r w:rsidRPr="005B6D7B">
              <w:rPr>
                <w:rFonts w:ascii="Arial Narrow" w:hAnsi="Arial Narrow"/>
                <w:sz w:val="20"/>
                <w:szCs w:val="20"/>
              </w:rPr>
              <w:t>J Am Acad Dermatol 2017;76(3):405-417</w:t>
            </w:r>
          </w:p>
        </w:tc>
      </w:tr>
      <w:tr w:rsidR="007A4A2F" w:rsidRPr="005B6D7B" w14:paraId="755FEC2A" w14:textId="77777777" w:rsidTr="006E51DD">
        <w:tc>
          <w:tcPr>
            <w:tcW w:w="1413" w:type="dxa"/>
            <w:shd w:val="clear" w:color="auto" w:fill="auto"/>
          </w:tcPr>
          <w:p w14:paraId="2A40C1F9" w14:textId="77777777" w:rsidR="007A4A2F" w:rsidRPr="005B6D7B" w:rsidRDefault="007A4A2F" w:rsidP="00926FFB">
            <w:pPr>
              <w:pStyle w:val="3-BodyText"/>
              <w:numPr>
                <w:ilvl w:val="0"/>
                <w:numId w:val="0"/>
              </w:numPr>
              <w:spacing w:after="0"/>
              <w:jc w:val="left"/>
              <w:rPr>
                <w:rFonts w:ascii="Arial Narrow" w:hAnsi="Arial Narrow"/>
                <w:sz w:val="20"/>
                <w:szCs w:val="20"/>
              </w:rPr>
            </w:pPr>
            <w:r w:rsidRPr="005B6D7B">
              <w:rPr>
                <w:rFonts w:ascii="Arial Narrow" w:hAnsi="Arial Narrow"/>
                <w:sz w:val="20"/>
                <w:szCs w:val="20"/>
              </w:rPr>
              <w:t>VOYAGE-2</w:t>
            </w:r>
          </w:p>
          <w:p w14:paraId="6AE44AA2" w14:textId="115E25F5" w:rsidR="007A4A2F" w:rsidRPr="005B6D7B" w:rsidRDefault="007A4A2F" w:rsidP="00926FFB">
            <w:pPr>
              <w:pStyle w:val="3-BodyText"/>
              <w:numPr>
                <w:ilvl w:val="0"/>
                <w:numId w:val="0"/>
              </w:numPr>
              <w:spacing w:after="0"/>
              <w:jc w:val="left"/>
              <w:rPr>
                <w:rFonts w:ascii="Arial Narrow" w:hAnsi="Arial Narrow"/>
                <w:sz w:val="20"/>
                <w:szCs w:val="20"/>
              </w:rPr>
            </w:pPr>
            <w:r w:rsidRPr="005B6D7B">
              <w:rPr>
                <w:rFonts w:ascii="Arial Narrow" w:hAnsi="Arial Narrow"/>
                <w:sz w:val="20"/>
                <w:szCs w:val="20"/>
              </w:rPr>
              <w:t>NCT02207244</w:t>
            </w:r>
          </w:p>
        </w:tc>
        <w:tc>
          <w:tcPr>
            <w:tcW w:w="5670" w:type="dxa"/>
            <w:shd w:val="clear" w:color="auto" w:fill="auto"/>
            <w:vAlign w:val="center"/>
          </w:tcPr>
          <w:p w14:paraId="53101A5E" w14:textId="53A7F5ED" w:rsidR="007A4A2F" w:rsidRPr="005B6D7B" w:rsidRDefault="007A4A2F" w:rsidP="007A4A2F">
            <w:pPr>
              <w:pStyle w:val="3-BodyText"/>
              <w:numPr>
                <w:ilvl w:val="0"/>
                <w:numId w:val="0"/>
              </w:numPr>
              <w:spacing w:after="0"/>
              <w:rPr>
                <w:rFonts w:ascii="Arial Narrow" w:hAnsi="Arial Narrow"/>
                <w:sz w:val="20"/>
                <w:szCs w:val="20"/>
              </w:rPr>
            </w:pPr>
            <w:r w:rsidRPr="005B6D7B">
              <w:rPr>
                <w:rFonts w:ascii="Arial Narrow" w:hAnsi="Arial Narrow"/>
                <w:sz w:val="20"/>
                <w:szCs w:val="20"/>
              </w:rPr>
              <w:t xml:space="preserve">Reich K, Armstrong AW, Foley P, et al. Efficacy and safety of guselkumab, an anti-interleukin-23 monoclonal antibody, compared with adalimumab for the treatment of patients with moderate to severe psoriasis with randomized withdrawal and retreatment: Results from the phase III, double-blind, placebo- and active comparator-controlled VOYAGE 2 trial. </w:t>
            </w:r>
          </w:p>
        </w:tc>
        <w:tc>
          <w:tcPr>
            <w:tcW w:w="1934" w:type="dxa"/>
            <w:shd w:val="clear" w:color="auto" w:fill="auto"/>
            <w:vAlign w:val="center"/>
          </w:tcPr>
          <w:p w14:paraId="2BD0692F" w14:textId="6D92793C" w:rsidR="007A4A2F" w:rsidRPr="005B6D7B" w:rsidRDefault="007A4A2F" w:rsidP="00141176">
            <w:pPr>
              <w:pStyle w:val="3-BodyText"/>
              <w:numPr>
                <w:ilvl w:val="0"/>
                <w:numId w:val="0"/>
              </w:numPr>
              <w:spacing w:after="0"/>
              <w:jc w:val="left"/>
              <w:rPr>
                <w:rFonts w:ascii="Arial Narrow" w:hAnsi="Arial Narrow"/>
                <w:sz w:val="20"/>
                <w:szCs w:val="20"/>
              </w:rPr>
            </w:pPr>
            <w:r w:rsidRPr="005B6D7B">
              <w:rPr>
                <w:rFonts w:ascii="Arial Narrow" w:hAnsi="Arial Narrow"/>
                <w:sz w:val="20"/>
                <w:szCs w:val="20"/>
              </w:rPr>
              <w:t>J Am Acad Dermatol 2017;76(3):418-431</w:t>
            </w:r>
          </w:p>
        </w:tc>
      </w:tr>
      <w:tr w:rsidR="007A4A2F" w:rsidRPr="005B6D7B" w14:paraId="6B7F56C9" w14:textId="77777777" w:rsidTr="006E51DD">
        <w:tc>
          <w:tcPr>
            <w:tcW w:w="1413" w:type="dxa"/>
            <w:shd w:val="clear" w:color="auto" w:fill="auto"/>
          </w:tcPr>
          <w:p w14:paraId="4E5E45B1" w14:textId="77777777" w:rsidR="007A4A2F" w:rsidRPr="005B6D7B" w:rsidRDefault="007A4A2F" w:rsidP="00926FFB">
            <w:pPr>
              <w:pStyle w:val="3-BodyText"/>
              <w:numPr>
                <w:ilvl w:val="0"/>
                <w:numId w:val="0"/>
              </w:numPr>
              <w:spacing w:after="0"/>
              <w:jc w:val="left"/>
              <w:rPr>
                <w:rFonts w:ascii="Arial Narrow" w:hAnsi="Arial Narrow"/>
                <w:sz w:val="20"/>
                <w:szCs w:val="20"/>
              </w:rPr>
            </w:pPr>
            <w:r w:rsidRPr="005B6D7B">
              <w:rPr>
                <w:rFonts w:ascii="Arial Narrow" w:hAnsi="Arial Narrow"/>
                <w:sz w:val="20"/>
                <w:szCs w:val="20"/>
              </w:rPr>
              <w:t>ECLIPSE</w:t>
            </w:r>
          </w:p>
          <w:p w14:paraId="4EF716BA" w14:textId="1C0386FC" w:rsidR="007A4A2F" w:rsidRPr="005B6D7B" w:rsidRDefault="007A4A2F" w:rsidP="00926FFB">
            <w:pPr>
              <w:pStyle w:val="3-BodyText"/>
              <w:numPr>
                <w:ilvl w:val="0"/>
                <w:numId w:val="0"/>
              </w:numPr>
              <w:spacing w:after="0"/>
              <w:jc w:val="left"/>
              <w:rPr>
                <w:rFonts w:ascii="Arial Narrow" w:hAnsi="Arial Narrow"/>
                <w:sz w:val="20"/>
                <w:szCs w:val="20"/>
              </w:rPr>
            </w:pPr>
            <w:r w:rsidRPr="005B6D7B">
              <w:rPr>
                <w:rFonts w:ascii="Arial Narrow" w:hAnsi="Arial Narrow"/>
                <w:sz w:val="20"/>
                <w:szCs w:val="20"/>
              </w:rPr>
              <w:t>NCT03090100</w:t>
            </w:r>
          </w:p>
        </w:tc>
        <w:tc>
          <w:tcPr>
            <w:tcW w:w="5670" w:type="dxa"/>
            <w:shd w:val="clear" w:color="auto" w:fill="auto"/>
            <w:vAlign w:val="center"/>
          </w:tcPr>
          <w:p w14:paraId="782FBD40" w14:textId="2741E178" w:rsidR="007A4A2F" w:rsidRPr="005B6D7B" w:rsidRDefault="007A4A2F" w:rsidP="007A4A2F">
            <w:pPr>
              <w:pStyle w:val="3-BodyText"/>
              <w:numPr>
                <w:ilvl w:val="0"/>
                <w:numId w:val="0"/>
              </w:numPr>
              <w:spacing w:after="0"/>
              <w:rPr>
                <w:rFonts w:ascii="Arial Narrow" w:hAnsi="Arial Narrow"/>
                <w:sz w:val="20"/>
                <w:szCs w:val="20"/>
              </w:rPr>
            </w:pPr>
            <w:r w:rsidRPr="005B6D7B">
              <w:rPr>
                <w:rFonts w:ascii="Arial Narrow" w:hAnsi="Arial Narrow"/>
                <w:sz w:val="20"/>
                <w:szCs w:val="20"/>
              </w:rPr>
              <w:t xml:space="preserve">Reich K, Armstrong AW, Langley RG, et al. Guselkumab versus secukinumab for the treatment of moderate-to-severe psoriasis (ECLIPSE): results from a phase 3, randomised controlled trial. </w:t>
            </w:r>
          </w:p>
        </w:tc>
        <w:tc>
          <w:tcPr>
            <w:tcW w:w="1934" w:type="dxa"/>
            <w:shd w:val="clear" w:color="auto" w:fill="auto"/>
            <w:vAlign w:val="center"/>
          </w:tcPr>
          <w:p w14:paraId="5A7C3EBA" w14:textId="25737703" w:rsidR="007A4A2F" w:rsidRPr="005B6D7B" w:rsidRDefault="007A4A2F" w:rsidP="00141176">
            <w:pPr>
              <w:pStyle w:val="3-BodyText"/>
              <w:numPr>
                <w:ilvl w:val="0"/>
                <w:numId w:val="0"/>
              </w:numPr>
              <w:spacing w:after="0"/>
              <w:jc w:val="left"/>
              <w:rPr>
                <w:rFonts w:ascii="Arial Narrow" w:hAnsi="Arial Narrow"/>
                <w:sz w:val="20"/>
                <w:szCs w:val="20"/>
              </w:rPr>
            </w:pPr>
            <w:r w:rsidRPr="005B6D7B">
              <w:rPr>
                <w:rFonts w:ascii="Arial Narrow" w:hAnsi="Arial Narrow"/>
                <w:sz w:val="20"/>
                <w:szCs w:val="20"/>
              </w:rPr>
              <w:t>Lancet 2019;394(10201):831-839</w:t>
            </w:r>
          </w:p>
        </w:tc>
      </w:tr>
      <w:tr w:rsidR="007A4A2F" w:rsidRPr="005B6D7B" w14:paraId="07B2C76A" w14:textId="77777777" w:rsidTr="006E51DD">
        <w:tc>
          <w:tcPr>
            <w:tcW w:w="9017" w:type="dxa"/>
            <w:gridSpan w:val="3"/>
            <w:shd w:val="clear" w:color="auto" w:fill="auto"/>
            <w:vAlign w:val="center"/>
          </w:tcPr>
          <w:p w14:paraId="4F7647F1" w14:textId="1F97877B" w:rsidR="007A4A2F" w:rsidRPr="005B6D7B" w:rsidRDefault="007A4A2F" w:rsidP="00141176">
            <w:pPr>
              <w:pStyle w:val="3-BodyText"/>
              <w:numPr>
                <w:ilvl w:val="0"/>
                <w:numId w:val="0"/>
              </w:numPr>
              <w:spacing w:after="0"/>
              <w:jc w:val="left"/>
              <w:rPr>
                <w:rFonts w:ascii="Arial Narrow" w:hAnsi="Arial Narrow"/>
                <w:bCs/>
                <w:sz w:val="20"/>
                <w:szCs w:val="20"/>
              </w:rPr>
            </w:pPr>
            <w:r w:rsidRPr="005B6D7B">
              <w:rPr>
                <w:rFonts w:ascii="Arial Narrow" w:hAnsi="Arial Narrow"/>
                <w:b/>
                <w:bCs/>
                <w:sz w:val="20"/>
                <w:szCs w:val="20"/>
              </w:rPr>
              <w:t>Ixekizumab trials</w:t>
            </w:r>
          </w:p>
        </w:tc>
      </w:tr>
      <w:tr w:rsidR="007A4A2F" w:rsidRPr="005B6D7B" w14:paraId="0FC2E80C" w14:textId="77777777" w:rsidTr="006E51DD">
        <w:tc>
          <w:tcPr>
            <w:tcW w:w="1413" w:type="dxa"/>
            <w:shd w:val="clear" w:color="auto" w:fill="auto"/>
          </w:tcPr>
          <w:p w14:paraId="663A3F16" w14:textId="77777777" w:rsidR="007A4A2F" w:rsidRPr="005B6D7B" w:rsidRDefault="007A4A2F" w:rsidP="00926FFB">
            <w:pPr>
              <w:pStyle w:val="3-BodyText"/>
              <w:numPr>
                <w:ilvl w:val="0"/>
                <w:numId w:val="0"/>
              </w:numPr>
              <w:spacing w:after="0"/>
              <w:jc w:val="left"/>
              <w:rPr>
                <w:rFonts w:ascii="Arial Narrow" w:hAnsi="Arial Narrow"/>
                <w:sz w:val="20"/>
                <w:szCs w:val="20"/>
              </w:rPr>
            </w:pPr>
            <w:r w:rsidRPr="005B6D7B">
              <w:rPr>
                <w:rFonts w:ascii="Arial Narrow" w:hAnsi="Arial Narrow"/>
                <w:sz w:val="20"/>
                <w:szCs w:val="20"/>
              </w:rPr>
              <w:t>UNCOVER-1</w:t>
            </w:r>
          </w:p>
          <w:p w14:paraId="07B37CE4" w14:textId="63931677" w:rsidR="007A4A2F" w:rsidRPr="005B6D7B" w:rsidRDefault="007A4A2F" w:rsidP="00926FFB">
            <w:pPr>
              <w:pStyle w:val="3-BodyText"/>
              <w:numPr>
                <w:ilvl w:val="0"/>
                <w:numId w:val="0"/>
              </w:numPr>
              <w:spacing w:after="0"/>
              <w:jc w:val="left"/>
              <w:rPr>
                <w:rFonts w:ascii="Arial Narrow" w:hAnsi="Arial Narrow"/>
                <w:sz w:val="20"/>
                <w:szCs w:val="20"/>
              </w:rPr>
            </w:pPr>
            <w:r w:rsidRPr="005B6D7B">
              <w:rPr>
                <w:rFonts w:ascii="Arial Narrow" w:hAnsi="Arial Narrow"/>
                <w:sz w:val="20"/>
                <w:szCs w:val="20"/>
              </w:rPr>
              <w:t>NCT01474512</w:t>
            </w:r>
          </w:p>
        </w:tc>
        <w:tc>
          <w:tcPr>
            <w:tcW w:w="5670" w:type="dxa"/>
            <w:shd w:val="clear" w:color="auto" w:fill="auto"/>
            <w:vAlign w:val="center"/>
          </w:tcPr>
          <w:p w14:paraId="0BCAF552" w14:textId="0EBEA550" w:rsidR="007A4A2F" w:rsidRPr="005B6D7B" w:rsidRDefault="007A4A2F" w:rsidP="007A4A2F">
            <w:pPr>
              <w:pStyle w:val="3-BodyText"/>
              <w:numPr>
                <w:ilvl w:val="0"/>
                <w:numId w:val="0"/>
              </w:numPr>
              <w:spacing w:after="0"/>
              <w:rPr>
                <w:rFonts w:ascii="Arial Narrow" w:hAnsi="Arial Narrow"/>
                <w:sz w:val="20"/>
                <w:szCs w:val="20"/>
              </w:rPr>
            </w:pPr>
            <w:r w:rsidRPr="005B6D7B">
              <w:rPr>
                <w:rFonts w:ascii="Arial Narrow" w:hAnsi="Arial Narrow"/>
                <w:sz w:val="20"/>
                <w:szCs w:val="20"/>
              </w:rPr>
              <w:t>Gordon KB, Blauvelt A, Papp KA, et al. Phase 3 Trials of Ixekizumab in Moderate-to-Severe Plaque Psoriasis.</w:t>
            </w:r>
          </w:p>
        </w:tc>
        <w:tc>
          <w:tcPr>
            <w:tcW w:w="1934" w:type="dxa"/>
            <w:shd w:val="clear" w:color="auto" w:fill="auto"/>
            <w:vAlign w:val="center"/>
          </w:tcPr>
          <w:p w14:paraId="04321100" w14:textId="42D895A0" w:rsidR="007A4A2F" w:rsidRPr="005B6D7B" w:rsidRDefault="007A4A2F" w:rsidP="00141176">
            <w:pPr>
              <w:pStyle w:val="3-BodyText"/>
              <w:numPr>
                <w:ilvl w:val="0"/>
                <w:numId w:val="0"/>
              </w:numPr>
              <w:spacing w:after="0"/>
              <w:jc w:val="left"/>
              <w:rPr>
                <w:rFonts w:ascii="Arial Narrow" w:hAnsi="Arial Narrow"/>
                <w:sz w:val="20"/>
                <w:szCs w:val="20"/>
              </w:rPr>
            </w:pPr>
            <w:r w:rsidRPr="005B6D7B">
              <w:rPr>
                <w:rFonts w:ascii="Arial Narrow" w:hAnsi="Arial Narrow"/>
                <w:sz w:val="20"/>
                <w:szCs w:val="20"/>
              </w:rPr>
              <w:t>New England Journal of Medicine 2016;375(4):345-356</w:t>
            </w:r>
          </w:p>
        </w:tc>
      </w:tr>
      <w:tr w:rsidR="007A4A2F" w:rsidRPr="005B6D7B" w14:paraId="27D9021A" w14:textId="77777777" w:rsidTr="006E51DD">
        <w:tc>
          <w:tcPr>
            <w:tcW w:w="1413" w:type="dxa"/>
            <w:shd w:val="clear" w:color="auto" w:fill="auto"/>
          </w:tcPr>
          <w:p w14:paraId="1CD1CD84" w14:textId="77777777" w:rsidR="007A4A2F" w:rsidRPr="005B6D7B" w:rsidRDefault="007A4A2F" w:rsidP="00926FFB">
            <w:pPr>
              <w:pStyle w:val="3-BodyText"/>
              <w:numPr>
                <w:ilvl w:val="0"/>
                <w:numId w:val="0"/>
              </w:numPr>
              <w:spacing w:after="0"/>
              <w:jc w:val="left"/>
              <w:rPr>
                <w:rFonts w:ascii="Arial Narrow" w:hAnsi="Arial Narrow"/>
                <w:sz w:val="20"/>
                <w:szCs w:val="20"/>
              </w:rPr>
            </w:pPr>
            <w:r w:rsidRPr="005B6D7B">
              <w:rPr>
                <w:rFonts w:ascii="Arial Narrow" w:hAnsi="Arial Narrow"/>
                <w:sz w:val="20"/>
                <w:szCs w:val="20"/>
              </w:rPr>
              <w:t>UNCOVER-2</w:t>
            </w:r>
          </w:p>
          <w:p w14:paraId="0DB64D31" w14:textId="37C60537" w:rsidR="007A4A2F" w:rsidRPr="005B6D7B" w:rsidRDefault="007A4A2F" w:rsidP="00926FFB">
            <w:pPr>
              <w:pStyle w:val="3-BodyText"/>
              <w:numPr>
                <w:ilvl w:val="0"/>
                <w:numId w:val="0"/>
              </w:numPr>
              <w:spacing w:after="0"/>
              <w:jc w:val="left"/>
              <w:rPr>
                <w:rFonts w:ascii="Arial Narrow" w:hAnsi="Arial Narrow"/>
                <w:sz w:val="20"/>
                <w:szCs w:val="20"/>
              </w:rPr>
            </w:pPr>
            <w:r w:rsidRPr="005B6D7B">
              <w:rPr>
                <w:rFonts w:ascii="Arial Narrow" w:hAnsi="Arial Narrow"/>
                <w:sz w:val="20"/>
                <w:szCs w:val="20"/>
              </w:rPr>
              <w:t>NCT01597245</w:t>
            </w:r>
          </w:p>
        </w:tc>
        <w:tc>
          <w:tcPr>
            <w:tcW w:w="5670" w:type="dxa"/>
            <w:shd w:val="clear" w:color="auto" w:fill="auto"/>
            <w:vAlign w:val="center"/>
          </w:tcPr>
          <w:p w14:paraId="25BC1882" w14:textId="09F0F15F" w:rsidR="007A4A2F" w:rsidRPr="005B6D7B" w:rsidRDefault="007A4A2F" w:rsidP="007A4A2F">
            <w:pPr>
              <w:pStyle w:val="3-BodyText"/>
              <w:numPr>
                <w:ilvl w:val="0"/>
                <w:numId w:val="0"/>
              </w:numPr>
              <w:spacing w:after="0"/>
              <w:rPr>
                <w:rFonts w:ascii="Arial Narrow" w:hAnsi="Arial Narrow"/>
                <w:sz w:val="20"/>
                <w:szCs w:val="20"/>
              </w:rPr>
            </w:pPr>
            <w:r w:rsidRPr="005B6D7B">
              <w:rPr>
                <w:rFonts w:ascii="Arial Narrow" w:hAnsi="Arial Narrow"/>
                <w:sz w:val="20"/>
                <w:szCs w:val="20"/>
              </w:rPr>
              <w:t>Gordon KB, Blauvelt A, Papp KA, et al. Phase 3 Trials of Ixekizumab in Moderate-to-Severe Plaque Psoriasis</w:t>
            </w:r>
          </w:p>
        </w:tc>
        <w:tc>
          <w:tcPr>
            <w:tcW w:w="1934" w:type="dxa"/>
            <w:shd w:val="clear" w:color="auto" w:fill="auto"/>
            <w:vAlign w:val="center"/>
          </w:tcPr>
          <w:p w14:paraId="3C05068C" w14:textId="7B687F9B" w:rsidR="007A4A2F" w:rsidRPr="005B6D7B" w:rsidRDefault="007A4A2F" w:rsidP="00141176">
            <w:pPr>
              <w:pStyle w:val="3-BodyText"/>
              <w:numPr>
                <w:ilvl w:val="0"/>
                <w:numId w:val="0"/>
              </w:numPr>
              <w:spacing w:after="0"/>
              <w:jc w:val="left"/>
              <w:rPr>
                <w:rFonts w:ascii="Arial Narrow" w:hAnsi="Arial Narrow"/>
                <w:sz w:val="20"/>
                <w:szCs w:val="20"/>
              </w:rPr>
            </w:pPr>
            <w:r w:rsidRPr="005B6D7B">
              <w:rPr>
                <w:rFonts w:ascii="Arial Narrow" w:hAnsi="Arial Narrow"/>
                <w:sz w:val="20"/>
                <w:szCs w:val="20"/>
              </w:rPr>
              <w:t>New England Journal of Medicine 2016;375(4):345-356</w:t>
            </w:r>
          </w:p>
        </w:tc>
      </w:tr>
      <w:tr w:rsidR="007A4A2F" w:rsidRPr="005B6D7B" w14:paraId="5BD5ACBE" w14:textId="77777777" w:rsidTr="006E51DD">
        <w:tc>
          <w:tcPr>
            <w:tcW w:w="1413" w:type="dxa"/>
            <w:shd w:val="clear" w:color="auto" w:fill="auto"/>
          </w:tcPr>
          <w:p w14:paraId="42C2D4AA" w14:textId="77777777" w:rsidR="007A4A2F" w:rsidRPr="005B6D7B" w:rsidRDefault="007A4A2F" w:rsidP="00926FFB">
            <w:pPr>
              <w:pStyle w:val="3-BodyText"/>
              <w:numPr>
                <w:ilvl w:val="0"/>
                <w:numId w:val="0"/>
              </w:numPr>
              <w:spacing w:after="0"/>
              <w:jc w:val="left"/>
              <w:rPr>
                <w:rFonts w:ascii="Arial Narrow" w:hAnsi="Arial Narrow"/>
                <w:sz w:val="20"/>
                <w:szCs w:val="20"/>
              </w:rPr>
            </w:pPr>
            <w:r w:rsidRPr="005B6D7B">
              <w:rPr>
                <w:rFonts w:ascii="Arial Narrow" w:hAnsi="Arial Narrow"/>
                <w:sz w:val="20"/>
                <w:szCs w:val="20"/>
              </w:rPr>
              <w:t>UNCOVER-3</w:t>
            </w:r>
          </w:p>
          <w:p w14:paraId="538F0D05" w14:textId="476554C0" w:rsidR="007A4A2F" w:rsidRPr="005B6D7B" w:rsidRDefault="007A4A2F" w:rsidP="00926FFB">
            <w:pPr>
              <w:pStyle w:val="3-BodyText"/>
              <w:numPr>
                <w:ilvl w:val="0"/>
                <w:numId w:val="0"/>
              </w:numPr>
              <w:spacing w:after="0"/>
              <w:jc w:val="left"/>
              <w:rPr>
                <w:rFonts w:ascii="Arial Narrow" w:hAnsi="Arial Narrow"/>
                <w:sz w:val="20"/>
                <w:szCs w:val="20"/>
              </w:rPr>
            </w:pPr>
            <w:r w:rsidRPr="005B6D7B">
              <w:rPr>
                <w:rFonts w:ascii="Arial Narrow" w:hAnsi="Arial Narrow"/>
                <w:sz w:val="20"/>
                <w:szCs w:val="20"/>
              </w:rPr>
              <w:t>NCT01646177</w:t>
            </w:r>
          </w:p>
        </w:tc>
        <w:tc>
          <w:tcPr>
            <w:tcW w:w="5670" w:type="dxa"/>
            <w:shd w:val="clear" w:color="auto" w:fill="auto"/>
            <w:vAlign w:val="center"/>
          </w:tcPr>
          <w:p w14:paraId="31F3689C" w14:textId="72F4630E" w:rsidR="007A4A2F" w:rsidRPr="005B6D7B" w:rsidRDefault="007A4A2F" w:rsidP="007A4A2F">
            <w:pPr>
              <w:pStyle w:val="3-BodyText"/>
              <w:numPr>
                <w:ilvl w:val="0"/>
                <w:numId w:val="0"/>
              </w:numPr>
              <w:spacing w:after="0"/>
              <w:rPr>
                <w:rFonts w:ascii="Arial Narrow" w:hAnsi="Arial Narrow"/>
                <w:sz w:val="20"/>
                <w:szCs w:val="20"/>
              </w:rPr>
            </w:pPr>
            <w:r w:rsidRPr="005B6D7B">
              <w:rPr>
                <w:rFonts w:ascii="Arial Narrow" w:hAnsi="Arial Narrow"/>
                <w:sz w:val="20"/>
                <w:szCs w:val="20"/>
              </w:rPr>
              <w:t xml:space="preserve">Griffiths CE, Reich K, Lebwohl M, et al. Comparison of ixekizumab with etanercept or placebo in moderate-to-severe psoriasis (UNCOVER-2 and UNCOVER-3): results from two phase 3 randomised trials. </w:t>
            </w:r>
          </w:p>
        </w:tc>
        <w:tc>
          <w:tcPr>
            <w:tcW w:w="1934" w:type="dxa"/>
            <w:shd w:val="clear" w:color="auto" w:fill="auto"/>
            <w:vAlign w:val="center"/>
          </w:tcPr>
          <w:p w14:paraId="620102CF" w14:textId="2488F2C5" w:rsidR="007A4A2F" w:rsidRPr="005B6D7B" w:rsidRDefault="007A4A2F" w:rsidP="00141176">
            <w:pPr>
              <w:pStyle w:val="3-BodyText"/>
              <w:numPr>
                <w:ilvl w:val="0"/>
                <w:numId w:val="0"/>
              </w:numPr>
              <w:spacing w:after="0"/>
              <w:jc w:val="left"/>
              <w:rPr>
                <w:rFonts w:ascii="Arial Narrow" w:hAnsi="Arial Narrow"/>
                <w:sz w:val="20"/>
                <w:szCs w:val="20"/>
              </w:rPr>
            </w:pPr>
            <w:r w:rsidRPr="005B6D7B">
              <w:rPr>
                <w:rFonts w:ascii="Arial Narrow" w:hAnsi="Arial Narrow"/>
                <w:sz w:val="20"/>
                <w:szCs w:val="20"/>
              </w:rPr>
              <w:t>Lancet 2015;386(9993):541-51</w:t>
            </w:r>
          </w:p>
        </w:tc>
      </w:tr>
      <w:tr w:rsidR="007A4A2F" w:rsidRPr="005B6D7B" w14:paraId="1BBD174D" w14:textId="77777777" w:rsidTr="006E51DD">
        <w:tc>
          <w:tcPr>
            <w:tcW w:w="1413" w:type="dxa"/>
            <w:shd w:val="clear" w:color="auto" w:fill="auto"/>
          </w:tcPr>
          <w:p w14:paraId="15711F2C" w14:textId="77777777" w:rsidR="007A4A2F" w:rsidRPr="005B6D7B" w:rsidRDefault="007A4A2F" w:rsidP="00926FFB">
            <w:pPr>
              <w:pStyle w:val="3-BodyText"/>
              <w:numPr>
                <w:ilvl w:val="0"/>
                <w:numId w:val="0"/>
              </w:numPr>
              <w:spacing w:after="0"/>
              <w:jc w:val="left"/>
              <w:rPr>
                <w:rFonts w:ascii="Arial Narrow" w:hAnsi="Arial Narrow"/>
                <w:sz w:val="20"/>
                <w:szCs w:val="20"/>
              </w:rPr>
            </w:pPr>
            <w:r w:rsidRPr="005B6D7B">
              <w:rPr>
                <w:rFonts w:ascii="Arial Narrow" w:hAnsi="Arial Narrow"/>
                <w:sz w:val="20"/>
                <w:szCs w:val="20"/>
              </w:rPr>
              <w:t>IXORA-S</w:t>
            </w:r>
          </w:p>
          <w:p w14:paraId="6EAB3D06" w14:textId="2FC59129" w:rsidR="007A4A2F" w:rsidRPr="005B6D7B" w:rsidRDefault="007A4A2F" w:rsidP="00926FFB">
            <w:pPr>
              <w:pStyle w:val="3-BodyText"/>
              <w:numPr>
                <w:ilvl w:val="0"/>
                <w:numId w:val="0"/>
              </w:numPr>
              <w:spacing w:after="0"/>
              <w:jc w:val="left"/>
              <w:rPr>
                <w:rFonts w:ascii="Arial Narrow" w:hAnsi="Arial Narrow"/>
                <w:sz w:val="20"/>
                <w:szCs w:val="20"/>
              </w:rPr>
            </w:pPr>
            <w:r w:rsidRPr="005B6D7B">
              <w:rPr>
                <w:rFonts w:ascii="Arial Narrow" w:hAnsi="Arial Narrow"/>
                <w:sz w:val="20"/>
                <w:szCs w:val="20"/>
              </w:rPr>
              <w:t>NCT02561806</w:t>
            </w:r>
          </w:p>
        </w:tc>
        <w:tc>
          <w:tcPr>
            <w:tcW w:w="5670" w:type="dxa"/>
            <w:shd w:val="clear" w:color="auto" w:fill="auto"/>
            <w:vAlign w:val="center"/>
          </w:tcPr>
          <w:p w14:paraId="3A50F0D0" w14:textId="34D62B96" w:rsidR="007A4A2F" w:rsidRPr="005B6D7B" w:rsidRDefault="007A4A2F" w:rsidP="007A4A2F">
            <w:pPr>
              <w:pStyle w:val="3-BodyText"/>
              <w:numPr>
                <w:ilvl w:val="0"/>
                <w:numId w:val="0"/>
              </w:numPr>
              <w:spacing w:after="0"/>
              <w:rPr>
                <w:rFonts w:ascii="Arial Narrow" w:hAnsi="Arial Narrow"/>
                <w:sz w:val="20"/>
                <w:szCs w:val="20"/>
              </w:rPr>
            </w:pPr>
            <w:r w:rsidRPr="005B6D7B">
              <w:rPr>
                <w:rFonts w:ascii="Arial Narrow" w:hAnsi="Arial Narrow"/>
                <w:sz w:val="20"/>
                <w:szCs w:val="20"/>
              </w:rPr>
              <w:t xml:space="preserve">Reich K, Pinter A, Lacour JP, et al. Comparison of ixekizumab with ustekinumab in moderate-to-severe psoriasis: 24-week results from IXORA-S, a phase III study. </w:t>
            </w:r>
          </w:p>
        </w:tc>
        <w:tc>
          <w:tcPr>
            <w:tcW w:w="1934" w:type="dxa"/>
            <w:shd w:val="clear" w:color="auto" w:fill="auto"/>
            <w:vAlign w:val="center"/>
          </w:tcPr>
          <w:p w14:paraId="4E33291D" w14:textId="1752DFED" w:rsidR="007A4A2F" w:rsidRPr="005B6D7B" w:rsidRDefault="007A4A2F" w:rsidP="00141176">
            <w:pPr>
              <w:pStyle w:val="3-BodyText"/>
              <w:numPr>
                <w:ilvl w:val="0"/>
                <w:numId w:val="0"/>
              </w:numPr>
              <w:spacing w:after="0"/>
              <w:jc w:val="left"/>
              <w:rPr>
                <w:rFonts w:ascii="Arial Narrow" w:hAnsi="Arial Narrow"/>
                <w:sz w:val="20"/>
                <w:szCs w:val="20"/>
              </w:rPr>
            </w:pPr>
            <w:r w:rsidRPr="005B6D7B">
              <w:rPr>
                <w:rFonts w:ascii="Arial Narrow" w:hAnsi="Arial Narrow"/>
                <w:sz w:val="20"/>
                <w:szCs w:val="20"/>
              </w:rPr>
              <w:t>Br J Dermatol 2017;177(4):1014-1023</w:t>
            </w:r>
          </w:p>
        </w:tc>
      </w:tr>
      <w:tr w:rsidR="007A4A2F" w:rsidRPr="005B6D7B" w14:paraId="74542D1A" w14:textId="77777777" w:rsidTr="006E51DD">
        <w:tc>
          <w:tcPr>
            <w:tcW w:w="9017" w:type="dxa"/>
            <w:gridSpan w:val="3"/>
            <w:shd w:val="clear" w:color="auto" w:fill="auto"/>
          </w:tcPr>
          <w:p w14:paraId="270B3746" w14:textId="025EB249" w:rsidR="007A4A2F" w:rsidRPr="005B6D7B" w:rsidRDefault="007A4A2F" w:rsidP="00141176">
            <w:pPr>
              <w:pStyle w:val="3-BodyText"/>
              <w:numPr>
                <w:ilvl w:val="0"/>
                <w:numId w:val="0"/>
              </w:numPr>
              <w:spacing w:after="0"/>
              <w:jc w:val="left"/>
              <w:rPr>
                <w:rFonts w:ascii="Arial Narrow" w:hAnsi="Arial Narrow"/>
                <w:bCs/>
                <w:sz w:val="20"/>
                <w:szCs w:val="20"/>
              </w:rPr>
            </w:pPr>
            <w:r w:rsidRPr="005B6D7B">
              <w:rPr>
                <w:rFonts w:ascii="Arial Narrow" w:hAnsi="Arial Narrow"/>
                <w:b/>
                <w:bCs/>
                <w:sz w:val="20"/>
                <w:szCs w:val="20"/>
              </w:rPr>
              <w:lastRenderedPageBreak/>
              <w:t>Tildrakizumab trials</w:t>
            </w:r>
          </w:p>
        </w:tc>
      </w:tr>
      <w:tr w:rsidR="007A4A2F" w:rsidRPr="005B6D7B" w14:paraId="567C63EA" w14:textId="77777777" w:rsidTr="006E51DD">
        <w:tc>
          <w:tcPr>
            <w:tcW w:w="1413" w:type="dxa"/>
            <w:shd w:val="clear" w:color="auto" w:fill="auto"/>
          </w:tcPr>
          <w:p w14:paraId="5479C8AE" w14:textId="77777777" w:rsidR="007A4A2F" w:rsidRPr="005B6D7B" w:rsidRDefault="007A4A2F" w:rsidP="00926FFB">
            <w:pPr>
              <w:pStyle w:val="3-BodyText"/>
              <w:numPr>
                <w:ilvl w:val="0"/>
                <w:numId w:val="0"/>
              </w:numPr>
              <w:spacing w:after="0"/>
              <w:jc w:val="left"/>
              <w:rPr>
                <w:rFonts w:ascii="Arial Narrow" w:hAnsi="Arial Narrow"/>
                <w:sz w:val="20"/>
                <w:szCs w:val="20"/>
              </w:rPr>
            </w:pPr>
            <w:r w:rsidRPr="005B6D7B">
              <w:rPr>
                <w:rFonts w:ascii="Arial Narrow" w:hAnsi="Arial Narrow"/>
                <w:sz w:val="20"/>
                <w:szCs w:val="20"/>
              </w:rPr>
              <w:t>PAPP</w:t>
            </w:r>
          </w:p>
          <w:p w14:paraId="41E12D5B" w14:textId="5F149ABE" w:rsidR="007A4A2F" w:rsidRPr="005B6D7B" w:rsidRDefault="007A4A2F" w:rsidP="00926FFB">
            <w:pPr>
              <w:pStyle w:val="3-BodyText"/>
              <w:numPr>
                <w:ilvl w:val="0"/>
                <w:numId w:val="0"/>
              </w:numPr>
              <w:spacing w:after="0"/>
              <w:jc w:val="left"/>
              <w:rPr>
                <w:rFonts w:ascii="Arial Narrow" w:hAnsi="Arial Narrow"/>
                <w:sz w:val="20"/>
                <w:szCs w:val="20"/>
              </w:rPr>
            </w:pPr>
            <w:r w:rsidRPr="005B6D7B">
              <w:rPr>
                <w:rFonts w:ascii="Arial Narrow" w:hAnsi="Arial Narrow"/>
                <w:sz w:val="20"/>
                <w:szCs w:val="20"/>
              </w:rPr>
              <w:t>NCT01225731</w:t>
            </w:r>
          </w:p>
        </w:tc>
        <w:tc>
          <w:tcPr>
            <w:tcW w:w="5670" w:type="dxa"/>
            <w:shd w:val="clear" w:color="auto" w:fill="auto"/>
            <w:vAlign w:val="center"/>
          </w:tcPr>
          <w:p w14:paraId="7695CB68" w14:textId="67DB467D" w:rsidR="007A4A2F" w:rsidRPr="005B6D7B" w:rsidRDefault="007A4A2F" w:rsidP="007A4A2F">
            <w:pPr>
              <w:pStyle w:val="3-BodyText"/>
              <w:numPr>
                <w:ilvl w:val="0"/>
                <w:numId w:val="0"/>
              </w:numPr>
              <w:spacing w:after="0"/>
              <w:rPr>
                <w:rFonts w:ascii="Arial Narrow" w:hAnsi="Arial Narrow"/>
                <w:sz w:val="20"/>
                <w:szCs w:val="20"/>
              </w:rPr>
            </w:pPr>
            <w:r w:rsidRPr="005B6D7B">
              <w:rPr>
                <w:rFonts w:ascii="Arial Narrow" w:hAnsi="Arial Narrow"/>
                <w:sz w:val="20"/>
                <w:szCs w:val="20"/>
              </w:rPr>
              <w:t xml:space="preserve">Papp K, Thaçi D, Reich K, et al. Tildrakizumab (MK-3222), an anti-interleukin-23p19 monoclonal antibody, improves psoriasis in a phase IIb randomized placebo-controlled trial. </w:t>
            </w:r>
          </w:p>
        </w:tc>
        <w:tc>
          <w:tcPr>
            <w:tcW w:w="1934" w:type="dxa"/>
            <w:shd w:val="clear" w:color="auto" w:fill="auto"/>
            <w:vAlign w:val="center"/>
          </w:tcPr>
          <w:p w14:paraId="6BA93C54" w14:textId="622C244A" w:rsidR="007A4A2F" w:rsidRPr="005B6D7B" w:rsidRDefault="007A4A2F" w:rsidP="00141176">
            <w:pPr>
              <w:pStyle w:val="3-BodyText"/>
              <w:numPr>
                <w:ilvl w:val="0"/>
                <w:numId w:val="0"/>
              </w:numPr>
              <w:spacing w:after="0"/>
              <w:jc w:val="left"/>
              <w:rPr>
                <w:rFonts w:ascii="Arial Narrow" w:hAnsi="Arial Narrow"/>
                <w:sz w:val="20"/>
                <w:szCs w:val="20"/>
              </w:rPr>
            </w:pPr>
            <w:r w:rsidRPr="005B6D7B">
              <w:rPr>
                <w:rFonts w:ascii="Arial Narrow" w:hAnsi="Arial Narrow"/>
                <w:sz w:val="20"/>
                <w:szCs w:val="20"/>
              </w:rPr>
              <w:t>Br J Dermatol 2015;173(4):930-9</w:t>
            </w:r>
          </w:p>
        </w:tc>
      </w:tr>
      <w:tr w:rsidR="007A4A2F" w:rsidRPr="005B6D7B" w14:paraId="60642E8A" w14:textId="77777777" w:rsidTr="006E51DD">
        <w:tc>
          <w:tcPr>
            <w:tcW w:w="1413" w:type="dxa"/>
            <w:shd w:val="clear" w:color="auto" w:fill="auto"/>
          </w:tcPr>
          <w:p w14:paraId="34815B91" w14:textId="77777777" w:rsidR="007A4A2F" w:rsidRPr="005B6D7B" w:rsidRDefault="007A4A2F" w:rsidP="00926FFB">
            <w:pPr>
              <w:pStyle w:val="3-BodyText"/>
              <w:numPr>
                <w:ilvl w:val="0"/>
                <w:numId w:val="0"/>
              </w:numPr>
              <w:spacing w:after="0"/>
              <w:jc w:val="left"/>
              <w:rPr>
                <w:rFonts w:ascii="Arial Narrow" w:hAnsi="Arial Narrow"/>
                <w:sz w:val="20"/>
                <w:szCs w:val="20"/>
              </w:rPr>
            </w:pPr>
            <w:r w:rsidRPr="005B6D7B">
              <w:rPr>
                <w:rFonts w:ascii="Arial Narrow" w:hAnsi="Arial Narrow"/>
                <w:sz w:val="20"/>
                <w:szCs w:val="20"/>
              </w:rPr>
              <w:t>reSURFACE-1</w:t>
            </w:r>
          </w:p>
          <w:p w14:paraId="36651C44" w14:textId="69D8CF13" w:rsidR="007A4A2F" w:rsidRPr="005B6D7B" w:rsidRDefault="007A4A2F" w:rsidP="00926FFB">
            <w:pPr>
              <w:pStyle w:val="3-BodyText"/>
              <w:numPr>
                <w:ilvl w:val="0"/>
                <w:numId w:val="0"/>
              </w:numPr>
              <w:spacing w:after="0"/>
              <w:jc w:val="left"/>
              <w:rPr>
                <w:rFonts w:ascii="Arial Narrow" w:hAnsi="Arial Narrow"/>
                <w:sz w:val="20"/>
                <w:szCs w:val="20"/>
              </w:rPr>
            </w:pPr>
            <w:r w:rsidRPr="005B6D7B">
              <w:rPr>
                <w:rFonts w:ascii="Arial Narrow" w:hAnsi="Arial Narrow"/>
                <w:sz w:val="20"/>
                <w:szCs w:val="20"/>
              </w:rPr>
              <w:t>NCT01722331 /</w:t>
            </w:r>
          </w:p>
          <w:p w14:paraId="5FFA295A" w14:textId="77777777" w:rsidR="007A4A2F" w:rsidRPr="005B6D7B" w:rsidRDefault="007A4A2F" w:rsidP="00926FFB">
            <w:pPr>
              <w:pStyle w:val="3-BodyText"/>
              <w:numPr>
                <w:ilvl w:val="0"/>
                <w:numId w:val="0"/>
              </w:numPr>
              <w:spacing w:after="0"/>
              <w:jc w:val="left"/>
              <w:rPr>
                <w:rFonts w:ascii="Arial Narrow" w:hAnsi="Arial Narrow"/>
                <w:sz w:val="20"/>
                <w:szCs w:val="20"/>
              </w:rPr>
            </w:pPr>
            <w:r w:rsidRPr="005B6D7B">
              <w:rPr>
                <w:rFonts w:ascii="Arial Narrow" w:hAnsi="Arial Narrow"/>
                <w:sz w:val="20"/>
                <w:szCs w:val="20"/>
              </w:rPr>
              <w:t>reSURFACE-2</w:t>
            </w:r>
          </w:p>
          <w:p w14:paraId="7EC6D44A" w14:textId="1B115AEF" w:rsidR="007A4A2F" w:rsidRPr="005B6D7B" w:rsidRDefault="007A4A2F" w:rsidP="00926FFB">
            <w:pPr>
              <w:pStyle w:val="3-BodyText"/>
              <w:numPr>
                <w:ilvl w:val="0"/>
                <w:numId w:val="0"/>
              </w:numPr>
              <w:spacing w:after="0"/>
              <w:jc w:val="left"/>
              <w:rPr>
                <w:rFonts w:ascii="Arial Narrow" w:hAnsi="Arial Narrow"/>
                <w:sz w:val="20"/>
                <w:szCs w:val="20"/>
              </w:rPr>
            </w:pPr>
            <w:r w:rsidRPr="005B6D7B">
              <w:rPr>
                <w:rFonts w:ascii="Arial Narrow" w:hAnsi="Arial Narrow"/>
                <w:sz w:val="20"/>
                <w:szCs w:val="20"/>
              </w:rPr>
              <w:t>NCT01729754</w:t>
            </w:r>
          </w:p>
        </w:tc>
        <w:tc>
          <w:tcPr>
            <w:tcW w:w="5670" w:type="dxa"/>
            <w:shd w:val="clear" w:color="auto" w:fill="auto"/>
            <w:vAlign w:val="center"/>
          </w:tcPr>
          <w:p w14:paraId="2CCB225B" w14:textId="527926E3" w:rsidR="007A4A2F" w:rsidRPr="005B6D7B" w:rsidRDefault="007A4A2F" w:rsidP="007A4A2F">
            <w:pPr>
              <w:pStyle w:val="3-BodyText"/>
              <w:numPr>
                <w:ilvl w:val="0"/>
                <w:numId w:val="0"/>
              </w:numPr>
              <w:spacing w:after="0"/>
              <w:rPr>
                <w:rFonts w:ascii="Arial Narrow" w:hAnsi="Arial Narrow"/>
                <w:sz w:val="20"/>
                <w:szCs w:val="20"/>
              </w:rPr>
            </w:pPr>
            <w:r w:rsidRPr="005B6D7B">
              <w:rPr>
                <w:rFonts w:ascii="Arial Narrow" w:hAnsi="Arial Narrow"/>
                <w:sz w:val="20"/>
                <w:szCs w:val="20"/>
              </w:rPr>
              <w:t xml:space="preserve">Reich K, Papp KA, Blauvelt A, et al. Tildrakizumab versus placebo or etanercept for chronic plaque psoriasis (reSURFACE 1 and reSURFACE 2): results from two randomised controlled, phase 3 trials. </w:t>
            </w:r>
          </w:p>
        </w:tc>
        <w:tc>
          <w:tcPr>
            <w:tcW w:w="1934" w:type="dxa"/>
            <w:shd w:val="clear" w:color="auto" w:fill="auto"/>
            <w:vAlign w:val="center"/>
          </w:tcPr>
          <w:p w14:paraId="07F1C020" w14:textId="0CD5C3E9" w:rsidR="007A4A2F" w:rsidRPr="005B6D7B" w:rsidRDefault="007A4A2F" w:rsidP="00141176">
            <w:pPr>
              <w:pStyle w:val="3-BodyText"/>
              <w:numPr>
                <w:ilvl w:val="0"/>
                <w:numId w:val="0"/>
              </w:numPr>
              <w:spacing w:after="0"/>
              <w:jc w:val="left"/>
              <w:rPr>
                <w:rFonts w:ascii="Arial Narrow" w:hAnsi="Arial Narrow"/>
                <w:sz w:val="20"/>
                <w:szCs w:val="20"/>
              </w:rPr>
            </w:pPr>
            <w:r w:rsidRPr="005B6D7B">
              <w:rPr>
                <w:rFonts w:ascii="Arial Narrow" w:hAnsi="Arial Narrow"/>
                <w:sz w:val="20"/>
                <w:szCs w:val="20"/>
              </w:rPr>
              <w:t>Lancet 2017;390(10091):276-288</w:t>
            </w:r>
          </w:p>
        </w:tc>
      </w:tr>
    </w:tbl>
    <w:p w14:paraId="63E56C55" w14:textId="04872635" w:rsidR="00A30E53" w:rsidRPr="005B6D7B" w:rsidRDefault="00A30E53" w:rsidP="00A30E53">
      <w:pPr>
        <w:pStyle w:val="TableFigureFooter"/>
      </w:pPr>
      <w:r w:rsidRPr="005B6D7B">
        <w:t>Source: Table2-3 and Table 2-4, p 35-52</w:t>
      </w:r>
    </w:p>
    <w:p w14:paraId="7379DA95" w14:textId="77BAB13C" w:rsidR="00A30E53" w:rsidRPr="005B6D7B" w:rsidRDefault="00A30E53" w:rsidP="00A30E53">
      <w:pPr>
        <w:pStyle w:val="TableFigureFooter"/>
        <w:rPr>
          <w:sz w:val="20"/>
        </w:rPr>
      </w:pPr>
      <w:r w:rsidRPr="005B6D7B">
        <w:t>CSR</w:t>
      </w:r>
      <w:r w:rsidR="00DF018C" w:rsidRPr="005B6D7B">
        <w:t>=</w:t>
      </w:r>
      <w:r w:rsidRPr="005B6D7B">
        <w:t>clinical study report; RCT</w:t>
      </w:r>
      <w:r w:rsidR="00DF018C" w:rsidRPr="005B6D7B">
        <w:t>=</w:t>
      </w:r>
      <w:r w:rsidRPr="005B6D7B">
        <w:t xml:space="preserve">randomised control trial </w:t>
      </w:r>
    </w:p>
    <w:p w14:paraId="1DD06D7D" w14:textId="41DA0FFA" w:rsidR="007F1017" w:rsidRPr="009A24F9" w:rsidRDefault="008F120A" w:rsidP="00F21B0F">
      <w:pPr>
        <w:pStyle w:val="3-BodyText"/>
        <w:tabs>
          <w:tab w:val="left" w:pos="7655"/>
        </w:tabs>
      </w:pPr>
      <w:r w:rsidRPr="009A24F9">
        <w:t>The key features of the direct randomised trial</w:t>
      </w:r>
      <w:r w:rsidR="007E7AC8" w:rsidRPr="009A24F9">
        <w:t>s</w:t>
      </w:r>
      <w:r w:rsidRPr="009A24F9">
        <w:t xml:space="preserve"> are summarised in</w:t>
      </w:r>
      <w:r w:rsidR="00D6076E" w:rsidRPr="009A24F9">
        <w:t xml:space="preserve"> </w:t>
      </w:r>
      <w:r w:rsidR="00D6076E" w:rsidRPr="009A24F9">
        <w:fldChar w:fldCharType="begin" w:fldLock="1"/>
      </w:r>
      <w:r w:rsidR="00D6076E" w:rsidRPr="009A24F9">
        <w:instrText xml:space="preserve"> REF _Ref104804098 \h  \* MERGEFORMAT </w:instrText>
      </w:r>
      <w:r w:rsidR="00D6076E" w:rsidRPr="009A24F9">
        <w:fldChar w:fldCharType="separate"/>
      </w:r>
      <w:r w:rsidR="00D02FE8" w:rsidRPr="009A24F9">
        <w:t>Table 3</w:t>
      </w:r>
      <w:r w:rsidR="00D6076E" w:rsidRPr="009A24F9">
        <w:fldChar w:fldCharType="end"/>
      </w:r>
      <w:r w:rsidRPr="009A24F9">
        <w:t>.</w:t>
      </w:r>
      <w:r w:rsidR="009C5249" w:rsidRPr="009A24F9">
        <w:t xml:space="preserve"> The table does not present irrelevant treatment arms </w:t>
      </w:r>
      <w:r w:rsidR="00304ED2">
        <w:t xml:space="preserve">which were </w:t>
      </w:r>
      <w:r w:rsidR="009C5249" w:rsidRPr="009A24F9">
        <w:t>excluded from the ITC</w:t>
      </w:r>
      <w:r w:rsidR="00E211C5" w:rsidRPr="009A24F9">
        <w:t>.</w:t>
      </w:r>
      <w:r w:rsidR="009C5249" w:rsidRPr="009A24F9">
        <w:t xml:space="preserve"> </w:t>
      </w:r>
      <w:r w:rsidR="00933073" w:rsidRPr="009A24F9">
        <w:t>Treatment arms excluded from the ITC were for non-registered doses</w:t>
      </w:r>
      <w:r w:rsidR="00461C39" w:rsidRPr="009A24F9">
        <w:t xml:space="preserve">/regimens </w:t>
      </w:r>
      <w:r w:rsidR="00933073" w:rsidRPr="009A24F9">
        <w:t>(e.g. four different doses of bimekizumab in BE ABLE 1, three different doses of tildrakizumab in Papp 2015</w:t>
      </w:r>
      <w:r w:rsidR="00461C39" w:rsidRPr="009A24F9">
        <w:t xml:space="preserve">, </w:t>
      </w:r>
      <w:r w:rsidR="00933073" w:rsidRPr="009A24F9">
        <w:t>25</w:t>
      </w:r>
      <w:r w:rsidR="00705C96">
        <w:t> </w:t>
      </w:r>
      <w:r w:rsidR="00933073" w:rsidRPr="009A24F9">
        <w:t>mg once-weekly etanercept in Leonardi 2003, ixekizumab every 4 weeks in the UNCOVER trials), or a comparator that was</w:t>
      </w:r>
      <w:r w:rsidR="00194972">
        <w:t xml:space="preserve"> </w:t>
      </w:r>
      <w:r w:rsidR="00933073" w:rsidRPr="009A24F9">
        <w:t>n</w:t>
      </w:r>
      <w:r w:rsidR="00194972">
        <w:t>o</w:t>
      </w:r>
      <w:r w:rsidR="00933073" w:rsidRPr="009A24F9">
        <w:t xml:space="preserve">t used </w:t>
      </w:r>
      <w:r w:rsidR="00675D8C">
        <w:t xml:space="preserve">in the ITC </w:t>
      </w:r>
      <w:r w:rsidR="00933073" w:rsidRPr="009A24F9">
        <w:t>(e.g. adalimumab in the VOYAGE trials, ustekinumab in the UltlMMa trials).</w:t>
      </w:r>
    </w:p>
    <w:p w14:paraId="355E2F15" w14:textId="33960CC0" w:rsidR="007F1017" w:rsidRPr="005B6D7B" w:rsidRDefault="00696EF9" w:rsidP="00D6076E">
      <w:pPr>
        <w:pStyle w:val="Caption"/>
        <w:rPr>
          <w:rStyle w:val="CommentReference"/>
          <w:rFonts w:eastAsiaTheme="majorEastAsia" w:cstheme="majorBidi"/>
          <w:b/>
          <w:szCs w:val="24"/>
        </w:rPr>
      </w:pPr>
      <w:bookmarkStart w:id="30" w:name="_Ref104804098"/>
      <w:r w:rsidRPr="005B6D7B">
        <w:rPr>
          <w:rStyle w:val="CommentReference"/>
          <w:rFonts w:eastAsiaTheme="majorEastAsia" w:cstheme="majorBidi"/>
          <w:b/>
          <w:szCs w:val="24"/>
        </w:rPr>
        <w:t xml:space="preserve">Table </w:t>
      </w:r>
      <w:r w:rsidRPr="005B6D7B">
        <w:rPr>
          <w:rStyle w:val="CommentReference"/>
          <w:rFonts w:eastAsiaTheme="majorEastAsia" w:cstheme="majorBidi"/>
          <w:b/>
          <w:szCs w:val="24"/>
        </w:rPr>
        <w:fldChar w:fldCharType="begin" w:fldLock="1"/>
      </w:r>
      <w:r w:rsidRPr="005B6D7B">
        <w:rPr>
          <w:rStyle w:val="CommentReference"/>
          <w:rFonts w:eastAsiaTheme="majorEastAsia" w:cstheme="majorBidi"/>
          <w:b/>
          <w:szCs w:val="24"/>
        </w:rPr>
        <w:instrText xml:space="preserve"> SEQ Table \* ARABIC </w:instrText>
      </w:r>
      <w:r w:rsidRPr="005B6D7B">
        <w:rPr>
          <w:rStyle w:val="CommentReference"/>
          <w:rFonts w:eastAsiaTheme="majorEastAsia" w:cstheme="majorBidi"/>
          <w:b/>
          <w:szCs w:val="24"/>
        </w:rPr>
        <w:fldChar w:fldCharType="separate"/>
      </w:r>
      <w:r w:rsidR="00435AF2">
        <w:rPr>
          <w:rStyle w:val="CommentReference"/>
          <w:rFonts w:eastAsiaTheme="majorEastAsia" w:cstheme="majorBidi"/>
          <w:b/>
          <w:noProof/>
          <w:szCs w:val="24"/>
        </w:rPr>
        <w:t>3</w:t>
      </w:r>
      <w:r w:rsidRPr="005B6D7B">
        <w:rPr>
          <w:rStyle w:val="CommentReference"/>
          <w:rFonts w:eastAsiaTheme="majorEastAsia" w:cstheme="majorBidi"/>
          <w:b/>
          <w:szCs w:val="24"/>
        </w:rPr>
        <w:fldChar w:fldCharType="end"/>
      </w:r>
      <w:bookmarkEnd w:id="30"/>
      <w:r w:rsidR="00D6076E" w:rsidRPr="005B6D7B">
        <w:rPr>
          <w:rStyle w:val="CommentReference"/>
          <w:rFonts w:eastAsiaTheme="majorEastAsia" w:cstheme="majorBidi"/>
          <w:b/>
          <w:szCs w:val="24"/>
        </w:rPr>
        <w:t xml:space="preserve">: </w:t>
      </w:r>
      <w:r w:rsidR="007F1017" w:rsidRPr="005B6D7B">
        <w:rPr>
          <w:rStyle w:val="CommentReference"/>
          <w:rFonts w:eastAsiaTheme="majorEastAsia" w:cstheme="majorBidi"/>
          <w:b/>
          <w:szCs w:val="24"/>
        </w:rPr>
        <w:t>Key features of the included evidence</w:t>
      </w:r>
    </w:p>
    <w:tbl>
      <w:tblPr>
        <w:tblW w:w="5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3: Key features of the included evidence"/>
      </w:tblPr>
      <w:tblGrid>
        <w:gridCol w:w="2264"/>
        <w:gridCol w:w="1156"/>
        <w:gridCol w:w="1962"/>
        <w:gridCol w:w="726"/>
        <w:gridCol w:w="1257"/>
        <w:gridCol w:w="1989"/>
      </w:tblGrid>
      <w:tr w:rsidR="00854C7E" w:rsidRPr="005B6D7B" w14:paraId="3B7C62CE" w14:textId="77777777" w:rsidTr="00854C7E">
        <w:trPr>
          <w:cantSplit/>
          <w:trHeight w:val="20"/>
          <w:tblHeader/>
        </w:trPr>
        <w:tc>
          <w:tcPr>
            <w:tcW w:w="1210" w:type="pct"/>
            <w:shd w:val="clear" w:color="auto" w:fill="auto"/>
            <w:vAlign w:val="center"/>
          </w:tcPr>
          <w:p w14:paraId="2755A758" w14:textId="77777777" w:rsidR="00D54C74" w:rsidRPr="005B6D7B" w:rsidRDefault="00D54C74" w:rsidP="00BE22DD">
            <w:pPr>
              <w:pStyle w:val="TableText0"/>
              <w:keepNext w:val="0"/>
              <w:rPr>
                <w:b/>
                <w:bCs w:val="0"/>
              </w:rPr>
            </w:pPr>
            <w:bookmarkStart w:id="31" w:name="_Hlk142902552"/>
            <w:r w:rsidRPr="005B6D7B">
              <w:rPr>
                <w:b/>
                <w:bCs w:val="0"/>
              </w:rPr>
              <w:t>Trial</w:t>
            </w:r>
          </w:p>
        </w:tc>
        <w:tc>
          <w:tcPr>
            <w:tcW w:w="618" w:type="pct"/>
            <w:shd w:val="clear" w:color="auto" w:fill="auto"/>
            <w:vAlign w:val="center"/>
          </w:tcPr>
          <w:p w14:paraId="1C01AB12" w14:textId="560FCF70" w:rsidR="00D54C74" w:rsidRPr="005B6D7B" w:rsidRDefault="00D54C74" w:rsidP="00854C7E">
            <w:pPr>
              <w:pStyle w:val="TableText0"/>
              <w:keepNext w:val="0"/>
              <w:ind w:left="-22"/>
              <w:jc w:val="center"/>
              <w:rPr>
                <w:b/>
                <w:bCs w:val="0"/>
              </w:rPr>
            </w:pPr>
            <w:r w:rsidRPr="005B6D7B">
              <w:rPr>
                <w:b/>
                <w:bCs w:val="0"/>
              </w:rPr>
              <w:t>N</w:t>
            </w:r>
            <w:r w:rsidR="00854C7E" w:rsidRPr="005B6D7B">
              <w:rPr>
                <w:b/>
                <w:bCs w:val="0"/>
              </w:rPr>
              <w:t xml:space="preserve"> </w:t>
            </w:r>
            <w:r w:rsidR="002033A6" w:rsidRPr="005B6D7B">
              <w:rPr>
                <w:b/>
                <w:bCs w:val="0"/>
              </w:rPr>
              <w:t>(</w:t>
            </w:r>
            <w:r w:rsidR="00854C7E" w:rsidRPr="005B6D7B">
              <w:rPr>
                <w:b/>
                <w:bCs w:val="0"/>
              </w:rPr>
              <w:t>N</w:t>
            </w:r>
            <w:r w:rsidR="00975D86" w:rsidRPr="005B6D7B">
              <w:rPr>
                <w:b/>
                <w:bCs w:val="0"/>
              </w:rPr>
              <w:t xml:space="preserve"> in </w:t>
            </w:r>
            <w:r w:rsidR="00854C7E" w:rsidRPr="005B6D7B">
              <w:rPr>
                <w:b/>
                <w:bCs w:val="0"/>
              </w:rPr>
              <w:t>ITC</w:t>
            </w:r>
            <w:r w:rsidR="002033A6" w:rsidRPr="005B6D7B">
              <w:rPr>
                <w:b/>
                <w:bCs w:val="0"/>
              </w:rPr>
              <w:t>)</w:t>
            </w:r>
          </w:p>
        </w:tc>
        <w:tc>
          <w:tcPr>
            <w:tcW w:w="1049" w:type="pct"/>
            <w:shd w:val="clear" w:color="auto" w:fill="auto"/>
            <w:vAlign w:val="center"/>
          </w:tcPr>
          <w:p w14:paraId="070C8BB0" w14:textId="678B9E7A" w:rsidR="00D54C74" w:rsidRPr="005B6D7B" w:rsidRDefault="00D54C74" w:rsidP="002B3C96">
            <w:pPr>
              <w:pStyle w:val="TableText0"/>
              <w:keepNext w:val="0"/>
              <w:jc w:val="center"/>
              <w:rPr>
                <w:b/>
                <w:bCs w:val="0"/>
              </w:rPr>
            </w:pPr>
            <w:r w:rsidRPr="005B6D7B">
              <w:rPr>
                <w:b/>
                <w:bCs w:val="0"/>
              </w:rPr>
              <w:t>Design</w:t>
            </w:r>
            <w:r w:rsidR="00854C7E" w:rsidRPr="005B6D7B">
              <w:rPr>
                <w:b/>
                <w:bCs w:val="0"/>
              </w:rPr>
              <w:t xml:space="preserve"> </w:t>
            </w:r>
            <w:r w:rsidRPr="005B6D7B">
              <w:rPr>
                <w:b/>
                <w:bCs w:val="0"/>
              </w:rPr>
              <w:t xml:space="preserve">/ </w:t>
            </w:r>
            <w:r w:rsidR="00854C7E" w:rsidRPr="005B6D7B">
              <w:rPr>
                <w:b/>
                <w:bCs w:val="0"/>
              </w:rPr>
              <w:t xml:space="preserve">follow-up </w:t>
            </w:r>
            <w:r w:rsidRPr="005B6D7B">
              <w:rPr>
                <w:b/>
                <w:bCs w:val="0"/>
              </w:rPr>
              <w:t>duration</w:t>
            </w:r>
          </w:p>
        </w:tc>
        <w:tc>
          <w:tcPr>
            <w:tcW w:w="388" w:type="pct"/>
            <w:shd w:val="clear" w:color="auto" w:fill="auto"/>
            <w:vAlign w:val="center"/>
          </w:tcPr>
          <w:p w14:paraId="0757909E" w14:textId="77777777" w:rsidR="00D54C74" w:rsidRPr="005B6D7B" w:rsidRDefault="00D54C74" w:rsidP="002B3C96">
            <w:pPr>
              <w:pStyle w:val="TableText0"/>
              <w:keepNext w:val="0"/>
              <w:ind w:left="-23"/>
              <w:jc w:val="center"/>
              <w:rPr>
                <w:b/>
                <w:bCs w:val="0"/>
              </w:rPr>
            </w:pPr>
            <w:r w:rsidRPr="005B6D7B">
              <w:rPr>
                <w:b/>
                <w:bCs w:val="0"/>
              </w:rPr>
              <w:t>Risk of bias</w:t>
            </w:r>
          </w:p>
        </w:tc>
        <w:tc>
          <w:tcPr>
            <w:tcW w:w="672" w:type="pct"/>
            <w:shd w:val="clear" w:color="auto" w:fill="auto"/>
            <w:vAlign w:val="center"/>
          </w:tcPr>
          <w:p w14:paraId="4553C149" w14:textId="77777777" w:rsidR="00D54C74" w:rsidRPr="005B6D7B" w:rsidRDefault="00D54C74" w:rsidP="002B3C96">
            <w:pPr>
              <w:pStyle w:val="TableText0"/>
              <w:keepNext w:val="0"/>
              <w:jc w:val="center"/>
              <w:rPr>
                <w:b/>
                <w:bCs w:val="0"/>
              </w:rPr>
            </w:pPr>
            <w:r w:rsidRPr="005B6D7B">
              <w:rPr>
                <w:b/>
                <w:bCs w:val="0"/>
              </w:rPr>
              <w:t>Patient population</w:t>
            </w:r>
          </w:p>
        </w:tc>
        <w:tc>
          <w:tcPr>
            <w:tcW w:w="1063" w:type="pct"/>
            <w:shd w:val="clear" w:color="auto" w:fill="auto"/>
            <w:vAlign w:val="center"/>
          </w:tcPr>
          <w:p w14:paraId="392AD6BA" w14:textId="1F9B2EDB" w:rsidR="00D54C74" w:rsidRPr="005B6D7B" w:rsidRDefault="00F25204" w:rsidP="002B3C96">
            <w:pPr>
              <w:pStyle w:val="TableText0"/>
              <w:keepNext w:val="0"/>
              <w:jc w:val="center"/>
              <w:rPr>
                <w:b/>
                <w:bCs w:val="0"/>
              </w:rPr>
            </w:pPr>
            <w:r w:rsidRPr="005B6D7B">
              <w:rPr>
                <w:b/>
                <w:bCs w:val="0"/>
              </w:rPr>
              <w:t>Ke</w:t>
            </w:r>
            <w:r w:rsidR="001D310F" w:rsidRPr="005B6D7B">
              <w:rPr>
                <w:b/>
                <w:bCs w:val="0"/>
              </w:rPr>
              <w:t xml:space="preserve">y </w:t>
            </w:r>
            <w:r w:rsidR="00D54C74" w:rsidRPr="005B6D7B">
              <w:rPr>
                <w:b/>
                <w:bCs w:val="0"/>
              </w:rPr>
              <w:t>Outcomes</w:t>
            </w:r>
          </w:p>
        </w:tc>
      </w:tr>
      <w:tr w:rsidR="00D54C74" w:rsidRPr="005B6D7B" w14:paraId="1D6A1363" w14:textId="77777777" w:rsidTr="00854C7E">
        <w:trPr>
          <w:cantSplit/>
          <w:trHeight w:val="20"/>
        </w:trPr>
        <w:tc>
          <w:tcPr>
            <w:tcW w:w="5000" w:type="pct"/>
            <w:gridSpan w:val="6"/>
            <w:shd w:val="clear" w:color="auto" w:fill="auto"/>
            <w:vAlign w:val="center"/>
          </w:tcPr>
          <w:p w14:paraId="2DE74C62" w14:textId="7584D948" w:rsidR="00D54C74" w:rsidRPr="005B6D7B" w:rsidRDefault="00110120" w:rsidP="00BE22DD">
            <w:pPr>
              <w:pStyle w:val="TableText0"/>
              <w:keepNext w:val="0"/>
              <w:rPr>
                <w:b/>
                <w:bCs w:val="0"/>
              </w:rPr>
            </w:pPr>
            <w:r w:rsidRPr="005B6D7B">
              <w:rPr>
                <w:b/>
                <w:bCs w:val="0"/>
              </w:rPr>
              <w:t>R</w:t>
            </w:r>
            <w:r w:rsidR="00D54C74" w:rsidRPr="005B6D7B">
              <w:rPr>
                <w:b/>
                <w:bCs w:val="0"/>
              </w:rPr>
              <w:t>isankizumab</w:t>
            </w:r>
            <w:r w:rsidRPr="005B6D7B">
              <w:rPr>
                <w:b/>
                <w:bCs w:val="0"/>
              </w:rPr>
              <w:t xml:space="preserve"> trials</w:t>
            </w:r>
            <w:r w:rsidR="00B84BE4" w:rsidRPr="005B6D7B">
              <w:rPr>
                <w:b/>
                <w:bCs w:val="0"/>
              </w:rPr>
              <w:t xml:space="preserve"> (comparator)</w:t>
            </w:r>
          </w:p>
        </w:tc>
      </w:tr>
      <w:tr w:rsidR="00854C7E" w:rsidRPr="005B6D7B" w14:paraId="28E01626" w14:textId="77777777" w:rsidTr="00461C39">
        <w:trPr>
          <w:cantSplit/>
          <w:trHeight w:val="20"/>
        </w:trPr>
        <w:tc>
          <w:tcPr>
            <w:tcW w:w="1210" w:type="pct"/>
            <w:shd w:val="clear" w:color="auto" w:fill="auto"/>
            <w:vAlign w:val="center"/>
          </w:tcPr>
          <w:p w14:paraId="1FD5AFF3" w14:textId="68B56498" w:rsidR="00E7168F" w:rsidRPr="005B6D7B" w:rsidRDefault="00E7168F" w:rsidP="00BE22DD">
            <w:pPr>
              <w:pStyle w:val="TableText0"/>
              <w:keepNext w:val="0"/>
            </w:pPr>
            <w:r w:rsidRPr="005B6D7B">
              <w:t>M15-999 (PBO)</w:t>
            </w:r>
          </w:p>
        </w:tc>
        <w:tc>
          <w:tcPr>
            <w:tcW w:w="618" w:type="pct"/>
            <w:shd w:val="clear" w:color="auto" w:fill="auto"/>
            <w:vAlign w:val="center"/>
          </w:tcPr>
          <w:p w14:paraId="63CBBDF0" w14:textId="1F1CC5FD" w:rsidR="00E7168F" w:rsidRPr="005B6D7B" w:rsidRDefault="00E7168F" w:rsidP="002B3C96">
            <w:pPr>
              <w:pStyle w:val="TableText0"/>
              <w:keepNext w:val="0"/>
              <w:ind w:left="-22"/>
              <w:jc w:val="center"/>
              <w:rPr>
                <w:highlight w:val="yellow"/>
              </w:rPr>
            </w:pPr>
            <w:r w:rsidRPr="005B6D7B">
              <w:t>157</w:t>
            </w:r>
            <w:r w:rsidR="00DA76AF" w:rsidRPr="005B6D7B">
              <w:t xml:space="preserve"> (157)</w:t>
            </w:r>
          </w:p>
        </w:tc>
        <w:tc>
          <w:tcPr>
            <w:tcW w:w="1049" w:type="pct"/>
            <w:shd w:val="clear" w:color="auto" w:fill="auto"/>
            <w:vAlign w:val="center"/>
          </w:tcPr>
          <w:p w14:paraId="07A89E2B" w14:textId="624E466D" w:rsidR="00E7168F" w:rsidRPr="00675D8C" w:rsidRDefault="00E7168F" w:rsidP="002B3C96">
            <w:pPr>
              <w:pStyle w:val="TableText0"/>
              <w:keepNext w:val="0"/>
              <w:jc w:val="center"/>
              <w:rPr>
                <w:highlight w:val="yellow"/>
              </w:rPr>
            </w:pPr>
            <w:r w:rsidRPr="00675D8C">
              <w:t xml:space="preserve">P3, R, DB, MC, </w:t>
            </w:r>
            <w:r w:rsidR="00D419E4" w:rsidRPr="009C5BA6">
              <w:t>48</w:t>
            </w:r>
            <w:r w:rsidRPr="00675D8C">
              <w:t xml:space="preserve"> wks</w:t>
            </w:r>
          </w:p>
        </w:tc>
        <w:tc>
          <w:tcPr>
            <w:tcW w:w="388" w:type="pct"/>
            <w:shd w:val="clear" w:color="auto" w:fill="auto"/>
            <w:vAlign w:val="center"/>
          </w:tcPr>
          <w:p w14:paraId="6AC89B0E" w14:textId="77777777" w:rsidR="00E7168F" w:rsidRPr="005B6D7B" w:rsidRDefault="00E7168F" w:rsidP="002B3C96">
            <w:pPr>
              <w:pStyle w:val="TableText0"/>
              <w:keepNext w:val="0"/>
              <w:ind w:left="-23"/>
              <w:jc w:val="center"/>
            </w:pPr>
            <w:r w:rsidRPr="005B6D7B">
              <w:t>Low</w:t>
            </w:r>
          </w:p>
        </w:tc>
        <w:tc>
          <w:tcPr>
            <w:tcW w:w="672" w:type="pct"/>
            <w:vMerge w:val="restart"/>
            <w:shd w:val="clear" w:color="auto" w:fill="auto"/>
            <w:vAlign w:val="center"/>
          </w:tcPr>
          <w:p w14:paraId="2CF15435" w14:textId="47A43E60" w:rsidR="00E7168F" w:rsidRPr="005B6D7B" w:rsidRDefault="00E7168F" w:rsidP="001D310F">
            <w:pPr>
              <w:pStyle w:val="TableText0"/>
              <w:keepNext w:val="0"/>
              <w:jc w:val="center"/>
            </w:pPr>
            <w:r w:rsidRPr="005B6D7B">
              <w:t xml:space="preserve">Moderate to severe CPP; BSA ≥10%; PASI ≥12; sPGA ≥3 </w:t>
            </w:r>
          </w:p>
        </w:tc>
        <w:tc>
          <w:tcPr>
            <w:tcW w:w="1063" w:type="pct"/>
            <w:vMerge w:val="restart"/>
            <w:shd w:val="clear" w:color="auto" w:fill="auto"/>
            <w:vAlign w:val="center"/>
          </w:tcPr>
          <w:p w14:paraId="4138534A" w14:textId="32F6FB5C" w:rsidR="00E7168F" w:rsidRPr="005B6D7B" w:rsidRDefault="00E7168F" w:rsidP="00E7168F">
            <w:pPr>
              <w:pStyle w:val="TableText0"/>
              <w:keepNext w:val="0"/>
            </w:pPr>
            <w:r w:rsidRPr="005B6D7B">
              <w:t>PASI 75 (16</w:t>
            </w:r>
            <w:r w:rsidR="001213D5" w:rsidRPr="005B6D7B">
              <w:t>, 52</w:t>
            </w:r>
            <w:r w:rsidRPr="005B6D7B">
              <w:t xml:space="preserve"> wks); PASI 90 (16</w:t>
            </w:r>
            <w:r w:rsidR="001213D5" w:rsidRPr="005B6D7B">
              <w:t>, 44</w:t>
            </w:r>
            <w:r w:rsidRPr="005B6D7B">
              <w:t xml:space="preserve"> wks); PASI 100 (16</w:t>
            </w:r>
            <w:r w:rsidR="001213D5" w:rsidRPr="005B6D7B">
              <w:t>, 44/52</w:t>
            </w:r>
            <w:r w:rsidRPr="005B6D7B">
              <w:t xml:space="preserve"> wks); sPGA 0/1 (16</w:t>
            </w:r>
            <w:r w:rsidR="001213D5" w:rsidRPr="005B6D7B">
              <w:t>, 52</w:t>
            </w:r>
            <w:r w:rsidRPr="005B6D7B">
              <w:t xml:space="preserve"> wks)</w:t>
            </w:r>
          </w:p>
        </w:tc>
      </w:tr>
      <w:tr w:rsidR="00854C7E" w:rsidRPr="005B6D7B" w14:paraId="414AFC06" w14:textId="77777777" w:rsidTr="00461C39">
        <w:trPr>
          <w:cantSplit/>
          <w:trHeight w:val="20"/>
        </w:trPr>
        <w:tc>
          <w:tcPr>
            <w:tcW w:w="1210" w:type="pct"/>
            <w:shd w:val="clear" w:color="auto" w:fill="auto"/>
            <w:vAlign w:val="center"/>
          </w:tcPr>
          <w:p w14:paraId="238B126D" w14:textId="3F96A976" w:rsidR="00E7168F" w:rsidRPr="005B6D7B" w:rsidRDefault="00E7168F" w:rsidP="00BE22DD">
            <w:pPr>
              <w:pStyle w:val="TableText0"/>
              <w:keepNext w:val="0"/>
            </w:pPr>
            <w:r w:rsidRPr="005B6D7B">
              <w:t>IMMhance (PBO)</w:t>
            </w:r>
          </w:p>
        </w:tc>
        <w:tc>
          <w:tcPr>
            <w:tcW w:w="618" w:type="pct"/>
            <w:shd w:val="clear" w:color="auto" w:fill="auto"/>
            <w:vAlign w:val="center"/>
          </w:tcPr>
          <w:p w14:paraId="294EA5F5" w14:textId="1FC93B96" w:rsidR="00E7168F" w:rsidRPr="005B6D7B" w:rsidRDefault="00E7168F" w:rsidP="002B3C96">
            <w:pPr>
              <w:pStyle w:val="TableText0"/>
              <w:keepNext w:val="0"/>
              <w:ind w:left="-22"/>
              <w:jc w:val="center"/>
              <w:rPr>
                <w:highlight w:val="yellow"/>
              </w:rPr>
            </w:pPr>
            <w:r w:rsidRPr="005B6D7B">
              <w:t>507</w:t>
            </w:r>
            <w:r w:rsidR="00DA76AF" w:rsidRPr="005B6D7B">
              <w:t xml:space="preserve"> (507)</w:t>
            </w:r>
          </w:p>
        </w:tc>
        <w:tc>
          <w:tcPr>
            <w:tcW w:w="1049" w:type="pct"/>
            <w:shd w:val="clear" w:color="auto" w:fill="auto"/>
            <w:vAlign w:val="center"/>
          </w:tcPr>
          <w:p w14:paraId="6E984A3D" w14:textId="0BA11B15" w:rsidR="00E7168F" w:rsidRPr="00675D8C" w:rsidRDefault="00E7168F" w:rsidP="002B3C96">
            <w:pPr>
              <w:pStyle w:val="TableText0"/>
              <w:keepNext w:val="0"/>
              <w:jc w:val="center"/>
              <w:rPr>
                <w:highlight w:val="yellow"/>
              </w:rPr>
            </w:pPr>
            <w:r w:rsidRPr="00675D8C">
              <w:t xml:space="preserve">P3, R, DB, MC, </w:t>
            </w:r>
            <w:r w:rsidRPr="009C5BA6">
              <w:t>104</w:t>
            </w:r>
            <w:r w:rsidRPr="00675D8C">
              <w:t xml:space="preserve"> wks</w:t>
            </w:r>
          </w:p>
        </w:tc>
        <w:tc>
          <w:tcPr>
            <w:tcW w:w="388" w:type="pct"/>
            <w:shd w:val="clear" w:color="auto" w:fill="auto"/>
            <w:vAlign w:val="center"/>
          </w:tcPr>
          <w:p w14:paraId="6364E611" w14:textId="4FFA8A7F" w:rsidR="00E7168F" w:rsidRPr="005B6D7B" w:rsidRDefault="00E7168F" w:rsidP="002B3C96">
            <w:pPr>
              <w:pStyle w:val="TableText0"/>
              <w:keepNext w:val="0"/>
              <w:ind w:left="-23"/>
              <w:jc w:val="center"/>
            </w:pPr>
            <w:r w:rsidRPr="005B6D7B">
              <w:t>Low</w:t>
            </w:r>
          </w:p>
        </w:tc>
        <w:tc>
          <w:tcPr>
            <w:tcW w:w="672" w:type="pct"/>
            <w:vMerge/>
            <w:shd w:val="clear" w:color="auto" w:fill="auto"/>
            <w:vAlign w:val="center"/>
          </w:tcPr>
          <w:p w14:paraId="30DB0733" w14:textId="77777777" w:rsidR="00E7168F" w:rsidRPr="005B6D7B" w:rsidRDefault="00E7168F" w:rsidP="00BE22DD">
            <w:pPr>
              <w:pStyle w:val="TableText0"/>
              <w:keepNext w:val="0"/>
            </w:pPr>
          </w:p>
        </w:tc>
        <w:tc>
          <w:tcPr>
            <w:tcW w:w="1063" w:type="pct"/>
            <w:vMerge/>
            <w:shd w:val="clear" w:color="auto" w:fill="auto"/>
            <w:vAlign w:val="center"/>
          </w:tcPr>
          <w:p w14:paraId="5DAFEE04" w14:textId="4BBCDDC4" w:rsidR="00E7168F" w:rsidRPr="005B6D7B" w:rsidRDefault="00E7168F" w:rsidP="00BE22DD">
            <w:pPr>
              <w:pStyle w:val="TableText0"/>
            </w:pPr>
          </w:p>
        </w:tc>
      </w:tr>
      <w:tr w:rsidR="00854C7E" w:rsidRPr="005B6D7B" w14:paraId="3B6A354E" w14:textId="77777777" w:rsidTr="00461C39">
        <w:trPr>
          <w:cantSplit/>
          <w:trHeight w:val="20"/>
        </w:trPr>
        <w:tc>
          <w:tcPr>
            <w:tcW w:w="1210" w:type="pct"/>
            <w:shd w:val="clear" w:color="auto" w:fill="auto"/>
            <w:vAlign w:val="center"/>
          </w:tcPr>
          <w:p w14:paraId="1E9A806E" w14:textId="0078F0DE" w:rsidR="00E7168F" w:rsidRPr="005B6D7B" w:rsidRDefault="00E7168F" w:rsidP="00BE22DD">
            <w:pPr>
              <w:pStyle w:val="TableText0"/>
              <w:keepNext w:val="0"/>
            </w:pPr>
            <w:r w:rsidRPr="005B6D7B">
              <w:t>IMMvent (ADA)</w:t>
            </w:r>
          </w:p>
        </w:tc>
        <w:tc>
          <w:tcPr>
            <w:tcW w:w="618" w:type="pct"/>
            <w:shd w:val="clear" w:color="auto" w:fill="auto"/>
            <w:vAlign w:val="center"/>
          </w:tcPr>
          <w:p w14:paraId="283DB4D5" w14:textId="70407960" w:rsidR="00E7168F" w:rsidRPr="005B6D7B" w:rsidRDefault="00E7168F" w:rsidP="002B3C96">
            <w:pPr>
              <w:pStyle w:val="TableText0"/>
              <w:keepNext w:val="0"/>
              <w:ind w:left="-22"/>
              <w:jc w:val="center"/>
              <w:rPr>
                <w:highlight w:val="yellow"/>
              </w:rPr>
            </w:pPr>
            <w:r w:rsidRPr="005B6D7B">
              <w:t>605</w:t>
            </w:r>
            <w:r w:rsidR="00DA76AF" w:rsidRPr="005B6D7B">
              <w:t xml:space="preserve"> (605)</w:t>
            </w:r>
          </w:p>
        </w:tc>
        <w:tc>
          <w:tcPr>
            <w:tcW w:w="1049" w:type="pct"/>
            <w:shd w:val="clear" w:color="auto" w:fill="auto"/>
            <w:vAlign w:val="center"/>
          </w:tcPr>
          <w:p w14:paraId="1126C3F1" w14:textId="444BB591" w:rsidR="00E7168F" w:rsidRPr="00675D8C" w:rsidRDefault="00E7168F" w:rsidP="002B3C96">
            <w:pPr>
              <w:pStyle w:val="TableText0"/>
              <w:keepNext w:val="0"/>
              <w:jc w:val="center"/>
              <w:rPr>
                <w:highlight w:val="yellow"/>
              </w:rPr>
            </w:pPr>
            <w:r w:rsidRPr="00675D8C">
              <w:t xml:space="preserve">P3, R, DB, MC, </w:t>
            </w:r>
            <w:r w:rsidRPr="009C5BA6">
              <w:t>4</w:t>
            </w:r>
            <w:r w:rsidR="00D419E4" w:rsidRPr="009C5BA6">
              <w:t>8</w:t>
            </w:r>
            <w:r w:rsidRPr="00675D8C">
              <w:t xml:space="preserve"> wks</w:t>
            </w:r>
          </w:p>
        </w:tc>
        <w:tc>
          <w:tcPr>
            <w:tcW w:w="388" w:type="pct"/>
            <w:shd w:val="clear" w:color="auto" w:fill="auto"/>
            <w:vAlign w:val="center"/>
          </w:tcPr>
          <w:p w14:paraId="1737B764" w14:textId="77777777" w:rsidR="00E7168F" w:rsidRPr="005B6D7B" w:rsidRDefault="00E7168F" w:rsidP="002B3C96">
            <w:pPr>
              <w:pStyle w:val="TableText0"/>
              <w:keepNext w:val="0"/>
              <w:ind w:left="-23"/>
              <w:jc w:val="center"/>
            </w:pPr>
            <w:r w:rsidRPr="005B6D7B">
              <w:t>Low</w:t>
            </w:r>
          </w:p>
        </w:tc>
        <w:tc>
          <w:tcPr>
            <w:tcW w:w="672" w:type="pct"/>
            <w:vMerge/>
            <w:shd w:val="clear" w:color="auto" w:fill="auto"/>
            <w:vAlign w:val="center"/>
          </w:tcPr>
          <w:p w14:paraId="4F832BB4" w14:textId="77777777" w:rsidR="00E7168F" w:rsidRPr="005B6D7B" w:rsidRDefault="00E7168F" w:rsidP="00BE22DD">
            <w:pPr>
              <w:pStyle w:val="TableText0"/>
              <w:keepNext w:val="0"/>
            </w:pPr>
          </w:p>
        </w:tc>
        <w:tc>
          <w:tcPr>
            <w:tcW w:w="1063" w:type="pct"/>
            <w:vMerge/>
            <w:shd w:val="clear" w:color="auto" w:fill="auto"/>
            <w:vAlign w:val="center"/>
          </w:tcPr>
          <w:p w14:paraId="763070F4" w14:textId="4C69E3F7" w:rsidR="00E7168F" w:rsidRPr="005B6D7B" w:rsidRDefault="00E7168F" w:rsidP="00BE22DD">
            <w:pPr>
              <w:pStyle w:val="TableText0"/>
              <w:keepNext w:val="0"/>
            </w:pPr>
          </w:p>
        </w:tc>
      </w:tr>
      <w:tr w:rsidR="00854C7E" w:rsidRPr="005B6D7B" w14:paraId="50EC22BA" w14:textId="77777777" w:rsidTr="00461C39">
        <w:trPr>
          <w:cantSplit/>
          <w:trHeight w:val="20"/>
        </w:trPr>
        <w:tc>
          <w:tcPr>
            <w:tcW w:w="1210" w:type="pct"/>
            <w:shd w:val="clear" w:color="auto" w:fill="auto"/>
            <w:vAlign w:val="center"/>
          </w:tcPr>
          <w:p w14:paraId="30F01B2D" w14:textId="24E8FB16" w:rsidR="00E7168F" w:rsidRPr="005B6D7B" w:rsidRDefault="00E7168F" w:rsidP="00BE22DD">
            <w:pPr>
              <w:pStyle w:val="TableText0"/>
              <w:keepNext w:val="0"/>
            </w:pPr>
            <w:r w:rsidRPr="005B6D7B">
              <w:t>I</w:t>
            </w:r>
            <w:bookmarkStart w:id="32" w:name="_Hlk141357058"/>
            <w:r w:rsidRPr="005B6D7B">
              <w:t>MMerge</w:t>
            </w:r>
            <w:bookmarkEnd w:id="32"/>
            <w:r w:rsidRPr="005B6D7B">
              <w:t xml:space="preserve"> (SEC)</w:t>
            </w:r>
          </w:p>
        </w:tc>
        <w:tc>
          <w:tcPr>
            <w:tcW w:w="618" w:type="pct"/>
            <w:shd w:val="clear" w:color="auto" w:fill="auto"/>
            <w:vAlign w:val="center"/>
          </w:tcPr>
          <w:p w14:paraId="064F6A7D" w14:textId="16855D7E" w:rsidR="00E7168F" w:rsidRPr="005B6D7B" w:rsidRDefault="00E7168F" w:rsidP="002B3C96">
            <w:pPr>
              <w:pStyle w:val="TableText0"/>
              <w:keepNext w:val="0"/>
              <w:ind w:left="-22"/>
              <w:jc w:val="center"/>
              <w:rPr>
                <w:highlight w:val="yellow"/>
              </w:rPr>
            </w:pPr>
            <w:r w:rsidRPr="005B6D7B">
              <w:t>327</w:t>
            </w:r>
            <w:r w:rsidR="00DA76AF" w:rsidRPr="005B6D7B">
              <w:t xml:space="preserve"> (327)</w:t>
            </w:r>
          </w:p>
        </w:tc>
        <w:tc>
          <w:tcPr>
            <w:tcW w:w="1049" w:type="pct"/>
            <w:shd w:val="clear" w:color="auto" w:fill="auto"/>
            <w:vAlign w:val="center"/>
          </w:tcPr>
          <w:p w14:paraId="4A4534C0" w14:textId="4E916189" w:rsidR="00E7168F" w:rsidRPr="00675D8C" w:rsidRDefault="00E7168F" w:rsidP="002B3C96">
            <w:pPr>
              <w:pStyle w:val="TableText0"/>
              <w:keepNext w:val="0"/>
              <w:jc w:val="center"/>
              <w:rPr>
                <w:highlight w:val="yellow"/>
              </w:rPr>
            </w:pPr>
            <w:r w:rsidRPr="00675D8C">
              <w:t xml:space="preserve">P3, R, OL, MC, </w:t>
            </w:r>
            <w:r w:rsidR="00D419E4" w:rsidRPr="009C5BA6">
              <w:t>84</w:t>
            </w:r>
            <w:r w:rsidR="00D419E4" w:rsidRPr="00675D8C">
              <w:t xml:space="preserve"> </w:t>
            </w:r>
            <w:r w:rsidRPr="00675D8C">
              <w:t>wks</w:t>
            </w:r>
          </w:p>
        </w:tc>
        <w:tc>
          <w:tcPr>
            <w:tcW w:w="388" w:type="pct"/>
            <w:shd w:val="clear" w:color="auto" w:fill="auto"/>
            <w:vAlign w:val="center"/>
          </w:tcPr>
          <w:p w14:paraId="5C058875" w14:textId="363BB1D9" w:rsidR="00E7168F" w:rsidRPr="005B6D7B" w:rsidRDefault="00E7168F" w:rsidP="002B3C96">
            <w:pPr>
              <w:pStyle w:val="TableText0"/>
              <w:keepNext w:val="0"/>
              <w:ind w:left="-23"/>
              <w:jc w:val="center"/>
            </w:pPr>
            <w:r w:rsidRPr="005B6D7B">
              <w:t>Moderate</w:t>
            </w:r>
          </w:p>
        </w:tc>
        <w:tc>
          <w:tcPr>
            <w:tcW w:w="672" w:type="pct"/>
            <w:vMerge/>
            <w:shd w:val="clear" w:color="auto" w:fill="auto"/>
            <w:vAlign w:val="center"/>
          </w:tcPr>
          <w:p w14:paraId="5B50E11F" w14:textId="77777777" w:rsidR="00E7168F" w:rsidRPr="005B6D7B" w:rsidRDefault="00E7168F" w:rsidP="00BE22DD">
            <w:pPr>
              <w:pStyle w:val="TableText0"/>
              <w:keepNext w:val="0"/>
            </w:pPr>
          </w:p>
        </w:tc>
        <w:tc>
          <w:tcPr>
            <w:tcW w:w="1063" w:type="pct"/>
            <w:vMerge/>
            <w:shd w:val="clear" w:color="auto" w:fill="auto"/>
            <w:vAlign w:val="center"/>
          </w:tcPr>
          <w:p w14:paraId="48D93C53" w14:textId="6682FD85" w:rsidR="00E7168F" w:rsidRPr="005B6D7B" w:rsidRDefault="00E7168F" w:rsidP="00BE22DD">
            <w:pPr>
              <w:pStyle w:val="TableText0"/>
              <w:keepNext w:val="0"/>
            </w:pPr>
          </w:p>
        </w:tc>
      </w:tr>
      <w:tr w:rsidR="00854C7E" w:rsidRPr="005B6D7B" w14:paraId="1A1182F3" w14:textId="77777777" w:rsidTr="00461C39">
        <w:trPr>
          <w:cantSplit/>
          <w:trHeight w:val="20"/>
        </w:trPr>
        <w:tc>
          <w:tcPr>
            <w:tcW w:w="1210" w:type="pct"/>
            <w:shd w:val="clear" w:color="auto" w:fill="auto"/>
            <w:vAlign w:val="center"/>
          </w:tcPr>
          <w:p w14:paraId="0DFD2CF7" w14:textId="39B740CC" w:rsidR="00E7168F" w:rsidRPr="005B6D7B" w:rsidRDefault="00E7168F" w:rsidP="00BE22DD">
            <w:pPr>
              <w:pStyle w:val="TableText0"/>
              <w:keepNext w:val="0"/>
            </w:pPr>
            <w:r w:rsidRPr="005B6D7B">
              <w:t>UltIMMa-1 (PBO</w:t>
            </w:r>
            <w:r w:rsidR="008E40C7" w:rsidRPr="005B6D7B">
              <w:t>,</w:t>
            </w:r>
            <w:r w:rsidRPr="005B6D7B">
              <w:t xml:space="preserve"> UST)</w:t>
            </w:r>
          </w:p>
        </w:tc>
        <w:tc>
          <w:tcPr>
            <w:tcW w:w="618" w:type="pct"/>
            <w:shd w:val="clear" w:color="auto" w:fill="auto"/>
            <w:vAlign w:val="center"/>
          </w:tcPr>
          <w:p w14:paraId="44B2A8B7" w14:textId="1CA46B6E" w:rsidR="00E7168F" w:rsidRPr="005B6D7B" w:rsidRDefault="00E7168F" w:rsidP="002B3C96">
            <w:pPr>
              <w:pStyle w:val="TableText0"/>
              <w:keepNext w:val="0"/>
              <w:ind w:left="-22"/>
              <w:jc w:val="center"/>
              <w:rPr>
                <w:highlight w:val="yellow"/>
              </w:rPr>
            </w:pPr>
            <w:r w:rsidRPr="005B6D7B">
              <w:t>506</w:t>
            </w:r>
            <w:r w:rsidR="00DA76AF" w:rsidRPr="005B6D7B">
              <w:t xml:space="preserve"> (406)</w:t>
            </w:r>
          </w:p>
        </w:tc>
        <w:tc>
          <w:tcPr>
            <w:tcW w:w="1049" w:type="pct"/>
            <w:vMerge w:val="restart"/>
            <w:shd w:val="clear" w:color="auto" w:fill="auto"/>
            <w:vAlign w:val="center"/>
          </w:tcPr>
          <w:p w14:paraId="237A79CC" w14:textId="46501660" w:rsidR="00E7168F" w:rsidRPr="005B6D7B" w:rsidRDefault="00E7168F" w:rsidP="002B3C96">
            <w:pPr>
              <w:pStyle w:val="TableText0"/>
              <w:keepNext w:val="0"/>
              <w:jc w:val="center"/>
              <w:rPr>
                <w:highlight w:val="yellow"/>
              </w:rPr>
            </w:pPr>
            <w:r w:rsidRPr="005B6D7B">
              <w:t>P3, R, DB, MC, 5</w:t>
            </w:r>
            <w:r w:rsidR="00A11524" w:rsidRPr="005B6D7B">
              <w:t>6</w:t>
            </w:r>
            <w:r w:rsidRPr="005B6D7B">
              <w:t xml:space="preserve"> wks</w:t>
            </w:r>
          </w:p>
        </w:tc>
        <w:tc>
          <w:tcPr>
            <w:tcW w:w="388" w:type="pct"/>
            <w:shd w:val="clear" w:color="auto" w:fill="auto"/>
            <w:vAlign w:val="center"/>
          </w:tcPr>
          <w:p w14:paraId="2C9F4740" w14:textId="77777777" w:rsidR="00E7168F" w:rsidRPr="005B6D7B" w:rsidRDefault="00E7168F" w:rsidP="002B3C96">
            <w:pPr>
              <w:pStyle w:val="TableText0"/>
              <w:keepNext w:val="0"/>
              <w:ind w:left="-23"/>
              <w:jc w:val="center"/>
            </w:pPr>
            <w:r w:rsidRPr="005B6D7B">
              <w:t>Low</w:t>
            </w:r>
          </w:p>
        </w:tc>
        <w:tc>
          <w:tcPr>
            <w:tcW w:w="672" w:type="pct"/>
            <w:vMerge/>
            <w:shd w:val="clear" w:color="auto" w:fill="auto"/>
            <w:vAlign w:val="center"/>
          </w:tcPr>
          <w:p w14:paraId="757D284E" w14:textId="77777777" w:rsidR="00E7168F" w:rsidRPr="005B6D7B" w:rsidRDefault="00E7168F" w:rsidP="00BE22DD">
            <w:pPr>
              <w:pStyle w:val="TableText0"/>
              <w:keepNext w:val="0"/>
            </w:pPr>
          </w:p>
        </w:tc>
        <w:tc>
          <w:tcPr>
            <w:tcW w:w="1063" w:type="pct"/>
            <w:vMerge w:val="restart"/>
            <w:shd w:val="clear" w:color="auto" w:fill="auto"/>
            <w:vAlign w:val="center"/>
          </w:tcPr>
          <w:p w14:paraId="5D80322B" w14:textId="73651C7E" w:rsidR="00E7168F" w:rsidRPr="005B6D7B" w:rsidRDefault="00E7168F" w:rsidP="00BE22DD">
            <w:pPr>
              <w:pStyle w:val="TableText0"/>
              <w:keepNext w:val="0"/>
            </w:pPr>
            <w:r w:rsidRPr="005B6D7B">
              <w:t>PASI 75 (12 wks); PASI 90 (16, 52 wks); PASI</w:t>
            </w:r>
            <w:r w:rsidR="00294161" w:rsidRPr="005B6D7B">
              <w:t xml:space="preserve"> </w:t>
            </w:r>
            <w:r w:rsidRPr="005B6D7B">
              <w:t>100 (16,</w:t>
            </w:r>
            <w:r w:rsidR="00294161" w:rsidRPr="005B6D7B">
              <w:t xml:space="preserve"> </w:t>
            </w:r>
            <w:r w:rsidRPr="005B6D7B">
              <w:t>52 wks); sPGA</w:t>
            </w:r>
            <w:r w:rsidR="00294161" w:rsidRPr="005B6D7B">
              <w:t xml:space="preserve"> </w:t>
            </w:r>
            <w:r w:rsidRPr="005B6D7B">
              <w:t>0/1 (16,</w:t>
            </w:r>
            <w:r w:rsidR="00294161" w:rsidRPr="005B6D7B">
              <w:t xml:space="preserve"> </w:t>
            </w:r>
            <w:r w:rsidRPr="005B6D7B">
              <w:t>52 wks)</w:t>
            </w:r>
          </w:p>
        </w:tc>
      </w:tr>
      <w:tr w:rsidR="00854C7E" w:rsidRPr="005B6D7B" w14:paraId="48A3D03E" w14:textId="77777777" w:rsidTr="00461C39">
        <w:trPr>
          <w:cantSplit/>
          <w:trHeight w:val="20"/>
        </w:trPr>
        <w:tc>
          <w:tcPr>
            <w:tcW w:w="1210" w:type="pct"/>
            <w:shd w:val="clear" w:color="auto" w:fill="auto"/>
            <w:vAlign w:val="center"/>
          </w:tcPr>
          <w:p w14:paraId="2CD96A43" w14:textId="0106CAE0" w:rsidR="00E7168F" w:rsidRPr="005B6D7B" w:rsidRDefault="00E7168F" w:rsidP="00BE22DD">
            <w:pPr>
              <w:pStyle w:val="TableText0"/>
              <w:keepNext w:val="0"/>
            </w:pPr>
            <w:r w:rsidRPr="005B6D7B">
              <w:t>UltIMMa-2 (PBO</w:t>
            </w:r>
            <w:r w:rsidR="008E40C7" w:rsidRPr="005B6D7B">
              <w:t>,</w:t>
            </w:r>
            <w:r w:rsidRPr="005B6D7B">
              <w:t xml:space="preserve"> UST)</w:t>
            </w:r>
          </w:p>
        </w:tc>
        <w:tc>
          <w:tcPr>
            <w:tcW w:w="618" w:type="pct"/>
            <w:shd w:val="clear" w:color="auto" w:fill="auto"/>
            <w:vAlign w:val="center"/>
          </w:tcPr>
          <w:p w14:paraId="2BCE58D8" w14:textId="401AA5EE" w:rsidR="00E7168F" w:rsidRPr="005B6D7B" w:rsidRDefault="00E7168F" w:rsidP="002B3C96">
            <w:pPr>
              <w:pStyle w:val="TableText0"/>
              <w:keepNext w:val="0"/>
              <w:ind w:left="-22"/>
              <w:jc w:val="center"/>
            </w:pPr>
            <w:r w:rsidRPr="005B6D7B">
              <w:t>491</w:t>
            </w:r>
            <w:r w:rsidR="00DA76AF" w:rsidRPr="005B6D7B">
              <w:t xml:space="preserve"> (392)</w:t>
            </w:r>
          </w:p>
        </w:tc>
        <w:tc>
          <w:tcPr>
            <w:tcW w:w="1049" w:type="pct"/>
            <w:vMerge/>
            <w:shd w:val="clear" w:color="auto" w:fill="auto"/>
            <w:vAlign w:val="center"/>
          </w:tcPr>
          <w:p w14:paraId="26331B68" w14:textId="77777777" w:rsidR="00E7168F" w:rsidRPr="005B6D7B" w:rsidRDefault="00E7168F" w:rsidP="00BE22DD">
            <w:pPr>
              <w:pStyle w:val="TableText0"/>
              <w:keepNext w:val="0"/>
            </w:pPr>
          </w:p>
        </w:tc>
        <w:tc>
          <w:tcPr>
            <w:tcW w:w="388" w:type="pct"/>
            <w:shd w:val="clear" w:color="auto" w:fill="auto"/>
            <w:vAlign w:val="center"/>
          </w:tcPr>
          <w:p w14:paraId="11AF1C75" w14:textId="77777777" w:rsidR="00E7168F" w:rsidRPr="005B6D7B" w:rsidRDefault="00E7168F" w:rsidP="002B3C96">
            <w:pPr>
              <w:pStyle w:val="TableText0"/>
              <w:keepNext w:val="0"/>
              <w:ind w:left="-23"/>
              <w:jc w:val="center"/>
            </w:pPr>
            <w:r w:rsidRPr="005B6D7B">
              <w:t>Low</w:t>
            </w:r>
          </w:p>
        </w:tc>
        <w:tc>
          <w:tcPr>
            <w:tcW w:w="672" w:type="pct"/>
            <w:vMerge/>
            <w:shd w:val="clear" w:color="auto" w:fill="auto"/>
            <w:vAlign w:val="center"/>
          </w:tcPr>
          <w:p w14:paraId="05E36669" w14:textId="77777777" w:rsidR="00E7168F" w:rsidRPr="005B6D7B" w:rsidRDefault="00E7168F" w:rsidP="00BE22DD">
            <w:pPr>
              <w:pStyle w:val="TableText0"/>
              <w:keepNext w:val="0"/>
            </w:pPr>
          </w:p>
        </w:tc>
        <w:tc>
          <w:tcPr>
            <w:tcW w:w="1063" w:type="pct"/>
            <w:vMerge/>
            <w:shd w:val="clear" w:color="auto" w:fill="auto"/>
            <w:vAlign w:val="center"/>
          </w:tcPr>
          <w:p w14:paraId="7FDC7C91" w14:textId="77777777" w:rsidR="00E7168F" w:rsidRPr="005B6D7B" w:rsidRDefault="00E7168F" w:rsidP="00BE22DD">
            <w:pPr>
              <w:pStyle w:val="TableText0"/>
              <w:keepNext w:val="0"/>
            </w:pPr>
          </w:p>
        </w:tc>
      </w:tr>
      <w:tr w:rsidR="00D54C74" w:rsidRPr="005B6D7B" w14:paraId="678084DD" w14:textId="77777777" w:rsidTr="00854C7E">
        <w:trPr>
          <w:cantSplit/>
          <w:trHeight w:val="20"/>
        </w:trPr>
        <w:tc>
          <w:tcPr>
            <w:tcW w:w="5000" w:type="pct"/>
            <w:gridSpan w:val="6"/>
            <w:shd w:val="clear" w:color="auto" w:fill="auto"/>
            <w:vAlign w:val="center"/>
          </w:tcPr>
          <w:p w14:paraId="4F78C73E" w14:textId="4BF79E2D" w:rsidR="00D54C74" w:rsidRPr="005B6D7B" w:rsidRDefault="00D54C74" w:rsidP="00110120">
            <w:pPr>
              <w:pStyle w:val="TableText0"/>
              <w:keepNext w:val="0"/>
            </w:pPr>
            <w:r w:rsidRPr="005B6D7B">
              <w:rPr>
                <w:b/>
                <w:szCs w:val="20"/>
              </w:rPr>
              <w:t>Bimekizumab</w:t>
            </w:r>
            <w:r w:rsidR="00110120" w:rsidRPr="005B6D7B">
              <w:rPr>
                <w:b/>
                <w:szCs w:val="20"/>
              </w:rPr>
              <w:t xml:space="preserve"> trials</w:t>
            </w:r>
            <w:r w:rsidR="00B84BE4" w:rsidRPr="005B6D7B">
              <w:rPr>
                <w:b/>
                <w:szCs w:val="20"/>
              </w:rPr>
              <w:t xml:space="preserve"> </w:t>
            </w:r>
            <w:r w:rsidR="00B84BE4" w:rsidRPr="005B6D7B">
              <w:rPr>
                <w:b/>
                <w:bCs w:val="0"/>
              </w:rPr>
              <w:t>(comparator)</w:t>
            </w:r>
          </w:p>
        </w:tc>
      </w:tr>
      <w:tr w:rsidR="00854C7E" w:rsidRPr="005B6D7B" w14:paraId="34E59D21" w14:textId="77777777" w:rsidTr="00461C39">
        <w:trPr>
          <w:cantSplit/>
          <w:trHeight w:val="20"/>
        </w:trPr>
        <w:tc>
          <w:tcPr>
            <w:tcW w:w="1210" w:type="pct"/>
            <w:shd w:val="clear" w:color="auto" w:fill="auto"/>
            <w:vAlign w:val="center"/>
          </w:tcPr>
          <w:p w14:paraId="48760F57" w14:textId="7CA196BD" w:rsidR="00D54C74" w:rsidRPr="005B6D7B" w:rsidRDefault="00D54C74" w:rsidP="00BE22DD">
            <w:pPr>
              <w:pStyle w:val="TableText0"/>
              <w:keepNext w:val="0"/>
              <w:rPr>
                <w:szCs w:val="20"/>
              </w:rPr>
            </w:pPr>
            <w:r w:rsidRPr="005B6D7B">
              <w:rPr>
                <w:szCs w:val="20"/>
              </w:rPr>
              <w:t>BE ABLE 1 (PBO)</w:t>
            </w:r>
          </w:p>
        </w:tc>
        <w:tc>
          <w:tcPr>
            <w:tcW w:w="618" w:type="pct"/>
            <w:shd w:val="clear" w:color="auto" w:fill="auto"/>
            <w:vAlign w:val="center"/>
          </w:tcPr>
          <w:p w14:paraId="74375C83" w14:textId="11064DFA" w:rsidR="00D54C74" w:rsidRPr="005B6D7B" w:rsidRDefault="00D54C74" w:rsidP="002B3C96">
            <w:pPr>
              <w:pStyle w:val="TableText0"/>
              <w:keepNext w:val="0"/>
              <w:ind w:left="-22"/>
              <w:jc w:val="center"/>
              <w:rPr>
                <w:szCs w:val="20"/>
              </w:rPr>
            </w:pPr>
            <w:r w:rsidRPr="005B6D7B">
              <w:rPr>
                <w:szCs w:val="20"/>
              </w:rPr>
              <w:t>250</w:t>
            </w:r>
            <w:r w:rsidR="00DA76AF" w:rsidRPr="005B6D7B">
              <w:rPr>
                <w:szCs w:val="20"/>
              </w:rPr>
              <w:t xml:space="preserve"> (85)</w:t>
            </w:r>
          </w:p>
        </w:tc>
        <w:tc>
          <w:tcPr>
            <w:tcW w:w="1049" w:type="pct"/>
            <w:shd w:val="clear" w:color="auto" w:fill="auto"/>
            <w:vAlign w:val="center"/>
          </w:tcPr>
          <w:p w14:paraId="0D6F179B" w14:textId="563C7964" w:rsidR="00D54C74" w:rsidRPr="005B6D7B" w:rsidRDefault="00D54C74" w:rsidP="002B3C96">
            <w:pPr>
              <w:pStyle w:val="TableText0"/>
              <w:keepNext w:val="0"/>
              <w:jc w:val="center"/>
            </w:pPr>
            <w:r w:rsidRPr="005B6D7B">
              <w:rPr>
                <w:bCs w:val="0"/>
              </w:rPr>
              <w:t>P</w:t>
            </w:r>
            <w:r w:rsidR="009D115B" w:rsidRPr="005B6D7B">
              <w:rPr>
                <w:bCs w:val="0"/>
              </w:rPr>
              <w:t>2</w:t>
            </w:r>
            <w:r w:rsidRPr="005B6D7B">
              <w:rPr>
                <w:bCs w:val="0"/>
              </w:rPr>
              <w:t>B, R, DB, MC</w:t>
            </w:r>
            <w:r w:rsidR="00EE037C" w:rsidRPr="005B6D7B">
              <w:rPr>
                <w:bCs w:val="0"/>
              </w:rPr>
              <w:t>,</w:t>
            </w:r>
            <w:r w:rsidR="001D310F" w:rsidRPr="005B6D7B">
              <w:rPr>
                <w:bCs w:val="0"/>
              </w:rPr>
              <w:t xml:space="preserve"> </w:t>
            </w:r>
            <w:r w:rsidRPr="005B6D7B">
              <w:t>12 wks</w:t>
            </w:r>
          </w:p>
        </w:tc>
        <w:tc>
          <w:tcPr>
            <w:tcW w:w="388" w:type="pct"/>
            <w:shd w:val="clear" w:color="auto" w:fill="auto"/>
            <w:vAlign w:val="center"/>
          </w:tcPr>
          <w:p w14:paraId="79E93C1E" w14:textId="77777777" w:rsidR="00D54C74" w:rsidRPr="005B6D7B" w:rsidRDefault="00D54C74" w:rsidP="002B3C96">
            <w:pPr>
              <w:pStyle w:val="TableText0"/>
              <w:keepNext w:val="0"/>
              <w:ind w:left="-23"/>
              <w:jc w:val="center"/>
              <w:rPr>
                <w:szCs w:val="20"/>
              </w:rPr>
            </w:pPr>
            <w:r w:rsidRPr="005B6D7B">
              <w:rPr>
                <w:szCs w:val="20"/>
              </w:rPr>
              <w:t>Low</w:t>
            </w:r>
          </w:p>
        </w:tc>
        <w:tc>
          <w:tcPr>
            <w:tcW w:w="672" w:type="pct"/>
            <w:vMerge w:val="restart"/>
            <w:shd w:val="clear" w:color="auto" w:fill="auto"/>
            <w:vAlign w:val="center"/>
          </w:tcPr>
          <w:p w14:paraId="03B44E8D" w14:textId="2AB74B19" w:rsidR="00D54C74" w:rsidRPr="005B6D7B" w:rsidRDefault="0036034E" w:rsidP="001D310F">
            <w:pPr>
              <w:pStyle w:val="TableText0"/>
              <w:keepNext w:val="0"/>
              <w:jc w:val="center"/>
              <w:rPr>
                <w:szCs w:val="20"/>
              </w:rPr>
            </w:pPr>
            <w:r w:rsidRPr="005B6D7B">
              <w:rPr>
                <w:szCs w:val="20"/>
              </w:rPr>
              <w:t>M</w:t>
            </w:r>
            <w:r w:rsidR="00D54C74" w:rsidRPr="005B6D7B">
              <w:rPr>
                <w:szCs w:val="20"/>
              </w:rPr>
              <w:t xml:space="preserve">oderate to severe </w:t>
            </w:r>
            <w:r w:rsidRPr="005B6D7B">
              <w:rPr>
                <w:szCs w:val="20"/>
              </w:rPr>
              <w:t>CPP;</w:t>
            </w:r>
            <w:r w:rsidR="00B36563" w:rsidRPr="005B6D7B">
              <w:rPr>
                <w:szCs w:val="20"/>
              </w:rPr>
              <w:t xml:space="preserve"> </w:t>
            </w:r>
            <w:r w:rsidR="00D54C74" w:rsidRPr="005B6D7B">
              <w:rPr>
                <w:szCs w:val="20"/>
              </w:rPr>
              <w:t xml:space="preserve">BSA ≥10%; PASI ≥12; IGA ≥3 </w:t>
            </w:r>
          </w:p>
        </w:tc>
        <w:tc>
          <w:tcPr>
            <w:tcW w:w="1063" w:type="pct"/>
            <w:shd w:val="clear" w:color="auto" w:fill="auto"/>
            <w:vAlign w:val="center"/>
          </w:tcPr>
          <w:p w14:paraId="3B68F447" w14:textId="70B07B3C" w:rsidR="00F368A5" w:rsidRPr="005B6D7B" w:rsidRDefault="00F368A5" w:rsidP="00BE22DD">
            <w:pPr>
              <w:pStyle w:val="TableText0"/>
            </w:pPr>
            <w:r w:rsidRPr="005B6D7B">
              <w:t>PASI 75 (12 wks);</w:t>
            </w:r>
          </w:p>
          <w:p w14:paraId="3736303E" w14:textId="7A0515F2" w:rsidR="00D54C74" w:rsidRPr="005B6D7B" w:rsidRDefault="00F368A5" w:rsidP="00BE22DD">
            <w:pPr>
              <w:pStyle w:val="TableText0"/>
              <w:rPr>
                <w:szCs w:val="20"/>
              </w:rPr>
            </w:pPr>
            <w:r w:rsidRPr="005B6D7B">
              <w:t>PASI 90 (12 wks)</w:t>
            </w:r>
          </w:p>
        </w:tc>
      </w:tr>
      <w:tr w:rsidR="00854C7E" w:rsidRPr="005B6D7B" w14:paraId="616B5100" w14:textId="77777777" w:rsidTr="00461C39">
        <w:trPr>
          <w:cantSplit/>
          <w:trHeight w:val="20"/>
        </w:trPr>
        <w:tc>
          <w:tcPr>
            <w:tcW w:w="1210" w:type="pct"/>
            <w:shd w:val="clear" w:color="auto" w:fill="auto"/>
            <w:vAlign w:val="center"/>
          </w:tcPr>
          <w:p w14:paraId="67C9D653" w14:textId="3027DC20" w:rsidR="007702C1" w:rsidRPr="005B6D7B" w:rsidRDefault="007702C1" w:rsidP="00BE22DD">
            <w:pPr>
              <w:pStyle w:val="TableText0"/>
              <w:keepNext w:val="0"/>
              <w:rPr>
                <w:szCs w:val="20"/>
              </w:rPr>
            </w:pPr>
            <w:r w:rsidRPr="005B6D7B">
              <w:rPr>
                <w:rFonts w:cstheme="minorHAnsi"/>
                <w:szCs w:val="20"/>
              </w:rPr>
              <w:t>BE READY (PBO)</w:t>
            </w:r>
          </w:p>
        </w:tc>
        <w:tc>
          <w:tcPr>
            <w:tcW w:w="618" w:type="pct"/>
            <w:shd w:val="clear" w:color="auto" w:fill="auto"/>
            <w:vAlign w:val="center"/>
          </w:tcPr>
          <w:p w14:paraId="4530181A" w14:textId="4566B4CE" w:rsidR="007702C1" w:rsidRPr="005B6D7B" w:rsidRDefault="007702C1" w:rsidP="002B3C96">
            <w:pPr>
              <w:pStyle w:val="TableText0"/>
              <w:keepNext w:val="0"/>
              <w:ind w:left="-22"/>
              <w:jc w:val="center"/>
              <w:rPr>
                <w:szCs w:val="20"/>
                <w:highlight w:val="yellow"/>
              </w:rPr>
            </w:pPr>
            <w:r w:rsidRPr="005B6D7B">
              <w:rPr>
                <w:szCs w:val="20"/>
              </w:rPr>
              <w:t>435</w:t>
            </w:r>
            <w:r w:rsidR="00DA76AF" w:rsidRPr="005B6D7B">
              <w:rPr>
                <w:szCs w:val="20"/>
              </w:rPr>
              <w:t xml:space="preserve"> (435)</w:t>
            </w:r>
          </w:p>
        </w:tc>
        <w:tc>
          <w:tcPr>
            <w:tcW w:w="1049" w:type="pct"/>
            <w:shd w:val="clear" w:color="auto" w:fill="auto"/>
            <w:vAlign w:val="center"/>
          </w:tcPr>
          <w:p w14:paraId="281647CC" w14:textId="2DA5743F" w:rsidR="007702C1" w:rsidRPr="00304ED2" w:rsidRDefault="007702C1" w:rsidP="002B3C96">
            <w:pPr>
              <w:pStyle w:val="TableText0"/>
              <w:keepNext w:val="0"/>
              <w:jc w:val="center"/>
            </w:pPr>
            <w:r w:rsidRPr="00304ED2">
              <w:rPr>
                <w:bCs w:val="0"/>
              </w:rPr>
              <w:t>P3, R, DB, MC</w:t>
            </w:r>
            <w:r w:rsidRPr="00304ED2">
              <w:t xml:space="preserve">, </w:t>
            </w:r>
            <w:r w:rsidR="00D419E4" w:rsidRPr="00566D6A">
              <w:t>7</w:t>
            </w:r>
            <w:r w:rsidRPr="00566D6A">
              <w:t>6</w:t>
            </w:r>
            <w:r w:rsidRPr="00304ED2">
              <w:t xml:space="preserve"> wks</w:t>
            </w:r>
          </w:p>
        </w:tc>
        <w:tc>
          <w:tcPr>
            <w:tcW w:w="388" w:type="pct"/>
            <w:shd w:val="clear" w:color="auto" w:fill="auto"/>
            <w:vAlign w:val="center"/>
          </w:tcPr>
          <w:p w14:paraId="79CD2F27" w14:textId="77777777" w:rsidR="007702C1" w:rsidRPr="005B6D7B" w:rsidRDefault="007702C1" w:rsidP="002B3C96">
            <w:pPr>
              <w:pStyle w:val="TableText0"/>
              <w:keepNext w:val="0"/>
              <w:ind w:left="-23"/>
              <w:jc w:val="center"/>
              <w:rPr>
                <w:szCs w:val="20"/>
              </w:rPr>
            </w:pPr>
            <w:r w:rsidRPr="005B6D7B">
              <w:rPr>
                <w:szCs w:val="20"/>
              </w:rPr>
              <w:t>Low</w:t>
            </w:r>
          </w:p>
        </w:tc>
        <w:tc>
          <w:tcPr>
            <w:tcW w:w="672" w:type="pct"/>
            <w:vMerge/>
            <w:shd w:val="clear" w:color="auto" w:fill="auto"/>
            <w:vAlign w:val="center"/>
          </w:tcPr>
          <w:p w14:paraId="4F96E766" w14:textId="77777777" w:rsidR="007702C1" w:rsidRPr="005B6D7B" w:rsidRDefault="007702C1" w:rsidP="00BE22DD">
            <w:pPr>
              <w:pStyle w:val="TableText0"/>
              <w:keepNext w:val="0"/>
              <w:rPr>
                <w:szCs w:val="20"/>
              </w:rPr>
            </w:pPr>
          </w:p>
        </w:tc>
        <w:tc>
          <w:tcPr>
            <w:tcW w:w="1063" w:type="pct"/>
            <w:vMerge w:val="restart"/>
            <w:shd w:val="clear" w:color="auto" w:fill="auto"/>
            <w:vAlign w:val="center"/>
          </w:tcPr>
          <w:p w14:paraId="6B38142F" w14:textId="13841D09" w:rsidR="007702C1" w:rsidRPr="005B6D7B" w:rsidRDefault="007702C1" w:rsidP="00BE22DD">
            <w:pPr>
              <w:pStyle w:val="TableText0"/>
              <w:rPr>
                <w:szCs w:val="20"/>
              </w:rPr>
            </w:pPr>
            <w:r w:rsidRPr="005B6D7B">
              <w:t>PASI 75</w:t>
            </w:r>
            <w:r w:rsidR="00F368A5" w:rsidRPr="005B6D7B">
              <w:t xml:space="preserve"> (4 wks);</w:t>
            </w:r>
            <w:r w:rsidRPr="005B6D7B">
              <w:t xml:space="preserve"> PASI 90</w:t>
            </w:r>
            <w:r w:rsidR="00F368A5" w:rsidRPr="005B6D7B">
              <w:t xml:space="preserve"> (16 wks);</w:t>
            </w:r>
            <w:r w:rsidRPr="005B6D7B">
              <w:t xml:space="preserve"> PASI 100</w:t>
            </w:r>
            <w:r w:rsidR="00F368A5" w:rsidRPr="005B6D7B">
              <w:t xml:space="preserve"> (16 wks)</w:t>
            </w:r>
          </w:p>
        </w:tc>
      </w:tr>
      <w:tr w:rsidR="00854C7E" w:rsidRPr="005B6D7B" w14:paraId="43FFE474" w14:textId="77777777" w:rsidTr="00461C39">
        <w:trPr>
          <w:cantSplit/>
          <w:trHeight w:val="20"/>
        </w:trPr>
        <w:tc>
          <w:tcPr>
            <w:tcW w:w="1210" w:type="pct"/>
            <w:shd w:val="clear" w:color="auto" w:fill="auto"/>
            <w:vAlign w:val="center"/>
          </w:tcPr>
          <w:p w14:paraId="6D0F45A3" w14:textId="3F696270" w:rsidR="007702C1" w:rsidRPr="005B6D7B" w:rsidRDefault="007702C1" w:rsidP="00BE22DD">
            <w:pPr>
              <w:pStyle w:val="TableText0"/>
              <w:keepNext w:val="0"/>
              <w:rPr>
                <w:szCs w:val="20"/>
              </w:rPr>
            </w:pPr>
            <w:r w:rsidRPr="005B6D7B">
              <w:rPr>
                <w:szCs w:val="20"/>
              </w:rPr>
              <w:t>BE SURE (ADA)</w:t>
            </w:r>
          </w:p>
        </w:tc>
        <w:tc>
          <w:tcPr>
            <w:tcW w:w="618" w:type="pct"/>
            <w:shd w:val="clear" w:color="auto" w:fill="auto"/>
            <w:vAlign w:val="center"/>
          </w:tcPr>
          <w:p w14:paraId="7DEF79D8" w14:textId="24C54A7E" w:rsidR="007702C1" w:rsidRPr="005B6D7B" w:rsidRDefault="007702C1" w:rsidP="002B3C96">
            <w:pPr>
              <w:pStyle w:val="TableText0"/>
              <w:keepNext w:val="0"/>
              <w:ind w:left="-22"/>
              <w:jc w:val="center"/>
              <w:rPr>
                <w:szCs w:val="20"/>
                <w:highlight w:val="yellow"/>
              </w:rPr>
            </w:pPr>
            <w:r w:rsidRPr="005B6D7B">
              <w:rPr>
                <w:szCs w:val="20"/>
              </w:rPr>
              <w:t>478</w:t>
            </w:r>
            <w:r w:rsidR="00DA76AF" w:rsidRPr="005B6D7B">
              <w:rPr>
                <w:szCs w:val="20"/>
              </w:rPr>
              <w:t xml:space="preserve"> (478)</w:t>
            </w:r>
          </w:p>
        </w:tc>
        <w:tc>
          <w:tcPr>
            <w:tcW w:w="1049" w:type="pct"/>
            <w:shd w:val="clear" w:color="auto" w:fill="auto"/>
            <w:vAlign w:val="center"/>
          </w:tcPr>
          <w:p w14:paraId="29475260" w14:textId="6C6CDF14" w:rsidR="007702C1" w:rsidRPr="00304ED2" w:rsidRDefault="007702C1" w:rsidP="002B3C96">
            <w:pPr>
              <w:pStyle w:val="TableText0"/>
              <w:keepNext w:val="0"/>
              <w:jc w:val="center"/>
            </w:pPr>
            <w:r w:rsidRPr="00304ED2">
              <w:t>P3</w:t>
            </w:r>
            <w:r w:rsidRPr="00304ED2">
              <w:rPr>
                <w:bCs w:val="0"/>
              </w:rPr>
              <w:t xml:space="preserve">, R, DB, </w:t>
            </w:r>
            <w:r w:rsidRPr="00304ED2">
              <w:t xml:space="preserve">MC, </w:t>
            </w:r>
            <w:r w:rsidR="00D419E4" w:rsidRPr="00566D6A">
              <w:rPr>
                <w:bCs w:val="0"/>
              </w:rPr>
              <w:t>7</w:t>
            </w:r>
            <w:r w:rsidRPr="00566D6A">
              <w:t>6</w:t>
            </w:r>
            <w:r w:rsidRPr="00304ED2">
              <w:t xml:space="preserve"> wks</w:t>
            </w:r>
          </w:p>
        </w:tc>
        <w:tc>
          <w:tcPr>
            <w:tcW w:w="388" w:type="pct"/>
            <w:shd w:val="clear" w:color="auto" w:fill="auto"/>
            <w:vAlign w:val="center"/>
          </w:tcPr>
          <w:p w14:paraId="302FE2F9" w14:textId="77777777" w:rsidR="007702C1" w:rsidRPr="005B6D7B" w:rsidRDefault="007702C1" w:rsidP="002B3C96">
            <w:pPr>
              <w:pStyle w:val="TableText0"/>
              <w:keepNext w:val="0"/>
              <w:ind w:left="-23"/>
              <w:jc w:val="center"/>
              <w:rPr>
                <w:szCs w:val="20"/>
              </w:rPr>
            </w:pPr>
            <w:r w:rsidRPr="005B6D7B">
              <w:rPr>
                <w:szCs w:val="20"/>
              </w:rPr>
              <w:t>Low</w:t>
            </w:r>
          </w:p>
        </w:tc>
        <w:tc>
          <w:tcPr>
            <w:tcW w:w="672" w:type="pct"/>
            <w:vMerge/>
            <w:shd w:val="clear" w:color="auto" w:fill="auto"/>
            <w:vAlign w:val="center"/>
          </w:tcPr>
          <w:p w14:paraId="382349D7" w14:textId="77777777" w:rsidR="007702C1" w:rsidRPr="005B6D7B" w:rsidRDefault="007702C1" w:rsidP="00BE22DD">
            <w:pPr>
              <w:pStyle w:val="TableText0"/>
              <w:keepNext w:val="0"/>
              <w:rPr>
                <w:szCs w:val="20"/>
              </w:rPr>
            </w:pPr>
          </w:p>
        </w:tc>
        <w:tc>
          <w:tcPr>
            <w:tcW w:w="1063" w:type="pct"/>
            <w:vMerge/>
            <w:shd w:val="clear" w:color="auto" w:fill="auto"/>
            <w:vAlign w:val="center"/>
          </w:tcPr>
          <w:p w14:paraId="3CD49FB6" w14:textId="77777777" w:rsidR="007702C1" w:rsidRPr="005B6D7B" w:rsidRDefault="007702C1" w:rsidP="00BE22DD">
            <w:pPr>
              <w:pStyle w:val="TableText0"/>
              <w:rPr>
                <w:szCs w:val="20"/>
              </w:rPr>
            </w:pPr>
          </w:p>
        </w:tc>
      </w:tr>
      <w:tr w:rsidR="00854C7E" w:rsidRPr="005B6D7B" w14:paraId="6F730064" w14:textId="77777777" w:rsidTr="00461C39">
        <w:trPr>
          <w:cantSplit/>
          <w:trHeight w:val="20"/>
        </w:trPr>
        <w:tc>
          <w:tcPr>
            <w:tcW w:w="1210" w:type="pct"/>
            <w:shd w:val="clear" w:color="auto" w:fill="auto"/>
            <w:vAlign w:val="center"/>
          </w:tcPr>
          <w:p w14:paraId="4AEC2017" w14:textId="27B6E147" w:rsidR="007702C1" w:rsidRPr="005B6D7B" w:rsidRDefault="007702C1" w:rsidP="00BE22DD">
            <w:pPr>
              <w:pStyle w:val="TableText0"/>
              <w:keepNext w:val="0"/>
              <w:rPr>
                <w:szCs w:val="20"/>
              </w:rPr>
            </w:pPr>
            <w:r w:rsidRPr="005B6D7B">
              <w:rPr>
                <w:szCs w:val="20"/>
              </w:rPr>
              <w:t>BE RADIANT (SEC)</w:t>
            </w:r>
          </w:p>
        </w:tc>
        <w:tc>
          <w:tcPr>
            <w:tcW w:w="618" w:type="pct"/>
            <w:shd w:val="clear" w:color="auto" w:fill="auto"/>
            <w:vAlign w:val="center"/>
          </w:tcPr>
          <w:p w14:paraId="5F97E60C" w14:textId="05767A1F" w:rsidR="007702C1" w:rsidRPr="005B6D7B" w:rsidRDefault="007702C1" w:rsidP="002B3C96">
            <w:pPr>
              <w:pStyle w:val="TableText0"/>
              <w:keepNext w:val="0"/>
              <w:ind w:left="-22"/>
              <w:jc w:val="center"/>
              <w:rPr>
                <w:szCs w:val="20"/>
                <w:highlight w:val="yellow"/>
              </w:rPr>
            </w:pPr>
            <w:r w:rsidRPr="005B6D7B">
              <w:rPr>
                <w:szCs w:val="20"/>
              </w:rPr>
              <w:t>743</w:t>
            </w:r>
            <w:r w:rsidR="00DA76AF" w:rsidRPr="005B6D7B">
              <w:rPr>
                <w:szCs w:val="20"/>
              </w:rPr>
              <w:t xml:space="preserve"> (743)</w:t>
            </w:r>
          </w:p>
        </w:tc>
        <w:tc>
          <w:tcPr>
            <w:tcW w:w="1049" w:type="pct"/>
            <w:shd w:val="clear" w:color="auto" w:fill="auto"/>
            <w:vAlign w:val="center"/>
          </w:tcPr>
          <w:p w14:paraId="6E3DFF18" w14:textId="6436766A" w:rsidR="007702C1" w:rsidRPr="00304ED2" w:rsidRDefault="007702C1" w:rsidP="002B3C96">
            <w:pPr>
              <w:pStyle w:val="TableText0"/>
              <w:keepNext w:val="0"/>
              <w:jc w:val="center"/>
            </w:pPr>
            <w:r w:rsidRPr="00304ED2">
              <w:t>P3</w:t>
            </w:r>
            <w:r w:rsidRPr="00304ED2">
              <w:rPr>
                <w:bCs w:val="0"/>
              </w:rPr>
              <w:t xml:space="preserve">, R, DB, </w:t>
            </w:r>
            <w:r w:rsidRPr="00304ED2">
              <w:t>MC, 48 wks</w:t>
            </w:r>
          </w:p>
        </w:tc>
        <w:tc>
          <w:tcPr>
            <w:tcW w:w="388" w:type="pct"/>
            <w:shd w:val="clear" w:color="auto" w:fill="auto"/>
            <w:vAlign w:val="center"/>
          </w:tcPr>
          <w:p w14:paraId="5B7037F3" w14:textId="78B0BBE8" w:rsidR="007702C1" w:rsidRPr="005B6D7B" w:rsidRDefault="007702C1" w:rsidP="002B3C96">
            <w:pPr>
              <w:pStyle w:val="TableText0"/>
              <w:keepNext w:val="0"/>
              <w:ind w:left="-23"/>
              <w:jc w:val="center"/>
              <w:rPr>
                <w:szCs w:val="20"/>
              </w:rPr>
            </w:pPr>
            <w:r w:rsidRPr="005B6D7B">
              <w:rPr>
                <w:szCs w:val="20"/>
              </w:rPr>
              <w:t>Low</w:t>
            </w:r>
          </w:p>
        </w:tc>
        <w:tc>
          <w:tcPr>
            <w:tcW w:w="672" w:type="pct"/>
            <w:vMerge/>
            <w:shd w:val="clear" w:color="auto" w:fill="auto"/>
            <w:vAlign w:val="center"/>
          </w:tcPr>
          <w:p w14:paraId="7B1F4568" w14:textId="77777777" w:rsidR="007702C1" w:rsidRPr="005B6D7B" w:rsidRDefault="007702C1" w:rsidP="00BE22DD">
            <w:pPr>
              <w:pStyle w:val="TableText0"/>
              <w:keepNext w:val="0"/>
              <w:rPr>
                <w:szCs w:val="20"/>
              </w:rPr>
            </w:pPr>
          </w:p>
        </w:tc>
        <w:tc>
          <w:tcPr>
            <w:tcW w:w="1063" w:type="pct"/>
            <w:vMerge/>
            <w:shd w:val="clear" w:color="auto" w:fill="auto"/>
            <w:vAlign w:val="center"/>
          </w:tcPr>
          <w:p w14:paraId="79B6A8B4" w14:textId="77777777" w:rsidR="007702C1" w:rsidRPr="005B6D7B" w:rsidRDefault="007702C1" w:rsidP="00BE22DD">
            <w:pPr>
              <w:pStyle w:val="TableText0"/>
              <w:keepNext w:val="0"/>
              <w:rPr>
                <w:szCs w:val="20"/>
              </w:rPr>
            </w:pPr>
          </w:p>
        </w:tc>
      </w:tr>
      <w:tr w:rsidR="00854C7E" w:rsidRPr="005B6D7B" w14:paraId="76C886CA" w14:textId="77777777" w:rsidTr="00461C39">
        <w:trPr>
          <w:cantSplit/>
          <w:trHeight w:val="20"/>
        </w:trPr>
        <w:tc>
          <w:tcPr>
            <w:tcW w:w="1210" w:type="pct"/>
            <w:shd w:val="clear" w:color="auto" w:fill="auto"/>
            <w:vAlign w:val="center"/>
          </w:tcPr>
          <w:p w14:paraId="29E2F809" w14:textId="15878D0A" w:rsidR="007702C1" w:rsidRPr="005B6D7B" w:rsidRDefault="007702C1" w:rsidP="00BE22DD">
            <w:pPr>
              <w:pStyle w:val="TableText0"/>
              <w:keepNext w:val="0"/>
              <w:rPr>
                <w:szCs w:val="20"/>
              </w:rPr>
            </w:pPr>
            <w:r w:rsidRPr="005B6D7B">
              <w:rPr>
                <w:szCs w:val="20"/>
              </w:rPr>
              <w:t>BE VIVID (PBO</w:t>
            </w:r>
            <w:r w:rsidR="008E40C7" w:rsidRPr="005B6D7B">
              <w:rPr>
                <w:szCs w:val="20"/>
              </w:rPr>
              <w:t>,</w:t>
            </w:r>
            <w:r w:rsidRPr="005B6D7B">
              <w:rPr>
                <w:szCs w:val="20"/>
              </w:rPr>
              <w:t xml:space="preserve"> UST)</w:t>
            </w:r>
          </w:p>
        </w:tc>
        <w:tc>
          <w:tcPr>
            <w:tcW w:w="618" w:type="pct"/>
            <w:shd w:val="clear" w:color="auto" w:fill="auto"/>
            <w:vAlign w:val="center"/>
          </w:tcPr>
          <w:p w14:paraId="035246EB" w14:textId="178154B6" w:rsidR="007702C1" w:rsidRPr="005B6D7B" w:rsidRDefault="007702C1" w:rsidP="002B3C96">
            <w:pPr>
              <w:pStyle w:val="TableText0"/>
              <w:keepNext w:val="0"/>
              <w:ind w:left="-22"/>
              <w:jc w:val="center"/>
              <w:rPr>
                <w:szCs w:val="20"/>
                <w:highlight w:val="yellow"/>
              </w:rPr>
            </w:pPr>
            <w:r w:rsidRPr="005B6D7B">
              <w:rPr>
                <w:szCs w:val="20"/>
              </w:rPr>
              <w:t>567</w:t>
            </w:r>
            <w:r w:rsidR="00DA76AF" w:rsidRPr="005B6D7B">
              <w:rPr>
                <w:szCs w:val="20"/>
              </w:rPr>
              <w:t xml:space="preserve"> (484)</w:t>
            </w:r>
          </w:p>
        </w:tc>
        <w:tc>
          <w:tcPr>
            <w:tcW w:w="1049" w:type="pct"/>
            <w:shd w:val="clear" w:color="auto" w:fill="auto"/>
            <w:vAlign w:val="center"/>
          </w:tcPr>
          <w:p w14:paraId="296207FC" w14:textId="61C1B147" w:rsidR="007702C1" w:rsidRPr="00304ED2" w:rsidRDefault="007702C1" w:rsidP="002B3C96">
            <w:pPr>
              <w:pStyle w:val="TableText0"/>
              <w:keepNext w:val="0"/>
              <w:jc w:val="center"/>
            </w:pPr>
            <w:r w:rsidRPr="00304ED2">
              <w:t xml:space="preserve">P3, R, DB, MC, </w:t>
            </w:r>
            <w:r w:rsidR="00D419E4" w:rsidRPr="00566D6A">
              <w:t>7</w:t>
            </w:r>
            <w:r w:rsidRPr="00566D6A">
              <w:t>2</w:t>
            </w:r>
            <w:r w:rsidRPr="00304ED2">
              <w:t xml:space="preserve"> wks</w:t>
            </w:r>
          </w:p>
        </w:tc>
        <w:tc>
          <w:tcPr>
            <w:tcW w:w="388" w:type="pct"/>
            <w:shd w:val="clear" w:color="auto" w:fill="auto"/>
            <w:vAlign w:val="center"/>
          </w:tcPr>
          <w:p w14:paraId="30D91EC9" w14:textId="77777777" w:rsidR="007702C1" w:rsidRPr="005B6D7B" w:rsidRDefault="007702C1" w:rsidP="002B3C96">
            <w:pPr>
              <w:pStyle w:val="TableText0"/>
              <w:keepNext w:val="0"/>
              <w:ind w:left="-23"/>
              <w:jc w:val="center"/>
              <w:rPr>
                <w:szCs w:val="20"/>
              </w:rPr>
            </w:pPr>
            <w:r w:rsidRPr="005B6D7B">
              <w:rPr>
                <w:szCs w:val="20"/>
              </w:rPr>
              <w:t>Low</w:t>
            </w:r>
          </w:p>
        </w:tc>
        <w:tc>
          <w:tcPr>
            <w:tcW w:w="672" w:type="pct"/>
            <w:vMerge/>
            <w:shd w:val="clear" w:color="auto" w:fill="auto"/>
            <w:vAlign w:val="center"/>
          </w:tcPr>
          <w:p w14:paraId="147EE438" w14:textId="77777777" w:rsidR="007702C1" w:rsidRPr="005B6D7B" w:rsidRDefault="007702C1" w:rsidP="00BE22DD">
            <w:pPr>
              <w:pStyle w:val="TableText0"/>
              <w:keepNext w:val="0"/>
              <w:rPr>
                <w:szCs w:val="20"/>
              </w:rPr>
            </w:pPr>
          </w:p>
        </w:tc>
        <w:tc>
          <w:tcPr>
            <w:tcW w:w="1063" w:type="pct"/>
            <w:vMerge/>
            <w:shd w:val="clear" w:color="auto" w:fill="auto"/>
            <w:vAlign w:val="center"/>
          </w:tcPr>
          <w:p w14:paraId="6305F658" w14:textId="77777777" w:rsidR="007702C1" w:rsidRPr="005B6D7B" w:rsidRDefault="007702C1" w:rsidP="00BE22DD">
            <w:pPr>
              <w:pStyle w:val="TableText0"/>
              <w:keepNext w:val="0"/>
              <w:rPr>
                <w:szCs w:val="20"/>
              </w:rPr>
            </w:pPr>
          </w:p>
        </w:tc>
      </w:tr>
      <w:tr w:rsidR="00D54C74" w:rsidRPr="005B6D7B" w14:paraId="2B005B47" w14:textId="77777777" w:rsidTr="00854C7E">
        <w:trPr>
          <w:cantSplit/>
          <w:trHeight w:val="20"/>
        </w:trPr>
        <w:tc>
          <w:tcPr>
            <w:tcW w:w="5000" w:type="pct"/>
            <w:gridSpan w:val="6"/>
            <w:shd w:val="clear" w:color="auto" w:fill="auto"/>
            <w:vAlign w:val="center"/>
          </w:tcPr>
          <w:p w14:paraId="05E7DC70" w14:textId="2F3B1B7A" w:rsidR="00D54C74" w:rsidRPr="005B6D7B" w:rsidRDefault="00D54C74" w:rsidP="00BE22DD">
            <w:pPr>
              <w:pStyle w:val="TableText0"/>
              <w:keepNext w:val="0"/>
              <w:rPr>
                <w:b/>
                <w:bCs w:val="0"/>
                <w:szCs w:val="20"/>
              </w:rPr>
            </w:pPr>
            <w:r w:rsidRPr="005B6D7B">
              <w:rPr>
                <w:b/>
                <w:bCs w:val="0"/>
                <w:szCs w:val="20"/>
              </w:rPr>
              <w:t>Etanercept</w:t>
            </w:r>
            <w:r w:rsidR="00110120" w:rsidRPr="005B6D7B">
              <w:rPr>
                <w:b/>
                <w:bCs w:val="0"/>
                <w:szCs w:val="20"/>
              </w:rPr>
              <w:t xml:space="preserve"> trials</w:t>
            </w:r>
            <w:r w:rsidR="00B84BE4" w:rsidRPr="005B6D7B">
              <w:rPr>
                <w:b/>
                <w:bCs w:val="0"/>
                <w:szCs w:val="20"/>
              </w:rPr>
              <w:t xml:space="preserve"> </w:t>
            </w:r>
            <w:r w:rsidR="00B84BE4" w:rsidRPr="005B6D7B">
              <w:rPr>
                <w:b/>
                <w:bCs w:val="0"/>
              </w:rPr>
              <w:t>(comparator)</w:t>
            </w:r>
          </w:p>
        </w:tc>
      </w:tr>
      <w:tr w:rsidR="00854C7E" w:rsidRPr="005B6D7B" w14:paraId="1BEC2565" w14:textId="77777777" w:rsidTr="00461C39">
        <w:trPr>
          <w:cantSplit/>
          <w:trHeight w:val="20"/>
        </w:trPr>
        <w:tc>
          <w:tcPr>
            <w:tcW w:w="1210" w:type="pct"/>
            <w:shd w:val="clear" w:color="auto" w:fill="auto"/>
            <w:vAlign w:val="center"/>
          </w:tcPr>
          <w:p w14:paraId="47BA7B2C" w14:textId="5EBAD160" w:rsidR="00B63A75" w:rsidRPr="005B6D7B" w:rsidRDefault="00B63A75" w:rsidP="00BE22DD">
            <w:pPr>
              <w:pStyle w:val="TableText0"/>
              <w:keepNext w:val="0"/>
              <w:rPr>
                <w:szCs w:val="20"/>
              </w:rPr>
            </w:pPr>
            <w:r w:rsidRPr="005B6D7B">
              <w:rPr>
                <w:szCs w:val="20"/>
              </w:rPr>
              <w:t>Leonardi 2003 (PBO)</w:t>
            </w:r>
          </w:p>
        </w:tc>
        <w:tc>
          <w:tcPr>
            <w:tcW w:w="618" w:type="pct"/>
            <w:shd w:val="clear" w:color="auto" w:fill="auto"/>
            <w:vAlign w:val="center"/>
          </w:tcPr>
          <w:p w14:paraId="581432A8" w14:textId="3FFF2EE2" w:rsidR="00B63A75" w:rsidRPr="005B6D7B" w:rsidRDefault="00B63A75" w:rsidP="002B3C96">
            <w:pPr>
              <w:pStyle w:val="TableText0"/>
              <w:keepNext w:val="0"/>
              <w:ind w:left="-22"/>
              <w:jc w:val="center"/>
              <w:rPr>
                <w:szCs w:val="20"/>
                <w:highlight w:val="yellow"/>
              </w:rPr>
            </w:pPr>
            <w:r w:rsidRPr="005B6D7B">
              <w:rPr>
                <w:szCs w:val="20"/>
              </w:rPr>
              <w:t>6</w:t>
            </w:r>
            <w:r w:rsidR="008E40C7" w:rsidRPr="005B6D7B">
              <w:rPr>
                <w:szCs w:val="20"/>
              </w:rPr>
              <w:t>72</w:t>
            </w:r>
            <w:r w:rsidR="002033A6" w:rsidRPr="005B6D7B">
              <w:rPr>
                <w:szCs w:val="20"/>
              </w:rPr>
              <w:t xml:space="preserve"> (328)</w:t>
            </w:r>
          </w:p>
        </w:tc>
        <w:tc>
          <w:tcPr>
            <w:tcW w:w="1049" w:type="pct"/>
            <w:shd w:val="clear" w:color="auto" w:fill="auto"/>
            <w:vAlign w:val="center"/>
          </w:tcPr>
          <w:p w14:paraId="7BC18B84" w14:textId="5429FFF7" w:rsidR="00B63A75" w:rsidRPr="005B6D7B" w:rsidRDefault="00B63A75" w:rsidP="002B3C96">
            <w:pPr>
              <w:pStyle w:val="TableText0"/>
              <w:keepNext w:val="0"/>
              <w:jc w:val="center"/>
              <w:rPr>
                <w:szCs w:val="20"/>
                <w:highlight w:val="yellow"/>
              </w:rPr>
            </w:pPr>
            <w:r w:rsidRPr="005B6D7B">
              <w:rPr>
                <w:rFonts w:cstheme="minorHAnsi"/>
                <w:szCs w:val="20"/>
              </w:rPr>
              <w:t>P3, R, DB, MC</w:t>
            </w:r>
            <w:r w:rsidRPr="005B6D7B">
              <w:rPr>
                <w:szCs w:val="20"/>
              </w:rPr>
              <w:t>, 24 wks</w:t>
            </w:r>
          </w:p>
        </w:tc>
        <w:tc>
          <w:tcPr>
            <w:tcW w:w="388" w:type="pct"/>
            <w:shd w:val="clear" w:color="auto" w:fill="auto"/>
            <w:vAlign w:val="center"/>
          </w:tcPr>
          <w:p w14:paraId="4B1247FB" w14:textId="77777777" w:rsidR="00B63A75" w:rsidRPr="005B6D7B" w:rsidRDefault="00B63A75" w:rsidP="002B3C96">
            <w:pPr>
              <w:pStyle w:val="TableText0"/>
              <w:keepNext w:val="0"/>
              <w:ind w:left="-23"/>
              <w:jc w:val="center"/>
              <w:rPr>
                <w:szCs w:val="20"/>
              </w:rPr>
            </w:pPr>
            <w:r w:rsidRPr="005B6D7B">
              <w:rPr>
                <w:szCs w:val="20"/>
              </w:rPr>
              <w:t>Low</w:t>
            </w:r>
          </w:p>
        </w:tc>
        <w:tc>
          <w:tcPr>
            <w:tcW w:w="672" w:type="pct"/>
            <w:vMerge w:val="restart"/>
            <w:shd w:val="clear" w:color="auto" w:fill="auto"/>
            <w:vAlign w:val="center"/>
          </w:tcPr>
          <w:p w14:paraId="176039EF" w14:textId="0A213955" w:rsidR="00B63A75" w:rsidRPr="005B6D7B" w:rsidRDefault="00B63A75" w:rsidP="00A4736E">
            <w:pPr>
              <w:pStyle w:val="TableText0"/>
              <w:keepNext w:val="0"/>
              <w:jc w:val="center"/>
              <w:rPr>
                <w:szCs w:val="20"/>
              </w:rPr>
            </w:pPr>
            <w:r w:rsidRPr="005B6D7B">
              <w:rPr>
                <w:rFonts w:cstheme="minorHAnsi"/>
                <w:iCs/>
                <w:szCs w:val="20"/>
              </w:rPr>
              <w:t>Moderate to severe CPP; BSA ≥10%; PASI ≥10</w:t>
            </w:r>
          </w:p>
        </w:tc>
        <w:tc>
          <w:tcPr>
            <w:tcW w:w="1063" w:type="pct"/>
            <w:vMerge w:val="restart"/>
            <w:shd w:val="clear" w:color="auto" w:fill="auto"/>
            <w:vAlign w:val="center"/>
          </w:tcPr>
          <w:p w14:paraId="619B3FD1" w14:textId="4C93BDEB" w:rsidR="00B63A75" w:rsidRPr="005B6D7B" w:rsidRDefault="00B63A75" w:rsidP="00BE22DD">
            <w:pPr>
              <w:pStyle w:val="TableText0"/>
              <w:rPr>
                <w:szCs w:val="20"/>
              </w:rPr>
            </w:pPr>
            <w:r w:rsidRPr="005B6D7B">
              <w:t>PASI 75 (12 wks); PASI 90 (12 wks)</w:t>
            </w:r>
          </w:p>
        </w:tc>
      </w:tr>
      <w:tr w:rsidR="00854C7E" w:rsidRPr="005B6D7B" w14:paraId="52F2335F" w14:textId="77777777" w:rsidTr="00461C39">
        <w:trPr>
          <w:cantSplit/>
          <w:trHeight w:val="20"/>
        </w:trPr>
        <w:tc>
          <w:tcPr>
            <w:tcW w:w="1210" w:type="pct"/>
            <w:shd w:val="clear" w:color="auto" w:fill="auto"/>
            <w:vAlign w:val="center"/>
          </w:tcPr>
          <w:p w14:paraId="4D635FD1" w14:textId="5AE9B723" w:rsidR="00B63A75" w:rsidRPr="005B6D7B" w:rsidRDefault="00B63A75" w:rsidP="00BE22DD">
            <w:pPr>
              <w:pStyle w:val="TableText0"/>
              <w:keepNext w:val="0"/>
              <w:rPr>
                <w:szCs w:val="20"/>
              </w:rPr>
            </w:pPr>
            <w:r w:rsidRPr="005B6D7B">
              <w:rPr>
                <w:szCs w:val="20"/>
              </w:rPr>
              <w:t>Papp 2005 (PBO)</w:t>
            </w:r>
          </w:p>
        </w:tc>
        <w:tc>
          <w:tcPr>
            <w:tcW w:w="618" w:type="pct"/>
            <w:shd w:val="clear" w:color="auto" w:fill="auto"/>
            <w:vAlign w:val="center"/>
          </w:tcPr>
          <w:p w14:paraId="785FC3BE" w14:textId="18D4A9C2" w:rsidR="00B63A75" w:rsidRPr="005B6D7B" w:rsidRDefault="00DA76AF" w:rsidP="002B3C96">
            <w:pPr>
              <w:pStyle w:val="TableText0"/>
              <w:keepNext w:val="0"/>
              <w:ind w:left="-22"/>
              <w:jc w:val="center"/>
              <w:rPr>
                <w:szCs w:val="20"/>
                <w:highlight w:val="yellow"/>
              </w:rPr>
            </w:pPr>
            <w:r w:rsidRPr="005B6D7B">
              <w:rPr>
                <w:szCs w:val="20"/>
              </w:rPr>
              <w:t>611</w:t>
            </w:r>
            <w:r w:rsidR="002033A6" w:rsidRPr="005B6D7B">
              <w:rPr>
                <w:szCs w:val="20"/>
              </w:rPr>
              <w:t xml:space="preserve"> (389)</w:t>
            </w:r>
          </w:p>
        </w:tc>
        <w:tc>
          <w:tcPr>
            <w:tcW w:w="1049" w:type="pct"/>
            <w:shd w:val="clear" w:color="auto" w:fill="auto"/>
            <w:vAlign w:val="center"/>
          </w:tcPr>
          <w:p w14:paraId="523B4A4D" w14:textId="2B106BFD" w:rsidR="00B63A75" w:rsidRPr="005B6D7B" w:rsidRDefault="00B63A75" w:rsidP="002B3C96">
            <w:pPr>
              <w:pStyle w:val="TableText0"/>
              <w:keepNext w:val="0"/>
              <w:jc w:val="center"/>
              <w:rPr>
                <w:szCs w:val="20"/>
              </w:rPr>
            </w:pPr>
            <w:r w:rsidRPr="005B6D7B">
              <w:rPr>
                <w:rFonts w:cstheme="minorHAnsi"/>
                <w:szCs w:val="20"/>
              </w:rPr>
              <w:t>P3, R, DB, MC</w:t>
            </w:r>
            <w:r w:rsidRPr="005B6D7B">
              <w:rPr>
                <w:szCs w:val="20"/>
              </w:rPr>
              <w:t>, 24 wks</w:t>
            </w:r>
          </w:p>
        </w:tc>
        <w:tc>
          <w:tcPr>
            <w:tcW w:w="388" w:type="pct"/>
            <w:shd w:val="clear" w:color="auto" w:fill="auto"/>
            <w:vAlign w:val="center"/>
          </w:tcPr>
          <w:p w14:paraId="479E3DF2" w14:textId="77777777" w:rsidR="00B63A75" w:rsidRPr="005B6D7B" w:rsidRDefault="00B63A75" w:rsidP="002B3C96">
            <w:pPr>
              <w:pStyle w:val="TableText0"/>
              <w:keepNext w:val="0"/>
              <w:ind w:left="-23"/>
              <w:jc w:val="center"/>
              <w:rPr>
                <w:szCs w:val="20"/>
              </w:rPr>
            </w:pPr>
            <w:r w:rsidRPr="005B6D7B">
              <w:rPr>
                <w:szCs w:val="20"/>
              </w:rPr>
              <w:t>Low</w:t>
            </w:r>
          </w:p>
        </w:tc>
        <w:tc>
          <w:tcPr>
            <w:tcW w:w="672" w:type="pct"/>
            <w:vMerge/>
            <w:shd w:val="clear" w:color="auto" w:fill="auto"/>
            <w:vAlign w:val="center"/>
          </w:tcPr>
          <w:p w14:paraId="1CBB3BD1" w14:textId="5ACB8DFA" w:rsidR="00B63A75" w:rsidRPr="005B6D7B" w:rsidRDefault="00B63A75" w:rsidP="001D310F">
            <w:pPr>
              <w:pStyle w:val="TableText0"/>
              <w:jc w:val="center"/>
              <w:rPr>
                <w:szCs w:val="20"/>
              </w:rPr>
            </w:pPr>
          </w:p>
        </w:tc>
        <w:tc>
          <w:tcPr>
            <w:tcW w:w="1063" w:type="pct"/>
            <w:vMerge/>
            <w:shd w:val="clear" w:color="auto" w:fill="auto"/>
            <w:vAlign w:val="center"/>
          </w:tcPr>
          <w:p w14:paraId="55F27EAA" w14:textId="7E1019C1" w:rsidR="00B63A75" w:rsidRPr="005B6D7B" w:rsidRDefault="00B63A75" w:rsidP="00BE22DD">
            <w:pPr>
              <w:pStyle w:val="TableText0"/>
              <w:rPr>
                <w:szCs w:val="20"/>
              </w:rPr>
            </w:pPr>
          </w:p>
        </w:tc>
      </w:tr>
      <w:tr w:rsidR="00854C7E" w:rsidRPr="005B6D7B" w14:paraId="09F9C870" w14:textId="77777777" w:rsidTr="00461C39">
        <w:trPr>
          <w:cantSplit/>
          <w:trHeight w:val="20"/>
        </w:trPr>
        <w:tc>
          <w:tcPr>
            <w:tcW w:w="1210" w:type="pct"/>
            <w:shd w:val="clear" w:color="auto" w:fill="auto"/>
            <w:vAlign w:val="center"/>
          </w:tcPr>
          <w:p w14:paraId="30A9A7C4" w14:textId="300BA2AD" w:rsidR="00B63A75" w:rsidRPr="005B6D7B" w:rsidRDefault="00B63A75" w:rsidP="00BE22DD">
            <w:pPr>
              <w:pStyle w:val="TableText0"/>
              <w:keepNext w:val="0"/>
              <w:rPr>
                <w:szCs w:val="20"/>
              </w:rPr>
            </w:pPr>
            <w:r w:rsidRPr="005B6D7B">
              <w:rPr>
                <w:szCs w:val="20"/>
              </w:rPr>
              <w:t>Van De Kerkhof 2008 (PBO)</w:t>
            </w:r>
          </w:p>
        </w:tc>
        <w:tc>
          <w:tcPr>
            <w:tcW w:w="618" w:type="pct"/>
            <w:shd w:val="clear" w:color="auto" w:fill="auto"/>
            <w:vAlign w:val="center"/>
          </w:tcPr>
          <w:p w14:paraId="7795E563" w14:textId="02F09FCC" w:rsidR="00B63A75" w:rsidRPr="005B6D7B" w:rsidRDefault="00B63A75" w:rsidP="002B3C96">
            <w:pPr>
              <w:pStyle w:val="TableText0"/>
              <w:keepNext w:val="0"/>
              <w:ind w:left="-22"/>
              <w:jc w:val="center"/>
              <w:rPr>
                <w:szCs w:val="20"/>
                <w:highlight w:val="yellow"/>
              </w:rPr>
            </w:pPr>
            <w:r w:rsidRPr="005B6D7B">
              <w:rPr>
                <w:szCs w:val="20"/>
              </w:rPr>
              <w:t>142</w:t>
            </w:r>
            <w:r w:rsidR="00DA76AF" w:rsidRPr="005B6D7B">
              <w:rPr>
                <w:szCs w:val="20"/>
              </w:rPr>
              <w:t xml:space="preserve"> (142)</w:t>
            </w:r>
          </w:p>
        </w:tc>
        <w:tc>
          <w:tcPr>
            <w:tcW w:w="1049" w:type="pct"/>
            <w:shd w:val="clear" w:color="auto" w:fill="auto"/>
            <w:vAlign w:val="center"/>
          </w:tcPr>
          <w:p w14:paraId="00092A8C" w14:textId="79C05DFF" w:rsidR="00B63A75" w:rsidRPr="005B6D7B" w:rsidRDefault="00B63A75" w:rsidP="002B3C96">
            <w:pPr>
              <w:pStyle w:val="TableText0"/>
              <w:keepNext w:val="0"/>
              <w:jc w:val="center"/>
              <w:rPr>
                <w:szCs w:val="20"/>
                <w:highlight w:val="yellow"/>
              </w:rPr>
            </w:pPr>
            <w:r w:rsidRPr="005B6D7B">
              <w:rPr>
                <w:rFonts w:cstheme="minorHAnsi"/>
                <w:szCs w:val="20"/>
              </w:rPr>
              <w:t xml:space="preserve">P3, R, </w:t>
            </w:r>
            <w:r w:rsidRPr="00304ED2">
              <w:rPr>
                <w:rFonts w:cstheme="minorHAnsi"/>
                <w:szCs w:val="20"/>
              </w:rPr>
              <w:t>DB</w:t>
            </w:r>
            <w:r w:rsidR="00D419E4" w:rsidRPr="00304ED2">
              <w:rPr>
                <w:rFonts w:cstheme="minorHAnsi"/>
                <w:szCs w:val="20"/>
              </w:rPr>
              <w:t xml:space="preserve"> (</w:t>
            </w:r>
            <w:r w:rsidR="00D419E4" w:rsidRPr="00566D6A">
              <w:rPr>
                <w:rFonts w:cstheme="minorHAnsi"/>
                <w:bCs w:val="0"/>
                <w:szCs w:val="20"/>
              </w:rPr>
              <w:t>12 wks then OL</w:t>
            </w:r>
            <w:r w:rsidR="00D419E4" w:rsidRPr="00566D6A">
              <w:rPr>
                <w:szCs w:val="20"/>
              </w:rPr>
              <w:t>)</w:t>
            </w:r>
            <w:r w:rsidRPr="00304ED2">
              <w:rPr>
                <w:rFonts w:cstheme="minorHAnsi"/>
                <w:szCs w:val="20"/>
              </w:rPr>
              <w:t>,</w:t>
            </w:r>
            <w:r w:rsidRPr="005B6D7B">
              <w:rPr>
                <w:rFonts w:cstheme="minorHAnsi"/>
                <w:szCs w:val="20"/>
              </w:rPr>
              <w:t xml:space="preserve"> MC</w:t>
            </w:r>
            <w:r w:rsidRPr="005B6D7B">
              <w:rPr>
                <w:szCs w:val="20"/>
              </w:rPr>
              <w:t xml:space="preserve">, </w:t>
            </w:r>
            <w:r w:rsidR="00D419E4" w:rsidRPr="005B6D7B">
              <w:rPr>
                <w:szCs w:val="20"/>
              </w:rPr>
              <w:t>24</w:t>
            </w:r>
            <w:r w:rsidRPr="005B6D7B">
              <w:rPr>
                <w:szCs w:val="20"/>
              </w:rPr>
              <w:t xml:space="preserve"> wks</w:t>
            </w:r>
          </w:p>
        </w:tc>
        <w:tc>
          <w:tcPr>
            <w:tcW w:w="388" w:type="pct"/>
            <w:shd w:val="clear" w:color="auto" w:fill="auto"/>
            <w:vAlign w:val="center"/>
          </w:tcPr>
          <w:p w14:paraId="7AB1EB76" w14:textId="77777777" w:rsidR="00B63A75" w:rsidRPr="005B6D7B" w:rsidRDefault="00B63A75" w:rsidP="002B3C96">
            <w:pPr>
              <w:pStyle w:val="TableText0"/>
              <w:keepNext w:val="0"/>
              <w:ind w:left="-23"/>
              <w:jc w:val="center"/>
              <w:rPr>
                <w:szCs w:val="20"/>
              </w:rPr>
            </w:pPr>
            <w:r w:rsidRPr="005B6D7B">
              <w:rPr>
                <w:szCs w:val="20"/>
              </w:rPr>
              <w:t>Low</w:t>
            </w:r>
          </w:p>
        </w:tc>
        <w:tc>
          <w:tcPr>
            <w:tcW w:w="672" w:type="pct"/>
            <w:vMerge/>
            <w:shd w:val="clear" w:color="auto" w:fill="auto"/>
            <w:vAlign w:val="center"/>
          </w:tcPr>
          <w:p w14:paraId="16A30D53" w14:textId="4CB6D510" w:rsidR="00B63A75" w:rsidRPr="005B6D7B" w:rsidRDefault="00B63A75" w:rsidP="001D310F">
            <w:pPr>
              <w:pStyle w:val="TableText0"/>
              <w:keepNext w:val="0"/>
              <w:jc w:val="center"/>
              <w:rPr>
                <w:szCs w:val="20"/>
              </w:rPr>
            </w:pPr>
          </w:p>
        </w:tc>
        <w:tc>
          <w:tcPr>
            <w:tcW w:w="1063" w:type="pct"/>
            <w:vMerge/>
            <w:shd w:val="clear" w:color="auto" w:fill="auto"/>
            <w:vAlign w:val="center"/>
          </w:tcPr>
          <w:p w14:paraId="0842E938" w14:textId="5E75C064" w:rsidR="00B63A75" w:rsidRPr="005B6D7B" w:rsidRDefault="00B63A75" w:rsidP="00BE22DD">
            <w:pPr>
              <w:pStyle w:val="TableText0"/>
              <w:keepNext w:val="0"/>
              <w:rPr>
                <w:szCs w:val="20"/>
              </w:rPr>
            </w:pPr>
          </w:p>
        </w:tc>
      </w:tr>
      <w:tr w:rsidR="00854C7E" w:rsidRPr="005B6D7B" w14:paraId="2CF620EC" w14:textId="77777777" w:rsidTr="00461C39">
        <w:trPr>
          <w:cantSplit/>
          <w:trHeight w:val="20"/>
        </w:trPr>
        <w:tc>
          <w:tcPr>
            <w:tcW w:w="1210" w:type="pct"/>
            <w:shd w:val="clear" w:color="auto" w:fill="auto"/>
            <w:vAlign w:val="center"/>
          </w:tcPr>
          <w:p w14:paraId="4E8B21EA" w14:textId="139AEE2B" w:rsidR="00B63A75" w:rsidRPr="005B6D7B" w:rsidRDefault="00B63A75" w:rsidP="00BE22DD">
            <w:pPr>
              <w:pStyle w:val="TableText0"/>
              <w:keepNext w:val="0"/>
              <w:rPr>
                <w:szCs w:val="20"/>
              </w:rPr>
            </w:pPr>
            <w:r w:rsidRPr="005B6D7B">
              <w:rPr>
                <w:szCs w:val="20"/>
              </w:rPr>
              <w:t>Gottlieb 2003 (PBO)</w:t>
            </w:r>
          </w:p>
        </w:tc>
        <w:tc>
          <w:tcPr>
            <w:tcW w:w="618" w:type="pct"/>
            <w:shd w:val="clear" w:color="auto" w:fill="auto"/>
            <w:vAlign w:val="center"/>
          </w:tcPr>
          <w:p w14:paraId="4AA0F4CF" w14:textId="245CC04A" w:rsidR="00B63A75" w:rsidRPr="005B6D7B" w:rsidRDefault="00B63A75" w:rsidP="002B3C96">
            <w:pPr>
              <w:pStyle w:val="TableText0"/>
              <w:keepNext w:val="0"/>
              <w:ind w:left="-22"/>
              <w:jc w:val="center"/>
              <w:rPr>
                <w:szCs w:val="20"/>
                <w:highlight w:val="yellow"/>
              </w:rPr>
            </w:pPr>
            <w:r w:rsidRPr="005B6D7B">
              <w:rPr>
                <w:szCs w:val="20"/>
              </w:rPr>
              <w:t>112</w:t>
            </w:r>
            <w:r w:rsidR="00DA76AF" w:rsidRPr="005B6D7B">
              <w:rPr>
                <w:szCs w:val="20"/>
              </w:rPr>
              <w:t xml:space="preserve"> (112)</w:t>
            </w:r>
          </w:p>
        </w:tc>
        <w:tc>
          <w:tcPr>
            <w:tcW w:w="1049" w:type="pct"/>
            <w:shd w:val="clear" w:color="auto" w:fill="auto"/>
            <w:vAlign w:val="center"/>
          </w:tcPr>
          <w:p w14:paraId="76D25A56" w14:textId="641F36D4" w:rsidR="00B63A75" w:rsidRPr="005B6D7B" w:rsidRDefault="00B63A75" w:rsidP="002B3C96">
            <w:pPr>
              <w:pStyle w:val="TableText0"/>
              <w:keepNext w:val="0"/>
              <w:jc w:val="center"/>
              <w:rPr>
                <w:szCs w:val="20"/>
                <w:highlight w:val="yellow"/>
              </w:rPr>
            </w:pPr>
            <w:r w:rsidRPr="005B6D7B">
              <w:rPr>
                <w:rFonts w:cstheme="minorHAnsi"/>
                <w:szCs w:val="20"/>
              </w:rPr>
              <w:t>P2, R, DB, MC</w:t>
            </w:r>
            <w:r w:rsidRPr="005B6D7B">
              <w:rPr>
                <w:szCs w:val="20"/>
              </w:rPr>
              <w:t>, 24 wks</w:t>
            </w:r>
          </w:p>
        </w:tc>
        <w:tc>
          <w:tcPr>
            <w:tcW w:w="388" w:type="pct"/>
            <w:shd w:val="clear" w:color="auto" w:fill="auto"/>
            <w:vAlign w:val="center"/>
          </w:tcPr>
          <w:p w14:paraId="7EE07DEA" w14:textId="77777777" w:rsidR="00B63A75" w:rsidRPr="005B6D7B" w:rsidRDefault="00B63A75" w:rsidP="002B3C96">
            <w:pPr>
              <w:pStyle w:val="TableText0"/>
              <w:keepNext w:val="0"/>
              <w:ind w:left="-23"/>
              <w:jc w:val="center"/>
              <w:rPr>
                <w:szCs w:val="20"/>
              </w:rPr>
            </w:pPr>
            <w:r w:rsidRPr="005B6D7B">
              <w:rPr>
                <w:szCs w:val="20"/>
              </w:rPr>
              <w:t>Low</w:t>
            </w:r>
          </w:p>
        </w:tc>
        <w:tc>
          <w:tcPr>
            <w:tcW w:w="672" w:type="pct"/>
            <w:shd w:val="clear" w:color="auto" w:fill="auto"/>
            <w:vAlign w:val="center"/>
          </w:tcPr>
          <w:p w14:paraId="054B70C6" w14:textId="022564CF" w:rsidR="00B63A75" w:rsidRPr="005B6D7B" w:rsidRDefault="00B63A75" w:rsidP="001D310F">
            <w:pPr>
              <w:pStyle w:val="TableText0"/>
              <w:keepNext w:val="0"/>
              <w:jc w:val="center"/>
              <w:rPr>
                <w:szCs w:val="20"/>
              </w:rPr>
            </w:pPr>
            <w:r w:rsidRPr="005B6D7B">
              <w:rPr>
                <w:szCs w:val="20"/>
              </w:rPr>
              <w:t>Moderate to severe CPP; BSA ≥10%</w:t>
            </w:r>
          </w:p>
        </w:tc>
        <w:tc>
          <w:tcPr>
            <w:tcW w:w="1063" w:type="pct"/>
            <w:vMerge/>
            <w:shd w:val="clear" w:color="auto" w:fill="auto"/>
            <w:vAlign w:val="center"/>
          </w:tcPr>
          <w:p w14:paraId="3A320BA9" w14:textId="77777777" w:rsidR="00B63A75" w:rsidRPr="005B6D7B" w:rsidRDefault="00B63A75" w:rsidP="00BE22DD">
            <w:pPr>
              <w:pStyle w:val="TableText0"/>
              <w:keepNext w:val="0"/>
              <w:rPr>
                <w:szCs w:val="20"/>
              </w:rPr>
            </w:pPr>
          </w:p>
        </w:tc>
      </w:tr>
      <w:tr w:rsidR="00D54C74" w:rsidRPr="005B6D7B" w14:paraId="03011E7F" w14:textId="77777777" w:rsidTr="00854C7E">
        <w:trPr>
          <w:cantSplit/>
          <w:trHeight w:val="20"/>
        </w:trPr>
        <w:tc>
          <w:tcPr>
            <w:tcW w:w="5000" w:type="pct"/>
            <w:gridSpan w:val="6"/>
            <w:shd w:val="clear" w:color="auto" w:fill="auto"/>
            <w:vAlign w:val="center"/>
          </w:tcPr>
          <w:p w14:paraId="7959BEFE" w14:textId="6D6A35BE" w:rsidR="00D54C74" w:rsidRPr="005B6D7B" w:rsidRDefault="00D54C74" w:rsidP="00BE22DD">
            <w:pPr>
              <w:pStyle w:val="TableText0"/>
              <w:keepNext w:val="0"/>
              <w:rPr>
                <w:szCs w:val="20"/>
              </w:rPr>
            </w:pPr>
            <w:r w:rsidRPr="005B6D7B">
              <w:rPr>
                <w:b/>
                <w:bCs w:val="0"/>
                <w:szCs w:val="20"/>
              </w:rPr>
              <w:t>Guselkumab</w:t>
            </w:r>
            <w:r w:rsidR="00110120" w:rsidRPr="005B6D7B">
              <w:rPr>
                <w:b/>
                <w:bCs w:val="0"/>
                <w:szCs w:val="20"/>
              </w:rPr>
              <w:t xml:space="preserve"> trials</w:t>
            </w:r>
            <w:r w:rsidR="00B84BE4" w:rsidRPr="005B6D7B">
              <w:rPr>
                <w:b/>
                <w:bCs w:val="0"/>
                <w:szCs w:val="20"/>
              </w:rPr>
              <w:t xml:space="preserve"> </w:t>
            </w:r>
            <w:r w:rsidR="00B84BE4" w:rsidRPr="005B6D7B">
              <w:rPr>
                <w:b/>
                <w:bCs w:val="0"/>
              </w:rPr>
              <w:t>(comparator)</w:t>
            </w:r>
          </w:p>
        </w:tc>
      </w:tr>
      <w:tr w:rsidR="00854C7E" w:rsidRPr="005B6D7B" w14:paraId="6AB079A4" w14:textId="77777777" w:rsidTr="00461C39">
        <w:trPr>
          <w:cantSplit/>
          <w:trHeight w:val="20"/>
        </w:trPr>
        <w:tc>
          <w:tcPr>
            <w:tcW w:w="1210" w:type="pct"/>
            <w:shd w:val="clear" w:color="auto" w:fill="auto"/>
            <w:vAlign w:val="center"/>
          </w:tcPr>
          <w:p w14:paraId="5CFBAA4D" w14:textId="5EF24A3A" w:rsidR="001E5DC9" w:rsidRPr="005B6D7B" w:rsidRDefault="001E5DC9" w:rsidP="00BE22DD">
            <w:pPr>
              <w:pStyle w:val="TableText0"/>
              <w:keepNext w:val="0"/>
              <w:rPr>
                <w:szCs w:val="20"/>
              </w:rPr>
            </w:pPr>
            <w:r w:rsidRPr="005B6D7B">
              <w:rPr>
                <w:szCs w:val="20"/>
              </w:rPr>
              <w:t>VOYAGE-1 (PBO</w:t>
            </w:r>
            <w:r w:rsidR="008E40C7" w:rsidRPr="005B6D7B">
              <w:rPr>
                <w:szCs w:val="20"/>
              </w:rPr>
              <w:t>,</w:t>
            </w:r>
            <w:r w:rsidRPr="005B6D7B">
              <w:rPr>
                <w:szCs w:val="20"/>
              </w:rPr>
              <w:t xml:space="preserve"> ADA)</w:t>
            </w:r>
          </w:p>
        </w:tc>
        <w:tc>
          <w:tcPr>
            <w:tcW w:w="618" w:type="pct"/>
            <w:shd w:val="clear" w:color="auto" w:fill="auto"/>
            <w:vAlign w:val="center"/>
          </w:tcPr>
          <w:p w14:paraId="3DC146B5" w14:textId="38242741" w:rsidR="001E5DC9" w:rsidRPr="005B6D7B" w:rsidRDefault="001E5DC9" w:rsidP="002B3C96">
            <w:pPr>
              <w:pStyle w:val="TableText0"/>
              <w:keepNext w:val="0"/>
              <w:ind w:left="-22"/>
              <w:jc w:val="center"/>
              <w:rPr>
                <w:szCs w:val="20"/>
                <w:highlight w:val="yellow"/>
              </w:rPr>
            </w:pPr>
            <w:r w:rsidRPr="005B6D7B">
              <w:rPr>
                <w:szCs w:val="20"/>
              </w:rPr>
              <w:t>837</w:t>
            </w:r>
            <w:r w:rsidR="00DA76AF" w:rsidRPr="005B6D7B">
              <w:rPr>
                <w:szCs w:val="20"/>
              </w:rPr>
              <w:t xml:space="preserve"> (503)</w:t>
            </w:r>
          </w:p>
        </w:tc>
        <w:tc>
          <w:tcPr>
            <w:tcW w:w="1049" w:type="pct"/>
            <w:shd w:val="clear" w:color="auto" w:fill="auto"/>
            <w:vAlign w:val="center"/>
          </w:tcPr>
          <w:p w14:paraId="4FC7DB7C" w14:textId="54A73617" w:rsidR="001E5DC9" w:rsidRPr="005B6D7B" w:rsidRDefault="001E5DC9" w:rsidP="002B3C96">
            <w:pPr>
              <w:pStyle w:val="TableText0"/>
              <w:keepNext w:val="0"/>
              <w:jc w:val="center"/>
              <w:rPr>
                <w:szCs w:val="20"/>
                <w:highlight w:val="yellow"/>
              </w:rPr>
            </w:pPr>
            <w:r w:rsidRPr="005B6D7B">
              <w:rPr>
                <w:rFonts w:cstheme="minorHAnsi"/>
                <w:szCs w:val="20"/>
              </w:rPr>
              <w:t>P3, R, DB, MC</w:t>
            </w:r>
            <w:r w:rsidRPr="005B6D7B">
              <w:rPr>
                <w:szCs w:val="20"/>
              </w:rPr>
              <w:t>,</w:t>
            </w:r>
            <w:r w:rsidR="00C34A6F" w:rsidRPr="005B6D7B">
              <w:rPr>
                <w:szCs w:val="20"/>
              </w:rPr>
              <w:t xml:space="preserve"> 48 </w:t>
            </w:r>
            <w:r w:rsidRPr="005B6D7B">
              <w:rPr>
                <w:szCs w:val="20"/>
              </w:rPr>
              <w:t>wks</w:t>
            </w:r>
          </w:p>
        </w:tc>
        <w:tc>
          <w:tcPr>
            <w:tcW w:w="388" w:type="pct"/>
            <w:shd w:val="clear" w:color="auto" w:fill="auto"/>
            <w:vAlign w:val="center"/>
          </w:tcPr>
          <w:p w14:paraId="413BFE1C" w14:textId="77777777" w:rsidR="001E5DC9" w:rsidRPr="005B6D7B" w:rsidRDefault="001E5DC9" w:rsidP="002B3C96">
            <w:pPr>
              <w:pStyle w:val="TableText0"/>
              <w:keepNext w:val="0"/>
              <w:ind w:left="-23"/>
              <w:jc w:val="center"/>
              <w:rPr>
                <w:szCs w:val="20"/>
              </w:rPr>
            </w:pPr>
            <w:r w:rsidRPr="005B6D7B">
              <w:rPr>
                <w:szCs w:val="20"/>
              </w:rPr>
              <w:t>Low</w:t>
            </w:r>
          </w:p>
        </w:tc>
        <w:tc>
          <w:tcPr>
            <w:tcW w:w="672" w:type="pct"/>
            <w:vMerge w:val="restart"/>
            <w:shd w:val="clear" w:color="auto" w:fill="auto"/>
            <w:vAlign w:val="center"/>
          </w:tcPr>
          <w:p w14:paraId="35905EC0" w14:textId="12E6A7AC" w:rsidR="001E5DC9" w:rsidRPr="005B6D7B" w:rsidRDefault="001E5DC9" w:rsidP="001D310F">
            <w:pPr>
              <w:pStyle w:val="TableText0"/>
              <w:keepNext w:val="0"/>
              <w:jc w:val="center"/>
              <w:rPr>
                <w:szCs w:val="20"/>
              </w:rPr>
            </w:pPr>
            <w:r w:rsidRPr="005B6D7B">
              <w:rPr>
                <w:szCs w:val="20"/>
              </w:rPr>
              <w:t xml:space="preserve">Moderate to severe CPP; BSA ≥10%; PASI ≥12; IGA ≥3 </w:t>
            </w:r>
          </w:p>
        </w:tc>
        <w:tc>
          <w:tcPr>
            <w:tcW w:w="1063" w:type="pct"/>
            <w:vMerge w:val="restart"/>
            <w:shd w:val="clear" w:color="auto" w:fill="auto"/>
            <w:vAlign w:val="center"/>
          </w:tcPr>
          <w:p w14:paraId="6F40EF6E" w14:textId="157C49D3" w:rsidR="001E5DC9" w:rsidRPr="005B6D7B" w:rsidRDefault="001E5DC9" w:rsidP="00BE22DD">
            <w:pPr>
              <w:pStyle w:val="TableText0"/>
              <w:keepNext w:val="0"/>
            </w:pPr>
            <w:r w:rsidRPr="005B6D7B">
              <w:t>PASI 75 (16 wks)</w:t>
            </w:r>
          </w:p>
          <w:p w14:paraId="1E2E4F03" w14:textId="3178BD8A" w:rsidR="001E5DC9" w:rsidRPr="005B6D7B" w:rsidRDefault="001E5DC9" w:rsidP="00BE22DD">
            <w:pPr>
              <w:pStyle w:val="TableText0"/>
              <w:keepNext w:val="0"/>
            </w:pPr>
            <w:r w:rsidRPr="005B6D7B">
              <w:t>PASI 90 (16 wks)</w:t>
            </w:r>
          </w:p>
          <w:p w14:paraId="7E8FB8C6" w14:textId="130EBC9C" w:rsidR="001E5DC9" w:rsidRPr="005B6D7B" w:rsidRDefault="001E5DC9" w:rsidP="00BE22DD">
            <w:pPr>
              <w:pStyle w:val="TableText0"/>
              <w:keepNext w:val="0"/>
              <w:rPr>
                <w:szCs w:val="20"/>
              </w:rPr>
            </w:pPr>
            <w:r w:rsidRPr="005B6D7B">
              <w:rPr>
                <w:szCs w:val="20"/>
              </w:rPr>
              <w:t>IGA 0/1 (16 wks)</w:t>
            </w:r>
          </w:p>
        </w:tc>
      </w:tr>
      <w:tr w:rsidR="00854C7E" w:rsidRPr="005B6D7B" w14:paraId="04B3B11E" w14:textId="77777777" w:rsidTr="00461C39">
        <w:trPr>
          <w:cantSplit/>
          <w:trHeight w:val="20"/>
        </w:trPr>
        <w:tc>
          <w:tcPr>
            <w:tcW w:w="1210" w:type="pct"/>
            <w:shd w:val="clear" w:color="auto" w:fill="auto"/>
            <w:vAlign w:val="center"/>
          </w:tcPr>
          <w:p w14:paraId="0F377035" w14:textId="1EF5C3EE" w:rsidR="001E5DC9" w:rsidRPr="005B6D7B" w:rsidRDefault="001E5DC9" w:rsidP="00BE22DD">
            <w:pPr>
              <w:pStyle w:val="TableText0"/>
              <w:keepNext w:val="0"/>
              <w:rPr>
                <w:szCs w:val="20"/>
              </w:rPr>
            </w:pPr>
            <w:r w:rsidRPr="005B6D7B">
              <w:rPr>
                <w:szCs w:val="20"/>
              </w:rPr>
              <w:t>VOYAGE-2 (PBO</w:t>
            </w:r>
            <w:r w:rsidR="008E40C7" w:rsidRPr="005B6D7B">
              <w:rPr>
                <w:szCs w:val="20"/>
              </w:rPr>
              <w:t xml:space="preserve">, </w:t>
            </w:r>
            <w:r w:rsidRPr="005B6D7B">
              <w:rPr>
                <w:szCs w:val="20"/>
              </w:rPr>
              <w:t>ADA)</w:t>
            </w:r>
          </w:p>
        </w:tc>
        <w:tc>
          <w:tcPr>
            <w:tcW w:w="618" w:type="pct"/>
            <w:shd w:val="clear" w:color="auto" w:fill="auto"/>
            <w:vAlign w:val="center"/>
          </w:tcPr>
          <w:p w14:paraId="5CD85CBF" w14:textId="3C7D0DAA" w:rsidR="001E5DC9" w:rsidRPr="005B6D7B" w:rsidRDefault="001E5DC9" w:rsidP="002B3C96">
            <w:pPr>
              <w:pStyle w:val="TableText0"/>
              <w:keepNext w:val="0"/>
              <w:ind w:left="-22"/>
              <w:jc w:val="center"/>
              <w:rPr>
                <w:szCs w:val="20"/>
                <w:highlight w:val="yellow"/>
              </w:rPr>
            </w:pPr>
            <w:r w:rsidRPr="005B6D7B">
              <w:rPr>
                <w:szCs w:val="20"/>
              </w:rPr>
              <w:t>992</w:t>
            </w:r>
            <w:r w:rsidR="00DA76AF" w:rsidRPr="005B6D7B">
              <w:rPr>
                <w:szCs w:val="20"/>
              </w:rPr>
              <w:t xml:space="preserve"> (744)</w:t>
            </w:r>
          </w:p>
        </w:tc>
        <w:tc>
          <w:tcPr>
            <w:tcW w:w="1049" w:type="pct"/>
            <w:shd w:val="clear" w:color="auto" w:fill="auto"/>
            <w:vAlign w:val="center"/>
          </w:tcPr>
          <w:p w14:paraId="736AEDC4" w14:textId="024AD73A" w:rsidR="001E5DC9" w:rsidRPr="005B6D7B" w:rsidRDefault="00C34A6F" w:rsidP="002B3C96">
            <w:pPr>
              <w:pStyle w:val="TableText0"/>
              <w:keepNext w:val="0"/>
              <w:jc w:val="center"/>
              <w:rPr>
                <w:szCs w:val="20"/>
                <w:highlight w:val="yellow"/>
              </w:rPr>
            </w:pPr>
            <w:r w:rsidRPr="005B6D7B">
              <w:rPr>
                <w:rFonts w:cstheme="minorHAnsi"/>
                <w:szCs w:val="20"/>
              </w:rPr>
              <w:t>P3, R, DB</w:t>
            </w:r>
            <w:r w:rsidR="00D419E4" w:rsidRPr="005B6D7B">
              <w:rPr>
                <w:rFonts w:cstheme="minorHAnsi"/>
                <w:szCs w:val="20"/>
              </w:rPr>
              <w:t xml:space="preserve"> </w:t>
            </w:r>
            <w:r w:rsidR="00D419E4" w:rsidRPr="005B6D7B">
              <w:rPr>
                <w:rFonts w:cstheme="minorHAnsi"/>
                <w:i/>
                <w:szCs w:val="20"/>
              </w:rPr>
              <w:t>(72 wks then OL)</w:t>
            </w:r>
            <w:r w:rsidRPr="005B6D7B">
              <w:rPr>
                <w:rFonts w:cstheme="minorHAnsi"/>
                <w:szCs w:val="20"/>
              </w:rPr>
              <w:t>, MC</w:t>
            </w:r>
            <w:r w:rsidRPr="005B6D7B">
              <w:rPr>
                <w:szCs w:val="20"/>
              </w:rPr>
              <w:t xml:space="preserve">, </w:t>
            </w:r>
            <w:r w:rsidR="00D419E4" w:rsidRPr="005B6D7B">
              <w:rPr>
                <w:i/>
                <w:szCs w:val="20"/>
              </w:rPr>
              <w:t>264</w:t>
            </w:r>
            <w:r w:rsidRPr="005B6D7B">
              <w:rPr>
                <w:szCs w:val="20"/>
              </w:rPr>
              <w:t xml:space="preserve"> wks</w:t>
            </w:r>
          </w:p>
        </w:tc>
        <w:tc>
          <w:tcPr>
            <w:tcW w:w="388" w:type="pct"/>
            <w:shd w:val="clear" w:color="auto" w:fill="auto"/>
            <w:vAlign w:val="center"/>
          </w:tcPr>
          <w:p w14:paraId="683064FF" w14:textId="77777777" w:rsidR="001E5DC9" w:rsidRPr="005B6D7B" w:rsidRDefault="001E5DC9" w:rsidP="002B3C96">
            <w:pPr>
              <w:pStyle w:val="TableText0"/>
              <w:keepNext w:val="0"/>
              <w:ind w:left="-23"/>
              <w:jc w:val="center"/>
              <w:rPr>
                <w:szCs w:val="20"/>
              </w:rPr>
            </w:pPr>
            <w:r w:rsidRPr="005B6D7B">
              <w:rPr>
                <w:szCs w:val="20"/>
              </w:rPr>
              <w:t>Low</w:t>
            </w:r>
          </w:p>
        </w:tc>
        <w:tc>
          <w:tcPr>
            <w:tcW w:w="672" w:type="pct"/>
            <w:vMerge/>
            <w:shd w:val="clear" w:color="auto" w:fill="auto"/>
            <w:vAlign w:val="center"/>
          </w:tcPr>
          <w:p w14:paraId="239F80F3" w14:textId="77777777" w:rsidR="001E5DC9" w:rsidRPr="005B6D7B" w:rsidRDefault="001E5DC9" w:rsidP="00BE22DD">
            <w:pPr>
              <w:pStyle w:val="TableText0"/>
              <w:keepNext w:val="0"/>
              <w:rPr>
                <w:szCs w:val="20"/>
              </w:rPr>
            </w:pPr>
          </w:p>
        </w:tc>
        <w:tc>
          <w:tcPr>
            <w:tcW w:w="1063" w:type="pct"/>
            <w:vMerge/>
            <w:shd w:val="clear" w:color="auto" w:fill="auto"/>
            <w:vAlign w:val="center"/>
          </w:tcPr>
          <w:p w14:paraId="3922BCD9" w14:textId="77777777" w:rsidR="001E5DC9" w:rsidRPr="005B6D7B" w:rsidRDefault="001E5DC9" w:rsidP="00BE22DD">
            <w:pPr>
              <w:pStyle w:val="TableText0"/>
              <w:keepNext w:val="0"/>
              <w:rPr>
                <w:szCs w:val="20"/>
              </w:rPr>
            </w:pPr>
          </w:p>
        </w:tc>
      </w:tr>
      <w:tr w:rsidR="00854C7E" w:rsidRPr="005B6D7B" w14:paraId="1C71B01E" w14:textId="77777777" w:rsidTr="00854C7E">
        <w:trPr>
          <w:cantSplit/>
          <w:trHeight w:val="20"/>
        </w:trPr>
        <w:tc>
          <w:tcPr>
            <w:tcW w:w="1210" w:type="pct"/>
            <w:shd w:val="clear" w:color="auto" w:fill="auto"/>
            <w:vAlign w:val="center"/>
          </w:tcPr>
          <w:p w14:paraId="7C9E8F08" w14:textId="556A353C" w:rsidR="001E5DC9" w:rsidRPr="005B6D7B" w:rsidRDefault="001E5DC9" w:rsidP="00BE22DD">
            <w:pPr>
              <w:pStyle w:val="TableText0"/>
              <w:keepNext w:val="0"/>
              <w:rPr>
                <w:szCs w:val="20"/>
              </w:rPr>
            </w:pPr>
            <w:r w:rsidRPr="005B6D7B">
              <w:rPr>
                <w:szCs w:val="20"/>
              </w:rPr>
              <w:t>ORION (PBO)</w:t>
            </w:r>
          </w:p>
        </w:tc>
        <w:tc>
          <w:tcPr>
            <w:tcW w:w="618" w:type="pct"/>
            <w:shd w:val="clear" w:color="auto" w:fill="auto"/>
            <w:vAlign w:val="center"/>
          </w:tcPr>
          <w:p w14:paraId="69E21C84" w14:textId="66892C57" w:rsidR="001E5DC9" w:rsidRPr="005B6D7B" w:rsidRDefault="001E5DC9" w:rsidP="002B3C96">
            <w:pPr>
              <w:pStyle w:val="TableText0"/>
              <w:keepNext w:val="0"/>
              <w:ind w:left="-22"/>
              <w:jc w:val="center"/>
              <w:rPr>
                <w:szCs w:val="20"/>
                <w:highlight w:val="yellow"/>
              </w:rPr>
            </w:pPr>
            <w:r w:rsidRPr="005B6D7B">
              <w:rPr>
                <w:szCs w:val="20"/>
              </w:rPr>
              <w:t>78</w:t>
            </w:r>
            <w:r w:rsidR="00790674" w:rsidRPr="005B6D7B">
              <w:rPr>
                <w:szCs w:val="20"/>
              </w:rPr>
              <w:t xml:space="preserve"> (78)</w:t>
            </w:r>
          </w:p>
        </w:tc>
        <w:tc>
          <w:tcPr>
            <w:tcW w:w="1049" w:type="pct"/>
            <w:shd w:val="clear" w:color="auto" w:fill="auto"/>
            <w:vAlign w:val="center"/>
          </w:tcPr>
          <w:p w14:paraId="463912B9" w14:textId="7B38344C" w:rsidR="001E5DC9" w:rsidRPr="005B6D7B" w:rsidRDefault="001E5DC9" w:rsidP="001E5DC9">
            <w:pPr>
              <w:pStyle w:val="TableText0"/>
              <w:keepNext w:val="0"/>
              <w:jc w:val="center"/>
              <w:rPr>
                <w:szCs w:val="20"/>
                <w:highlight w:val="yellow"/>
              </w:rPr>
            </w:pPr>
            <w:r w:rsidRPr="005B6D7B">
              <w:rPr>
                <w:rFonts w:cstheme="minorHAnsi"/>
                <w:szCs w:val="20"/>
              </w:rPr>
              <w:t>P3, R, DB, MC</w:t>
            </w:r>
            <w:r w:rsidRPr="005B6D7B">
              <w:rPr>
                <w:szCs w:val="20"/>
              </w:rPr>
              <w:t>, 40 wks</w:t>
            </w:r>
          </w:p>
        </w:tc>
        <w:tc>
          <w:tcPr>
            <w:tcW w:w="388" w:type="pct"/>
            <w:shd w:val="clear" w:color="auto" w:fill="auto"/>
            <w:vAlign w:val="center"/>
          </w:tcPr>
          <w:p w14:paraId="16902A16" w14:textId="77777777" w:rsidR="001E5DC9" w:rsidRPr="005B6D7B" w:rsidRDefault="001E5DC9" w:rsidP="002B3C96">
            <w:pPr>
              <w:pStyle w:val="TableText0"/>
              <w:keepNext w:val="0"/>
              <w:ind w:left="-23"/>
              <w:jc w:val="center"/>
              <w:rPr>
                <w:szCs w:val="20"/>
              </w:rPr>
            </w:pPr>
            <w:r w:rsidRPr="005B6D7B">
              <w:rPr>
                <w:szCs w:val="20"/>
              </w:rPr>
              <w:t>Low</w:t>
            </w:r>
          </w:p>
        </w:tc>
        <w:tc>
          <w:tcPr>
            <w:tcW w:w="672" w:type="pct"/>
            <w:vMerge/>
            <w:shd w:val="clear" w:color="auto" w:fill="auto"/>
            <w:vAlign w:val="center"/>
          </w:tcPr>
          <w:p w14:paraId="33AB5088" w14:textId="77777777" w:rsidR="001E5DC9" w:rsidRPr="005B6D7B" w:rsidRDefault="001E5DC9" w:rsidP="00BE22DD">
            <w:pPr>
              <w:pStyle w:val="TableText0"/>
              <w:keepNext w:val="0"/>
              <w:rPr>
                <w:szCs w:val="20"/>
              </w:rPr>
            </w:pPr>
          </w:p>
        </w:tc>
        <w:tc>
          <w:tcPr>
            <w:tcW w:w="1063" w:type="pct"/>
            <w:vMerge/>
            <w:shd w:val="clear" w:color="auto" w:fill="auto"/>
            <w:vAlign w:val="center"/>
          </w:tcPr>
          <w:p w14:paraId="4E3D3045" w14:textId="77777777" w:rsidR="001E5DC9" w:rsidRPr="005B6D7B" w:rsidRDefault="001E5DC9" w:rsidP="00BE22DD">
            <w:pPr>
              <w:pStyle w:val="TableText0"/>
              <w:keepNext w:val="0"/>
              <w:rPr>
                <w:szCs w:val="20"/>
              </w:rPr>
            </w:pPr>
          </w:p>
        </w:tc>
      </w:tr>
      <w:tr w:rsidR="00854C7E" w:rsidRPr="005B6D7B" w14:paraId="615817D3" w14:textId="77777777" w:rsidTr="00854C7E">
        <w:trPr>
          <w:cantSplit/>
          <w:trHeight w:val="20"/>
        </w:trPr>
        <w:tc>
          <w:tcPr>
            <w:tcW w:w="1210" w:type="pct"/>
            <w:shd w:val="clear" w:color="auto" w:fill="auto"/>
            <w:vAlign w:val="center"/>
          </w:tcPr>
          <w:p w14:paraId="507E3BB3" w14:textId="363B48DD" w:rsidR="001E5DC9" w:rsidRPr="005B6D7B" w:rsidRDefault="001E5DC9" w:rsidP="00BE22DD">
            <w:pPr>
              <w:pStyle w:val="TableText0"/>
              <w:keepNext w:val="0"/>
              <w:rPr>
                <w:szCs w:val="20"/>
              </w:rPr>
            </w:pPr>
            <w:r w:rsidRPr="005B6D7B">
              <w:rPr>
                <w:szCs w:val="20"/>
              </w:rPr>
              <w:t>Ohtsuki 2018 (PBO)</w:t>
            </w:r>
          </w:p>
        </w:tc>
        <w:tc>
          <w:tcPr>
            <w:tcW w:w="618" w:type="pct"/>
            <w:shd w:val="clear" w:color="auto" w:fill="auto"/>
            <w:vAlign w:val="center"/>
          </w:tcPr>
          <w:p w14:paraId="15C522D6" w14:textId="76765660" w:rsidR="001E5DC9" w:rsidRPr="005B6D7B" w:rsidRDefault="001E5DC9" w:rsidP="002B3C96">
            <w:pPr>
              <w:pStyle w:val="TableText0"/>
              <w:keepNext w:val="0"/>
              <w:ind w:left="-22"/>
              <w:jc w:val="center"/>
              <w:rPr>
                <w:szCs w:val="20"/>
                <w:highlight w:val="yellow"/>
              </w:rPr>
            </w:pPr>
            <w:r w:rsidRPr="005B6D7B">
              <w:rPr>
                <w:szCs w:val="20"/>
              </w:rPr>
              <w:t>192</w:t>
            </w:r>
            <w:r w:rsidR="00790674" w:rsidRPr="005B6D7B">
              <w:rPr>
                <w:szCs w:val="20"/>
              </w:rPr>
              <w:t xml:space="preserve"> (127)</w:t>
            </w:r>
          </w:p>
        </w:tc>
        <w:tc>
          <w:tcPr>
            <w:tcW w:w="1049" w:type="pct"/>
            <w:shd w:val="clear" w:color="auto" w:fill="auto"/>
            <w:vAlign w:val="center"/>
          </w:tcPr>
          <w:p w14:paraId="46D6394B" w14:textId="243071F6" w:rsidR="001E5DC9" w:rsidRPr="005B6D7B" w:rsidRDefault="001E5DC9" w:rsidP="002B3C96">
            <w:pPr>
              <w:pStyle w:val="TableText0"/>
              <w:keepNext w:val="0"/>
              <w:jc w:val="center"/>
              <w:rPr>
                <w:szCs w:val="20"/>
                <w:highlight w:val="yellow"/>
              </w:rPr>
            </w:pPr>
            <w:r w:rsidRPr="005B6D7B">
              <w:rPr>
                <w:szCs w:val="20"/>
              </w:rPr>
              <w:t>P3, R, DB, MC, 52 wks</w:t>
            </w:r>
          </w:p>
        </w:tc>
        <w:tc>
          <w:tcPr>
            <w:tcW w:w="388" w:type="pct"/>
            <w:shd w:val="clear" w:color="auto" w:fill="auto"/>
            <w:vAlign w:val="center"/>
          </w:tcPr>
          <w:p w14:paraId="2360CC03" w14:textId="77777777" w:rsidR="001E5DC9" w:rsidRPr="005B6D7B" w:rsidRDefault="001E5DC9" w:rsidP="002B3C96">
            <w:pPr>
              <w:pStyle w:val="TableText0"/>
              <w:keepNext w:val="0"/>
              <w:ind w:left="-23"/>
              <w:jc w:val="center"/>
              <w:rPr>
                <w:szCs w:val="20"/>
              </w:rPr>
            </w:pPr>
            <w:r w:rsidRPr="005B6D7B">
              <w:rPr>
                <w:szCs w:val="20"/>
              </w:rPr>
              <w:t>Low</w:t>
            </w:r>
          </w:p>
        </w:tc>
        <w:tc>
          <w:tcPr>
            <w:tcW w:w="672" w:type="pct"/>
            <w:vMerge/>
            <w:shd w:val="clear" w:color="auto" w:fill="auto"/>
            <w:vAlign w:val="center"/>
          </w:tcPr>
          <w:p w14:paraId="537F59CB" w14:textId="77777777" w:rsidR="001E5DC9" w:rsidRPr="005B6D7B" w:rsidRDefault="001E5DC9" w:rsidP="00BE22DD">
            <w:pPr>
              <w:pStyle w:val="TableText0"/>
              <w:keepNext w:val="0"/>
              <w:rPr>
                <w:szCs w:val="20"/>
              </w:rPr>
            </w:pPr>
          </w:p>
        </w:tc>
        <w:tc>
          <w:tcPr>
            <w:tcW w:w="1063" w:type="pct"/>
            <w:vMerge/>
            <w:shd w:val="clear" w:color="auto" w:fill="auto"/>
            <w:vAlign w:val="center"/>
          </w:tcPr>
          <w:p w14:paraId="57A49E41" w14:textId="77777777" w:rsidR="001E5DC9" w:rsidRPr="005B6D7B" w:rsidRDefault="001E5DC9" w:rsidP="00BE22DD">
            <w:pPr>
              <w:pStyle w:val="TableText0"/>
              <w:keepNext w:val="0"/>
              <w:rPr>
                <w:szCs w:val="20"/>
              </w:rPr>
            </w:pPr>
          </w:p>
        </w:tc>
      </w:tr>
      <w:tr w:rsidR="00854C7E" w:rsidRPr="005B6D7B" w14:paraId="0D4B0337" w14:textId="77777777" w:rsidTr="00854C7E">
        <w:trPr>
          <w:cantSplit/>
          <w:trHeight w:val="20"/>
        </w:trPr>
        <w:tc>
          <w:tcPr>
            <w:tcW w:w="1210" w:type="pct"/>
            <w:shd w:val="clear" w:color="auto" w:fill="auto"/>
            <w:vAlign w:val="center"/>
          </w:tcPr>
          <w:p w14:paraId="0B96EF4B" w14:textId="1B670680" w:rsidR="00D54C74" w:rsidRPr="005B6D7B" w:rsidRDefault="00D54C74" w:rsidP="00BE22DD">
            <w:pPr>
              <w:pStyle w:val="TableText0"/>
              <w:keepNext w:val="0"/>
              <w:rPr>
                <w:szCs w:val="20"/>
              </w:rPr>
            </w:pPr>
            <w:r w:rsidRPr="005B6D7B">
              <w:rPr>
                <w:szCs w:val="20"/>
              </w:rPr>
              <w:lastRenderedPageBreak/>
              <w:t>ECLIPSE (SEC)</w:t>
            </w:r>
          </w:p>
        </w:tc>
        <w:tc>
          <w:tcPr>
            <w:tcW w:w="618" w:type="pct"/>
            <w:shd w:val="clear" w:color="auto" w:fill="auto"/>
            <w:vAlign w:val="center"/>
          </w:tcPr>
          <w:p w14:paraId="3866CA77" w14:textId="0A4DD5DD" w:rsidR="00D54C74" w:rsidRPr="005B6D7B" w:rsidRDefault="00D54C74" w:rsidP="002B3C96">
            <w:pPr>
              <w:pStyle w:val="TableText0"/>
              <w:keepNext w:val="0"/>
              <w:ind w:left="-22"/>
              <w:jc w:val="center"/>
              <w:rPr>
                <w:szCs w:val="20"/>
                <w:highlight w:val="yellow"/>
              </w:rPr>
            </w:pPr>
            <w:r w:rsidRPr="005B6D7B">
              <w:rPr>
                <w:szCs w:val="20"/>
              </w:rPr>
              <w:t>1048</w:t>
            </w:r>
            <w:r w:rsidR="00790674" w:rsidRPr="005B6D7B">
              <w:rPr>
                <w:szCs w:val="20"/>
              </w:rPr>
              <w:t xml:space="preserve"> (1048)</w:t>
            </w:r>
          </w:p>
        </w:tc>
        <w:tc>
          <w:tcPr>
            <w:tcW w:w="1049" w:type="pct"/>
            <w:shd w:val="clear" w:color="auto" w:fill="auto"/>
            <w:vAlign w:val="center"/>
          </w:tcPr>
          <w:p w14:paraId="65CC0849" w14:textId="348ED0A1" w:rsidR="00D54C74" w:rsidRPr="005B6D7B" w:rsidRDefault="00D54C74" w:rsidP="002B3C96">
            <w:pPr>
              <w:pStyle w:val="TableText0"/>
              <w:keepNext w:val="0"/>
              <w:jc w:val="center"/>
              <w:rPr>
                <w:szCs w:val="20"/>
                <w:highlight w:val="yellow"/>
              </w:rPr>
            </w:pPr>
            <w:r w:rsidRPr="005B6D7B">
              <w:rPr>
                <w:rFonts w:cstheme="minorHAnsi"/>
                <w:szCs w:val="20"/>
              </w:rPr>
              <w:t>P</w:t>
            </w:r>
            <w:r w:rsidR="00E211C5" w:rsidRPr="005B6D7B">
              <w:rPr>
                <w:rFonts w:cstheme="minorHAnsi"/>
                <w:szCs w:val="20"/>
              </w:rPr>
              <w:t>3</w:t>
            </w:r>
            <w:r w:rsidRPr="005B6D7B">
              <w:rPr>
                <w:rFonts w:cstheme="minorHAnsi"/>
                <w:szCs w:val="20"/>
              </w:rPr>
              <w:t>, R, DB, MC</w:t>
            </w:r>
            <w:r w:rsidR="00E211C5" w:rsidRPr="005B6D7B">
              <w:rPr>
                <w:szCs w:val="20"/>
              </w:rPr>
              <w:t>,</w:t>
            </w:r>
            <w:r w:rsidR="00712428" w:rsidRPr="005B6D7B">
              <w:rPr>
                <w:szCs w:val="20"/>
              </w:rPr>
              <w:t xml:space="preserve"> 56 </w:t>
            </w:r>
            <w:r w:rsidRPr="005B6D7B">
              <w:rPr>
                <w:szCs w:val="20"/>
              </w:rPr>
              <w:t>wks</w:t>
            </w:r>
          </w:p>
        </w:tc>
        <w:tc>
          <w:tcPr>
            <w:tcW w:w="388" w:type="pct"/>
            <w:shd w:val="clear" w:color="auto" w:fill="auto"/>
            <w:vAlign w:val="center"/>
          </w:tcPr>
          <w:p w14:paraId="5F66C876" w14:textId="77777777" w:rsidR="00D54C74" w:rsidRPr="005B6D7B" w:rsidRDefault="00D54C74" w:rsidP="002B3C96">
            <w:pPr>
              <w:pStyle w:val="TableText0"/>
              <w:keepNext w:val="0"/>
              <w:ind w:left="-23"/>
              <w:jc w:val="center"/>
              <w:rPr>
                <w:szCs w:val="20"/>
              </w:rPr>
            </w:pPr>
            <w:r w:rsidRPr="005B6D7B">
              <w:rPr>
                <w:szCs w:val="20"/>
              </w:rPr>
              <w:t>Low</w:t>
            </w:r>
          </w:p>
        </w:tc>
        <w:tc>
          <w:tcPr>
            <w:tcW w:w="672" w:type="pct"/>
            <w:vMerge/>
            <w:shd w:val="clear" w:color="auto" w:fill="auto"/>
            <w:vAlign w:val="center"/>
          </w:tcPr>
          <w:p w14:paraId="05253EF2" w14:textId="77777777" w:rsidR="00D54C74" w:rsidRPr="005B6D7B" w:rsidRDefault="00D54C74" w:rsidP="00BE22DD">
            <w:pPr>
              <w:pStyle w:val="TableText0"/>
              <w:keepNext w:val="0"/>
              <w:rPr>
                <w:szCs w:val="20"/>
              </w:rPr>
            </w:pPr>
          </w:p>
        </w:tc>
        <w:tc>
          <w:tcPr>
            <w:tcW w:w="1063" w:type="pct"/>
            <w:shd w:val="clear" w:color="auto" w:fill="auto"/>
            <w:vAlign w:val="center"/>
          </w:tcPr>
          <w:p w14:paraId="00EC88DC" w14:textId="2E880909" w:rsidR="00D54C74" w:rsidRPr="005B6D7B" w:rsidRDefault="001E5DC9" w:rsidP="00BE22DD">
            <w:pPr>
              <w:pStyle w:val="TableText0"/>
              <w:keepNext w:val="0"/>
              <w:rPr>
                <w:szCs w:val="20"/>
              </w:rPr>
            </w:pPr>
            <w:r w:rsidRPr="005B6D7B">
              <w:t>PASI 75 (12, 48 wks); PASI 90 (12, 48 wks), PASI 100 (48 wks), IGA 0/1 (48 wks)</w:t>
            </w:r>
          </w:p>
        </w:tc>
      </w:tr>
      <w:tr w:rsidR="00D54C74" w:rsidRPr="005B6D7B" w14:paraId="1EC9C915" w14:textId="77777777" w:rsidTr="00854C7E">
        <w:trPr>
          <w:cantSplit/>
          <w:trHeight w:val="20"/>
        </w:trPr>
        <w:tc>
          <w:tcPr>
            <w:tcW w:w="5000" w:type="pct"/>
            <w:gridSpan w:val="6"/>
            <w:shd w:val="clear" w:color="auto" w:fill="auto"/>
            <w:vAlign w:val="center"/>
          </w:tcPr>
          <w:p w14:paraId="11C71DAA" w14:textId="7BB86ACD" w:rsidR="00D54C74" w:rsidRPr="005B6D7B" w:rsidRDefault="00110120" w:rsidP="00BE22DD">
            <w:pPr>
              <w:pStyle w:val="TableText0"/>
              <w:keepNext w:val="0"/>
              <w:rPr>
                <w:szCs w:val="20"/>
              </w:rPr>
            </w:pPr>
            <w:r w:rsidRPr="005B6D7B">
              <w:rPr>
                <w:b/>
                <w:bCs w:val="0"/>
                <w:szCs w:val="20"/>
              </w:rPr>
              <w:t>I</w:t>
            </w:r>
            <w:r w:rsidR="00D54C74" w:rsidRPr="005B6D7B">
              <w:rPr>
                <w:b/>
                <w:bCs w:val="0"/>
                <w:szCs w:val="20"/>
              </w:rPr>
              <w:t xml:space="preserve">xekizumab </w:t>
            </w:r>
            <w:r w:rsidRPr="005B6D7B">
              <w:rPr>
                <w:b/>
                <w:bCs w:val="0"/>
                <w:szCs w:val="20"/>
              </w:rPr>
              <w:t>trials</w:t>
            </w:r>
            <w:r w:rsidR="00B84BE4" w:rsidRPr="005B6D7B">
              <w:rPr>
                <w:b/>
                <w:bCs w:val="0"/>
                <w:szCs w:val="20"/>
              </w:rPr>
              <w:t xml:space="preserve"> </w:t>
            </w:r>
            <w:r w:rsidR="00B84BE4" w:rsidRPr="005B6D7B">
              <w:rPr>
                <w:b/>
                <w:bCs w:val="0"/>
              </w:rPr>
              <w:t>(comparator)</w:t>
            </w:r>
          </w:p>
        </w:tc>
      </w:tr>
      <w:tr w:rsidR="00854C7E" w:rsidRPr="005B6D7B" w14:paraId="2EFEC3A3" w14:textId="77777777" w:rsidTr="00461C39">
        <w:trPr>
          <w:cantSplit/>
          <w:trHeight w:val="20"/>
        </w:trPr>
        <w:tc>
          <w:tcPr>
            <w:tcW w:w="1210" w:type="pct"/>
            <w:shd w:val="clear" w:color="auto" w:fill="auto"/>
            <w:vAlign w:val="center"/>
          </w:tcPr>
          <w:p w14:paraId="3E33DCF2" w14:textId="65E68D8C" w:rsidR="00D54C74" w:rsidRPr="005B6D7B" w:rsidRDefault="00D54C74" w:rsidP="00BE22DD">
            <w:pPr>
              <w:pStyle w:val="TableText0"/>
              <w:keepNext w:val="0"/>
              <w:rPr>
                <w:szCs w:val="20"/>
              </w:rPr>
            </w:pPr>
            <w:r w:rsidRPr="005B6D7B">
              <w:rPr>
                <w:szCs w:val="20"/>
              </w:rPr>
              <w:t xml:space="preserve">UNCOVER-1 (PBO) </w:t>
            </w:r>
          </w:p>
        </w:tc>
        <w:tc>
          <w:tcPr>
            <w:tcW w:w="618" w:type="pct"/>
            <w:shd w:val="clear" w:color="auto" w:fill="auto"/>
            <w:vAlign w:val="center"/>
          </w:tcPr>
          <w:p w14:paraId="66AFF57C" w14:textId="34FC3CB6" w:rsidR="00D54C74" w:rsidRPr="005B6D7B" w:rsidRDefault="00D54C74" w:rsidP="002B3C96">
            <w:pPr>
              <w:pStyle w:val="TableText0"/>
              <w:keepNext w:val="0"/>
              <w:ind w:left="-22"/>
              <w:jc w:val="center"/>
              <w:rPr>
                <w:szCs w:val="20"/>
              </w:rPr>
            </w:pPr>
            <w:r w:rsidRPr="005B6D7B">
              <w:rPr>
                <w:szCs w:val="20"/>
              </w:rPr>
              <w:t>1296</w:t>
            </w:r>
            <w:r w:rsidR="00492A38" w:rsidRPr="005B6D7B">
              <w:rPr>
                <w:szCs w:val="20"/>
              </w:rPr>
              <w:t xml:space="preserve"> (864)</w:t>
            </w:r>
          </w:p>
        </w:tc>
        <w:tc>
          <w:tcPr>
            <w:tcW w:w="1049" w:type="pct"/>
            <w:vMerge w:val="restart"/>
            <w:shd w:val="clear" w:color="auto" w:fill="auto"/>
            <w:vAlign w:val="center"/>
          </w:tcPr>
          <w:p w14:paraId="73D93EEB" w14:textId="03A4F1E7" w:rsidR="00D54C74" w:rsidRPr="005B6D7B" w:rsidRDefault="00D54C74" w:rsidP="00712428">
            <w:pPr>
              <w:pStyle w:val="TableText0"/>
              <w:keepNext w:val="0"/>
              <w:jc w:val="center"/>
              <w:rPr>
                <w:szCs w:val="20"/>
                <w:highlight w:val="yellow"/>
              </w:rPr>
            </w:pPr>
            <w:r w:rsidRPr="005B6D7B">
              <w:rPr>
                <w:rFonts w:cstheme="minorHAnsi"/>
                <w:szCs w:val="20"/>
              </w:rPr>
              <w:t>P</w:t>
            </w:r>
            <w:r w:rsidR="009D115B" w:rsidRPr="005B6D7B">
              <w:rPr>
                <w:rFonts w:cstheme="minorHAnsi"/>
                <w:szCs w:val="20"/>
              </w:rPr>
              <w:t>3</w:t>
            </w:r>
            <w:r w:rsidRPr="005B6D7B">
              <w:rPr>
                <w:rFonts w:cstheme="minorHAnsi"/>
                <w:szCs w:val="20"/>
              </w:rPr>
              <w:t>, R, DB, MC</w:t>
            </w:r>
            <w:r w:rsidR="00E211C5" w:rsidRPr="005B6D7B">
              <w:rPr>
                <w:szCs w:val="20"/>
              </w:rPr>
              <w:t>,</w:t>
            </w:r>
            <w:r w:rsidR="00712428" w:rsidRPr="005B6D7B">
              <w:rPr>
                <w:szCs w:val="20"/>
              </w:rPr>
              <w:t xml:space="preserve"> 60</w:t>
            </w:r>
            <w:r w:rsidRPr="005B6D7B">
              <w:rPr>
                <w:szCs w:val="20"/>
              </w:rPr>
              <w:t xml:space="preserve"> wks</w:t>
            </w:r>
          </w:p>
        </w:tc>
        <w:tc>
          <w:tcPr>
            <w:tcW w:w="388" w:type="pct"/>
            <w:shd w:val="clear" w:color="auto" w:fill="auto"/>
            <w:vAlign w:val="center"/>
          </w:tcPr>
          <w:p w14:paraId="704FAA77" w14:textId="77777777" w:rsidR="00D54C74" w:rsidRPr="005B6D7B" w:rsidRDefault="00D54C74" w:rsidP="002B3C96">
            <w:pPr>
              <w:pStyle w:val="TableText0"/>
              <w:keepNext w:val="0"/>
              <w:ind w:left="-23"/>
              <w:jc w:val="center"/>
              <w:rPr>
                <w:szCs w:val="20"/>
              </w:rPr>
            </w:pPr>
            <w:r w:rsidRPr="005B6D7B">
              <w:rPr>
                <w:szCs w:val="20"/>
              </w:rPr>
              <w:t>Low</w:t>
            </w:r>
          </w:p>
        </w:tc>
        <w:tc>
          <w:tcPr>
            <w:tcW w:w="672" w:type="pct"/>
            <w:vMerge w:val="restart"/>
            <w:shd w:val="clear" w:color="auto" w:fill="auto"/>
            <w:vAlign w:val="center"/>
          </w:tcPr>
          <w:p w14:paraId="3B4B830E" w14:textId="3B6E539C" w:rsidR="00D54C74" w:rsidRPr="005B6D7B" w:rsidRDefault="0036034E" w:rsidP="001D310F">
            <w:pPr>
              <w:pStyle w:val="TableText0"/>
              <w:keepNext w:val="0"/>
              <w:jc w:val="center"/>
              <w:rPr>
                <w:szCs w:val="20"/>
              </w:rPr>
            </w:pPr>
            <w:r w:rsidRPr="005B6D7B">
              <w:rPr>
                <w:szCs w:val="20"/>
              </w:rPr>
              <w:t>M</w:t>
            </w:r>
            <w:r w:rsidR="00D54C74" w:rsidRPr="005B6D7B">
              <w:rPr>
                <w:szCs w:val="20"/>
              </w:rPr>
              <w:t xml:space="preserve">oderate to severe </w:t>
            </w:r>
            <w:r w:rsidRPr="005B6D7B">
              <w:rPr>
                <w:szCs w:val="20"/>
              </w:rPr>
              <w:t>CPP;</w:t>
            </w:r>
            <w:r w:rsidR="00D54C74" w:rsidRPr="005B6D7B">
              <w:rPr>
                <w:szCs w:val="20"/>
              </w:rPr>
              <w:t xml:space="preserve"> BSA ≥10%; PASI ≥12; IGA</w:t>
            </w:r>
            <w:r w:rsidR="00B36563" w:rsidRPr="005B6D7B">
              <w:rPr>
                <w:szCs w:val="20"/>
              </w:rPr>
              <w:t xml:space="preserve"> </w:t>
            </w:r>
            <w:r w:rsidR="00D54C74" w:rsidRPr="005B6D7B">
              <w:rPr>
                <w:szCs w:val="20"/>
              </w:rPr>
              <w:t xml:space="preserve">≥3 </w:t>
            </w:r>
          </w:p>
        </w:tc>
        <w:tc>
          <w:tcPr>
            <w:tcW w:w="1063" w:type="pct"/>
            <w:vMerge w:val="restart"/>
            <w:shd w:val="clear" w:color="auto" w:fill="auto"/>
            <w:vAlign w:val="center"/>
          </w:tcPr>
          <w:p w14:paraId="5AEF723F" w14:textId="602BF470" w:rsidR="00D54C74" w:rsidRPr="005B6D7B" w:rsidRDefault="00D54C74" w:rsidP="00BE22DD">
            <w:pPr>
              <w:pStyle w:val="TableText0"/>
              <w:keepNext w:val="0"/>
              <w:rPr>
                <w:szCs w:val="20"/>
              </w:rPr>
            </w:pPr>
            <w:r w:rsidRPr="005B6D7B">
              <w:t>PAS</w:t>
            </w:r>
            <w:r w:rsidR="001C0CB9" w:rsidRPr="005B6D7B">
              <w:t>I</w:t>
            </w:r>
            <w:r w:rsidRPr="005B6D7B">
              <w:t xml:space="preserve"> 75</w:t>
            </w:r>
            <w:r w:rsidR="005E6C7E" w:rsidRPr="005B6D7B">
              <w:t xml:space="preserve"> (12 wks)</w:t>
            </w:r>
            <w:r w:rsidR="00712428" w:rsidRPr="005B6D7B">
              <w:t>;</w:t>
            </w:r>
            <w:r w:rsidRPr="005B6D7B">
              <w:t xml:space="preserve"> PASI 90</w:t>
            </w:r>
            <w:r w:rsidR="005E6C7E" w:rsidRPr="005B6D7B">
              <w:t xml:space="preserve"> (12 wks)</w:t>
            </w:r>
            <w:r w:rsidR="00712428" w:rsidRPr="005B6D7B">
              <w:t>;</w:t>
            </w:r>
            <w:r w:rsidRPr="005B6D7B">
              <w:t xml:space="preserve"> PASI 100</w:t>
            </w:r>
            <w:r w:rsidR="00712428" w:rsidRPr="005B6D7B">
              <w:t xml:space="preserve"> (12 wks);</w:t>
            </w:r>
            <w:r w:rsidRPr="005B6D7B">
              <w:t xml:space="preserve"> </w:t>
            </w:r>
            <w:r w:rsidR="000D1A5C" w:rsidRPr="005B6D7B">
              <w:t>sP</w:t>
            </w:r>
            <w:r w:rsidRPr="005B6D7B">
              <w:t>GA</w:t>
            </w:r>
            <w:r w:rsidR="001E5DC9" w:rsidRPr="005B6D7B">
              <w:t xml:space="preserve"> </w:t>
            </w:r>
            <w:r w:rsidRPr="005B6D7B">
              <w:t>0</w:t>
            </w:r>
            <w:r w:rsidR="001D310F" w:rsidRPr="005B6D7B">
              <w:t>/</w:t>
            </w:r>
            <w:r w:rsidRPr="005B6D7B">
              <w:t>1</w:t>
            </w:r>
            <w:r w:rsidR="005E6C7E" w:rsidRPr="005B6D7B">
              <w:t xml:space="preserve"> (12 wks)</w:t>
            </w:r>
          </w:p>
        </w:tc>
      </w:tr>
      <w:tr w:rsidR="00854C7E" w:rsidRPr="005B6D7B" w14:paraId="405C8C74" w14:textId="77777777" w:rsidTr="00461C39">
        <w:trPr>
          <w:cantSplit/>
          <w:trHeight w:val="20"/>
        </w:trPr>
        <w:tc>
          <w:tcPr>
            <w:tcW w:w="1210" w:type="pct"/>
            <w:shd w:val="clear" w:color="auto" w:fill="auto"/>
            <w:vAlign w:val="center"/>
          </w:tcPr>
          <w:p w14:paraId="7EA41B81" w14:textId="114D5777" w:rsidR="00D54C74" w:rsidRPr="005B6D7B" w:rsidRDefault="00D54C74" w:rsidP="00BE22DD">
            <w:pPr>
              <w:pStyle w:val="TableText0"/>
              <w:keepNext w:val="0"/>
              <w:rPr>
                <w:szCs w:val="20"/>
              </w:rPr>
            </w:pPr>
            <w:r w:rsidRPr="005B6D7B">
              <w:rPr>
                <w:szCs w:val="20"/>
              </w:rPr>
              <w:t>UNCOVER-2 (PBO</w:t>
            </w:r>
            <w:r w:rsidR="000F2F54" w:rsidRPr="005B6D7B">
              <w:rPr>
                <w:szCs w:val="20"/>
              </w:rPr>
              <w:t>,</w:t>
            </w:r>
            <w:r w:rsidR="00712428" w:rsidRPr="005B6D7B">
              <w:rPr>
                <w:szCs w:val="20"/>
              </w:rPr>
              <w:t xml:space="preserve"> ETN</w:t>
            </w:r>
            <w:r w:rsidRPr="005B6D7B">
              <w:rPr>
                <w:szCs w:val="20"/>
              </w:rPr>
              <w:t>)</w:t>
            </w:r>
          </w:p>
        </w:tc>
        <w:tc>
          <w:tcPr>
            <w:tcW w:w="618" w:type="pct"/>
            <w:shd w:val="clear" w:color="auto" w:fill="auto"/>
            <w:vAlign w:val="center"/>
          </w:tcPr>
          <w:p w14:paraId="78C01527" w14:textId="5F212B1F" w:rsidR="00D54C74" w:rsidRPr="005B6D7B" w:rsidRDefault="00712428" w:rsidP="002B3C96">
            <w:pPr>
              <w:pStyle w:val="TableText0"/>
              <w:keepNext w:val="0"/>
              <w:ind w:left="-22"/>
              <w:jc w:val="center"/>
              <w:rPr>
                <w:szCs w:val="20"/>
              </w:rPr>
            </w:pPr>
            <w:r w:rsidRPr="005B6D7B">
              <w:rPr>
                <w:szCs w:val="20"/>
              </w:rPr>
              <w:t>1224</w:t>
            </w:r>
            <w:r w:rsidR="00492A38" w:rsidRPr="005B6D7B">
              <w:rPr>
                <w:szCs w:val="20"/>
              </w:rPr>
              <w:t xml:space="preserve"> (519)</w:t>
            </w:r>
          </w:p>
        </w:tc>
        <w:tc>
          <w:tcPr>
            <w:tcW w:w="1049" w:type="pct"/>
            <w:vMerge/>
            <w:shd w:val="clear" w:color="auto" w:fill="auto"/>
            <w:vAlign w:val="center"/>
          </w:tcPr>
          <w:p w14:paraId="7BF86B95" w14:textId="77777777" w:rsidR="00D54C74" w:rsidRPr="005B6D7B" w:rsidRDefault="00D54C74" w:rsidP="002B3C96">
            <w:pPr>
              <w:pStyle w:val="TableText0"/>
              <w:keepNext w:val="0"/>
              <w:jc w:val="center"/>
              <w:rPr>
                <w:szCs w:val="20"/>
                <w:highlight w:val="yellow"/>
              </w:rPr>
            </w:pPr>
          </w:p>
        </w:tc>
        <w:tc>
          <w:tcPr>
            <w:tcW w:w="388" w:type="pct"/>
            <w:shd w:val="clear" w:color="auto" w:fill="auto"/>
            <w:vAlign w:val="center"/>
          </w:tcPr>
          <w:p w14:paraId="04441B0F" w14:textId="77777777" w:rsidR="00D54C74" w:rsidRPr="005B6D7B" w:rsidRDefault="00D54C74" w:rsidP="002B3C96">
            <w:pPr>
              <w:pStyle w:val="TableText0"/>
              <w:keepNext w:val="0"/>
              <w:ind w:left="-23"/>
              <w:jc w:val="center"/>
              <w:rPr>
                <w:szCs w:val="20"/>
              </w:rPr>
            </w:pPr>
            <w:r w:rsidRPr="005B6D7B">
              <w:rPr>
                <w:szCs w:val="20"/>
              </w:rPr>
              <w:t>Low</w:t>
            </w:r>
          </w:p>
        </w:tc>
        <w:tc>
          <w:tcPr>
            <w:tcW w:w="672" w:type="pct"/>
            <w:vMerge/>
            <w:shd w:val="clear" w:color="auto" w:fill="auto"/>
            <w:vAlign w:val="center"/>
          </w:tcPr>
          <w:p w14:paraId="43CEBF87" w14:textId="77777777" w:rsidR="00D54C74" w:rsidRPr="005B6D7B" w:rsidRDefault="00D54C74" w:rsidP="001D310F">
            <w:pPr>
              <w:pStyle w:val="TableText0"/>
              <w:keepNext w:val="0"/>
              <w:jc w:val="center"/>
              <w:rPr>
                <w:szCs w:val="20"/>
              </w:rPr>
            </w:pPr>
          </w:p>
        </w:tc>
        <w:tc>
          <w:tcPr>
            <w:tcW w:w="1063" w:type="pct"/>
            <w:vMerge/>
            <w:shd w:val="clear" w:color="auto" w:fill="auto"/>
            <w:vAlign w:val="center"/>
          </w:tcPr>
          <w:p w14:paraId="6D9676E8" w14:textId="77777777" w:rsidR="00D54C74" w:rsidRPr="005B6D7B" w:rsidRDefault="00D54C74" w:rsidP="00BE22DD">
            <w:pPr>
              <w:pStyle w:val="TableText0"/>
              <w:keepNext w:val="0"/>
              <w:rPr>
                <w:szCs w:val="20"/>
              </w:rPr>
            </w:pPr>
          </w:p>
        </w:tc>
      </w:tr>
      <w:tr w:rsidR="00854C7E" w:rsidRPr="005B6D7B" w14:paraId="18C1EE58" w14:textId="77777777" w:rsidTr="00461C39">
        <w:trPr>
          <w:cantSplit/>
          <w:trHeight w:val="20"/>
        </w:trPr>
        <w:tc>
          <w:tcPr>
            <w:tcW w:w="1210" w:type="pct"/>
            <w:shd w:val="clear" w:color="auto" w:fill="auto"/>
            <w:vAlign w:val="center"/>
          </w:tcPr>
          <w:p w14:paraId="398526D1" w14:textId="16803BA0" w:rsidR="00D54C74" w:rsidRPr="005B6D7B" w:rsidRDefault="00D54C74" w:rsidP="00BE22DD">
            <w:pPr>
              <w:pStyle w:val="TableText0"/>
              <w:keepNext w:val="0"/>
              <w:rPr>
                <w:szCs w:val="20"/>
              </w:rPr>
            </w:pPr>
            <w:r w:rsidRPr="005B6D7B">
              <w:rPr>
                <w:szCs w:val="20"/>
              </w:rPr>
              <w:t>UNCOVER-3 (PBO</w:t>
            </w:r>
            <w:r w:rsidR="00601CE3" w:rsidRPr="005B6D7B">
              <w:rPr>
                <w:szCs w:val="20"/>
              </w:rPr>
              <w:t>,</w:t>
            </w:r>
            <w:r w:rsidR="00712428" w:rsidRPr="005B6D7B">
              <w:rPr>
                <w:szCs w:val="20"/>
              </w:rPr>
              <w:t xml:space="preserve"> ETN</w:t>
            </w:r>
            <w:r w:rsidRPr="005B6D7B">
              <w:rPr>
                <w:szCs w:val="20"/>
              </w:rPr>
              <w:t>)</w:t>
            </w:r>
          </w:p>
        </w:tc>
        <w:tc>
          <w:tcPr>
            <w:tcW w:w="618" w:type="pct"/>
            <w:shd w:val="clear" w:color="auto" w:fill="auto"/>
            <w:vAlign w:val="center"/>
          </w:tcPr>
          <w:p w14:paraId="442EF040" w14:textId="507C2A29" w:rsidR="00D54C74" w:rsidRPr="005B6D7B" w:rsidRDefault="00712428" w:rsidP="002B3C96">
            <w:pPr>
              <w:pStyle w:val="TableText0"/>
              <w:keepNext w:val="0"/>
              <w:ind w:left="-22"/>
              <w:jc w:val="center"/>
              <w:rPr>
                <w:szCs w:val="20"/>
              </w:rPr>
            </w:pPr>
            <w:r w:rsidRPr="005B6D7B">
              <w:rPr>
                <w:szCs w:val="20"/>
              </w:rPr>
              <w:t>1346</w:t>
            </w:r>
            <w:r w:rsidR="00492A38" w:rsidRPr="005B6D7B">
              <w:rPr>
                <w:szCs w:val="20"/>
              </w:rPr>
              <w:t xml:space="preserve"> (578)</w:t>
            </w:r>
          </w:p>
        </w:tc>
        <w:tc>
          <w:tcPr>
            <w:tcW w:w="1049" w:type="pct"/>
            <w:vMerge/>
            <w:shd w:val="clear" w:color="auto" w:fill="auto"/>
            <w:vAlign w:val="center"/>
          </w:tcPr>
          <w:p w14:paraId="57C3964C" w14:textId="77777777" w:rsidR="00D54C74" w:rsidRPr="005B6D7B" w:rsidRDefault="00D54C74" w:rsidP="002B3C96">
            <w:pPr>
              <w:pStyle w:val="TableText0"/>
              <w:keepNext w:val="0"/>
              <w:jc w:val="center"/>
              <w:rPr>
                <w:szCs w:val="20"/>
                <w:highlight w:val="yellow"/>
              </w:rPr>
            </w:pPr>
          </w:p>
        </w:tc>
        <w:tc>
          <w:tcPr>
            <w:tcW w:w="388" w:type="pct"/>
            <w:shd w:val="clear" w:color="auto" w:fill="auto"/>
            <w:vAlign w:val="center"/>
          </w:tcPr>
          <w:p w14:paraId="0569D3A7" w14:textId="77777777" w:rsidR="00D54C74" w:rsidRPr="005B6D7B" w:rsidRDefault="00D54C74" w:rsidP="002B3C96">
            <w:pPr>
              <w:pStyle w:val="TableText0"/>
              <w:keepNext w:val="0"/>
              <w:ind w:left="-23"/>
              <w:jc w:val="center"/>
              <w:rPr>
                <w:szCs w:val="20"/>
              </w:rPr>
            </w:pPr>
            <w:r w:rsidRPr="005B6D7B">
              <w:rPr>
                <w:szCs w:val="20"/>
              </w:rPr>
              <w:t>Low</w:t>
            </w:r>
          </w:p>
        </w:tc>
        <w:tc>
          <w:tcPr>
            <w:tcW w:w="672" w:type="pct"/>
            <w:vMerge/>
            <w:shd w:val="clear" w:color="auto" w:fill="auto"/>
            <w:vAlign w:val="center"/>
          </w:tcPr>
          <w:p w14:paraId="47E972AD" w14:textId="77777777" w:rsidR="00D54C74" w:rsidRPr="005B6D7B" w:rsidRDefault="00D54C74" w:rsidP="001D310F">
            <w:pPr>
              <w:pStyle w:val="TableText0"/>
              <w:keepNext w:val="0"/>
              <w:jc w:val="center"/>
              <w:rPr>
                <w:szCs w:val="20"/>
              </w:rPr>
            </w:pPr>
          </w:p>
        </w:tc>
        <w:tc>
          <w:tcPr>
            <w:tcW w:w="1063" w:type="pct"/>
            <w:vMerge/>
            <w:shd w:val="clear" w:color="auto" w:fill="auto"/>
            <w:vAlign w:val="center"/>
          </w:tcPr>
          <w:p w14:paraId="61E13BD9" w14:textId="77777777" w:rsidR="00D54C74" w:rsidRPr="005B6D7B" w:rsidRDefault="00D54C74" w:rsidP="00BE22DD">
            <w:pPr>
              <w:pStyle w:val="TableText0"/>
              <w:keepNext w:val="0"/>
              <w:rPr>
                <w:szCs w:val="20"/>
              </w:rPr>
            </w:pPr>
          </w:p>
        </w:tc>
      </w:tr>
      <w:tr w:rsidR="00854C7E" w:rsidRPr="005B6D7B" w14:paraId="5BC5EDA7" w14:textId="77777777" w:rsidTr="00461C39">
        <w:trPr>
          <w:cantSplit/>
          <w:trHeight w:val="20"/>
        </w:trPr>
        <w:tc>
          <w:tcPr>
            <w:tcW w:w="1210" w:type="pct"/>
            <w:shd w:val="clear" w:color="auto" w:fill="auto"/>
            <w:vAlign w:val="center"/>
          </w:tcPr>
          <w:p w14:paraId="62E158C5" w14:textId="466A5A36" w:rsidR="00D54C74" w:rsidRPr="005B6D7B" w:rsidRDefault="00D54C74" w:rsidP="00BE22DD">
            <w:pPr>
              <w:pStyle w:val="TableText0"/>
              <w:keepNext w:val="0"/>
              <w:rPr>
                <w:szCs w:val="20"/>
              </w:rPr>
            </w:pPr>
            <w:r w:rsidRPr="005B6D7B">
              <w:rPr>
                <w:szCs w:val="20"/>
              </w:rPr>
              <w:t>IXORA-S (UST)</w:t>
            </w:r>
          </w:p>
        </w:tc>
        <w:tc>
          <w:tcPr>
            <w:tcW w:w="618" w:type="pct"/>
            <w:shd w:val="clear" w:color="auto" w:fill="auto"/>
            <w:vAlign w:val="center"/>
          </w:tcPr>
          <w:p w14:paraId="7A175D3F" w14:textId="72FF595F" w:rsidR="00D54C74" w:rsidRPr="005B6D7B" w:rsidRDefault="00D54C74" w:rsidP="002B3C96">
            <w:pPr>
              <w:pStyle w:val="TableText0"/>
              <w:keepNext w:val="0"/>
              <w:ind w:left="-22"/>
              <w:jc w:val="center"/>
              <w:rPr>
                <w:szCs w:val="20"/>
                <w:highlight w:val="yellow"/>
              </w:rPr>
            </w:pPr>
            <w:r w:rsidRPr="005B6D7B">
              <w:rPr>
                <w:szCs w:val="20"/>
              </w:rPr>
              <w:t>302</w:t>
            </w:r>
            <w:r w:rsidR="00492A38" w:rsidRPr="005B6D7B">
              <w:rPr>
                <w:szCs w:val="20"/>
              </w:rPr>
              <w:t xml:space="preserve"> (302)</w:t>
            </w:r>
          </w:p>
        </w:tc>
        <w:tc>
          <w:tcPr>
            <w:tcW w:w="1049" w:type="pct"/>
            <w:shd w:val="clear" w:color="auto" w:fill="auto"/>
            <w:vAlign w:val="center"/>
          </w:tcPr>
          <w:p w14:paraId="45BC3900" w14:textId="403FB596" w:rsidR="00D54C74" w:rsidRPr="005B6D7B" w:rsidRDefault="00D54C74" w:rsidP="002B3C96">
            <w:pPr>
              <w:pStyle w:val="TableText0"/>
              <w:keepNext w:val="0"/>
              <w:jc w:val="center"/>
              <w:rPr>
                <w:szCs w:val="20"/>
                <w:highlight w:val="yellow"/>
              </w:rPr>
            </w:pPr>
            <w:r w:rsidRPr="005B6D7B">
              <w:rPr>
                <w:rFonts w:cstheme="minorHAnsi"/>
                <w:szCs w:val="20"/>
              </w:rPr>
              <w:t>P</w:t>
            </w:r>
            <w:r w:rsidR="009D115B" w:rsidRPr="005B6D7B">
              <w:rPr>
                <w:rFonts w:cstheme="minorHAnsi"/>
                <w:szCs w:val="20"/>
              </w:rPr>
              <w:t>3</w:t>
            </w:r>
            <w:r w:rsidRPr="005B6D7B">
              <w:rPr>
                <w:rFonts w:cstheme="minorHAnsi"/>
                <w:szCs w:val="20"/>
              </w:rPr>
              <w:t>, R, DB, MC</w:t>
            </w:r>
            <w:r w:rsidR="00E211C5" w:rsidRPr="005B6D7B">
              <w:rPr>
                <w:szCs w:val="20"/>
              </w:rPr>
              <w:t>,</w:t>
            </w:r>
            <w:r w:rsidR="005E6C7E" w:rsidRPr="005B6D7B">
              <w:rPr>
                <w:szCs w:val="20"/>
              </w:rPr>
              <w:t xml:space="preserve"> </w:t>
            </w:r>
            <w:r w:rsidRPr="005B6D7B">
              <w:rPr>
                <w:szCs w:val="20"/>
              </w:rPr>
              <w:t>52 wks</w:t>
            </w:r>
          </w:p>
        </w:tc>
        <w:tc>
          <w:tcPr>
            <w:tcW w:w="388" w:type="pct"/>
            <w:shd w:val="clear" w:color="auto" w:fill="auto"/>
            <w:vAlign w:val="center"/>
          </w:tcPr>
          <w:p w14:paraId="60E3A085" w14:textId="77777777" w:rsidR="00D54C74" w:rsidRPr="005B6D7B" w:rsidRDefault="00D54C74" w:rsidP="002B3C96">
            <w:pPr>
              <w:pStyle w:val="TableText0"/>
              <w:keepNext w:val="0"/>
              <w:ind w:left="-23"/>
              <w:jc w:val="center"/>
              <w:rPr>
                <w:szCs w:val="20"/>
              </w:rPr>
            </w:pPr>
            <w:r w:rsidRPr="005B6D7B">
              <w:rPr>
                <w:szCs w:val="20"/>
              </w:rPr>
              <w:t>Low</w:t>
            </w:r>
          </w:p>
        </w:tc>
        <w:tc>
          <w:tcPr>
            <w:tcW w:w="672" w:type="pct"/>
            <w:shd w:val="clear" w:color="auto" w:fill="auto"/>
            <w:vAlign w:val="center"/>
          </w:tcPr>
          <w:p w14:paraId="17920142" w14:textId="43A0EF1D" w:rsidR="00D54C74" w:rsidRPr="005B6D7B" w:rsidRDefault="0036034E" w:rsidP="001D310F">
            <w:pPr>
              <w:pStyle w:val="TableText0"/>
              <w:keepNext w:val="0"/>
              <w:jc w:val="center"/>
              <w:rPr>
                <w:szCs w:val="20"/>
              </w:rPr>
            </w:pPr>
            <w:r w:rsidRPr="005B6D7B">
              <w:rPr>
                <w:szCs w:val="20"/>
              </w:rPr>
              <w:t>M</w:t>
            </w:r>
            <w:r w:rsidR="00D54C74" w:rsidRPr="005B6D7B">
              <w:rPr>
                <w:szCs w:val="20"/>
              </w:rPr>
              <w:t xml:space="preserve">oderate to severe </w:t>
            </w:r>
            <w:r w:rsidRPr="005B6D7B">
              <w:rPr>
                <w:szCs w:val="20"/>
              </w:rPr>
              <w:t>CPP;</w:t>
            </w:r>
            <w:r w:rsidR="00D54C74" w:rsidRPr="005B6D7B">
              <w:rPr>
                <w:szCs w:val="20"/>
              </w:rPr>
              <w:t xml:space="preserve"> PASI ≥10 </w:t>
            </w:r>
          </w:p>
        </w:tc>
        <w:tc>
          <w:tcPr>
            <w:tcW w:w="1063" w:type="pct"/>
            <w:vMerge/>
            <w:shd w:val="clear" w:color="auto" w:fill="auto"/>
            <w:vAlign w:val="center"/>
          </w:tcPr>
          <w:p w14:paraId="57470CE1" w14:textId="77777777" w:rsidR="00D54C74" w:rsidRPr="005B6D7B" w:rsidRDefault="00D54C74" w:rsidP="00BE22DD">
            <w:pPr>
              <w:pStyle w:val="TableText0"/>
              <w:keepNext w:val="0"/>
              <w:rPr>
                <w:szCs w:val="20"/>
              </w:rPr>
            </w:pPr>
          </w:p>
        </w:tc>
      </w:tr>
      <w:tr w:rsidR="00D54C74" w:rsidRPr="005B6D7B" w14:paraId="1854C3F8" w14:textId="77777777" w:rsidTr="00854C7E">
        <w:trPr>
          <w:cantSplit/>
          <w:trHeight w:val="20"/>
        </w:trPr>
        <w:tc>
          <w:tcPr>
            <w:tcW w:w="5000" w:type="pct"/>
            <w:gridSpan w:val="6"/>
            <w:shd w:val="clear" w:color="auto" w:fill="auto"/>
            <w:vAlign w:val="center"/>
          </w:tcPr>
          <w:p w14:paraId="533AF84F" w14:textId="54215627" w:rsidR="00D54C74" w:rsidRPr="005B6D7B" w:rsidRDefault="00D54C74" w:rsidP="00BE22DD">
            <w:pPr>
              <w:pStyle w:val="TableText0"/>
              <w:keepNext w:val="0"/>
              <w:rPr>
                <w:szCs w:val="20"/>
              </w:rPr>
            </w:pPr>
            <w:r w:rsidRPr="005B6D7B">
              <w:rPr>
                <w:b/>
                <w:bCs w:val="0"/>
                <w:szCs w:val="20"/>
              </w:rPr>
              <w:t xml:space="preserve">Tildrakizumab </w:t>
            </w:r>
            <w:r w:rsidR="00110120" w:rsidRPr="005B6D7B">
              <w:rPr>
                <w:b/>
                <w:bCs w:val="0"/>
                <w:szCs w:val="20"/>
              </w:rPr>
              <w:t>trials</w:t>
            </w:r>
            <w:r w:rsidR="00B84BE4" w:rsidRPr="005B6D7B">
              <w:rPr>
                <w:b/>
                <w:bCs w:val="0"/>
                <w:szCs w:val="20"/>
              </w:rPr>
              <w:t xml:space="preserve"> </w:t>
            </w:r>
            <w:r w:rsidR="00B84BE4" w:rsidRPr="005B6D7B">
              <w:rPr>
                <w:b/>
                <w:bCs w:val="0"/>
              </w:rPr>
              <w:t>(comparator)</w:t>
            </w:r>
          </w:p>
        </w:tc>
      </w:tr>
      <w:tr w:rsidR="00854C7E" w:rsidRPr="005B6D7B" w14:paraId="6468918B" w14:textId="77777777" w:rsidTr="00461C39">
        <w:trPr>
          <w:cantSplit/>
          <w:trHeight w:val="20"/>
        </w:trPr>
        <w:tc>
          <w:tcPr>
            <w:tcW w:w="1210" w:type="pct"/>
            <w:shd w:val="clear" w:color="auto" w:fill="auto"/>
            <w:vAlign w:val="center"/>
          </w:tcPr>
          <w:p w14:paraId="06EECFB3" w14:textId="1001F51E" w:rsidR="00D54C74" w:rsidRPr="005B6D7B" w:rsidRDefault="00D54C74" w:rsidP="00BE22DD">
            <w:pPr>
              <w:pStyle w:val="TableText0"/>
              <w:keepNext w:val="0"/>
              <w:rPr>
                <w:szCs w:val="20"/>
              </w:rPr>
            </w:pPr>
            <w:r w:rsidRPr="005B6D7B">
              <w:rPr>
                <w:szCs w:val="20"/>
              </w:rPr>
              <w:t>Papp 2015 (PBO)</w:t>
            </w:r>
          </w:p>
        </w:tc>
        <w:tc>
          <w:tcPr>
            <w:tcW w:w="618" w:type="pct"/>
            <w:shd w:val="clear" w:color="auto" w:fill="auto"/>
            <w:vAlign w:val="center"/>
          </w:tcPr>
          <w:p w14:paraId="12A2A7E6" w14:textId="1892EAF7" w:rsidR="00D54C74" w:rsidRPr="005B6D7B" w:rsidRDefault="00D54C74" w:rsidP="002B3C96">
            <w:pPr>
              <w:pStyle w:val="TableText0"/>
              <w:keepNext w:val="0"/>
              <w:ind w:left="-22"/>
              <w:jc w:val="center"/>
              <w:rPr>
                <w:szCs w:val="20"/>
                <w:highlight w:val="yellow"/>
              </w:rPr>
            </w:pPr>
            <w:r w:rsidRPr="005B6D7B">
              <w:rPr>
                <w:szCs w:val="20"/>
              </w:rPr>
              <w:t>355</w:t>
            </w:r>
            <w:r w:rsidR="00492A38" w:rsidRPr="005B6D7B">
              <w:rPr>
                <w:szCs w:val="20"/>
              </w:rPr>
              <w:t xml:space="preserve"> (134)</w:t>
            </w:r>
          </w:p>
        </w:tc>
        <w:tc>
          <w:tcPr>
            <w:tcW w:w="1049" w:type="pct"/>
            <w:shd w:val="clear" w:color="auto" w:fill="auto"/>
            <w:vAlign w:val="center"/>
          </w:tcPr>
          <w:p w14:paraId="4C283BDA" w14:textId="53BEB82E" w:rsidR="00D54C74" w:rsidRPr="005B6D7B" w:rsidRDefault="00D54C74" w:rsidP="002B3C96">
            <w:pPr>
              <w:pStyle w:val="TableText0"/>
              <w:keepNext w:val="0"/>
              <w:jc w:val="center"/>
              <w:rPr>
                <w:szCs w:val="20"/>
                <w:highlight w:val="yellow"/>
              </w:rPr>
            </w:pPr>
            <w:r w:rsidRPr="005B6D7B">
              <w:rPr>
                <w:szCs w:val="20"/>
              </w:rPr>
              <w:t>P</w:t>
            </w:r>
            <w:r w:rsidR="00974DA8" w:rsidRPr="005B6D7B">
              <w:rPr>
                <w:szCs w:val="20"/>
              </w:rPr>
              <w:t>2B</w:t>
            </w:r>
            <w:r w:rsidRPr="005B6D7B">
              <w:rPr>
                <w:szCs w:val="20"/>
              </w:rPr>
              <w:t>, R, DB, MC</w:t>
            </w:r>
            <w:r w:rsidR="00E211C5" w:rsidRPr="005B6D7B">
              <w:rPr>
                <w:szCs w:val="20"/>
              </w:rPr>
              <w:t>,</w:t>
            </w:r>
            <w:r w:rsidR="003B460D" w:rsidRPr="005B6D7B">
              <w:rPr>
                <w:szCs w:val="20"/>
              </w:rPr>
              <w:t xml:space="preserve"> </w:t>
            </w:r>
            <w:r w:rsidR="00D419E4" w:rsidRPr="005B6D7B">
              <w:rPr>
                <w:szCs w:val="20"/>
              </w:rPr>
              <w:t>7</w:t>
            </w:r>
            <w:r w:rsidRPr="005B6D7B">
              <w:rPr>
                <w:szCs w:val="20"/>
              </w:rPr>
              <w:t>2 wks</w:t>
            </w:r>
          </w:p>
        </w:tc>
        <w:tc>
          <w:tcPr>
            <w:tcW w:w="388" w:type="pct"/>
            <w:shd w:val="clear" w:color="auto" w:fill="auto"/>
            <w:vAlign w:val="center"/>
          </w:tcPr>
          <w:p w14:paraId="3E8D0378" w14:textId="77777777" w:rsidR="00D54C74" w:rsidRPr="005B6D7B" w:rsidRDefault="00D54C74" w:rsidP="002B3C96">
            <w:pPr>
              <w:pStyle w:val="TableText0"/>
              <w:keepNext w:val="0"/>
              <w:ind w:left="-23"/>
              <w:jc w:val="center"/>
              <w:rPr>
                <w:szCs w:val="20"/>
              </w:rPr>
            </w:pPr>
            <w:r w:rsidRPr="005B6D7B">
              <w:rPr>
                <w:szCs w:val="20"/>
              </w:rPr>
              <w:t>Low</w:t>
            </w:r>
          </w:p>
        </w:tc>
        <w:tc>
          <w:tcPr>
            <w:tcW w:w="672" w:type="pct"/>
            <w:vMerge w:val="restart"/>
            <w:shd w:val="clear" w:color="auto" w:fill="auto"/>
            <w:vAlign w:val="center"/>
          </w:tcPr>
          <w:p w14:paraId="42CAF44D" w14:textId="27A73A95" w:rsidR="00D54C74" w:rsidRPr="005B6D7B" w:rsidRDefault="0036034E" w:rsidP="001D310F">
            <w:pPr>
              <w:pStyle w:val="TableText0"/>
              <w:keepNext w:val="0"/>
              <w:jc w:val="center"/>
              <w:rPr>
                <w:szCs w:val="20"/>
              </w:rPr>
            </w:pPr>
            <w:r w:rsidRPr="005B6D7B">
              <w:rPr>
                <w:rFonts w:cstheme="minorHAnsi"/>
                <w:iCs/>
                <w:szCs w:val="20"/>
              </w:rPr>
              <w:t>M</w:t>
            </w:r>
            <w:r w:rsidR="00D54C74" w:rsidRPr="005B6D7B">
              <w:rPr>
                <w:rFonts w:cstheme="minorHAnsi"/>
                <w:iCs/>
                <w:szCs w:val="20"/>
              </w:rPr>
              <w:t xml:space="preserve">oderate to severe </w:t>
            </w:r>
            <w:r w:rsidRPr="005B6D7B">
              <w:rPr>
                <w:rFonts w:cstheme="minorHAnsi"/>
                <w:iCs/>
                <w:szCs w:val="20"/>
              </w:rPr>
              <w:t>CPP;</w:t>
            </w:r>
            <w:r w:rsidR="00D54C74" w:rsidRPr="005B6D7B">
              <w:rPr>
                <w:rFonts w:cstheme="minorHAnsi"/>
                <w:iCs/>
                <w:szCs w:val="20"/>
              </w:rPr>
              <w:t xml:space="preserve"> BSA ≥10%; PASI ≥12; PGA ≥3 </w:t>
            </w:r>
          </w:p>
        </w:tc>
        <w:tc>
          <w:tcPr>
            <w:tcW w:w="1063" w:type="pct"/>
            <w:vMerge w:val="restart"/>
            <w:shd w:val="clear" w:color="auto" w:fill="auto"/>
            <w:vAlign w:val="center"/>
          </w:tcPr>
          <w:p w14:paraId="7F0B026A" w14:textId="7034EC48" w:rsidR="00D54C74" w:rsidRPr="005B6D7B" w:rsidRDefault="00D54C74" w:rsidP="00BE22DD">
            <w:pPr>
              <w:pStyle w:val="TableText0"/>
              <w:keepNext w:val="0"/>
              <w:rPr>
                <w:szCs w:val="20"/>
              </w:rPr>
            </w:pPr>
            <w:r w:rsidRPr="005B6D7B">
              <w:t>PAS</w:t>
            </w:r>
            <w:r w:rsidR="001C0CB9" w:rsidRPr="005B6D7B">
              <w:t>I</w:t>
            </w:r>
            <w:r w:rsidRPr="005B6D7B">
              <w:t xml:space="preserve"> 75</w:t>
            </w:r>
            <w:r w:rsidR="003B460D" w:rsidRPr="005B6D7B">
              <w:t xml:space="preserve"> </w:t>
            </w:r>
            <w:r w:rsidR="00F25204" w:rsidRPr="005B6D7B">
              <w:t>(</w:t>
            </w:r>
            <w:r w:rsidR="003B460D" w:rsidRPr="005B6D7B">
              <w:t>12, 16 wks);</w:t>
            </w:r>
            <w:r w:rsidRPr="005B6D7B">
              <w:t xml:space="preserve"> PASI 90</w:t>
            </w:r>
            <w:r w:rsidR="00F25204" w:rsidRPr="005B6D7B">
              <w:t xml:space="preserve"> (16 wks); </w:t>
            </w:r>
            <w:r w:rsidRPr="005B6D7B">
              <w:t>PGA</w:t>
            </w:r>
            <w:r w:rsidR="001E5DC9" w:rsidRPr="005B6D7B">
              <w:t xml:space="preserve"> </w:t>
            </w:r>
            <w:r w:rsidRPr="005B6D7B">
              <w:t>0</w:t>
            </w:r>
            <w:r w:rsidR="00F25204" w:rsidRPr="005B6D7B">
              <w:t>/</w:t>
            </w:r>
            <w:r w:rsidRPr="005B6D7B">
              <w:t>1</w:t>
            </w:r>
            <w:r w:rsidR="00F25204" w:rsidRPr="005B6D7B">
              <w:t xml:space="preserve"> (12, 16 wks)</w:t>
            </w:r>
            <w:r w:rsidRPr="005B6D7B">
              <w:t xml:space="preserve"> </w:t>
            </w:r>
          </w:p>
        </w:tc>
      </w:tr>
      <w:tr w:rsidR="00854C7E" w:rsidRPr="005B6D7B" w14:paraId="45627CDB" w14:textId="77777777" w:rsidTr="00461C39">
        <w:trPr>
          <w:cantSplit/>
          <w:trHeight w:val="20"/>
        </w:trPr>
        <w:tc>
          <w:tcPr>
            <w:tcW w:w="1210" w:type="pct"/>
            <w:shd w:val="clear" w:color="auto" w:fill="auto"/>
            <w:vAlign w:val="center"/>
          </w:tcPr>
          <w:p w14:paraId="1AA47736" w14:textId="39598C94" w:rsidR="00D54C74" w:rsidRPr="005B6D7B" w:rsidRDefault="00D54C74" w:rsidP="00BE22DD">
            <w:pPr>
              <w:pStyle w:val="TableText0"/>
              <w:keepNext w:val="0"/>
              <w:rPr>
                <w:szCs w:val="20"/>
              </w:rPr>
            </w:pPr>
            <w:r w:rsidRPr="005B6D7B">
              <w:rPr>
                <w:sz w:val="18"/>
                <w:szCs w:val="18"/>
              </w:rPr>
              <w:t xml:space="preserve">reSURFACE-1 </w:t>
            </w:r>
            <w:r w:rsidRPr="005B6D7B">
              <w:rPr>
                <w:szCs w:val="20"/>
              </w:rPr>
              <w:t>(PBO)</w:t>
            </w:r>
          </w:p>
        </w:tc>
        <w:tc>
          <w:tcPr>
            <w:tcW w:w="618" w:type="pct"/>
            <w:shd w:val="clear" w:color="auto" w:fill="auto"/>
            <w:vAlign w:val="center"/>
          </w:tcPr>
          <w:p w14:paraId="327E13CE" w14:textId="746D0889" w:rsidR="00D54C74" w:rsidRPr="005B6D7B" w:rsidRDefault="00D54C74" w:rsidP="002B3C96">
            <w:pPr>
              <w:pStyle w:val="TableText0"/>
              <w:keepNext w:val="0"/>
              <w:ind w:left="-22"/>
              <w:jc w:val="center"/>
              <w:rPr>
                <w:szCs w:val="20"/>
                <w:highlight w:val="yellow"/>
              </w:rPr>
            </w:pPr>
            <w:r w:rsidRPr="005B6D7B">
              <w:rPr>
                <w:szCs w:val="20"/>
              </w:rPr>
              <w:t>772</w:t>
            </w:r>
            <w:r w:rsidR="00492A38" w:rsidRPr="005B6D7B">
              <w:rPr>
                <w:szCs w:val="20"/>
              </w:rPr>
              <w:t xml:space="preserve"> (463)</w:t>
            </w:r>
          </w:p>
        </w:tc>
        <w:tc>
          <w:tcPr>
            <w:tcW w:w="1049" w:type="pct"/>
            <w:shd w:val="clear" w:color="auto" w:fill="auto"/>
            <w:vAlign w:val="center"/>
          </w:tcPr>
          <w:p w14:paraId="5D84BFB5" w14:textId="68DA4826" w:rsidR="00D54C74" w:rsidRPr="005B6D7B" w:rsidRDefault="00D54C74" w:rsidP="003B460D">
            <w:pPr>
              <w:pStyle w:val="TableText0"/>
              <w:keepNext w:val="0"/>
              <w:jc w:val="center"/>
              <w:rPr>
                <w:szCs w:val="20"/>
                <w:highlight w:val="yellow"/>
              </w:rPr>
            </w:pPr>
            <w:r w:rsidRPr="005B6D7B">
              <w:rPr>
                <w:szCs w:val="20"/>
              </w:rPr>
              <w:t>P</w:t>
            </w:r>
            <w:r w:rsidR="00974DA8" w:rsidRPr="005B6D7B">
              <w:rPr>
                <w:szCs w:val="20"/>
              </w:rPr>
              <w:t>3</w:t>
            </w:r>
            <w:r w:rsidRPr="005B6D7B">
              <w:rPr>
                <w:szCs w:val="20"/>
              </w:rPr>
              <w:t>, R, DB, MC</w:t>
            </w:r>
            <w:r w:rsidR="00E211C5" w:rsidRPr="005B6D7B">
              <w:rPr>
                <w:szCs w:val="20"/>
              </w:rPr>
              <w:t>,</w:t>
            </w:r>
            <w:r w:rsidR="003B460D" w:rsidRPr="005B6D7B">
              <w:rPr>
                <w:szCs w:val="20"/>
              </w:rPr>
              <w:t xml:space="preserve"> 64</w:t>
            </w:r>
            <w:r w:rsidRPr="005B6D7B">
              <w:rPr>
                <w:i/>
                <w:szCs w:val="20"/>
              </w:rPr>
              <w:t xml:space="preserve"> </w:t>
            </w:r>
            <w:r w:rsidRPr="005B6D7B">
              <w:rPr>
                <w:szCs w:val="20"/>
              </w:rPr>
              <w:t>wks</w:t>
            </w:r>
          </w:p>
        </w:tc>
        <w:tc>
          <w:tcPr>
            <w:tcW w:w="388" w:type="pct"/>
            <w:shd w:val="clear" w:color="auto" w:fill="auto"/>
            <w:vAlign w:val="center"/>
          </w:tcPr>
          <w:p w14:paraId="48BB6F2D" w14:textId="77777777" w:rsidR="00D54C74" w:rsidRPr="005B6D7B" w:rsidRDefault="00D54C74" w:rsidP="002B3C96">
            <w:pPr>
              <w:pStyle w:val="TableText0"/>
              <w:keepNext w:val="0"/>
              <w:ind w:left="-23"/>
              <w:jc w:val="center"/>
              <w:rPr>
                <w:szCs w:val="20"/>
              </w:rPr>
            </w:pPr>
            <w:r w:rsidRPr="005B6D7B">
              <w:rPr>
                <w:szCs w:val="20"/>
              </w:rPr>
              <w:t>Low</w:t>
            </w:r>
          </w:p>
        </w:tc>
        <w:tc>
          <w:tcPr>
            <w:tcW w:w="672" w:type="pct"/>
            <w:vMerge/>
            <w:shd w:val="clear" w:color="auto" w:fill="auto"/>
            <w:vAlign w:val="center"/>
          </w:tcPr>
          <w:p w14:paraId="59A4E4D1" w14:textId="77777777" w:rsidR="00D54C74" w:rsidRPr="005B6D7B" w:rsidRDefault="00D54C74" w:rsidP="00BE22DD">
            <w:pPr>
              <w:pStyle w:val="TableText0"/>
              <w:keepNext w:val="0"/>
              <w:rPr>
                <w:szCs w:val="20"/>
              </w:rPr>
            </w:pPr>
          </w:p>
        </w:tc>
        <w:tc>
          <w:tcPr>
            <w:tcW w:w="1063" w:type="pct"/>
            <w:vMerge/>
            <w:shd w:val="clear" w:color="auto" w:fill="auto"/>
            <w:vAlign w:val="center"/>
          </w:tcPr>
          <w:p w14:paraId="25EB0D1B" w14:textId="77777777" w:rsidR="00D54C74" w:rsidRPr="005B6D7B" w:rsidRDefault="00D54C74" w:rsidP="00BE22DD">
            <w:pPr>
              <w:pStyle w:val="TableText0"/>
              <w:keepNext w:val="0"/>
              <w:rPr>
                <w:szCs w:val="20"/>
              </w:rPr>
            </w:pPr>
          </w:p>
        </w:tc>
      </w:tr>
      <w:tr w:rsidR="00854C7E" w:rsidRPr="005B6D7B" w14:paraId="25F9DB47" w14:textId="77777777" w:rsidTr="00461C39">
        <w:trPr>
          <w:cantSplit/>
          <w:trHeight w:val="20"/>
        </w:trPr>
        <w:tc>
          <w:tcPr>
            <w:tcW w:w="1210" w:type="pct"/>
            <w:shd w:val="clear" w:color="auto" w:fill="auto"/>
            <w:vAlign w:val="center"/>
          </w:tcPr>
          <w:p w14:paraId="6E5CB24D" w14:textId="190EB9DE" w:rsidR="00D54C74" w:rsidRPr="005B6D7B" w:rsidRDefault="00D54C74" w:rsidP="00BE22DD">
            <w:pPr>
              <w:pStyle w:val="TableText0"/>
              <w:keepNext w:val="0"/>
              <w:rPr>
                <w:szCs w:val="20"/>
              </w:rPr>
            </w:pPr>
            <w:r w:rsidRPr="005B6D7B">
              <w:rPr>
                <w:sz w:val="18"/>
                <w:szCs w:val="18"/>
              </w:rPr>
              <w:t xml:space="preserve">reSURFACE-2 </w:t>
            </w:r>
            <w:r w:rsidRPr="005B6D7B">
              <w:rPr>
                <w:szCs w:val="20"/>
              </w:rPr>
              <w:t>(PBO</w:t>
            </w:r>
            <w:r w:rsidR="00601CE3" w:rsidRPr="005B6D7B">
              <w:rPr>
                <w:szCs w:val="20"/>
              </w:rPr>
              <w:t>,</w:t>
            </w:r>
            <w:r w:rsidR="003B460D" w:rsidRPr="005B6D7B">
              <w:rPr>
                <w:szCs w:val="20"/>
              </w:rPr>
              <w:t xml:space="preserve"> ETN</w:t>
            </w:r>
            <w:r w:rsidRPr="005B6D7B">
              <w:rPr>
                <w:szCs w:val="20"/>
              </w:rPr>
              <w:t>)</w:t>
            </w:r>
          </w:p>
        </w:tc>
        <w:tc>
          <w:tcPr>
            <w:tcW w:w="618" w:type="pct"/>
            <w:shd w:val="clear" w:color="auto" w:fill="auto"/>
            <w:vAlign w:val="center"/>
          </w:tcPr>
          <w:p w14:paraId="75311E85" w14:textId="64FD27E1" w:rsidR="00D54C74" w:rsidRPr="005B6D7B" w:rsidRDefault="00E20CF9" w:rsidP="002B3C96">
            <w:pPr>
              <w:pStyle w:val="TableText0"/>
              <w:keepNext w:val="0"/>
              <w:ind w:left="-22"/>
              <w:jc w:val="center"/>
              <w:rPr>
                <w:szCs w:val="20"/>
                <w:highlight w:val="yellow"/>
              </w:rPr>
            </w:pPr>
            <w:r w:rsidRPr="005B6D7B">
              <w:rPr>
                <w:szCs w:val="20"/>
              </w:rPr>
              <w:t>1090</w:t>
            </w:r>
            <w:r w:rsidR="00492A38" w:rsidRPr="005B6D7B">
              <w:rPr>
                <w:szCs w:val="20"/>
              </w:rPr>
              <w:t xml:space="preserve"> (463)</w:t>
            </w:r>
          </w:p>
        </w:tc>
        <w:tc>
          <w:tcPr>
            <w:tcW w:w="1049" w:type="pct"/>
            <w:shd w:val="clear" w:color="auto" w:fill="auto"/>
            <w:vAlign w:val="center"/>
          </w:tcPr>
          <w:p w14:paraId="7E16F29E" w14:textId="48ABF02E" w:rsidR="00D54C74" w:rsidRPr="005B6D7B" w:rsidRDefault="00D54C74" w:rsidP="003B460D">
            <w:pPr>
              <w:pStyle w:val="TableText0"/>
              <w:keepNext w:val="0"/>
              <w:jc w:val="center"/>
              <w:rPr>
                <w:szCs w:val="20"/>
                <w:highlight w:val="yellow"/>
              </w:rPr>
            </w:pPr>
            <w:r w:rsidRPr="005B6D7B">
              <w:rPr>
                <w:szCs w:val="20"/>
              </w:rPr>
              <w:t>P</w:t>
            </w:r>
            <w:r w:rsidR="00974DA8" w:rsidRPr="005B6D7B">
              <w:rPr>
                <w:szCs w:val="20"/>
              </w:rPr>
              <w:t>3</w:t>
            </w:r>
            <w:r w:rsidRPr="005B6D7B">
              <w:rPr>
                <w:szCs w:val="20"/>
              </w:rPr>
              <w:t>, R, DB, MC</w:t>
            </w:r>
            <w:r w:rsidR="00E211C5" w:rsidRPr="005B6D7B">
              <w:rPr>
                <w:szCs w:val="20"/>
              </w:rPr>
              <w:t>,</w:t>
            </w:r>
            <w:r w:rsidR="003B460D" w:rsidRPr="005B6D7B">
              <w:rPr>
                <w:szCs w:val="20"/>
              </w:rPr>
              <w:t xml:space="preserve"> 52</w:t>
            </w:r>
            <w:r w:rsidRPr="005B6D7B">
              <w:rPr>
                <w:szCs w:val="20"/>
              </w:rPr>
              <w:t xml:space="preserve"> wks</w:t>
            </w:r>
          </w:p>
        </w:tc>
        <w:tc>
          <w:tcPr>
            <w:tcW w:w="388" w:type="pct"/>
            <w:shd w:val="clear" w:color="auto" w:fill="auto"/>
            <w:vAlign w:val="center"/>
          </w:tcPr>
          <w:p w14:paraId="5166919B" w14:textId="77777777" w:rsidR="00D54C74" w:rsidRPr="005B6D7B" w:rsidRDefault="00D54C74" w:rsidP="002B3C96">
            <w:pPr>
              <w:pStyle w:val="TableText0"/>
              <w:keepNext w:val="0"/>
              <w:ind w:left="-23"/>
              <w:jc w:val="center"/>
              <w:rPr>
                <w:szCs w:val="20"/>
              </w:rPr>
            </w:pPr>
            <w:r w:rsidRPr="005B6D7B">
              <w:rPr>
                <w:szCs w:val="20"/>
              </w:rPr>
              <w:t>Low</w:t>
            </w:r>
          </w:p>
        </w:tc>
        <w:tc>
          <w:tcPr>
            <w:tcW w:w="672" w:type="pct"/>
            <w:vMerge/>
            <w:shd w:val="clear" w:color="auto" w:fill="auto"/>
            <w:vAlign w:val="center"/>
          </w:tcPr>
          <w:p w14:paraId="66ECCB09" w14:textId="77777777" w:rsidR="00D54C74" w:rsidRPr="005B6D7B" w:rsidRDefault="00D54C74" w:rsidP="00BE22DD">
            <w:pPr>
              <w:pStyle w:val="TableText0"/>
              <w:keepNext w:val="0"/>
              <w:rPr>
                <w:szCs w:val="20"/>
              </w:rPr>
            </w:pPr>
          </w:p>
        </w:tc>
        <w:tc>
          <w:tcPr>
            <w:tcW w:w="1063" w:type="pct"/>
            <w:vMerge/>
            <w:shd w:val="clear" w:color="auto" w:fill="auto"/>
            <w:vAlign w:val="center"/>
          </w:tcPr>
          <w:p w14:paraId="25360F68" w14:textId="77777777" w:rsidR="00D54C74" w:rsidRPr="005B6D7B" w:rsidRDefault="00D54C74" w:rsidP="00BE22DD">
            <w:pPr>
              <w:pStyle w:val="TableText0"/>
              <w:keepNext w:val="0"/>
              <w:rPr>
                <w:szCs w:val="20"/>
              </w:rPr>
            </w:pPr>
          </w:p>
        </w:tc>
      </w:tr>
    </w:tbl>
    <w:bookmarkEnd w:id="31"/>
    <w:p w14:paraId="7D5E0C1B" w14:textId="6000340E" w:rsidR="00D54C74" w:rsidRPr="005B6D7B" w:rsidRDefault="00D54C74" w:rsidP="00D54C74">
      <w:pPr>
        <w:pStyle w:val="TableFigureFooter"/>
      </w:pPr>
      <w:r w:rsidRPr="005B6D7B">
        <w:t>Source: Table 2-7, p 65-67 of the submission and Table 1-2, 19-30 of Appendix 1</w:t>
      </w:r>
      <w:r w:rsidR="00294161" w:rsidRPr="005B6D7B">
        <w:t>;</w:t>
      </w:r>
      <w:r w:rsidR="003444FE" w:rsidRPr="005B6D7B">
        <w:t xml:space="preserve"> M15-999 CSR; IMMhance CSR; IMMvent CSR; IMMerge CSR;</w:t>
      </w:r>
      <w:r w:rsidR="00294161" w:rsidRPr="005B6D7B">
        <w:t xml:space="preserve"> </w:t>
      </w:r>
      <w:r w:rsidR="00967A5B" w:rsidRPr="005B6D7B">
        <w:t>Gordon et al. 2021</w:t>
      </w:r>
      <w:r w:rsidR="0021370B" w:rsidRPr="005B6D7B">
        <w:t xml:space="preserve"> (BE READY)</w:t>
      </w:r>
      <w:r w:rsidR="00967A5B" w:rsidRPr="005B6D7B">
        <w:t>; Warren et al. 2021</w:t>
      </w:r>
      <w:r w:rsidR="0021370B" w:rsidRPr="005B6D7B">
        <w:t xml:space="preserve"> (BE SURE)</w:t>
      </w:r>
      <w:r w:rsidR="00967A5B" w:rsidRPr="005B6D7B">
        <w:t>; Reich et al. 2021</w:t>
      </w:r>
      <w:r w:rsidR="0021370B" w:rsidRPr="005B6D7B">
        <w:t xml:space="preserve"> (BE VIVID)</w:t>
      </w:r>
      <w:r w:rsidR="00967A5B" w:rsidRPr="005B6D7B">
        <w:t xml:space="preserve">; van de Kerkhof et al. 2008; </w:t>
      </w:r>
      <w:r w:rsidR="0021370B" w:rsidRPr="005B6D7B">
        <w:t>https://clinicaltrials.gov/study/NCT02207244 (VOYAGE-2)</w:t>
      </w:r>
    </w:p>
    <w:p w14:paraId="1C03556E" w14:textId="42FF67E1" w:rsidR="00D54C74" w:rsidRPr="005B6D7B" w:rsidRDefault="00D54C74" w:rsidP="00D54C74">
      <w:pPr>
        <w:pStyle w:val="TableFigureFooter"/>
      </w:pPr>
      <w:r w:rsidRPr="005B6D7B">
        <w:t>ADA</w:t>
      </w:r>
      <w:r w:rsidR="00DF018C" w:rsidRPr="005B6D7B">
        <w:t>=</w:t>
      </w:r>
      <w:r w:rsidRPr="005B6D7B">
        <w:t>adalimumab; BKZ</w:t>
      </w:r>
      <w:r w:rsidR="00DF018C" w:rsidRPr="005B6D7B">
        <w:t>=</w:t>
      </w:r>
      <w:r w:rsidRPr="005B6D7B">
        <w:t>bimekizumab; BSA</w:t>
      </w:r>
      <w:r w:rsidR="00DF018C" w:rsidRPr="005B6D7B">
        <w:t>=</w:t>
      </w:r>
      <w:r w:rsidRPr="005B6D7B">
        <w:t xml:space="preserve">body surface area; </w:t>
      </w:r>
      <w:r w:rsidR="000734F3" w:rsidRPr="005B6D7B">
        <w:t xml:space="preserve">CPP = chronic plaque psoriasis; </w:t>
      </w:r>
      <w:r w:rsidRPr="005B6D7B">
        <w:t>DB</w:t>
      </w:r>
      <w:r w:rsidR="00DF018C" w:rsidRPr="005B6D7B">
        <w:t>=</w:t>
      </w:r>
      <w:r w:rsidRPr="005B6D7B">
        <w:t>double-blind; DLQI</w:t>
      </w:r>
      <w:r w:rsidR="00DF018C" w:rsidRPr="005B6D7B">
        <w:t>=</w:t>
      </w:r>
      <w:r w:rsidRPr="005B6D7B">
        <w:t>Dermatology Life Quality Index; ET</w:t>
      </w:r>
      <w:r w:rsidR="003B460D" w:rsidRPr="005B6D7B">
        <w:t>N</w:t>
      </w:r>
      <w:r w:rsidR="00DF018C" w:rsidRPr="005B6D7B">
        <w:t>=</w:t>
      </w:r>
      <w:r w:rsidRPr="005B6D7B">
        <w:t>etanercept;</w:t>
      </w:r>
      <w:r w:rsidR="000D1A5C" w:rsidRPr="005B6D7B">
        <w:t xml:space="preserve"> IGA= Investigator’s Global Assessment</w:t>
      </w:r>
      <w:r w:rsidR="00854C7E" w:rsidRPr="005B6D7B">
        <w:t>; ITC=indirect treatment comparison;</w:t>
      </w:r>
      <w:r w:rsidRPr="005B6D7B">
        <w:t xml:space="preserve"> IXE</w:t>
      </w:r>
      <w:r w:rsidR="00DF018C" w:rsidRPr="005B6D7B">
        <w:t>=</w:t>
      </w:r>
      <w:r w:rsidRPr="005B6D7B">
        <w:t>ixekizumab;  MC</w:t>
      </w:r>
      <w:r w:rsidR="00DF018C" w:rsidRPr="005B6D7B">
        <w:t>=</w:t>
      </w:r>
      <w:r w:rsidRPr="005B6D7B">
        <w:t>multicentre; OL</w:t>
      </w:r>
      <w:r w:rsidR="00DF018C" w:rsidRPr="005B6D7B">
        <w:t>=</w:t>
      </w:r>
      <w:r w:rsidRPr="005B6D7B">
        <w:t xml:space="preserve">open-label; </w:t>
      </w:r>
      <w:r w:rsidR="009D115B" w:rsidRPr="005B6D7B">
        <w:t xml:space="preserve">P2=phase II; P2B=phase IIB; </w:t>
      </w:r>
      <w:r w:rsidR="00C8299F" w:rsidRPr="005B6D7B">
        <w:t>P3=</w:t>
      </w:r>
      <w:r w:rsidR="009D115B" w:rsidRPr="005B6D7B">
        <w:t xml:space="preserve">phase III; </w:t>
      </w:r>
      <w:r w:rsidRPr="005B6D7B">
        <w:t>PASI</w:t>
      </w:r>
      <w:r w:rsidR="00DF018C" w:rsidRPr="005B6D7B">
        <w:t>=</w:t>
      </w:r>
      <w:r w:rsidRPr="005B6D7B">
        <w:t xml:space="preserve">Psoriasis Activity and Severity Index; </w:t>
      </w:r>
      <w:r w:rsidR="00620D98" w:rsidRPr="005B6D7B">
        <w:t xml:space="preserve">PGA=Physician Global Assessment; </w:t>
      </w:r>
      <w:r w:rsidRPr="005B6D7B">
        <w:t>PBO</w:t>
      </w:r>
      <w:r w:rsidR="00DF018C" w:rsidRPr="005B6D7B">
        <w:t>=</w:t>
      </w:r>
      <w:r w:rsidRPr="005B6D7B">
        <w:t>placebo; RCT</w:t>
      </w:r>
      <w:r w:rsidR="00DF018C" w:rsidRPr="005B6D7B">
        <w:t>=</w:t>
      </w:r>
      <w:r w:rsidRPr="005B6D7B">
        <w:t>randomised controlled trial; RIS</w:t>
      </w:r>
      <w:r w:rsidR="00DF018C" w:rsidRPr="005B6D7B">
        <w:t>=</w:t>
      </w:r>
      <w:r w:rsidRPr="005B6D7B">
        <w:t>risankizumab; SEC</w:t>
      </w:r>
      <w:r w:rsidR="00DF018C" w:rsidRPr="005B6D7B">
        <w:t>=</w:t>
      </w:r>
      <w:r w:rsidRPr="005B6D7B">
        <w:t>secukinumab; sPGA</w:t>
      </w:r>
      <w:r w:rsidR="00DF018C" w:rsidRPr="005B6D7B">
        <w:t>=</w:t>
      </w:r>
      <w:r w:rsidRPr="005B6D7B">
        <w:t>Static Physician Global Assessment; TIL</w:t>
      </w:r>
      <w:r w:rsidR="00DF018C" w:rsidRPr="005B6D7B">
        <w:t>=</w:t>
      </w:r>
      <w:r w:rsidRPr="005B6D7B">
        <w:t>tildrankizumab; UST</w:t>
      </w:r>
      <w:r w:rsidR="00DF018C" w:rsidRPr="005B6D7B">
        <w:t>=</w:t>
      </w:r>
      <w:r w:rsidRPr="005B6D7B">
        <w:t>ustekinumab</w:t>
      </w:r>
      <w:r w:rsidR="00974DA8" w:rsidRPr="005B6D7B">
        <w:t>; wks=weeks.</w:t>
      </w:r>
    </w:p>
    <w:p w14:paraId="4A128C75" w14:textId="18E07DD1" w:rsidR="00D54C74" w:rsidRPr="009A24F9" w:rsidRDefault="00D54C74" w:rsidP="00D54C74">
      <w:pPr>
        <w:pStyle w:val="3-BodyText"/>
      </w:pPr>
      <w:r w:rsidRPr="009A24F9">
        <w:t>The included RCTs were Phase 2 or Phase 3, randomised, active and/or placebo-controlled trials in patients with moderate to severe CPP. The trials generally had a double-blind treatment phase of at least 12 to 16 weeks (up to 52 weeks), with the exception of one open-label trial to 52 weeks (IMMerge). Most trials generally included treatment switching after the double-blind phase, but the submission excluded data after any switching from the ITC. The submission also excluded data from treatment arms using unapproved doses from the ITC.</w:t>
      </w:r>
    </w:p>
    <w:p w14:paraId="0F726395" w14:textId="0F1FE8BF" w:rsidR="001C0CB9" w:rsidRPr="009A24F9" w:rsidRDefault="001C0CB9" w:rsidP="00F47DDA">
      <w:pPr>
        <w:pStyle w:val="3-BodyText"/>
      </w:pPr>
      <w:r w:rsidRPr="009A24F9">
        <w:t xml:space="preserve">The inclusion criteria across the RCTs were broadly similar, designed to enrol patients with moderate to severe psoriasis who were candidates for systemic therapy. Across the trials included in the </w:t>
      </w:r>
      <w:r w:rsidR="00F47DDA" w:rsidRPr="009A24F9">
        <w:t>ITC</w:t>
      </w:r>
      <w:r w:rsidRPr="009A24F9">
        <w:t>, the most notable difference was use of prior biologics (e.g. 41% in risankizumab trials, 35% in bimekizumab trials, 24% in ixekizumab trials, 22% in guselkumab trials, 20% in tildrakizumab trials, 0% in etanercept trials). The increased rate of prior biologic exposure may be attributable to the risankizumab clinical trial program being conducted more recently than some comparators, or the geographic availability of biologic treatments.</w:t>
      </w:r>
    </w:p>
    <w:p w14:paraId="47A59317" w14:textId="462AD226" w:rsidR="001C0CB9" w:rsidRPr="009A24F9" w:rsidRDefault="001C0CB9" w:rsidP="005602B9">
      <w:pPr>
        <w:pStyle w:val="3-BodyText"/>
      </w:pPr>
      <w:r w:rsidRPr="009A24F9">
        <w:t xml:space="preserve">The primary and secondary endpoints reported across the RCTs were </w:t>
      </w:r>
      <w:r w:rsidR="005602B9" w:rsidRPr="009A24F9">
        <w:t>again broadly</w:t>
      </w:r>
      <w:r w:rsidRPr="009A24F9">
        <w:t xml:space="preserve"> similar, with most trials reporting PASI 90, PASI 100 and/or static physician’s global assessment (sPGA) score 0/1 at Week 16 as primary or co-primary endpoint, and PASI 75 at Week 16 as a secondary outcome. Most trials also analysed outcomes on an intention-to-treat basis and used conservative imputation methods where data were </w:t>
      </w:r>
      <w:r w:rsidRPr="009A24F9">
        <w:lastRenderedPageBreak/>
        <w:t>missing, predominantly last observation carried forward and non-responder imputation.</w:t>
      </w:r>
    </w:p>
    <w:p w14:paraId="31D0EF1F" w14:textId="127FCEE7" w:rsidR="00D02FE8" w:rsidRPr="009A24F9" w:rsidRDefault="005602B9" w:rsidP="00BB5640">
      <w:pPr>
        <w:pStyle w:val="3-BodyText"/>
      </w:pPr>
      <w:r w:rsidRPr="009A24F9">
        <w:t xml:space="preserve">Overall, the included trials had a low risk of bias for key endpoints. The trials were also generally comparable in terms of design, patient population, outcome definitions and assessment time points. Aside from the notable differences in use of prior biologics, the submission argued that the trials met the transitivity assumption of the </w:t>
      </w:r>
      <w:r w:rsidR="00F47DDA" w:rsidRPr="009A24F9">
        <w:t>ITC</w:t>
      </w:r>
      <w:r w:rsidRPr="009A24F9">
        <w:t>. Event rates across the common reference arms were generally comparable with a few exceptions</w:t>
      </w:r>
      <w:r w:rsidR="00BB5640" w:rsidRPr="009A24F9">
        <w:t xml:space="preserve"> (e.g. in relative terms for placebo, with 8.8% PASI 75 response / 3.1% PASI 90 response in the risankizumab trials compared to 3.0% PASI 75 response / 0.7 % PASI 90 response in the etanercept trials)</w:t>
      </w:r>
      <w:r w:rsidRPr="009A24F9">
        <w:t>. The submission also argued that, as the PBAC had relied on similar direct and indirect evidence to inform past decisions, the included RCTs are sufficiently applicable for patients with severe disease and sufficiently exchangeable to inform decision-making.</w:t>
      </w:r>
    </w:p>
    <w:p w14:paraId="4A4FE085" w14:textId="66D1539E" w:rsidR="00B60939" w:rsidRPr="005B6D7B" w:rsidRDefault="00B60939" w:rsidP="00EC5836">
      <w:pPr>
        <w:pStyle w:val="4-SubsectionHeading"/>
      </w:pPr>
      <w:bookmarkStart w:id="33" w:name="_Toc22897641"/>
      <w:bookmarkStart w:id="34" w:name="_Toc143506202"/>
      <w:r w:rsidRPr="005B6D7B">
        <w:t>Comparative effectiveness</w:t>
      </w:r>
      <w:bookmarkEnd w:id="33"/>
      <w:bookmarkEnd w:id="34"/>
    </w:p>
    <w:p w14:paraId="575A7627" w14:textId="442992A8" w:rsidR="00D02FE8" w:rsidRPr="009A24F9" w:rsidRDefault="00C903C6" w:rsidP="00F5729E">
      <w:pPr>
        <w:pStyle w:val="3-BodyText"/>
      </w:pPr>
      <w:r w:rsidRPr="009A24F9">
        <w:t>The PBAC ha</w:t>
      </w:r>
      <w:r w:rsidR="00F5729E" w:rsidRPr="009A24F9">
        <w:t>d</w:t>
      </w:r>
      <w:r w:rsidR="00D02FE8" w:rsidRPr="009A24F9">
        <w:t xml:space="preserve"> previously based recommendations for listing of biologics for the treatment of severe CPP o</w:t>
      </w:r>
      <w:r w:rsidR="00741D51" w:rsidRPr="009A24F9">
        <w:t>n the proportion of patients achieving and</w:t>
      </w:r>
      <w:r w:rsidR="00D02FE8" w:rsidRPr="009A24F9">
        <w:t xml:space="preserve"> maintaining a PASI 75 response (≥ 75% improvement from baseline in the Psoriasis Area and Severity Index score). This is also consistent with the PBS eligibility criteria for continued treatment with biologics. </w:t>
      </w:r>
      <w:r w:rsidRPr="009A24F9">
        <w:t xml:space="preserve">Although </w:t>
      </w:r>
      <w:r w:rsidR="005325C6" w:rsidRPr="009A24F9">
        <w:t>a higher response rate (e.g. PASI 90</w:t>
      </w:r>
      <w:r w:rsidR="00FD6E91" w:rsidRPr="009A24F9">
        <w:t xml:space="preserve"> or PASI 100</w:t>
      </w:r>
      <w:r w:rsidR="005325C6" w:rsidRPr="009A24F9">
        <w:t>) may be useful in particular patients</w:t>
      </w:r>
      <w:r w:rsidRPr="009A24F9">
        <w:t xml:space="preserve">, the PBAC </w:t>
      </w:r>
      <w:r w:rsidR="00F5729E" w:rsidRPr="009A24F9">
        <w:t xml:space="preserve">had </w:t>
      </w:r>
      <w:r w:rsidRPr="009A24F9">
        <w:t xml:space="preserve">considered </w:t>
      </w:r>
      <w:r w:rsidR="00FD6E91" w:rsidRPr="009A24F9">
        <w:t xml:space="preserve">that </w:t>
      </w:r>
      <w:r w:rsidR="00741D51" w:rsidRPr="009A24F9">
        <w:t>PASI 75 remained a relevant outcome for severe CPP (paragraphs 7.5 and 7.9, bimekizumab PSD, March</w:t>
      </w:r>
      <w:r w:rsidR="00705C96">
        <w:t> </w:t>
      </w:r>
      <w:r w:rsidR="00741D51" w:rsidRPr="009A24F9">
        <w:t>2023).</w:t>
      </w:r>
    </w:p>
    <w:p w14:paraId="6E460F85" w14:textId="537A0DCE" w:rsidR="00FA2436" w:rsidRPr="009A24F9" w:rsidRDefault="00FA2436" w:rsidP="00F47DDA">
      <w:pPr>
        <w:pStyle w:val="3-BodyText"/>
      </w:pPr>
      <w:r w:rsidRPr="009A24F9">
        <w:t xml:space="preserve">The submission presented </w:t>
      </w:r>
      <w:r w:rsidR="00F47DDA" w:rsidRPr="009A24F9">
        <w:t xml:space="preserve">both </w:t>
      </w:r>
      <w:r w:rsidRPr="009A24F9">
        <w:t xml:space="preserve">direct </w:t>
      </w:r>
      <w:r w:rsidR="00F47DDA" w:rsidRPr="009A24F9">
        <w:t xml:space="preserve">evidence </w:t>
      </w:r>
      <w:r w:rsidRPr="009A24F9">
        <w:t xml:space="preserve">and </w:t>
      </w:r>
      <w:r w:rsidR="00F47DDA" w:rsidRPr="009A24F9">
        <w:t>an ITC</w:t>
      </w:r>
      <w:r w:rsidRPr="009A24F9">
        <w:t xml:space="preserve"> (using the Bucher method) </w:t>
      </w:r>
      <w:r w:rsidR="00F47DDA" w:rsidRPr="009A24F9">
        <w:t xml:space="preserve">comparing </w:t>
      </w:r>
      <w:r w:rsidRPr="009A24F9">
        <w:t xml:space="preserve">risankizumab </w:t>
      </w:r>
      <w:r w:rsidR="00F47DDA" w:rsidRPr="009A24F9">
        <w:t xml:space="preserve">to </w:t>
      </w:r>
      <w:r w:rsidRPr="009A24F9">
        <w:t xml:space="preserve">the nominated comparators across several outcomes (including PASI 75, PASI 90, PASI 100, </w:t>
      </w:r>
      <w:r w:rsidRPr="009A24F9">
        <w:rPr>
          <w:snapToGrid/>
        </w:rPr>
        <w:t xml:space="preserve">sPGA and DLQI) following short-term (Week </w:t>
      </w:r>
      <w:r w:rsidR="00F47DDA" w:rsidRPr="009A24F9">
        <w:rPr>
          <w:snapToGrid/>
        </w:rPr>
        <w:t>12-</w:t>
      </w:r>
      <w:r w:rsidRPr="009A24F9">
        <w:rPr>
          <w:snapToGrid/>
        </w:rPr>
        <w:t xml:space="preserve">16) and long-term </w:t>
      </w:r>
      <w:r w:rsidR="00A76B0A" w:rsidRPr="009A24F9">
        <w:rPr>
          <w:snapToGrid/>
        </w:rPr>
        <w:t xml:space="preserve">(Week 48-52) </w:t>
      </w:r>
      <w:r w:rsidRPr="009A24F9">
        <w:rPr>
          <w:snapToGrid/>
        </w:rPr>
        <w:t xml:space="preserve">treatment. To interpret the results, the submission nominated a non-inferiority margin of -10% (i.e. non-inferior if lower bound of risk difference no less than -0.10) for PASI 75 and PASI 90 to demonstrate non-inferiority and statistical significance to </w:t>
      </w:r>
      <w:r w:rsidRPr="009A24F9">
        <w:t>demonstrate superiority.</w:t>
      </w:r>
      <w:r w:rsidRPr="009A24F9">
        <w:rPr>
          <w:snapToGrid/>
        </w:rPr>
        <w:t xml:space="preserve"> The nominated non-inferiority margin was consistent with past PBAC decisions. For brevity, the </w:t>
      </w:r>
      <w:r w:rsidR="00F546C8" w:rsidRPr="005D1E8B">
        <w:rPr>
          <w:snapToGrid/>
        </w:rPr>
        <w:t xml:space="preserve">evaluation </w:t>
      </w:r>
      <w:r w:rsidR="00C15D8E" w:rsidRPr="005D1E8B">
        <w:rPr>
          <w:snapToGrid/>
        </w:rPr>
        <w:t>focuse</w:t>
      </w:r>
      <w:r w:rsidR="00F546C8" w:rsidRPr="005D1E8B">
        <w:rPr>
          <w:snapToGrid/>
        </w:rPr>
        <w:t>d</w:t>
      </w:r>
      <w:r w:rsidR="00C15D8E" w:rsidRPr="005D1E8B">
        <w:rPr>
          <w:snapToGrid/>
        </w:rPr>
        <w:t xml:space="preserve"> on </w:t>
      </w:r>
      <w:r w:rsidRPr="005D1E8B">
        <w:rPr>
          <w:snapToGrid/>
        </w:rPr>
        <w:t>results for PASI 75 and PASI 90.</w:t>
      </w:r>
      <w:r w:rsidR="008E7F5C" w:rsidRPr="005D1E8B">
        <w:rPr>
          <w:snapToGrid/>
        </w:rPr>
        <w:t xml:space="preserve"> The PSCR argued the outcomes of PASI100 and sPGA were also highly clinically relevant and stated these results further support the clinical claims made in the submission.</w:t>
      </w:r>
    </w:p>
    <w:p w14:paraId="482C12CB" w14:textId="1A277D28" w:rsidR="00CC62A1" w:rsidRPr="009A24F9" w:rsidRDefault="0068486B" w:rsidP="00F47DDA">
      <w:pPr>
        <w:pStyle w:val="3-BodyText"/>
      </w:pPr>
      <w:r w:rsidRPr="009A24F9">
        <w:t xml:space="preserve">The submission stated that a random effects model was used for meta-analysis across trials with common interventions </w:t>
      </w:r>
      <w:r w:rsidR="00FA2436" w:rsidRPr="009A24F9">
        <w:t xml:space="preserve">(e.g. </w:t>
      </w:r>
      <w:r w:rsidRPr="009A24F9">
        <w:t xml:space="preserve">prior to conducting the </w:t>
      </w:r>
      <w:r w:rsidR="00F47DDA" w:rsidRPr="009A24F9">
        <w:t>ITC</w:t>
      </w:r>
      <w:r w:rsidR="00FA2436" w:rsidRPr="009A24F9">
        <w:t>)</w:t>
      </w:r>
      <w:r w:rsidRPr="009A24F9">
        <w:t xml:space="preserve">, in-line with recommendations in the PBAC guidelines. The results presented in the submission, however, actually corresponded to meta-analysis assuming a fixed effects model. </w:t>
      </w:r>
      <w:r w:rsidR="00FA2436" w:rsidRPr="009A24F9">
        <w:t>This did not appear to influence the overall conclusion of results, and results were not updated during the evaluation g</w:t>
      </w:r>
      <w:r w:rsidRPr="009A24F9">
        <w:t>iven the large number of estimates affected</w:t>
      </w:r>
      <w:r w:rsidR="00FA2436" w:rsidRPr="009A24F9">
        <w:t>.</w:t>
      </w:r>
    </w:p>
    <w:p w14:paraId="3B0740A5" w14:textId="77777777" w:rsidR="003764B2" w:rsidRDefault="003764B2" w:rsidP="003764B2">
      <w:pPr>
        <w:pStyle w:val="3-BodyText"/>
        <w:numPr>
          <w:ilvl w:val="0"/>
          <w:numId w:val="0"/>
        </w:numPr>
        <w:outlineLvl w:val="3"/>
        <w:rPr>
          <w:u w:val="single"/>
        </w:rPr>
      </w:pPr>
    </w:p>
    <w:p w14:paraId="7B6D313A" w14:textId="3C2A3A31" w:rsidR="00C72A4C" w:rsidRPr="005B6D7B" w:rsidRDefault="00C72A4C" w:rsidP="004D70E1">
      <w:pPr>
        <w:pStyle w:val="3-BodyText"/>
        <w:numPr>
          <w:ilvl w:val="0"/>
          <w:numId w:val="0"/>
        </w:numPr>
        <w:ind w:left="720" w:hanging="720"/>
        <w:outlineLvl w:val="3"/>
        <w:rPr>
          <w:u w:val="single"/>
        </w:rPr>
      </w:pPr>
      <w:r w:rsidRPr="005B6D7B">
        <w:rPr>
          <w:u w:val="single"/>
        </w:rPr>
        <w:lastRenderedPageBreak/>
        <w:t>Short term response</w:t>
      </w:r>
    </w:p>
    <w:p w14:paraId="550EDA69" w14:textId="46A04878" w:rsidR="00D74307" w:rsidRPr="009A24F9" w:rsidRDefault="00132F9D" w:rsidP="00F47DDA">
      <w:pPr>
        <w:pStyle w:val="3-BodyText"/>
        <w:shd w:val="clear" w:color="auto" w:fill="FFFFFF" w:themeFill="background1"/>
        <w:rPr>
          <w:snapToGrid/>
        </w:rPr>
      </w:pPr>
      <w:r w:rsidRPr="009A24F9">
        <w:rPr>
          <w:snapToGrid/>
        </w:rPr>
        <w:fldChar w:fldCharType="begin" w:fldLock="1"/>
      </w:r>
      <w:r w:rsidRPr="009A24F9">
        <w:rPr>
          <w:snapToGrid/>
        </w:rPr>
        <w:instrText xml:space="preserve"> REF _Ref141346024 \h  \* MERGEFORMAT </w:instrText>
      </w:r>
      <w:r w:rsidRPr="009A24F9">
        <w:rPr>
          <w:snapToGrid/>
        </w:rPr>
      </w:r>
      <w:r w:rsidRPr="009A24F9">
        <w:rPr>
          <w:snapToGrid/>
        </w:rPr>
        <w:fldChar w:fldCharType="separate"/>
      </w:r>
      <w:r w:rsidR="00A76B0A" w:rsidRPr="009A24F9">
        <w:t xml:space="preserve">Table </w:t>
      </w:r>
      <w:r w:rsidR="00A76B0A" w:rsidRPr="009A24F9">
        <w:rPr>
          <w:noProof/>
        </w:rPr>
        <w:t>4</w:t>
      </w:r>
      <w:r w:rsidRPr="009A24F9">
        <w:rPr>
          <w:snapToGrid/>
        </w:rPr>
        <w:fldChar w:fldCharType="end"/>
      </w:r>
      <w:r w:rsidRPr="009A24F9">
        <w:rPr>
          <w:snapToGrid/>
        </w:rPr>
        <w:t xml:space="preserve"> summarises </w:t>
      </w:r>
      <w:r w:rsidR="00184A75" w:rsidRPr="009A24F9">
        <w:rPr>
          <w:snapToGrid/>
        </w:rPr>
        <w:t xml:space="preserve">the results </w:t>
      </w:r>
      <w:r w:rsidR="00D00A02" w:rsidRPr="009A24F9">
        <w:rPr>
          <w:snapToGrid/>
        </w:rPr>
        <w:t xml:space="preserve">of the direct </w:t>
      </w:r>
      <w:r w:rsidR="00F47DDA" w:rsidRPr="009A24F9">
        <w:rPr>
          <w:snapToGrid/>
        </w:rPr>
        <w:t xml:space="preserve">evidence </w:t>
      </w:r>
      <w:r w:rsidR="00D00A02" w:rsidRPr="009A24F9">
        <w:rPr>
          <w:snapToGrid/>
        </w:rPr>
        <w:t xml:space="preserve">and </w:t>
      </w:r>
      <w:r w:rsidR="00F47DDA" w:rsidRPr="009A24F9">
        <w:rPr>
          <w:snapToGrid/>
        </w:rPr>
        <w:t>ITC</w:t>
      </w:r>
      <w:r w:rsidR="00D00A02" w:rsidRPr="009A24F9">
        <w:rPr>
          <w:snapToGrid/>
        </w:rPr>
        <w:t xml:space="preserve">, </w:t>
      </w:r>
      <w:r w:rsidR="00184A75" w:rsidRPr="009A24F9">
        <w:rPr>
          <w:snapToGrid/>
        </w:rPr>
        <w:t xml:space="preserve">comparing </w:t>
      </w:r>
      <w:r w:rsidR="00EB49C5" w:rsidRPr="009A24F9">
        <w:rPr>
          <w:snapToGrid/>
        </w:rPr>
        <w:t xml:space="preserve">risankizumab </w:t>
      </w:r>
      <w:r w:rsidR="00F47DDA" w:rsidRPr="009A24F9">
        <w:rPr>
          <w:snapToGrid/>
        </w:rPr>
        <w:t xml:space="preserve">to </w:t>
      </w:r>
      <w:r w:rsidR="00EB49C5" w:rsidRPr="009A24F9">
        <w:rPr>
          <w:snapToGrid/>
        </w:rPr>
        <w:t>the nominated comparators in terms of</w:t>
      </w:r>
      <w:r w:rsidR="00184A75" w:rsidRPr="009A24F9">
        <w:rPr>
          <w:snapToGrid/>
        </w:rPr>
        <w:t xml:space="preserve"> </w:t>
      </w:r>
      <w:r w:rsidR="00AD5C51" w:rsidRPr="009A24F9">
        <w:rPr>
          <w:snapToGrid/>
        </w:rPr>
        <w:t xml:space="preserve">short-term </w:t>
      </w:r>
      <w:r w:rsidR="00184A75" w:rsidRPr="009A24F9">
        <w:rPr>
          <w:snapToGrid/>
        </w:rPr>
        <w:t xml:space="preserve">PASI 75 and PASI 90 response </w:t>
      </w:r>
      <w:r w:rsidR="00AD5C51" w:rsidRPr="009A24F9">
        <w:rPr>
          <w:snapToGrid/>
        </w:rPr>
        <w:t>(</w:t>
      </w:r>
      <w:r w:rsidR="00184A75" w:rsidRPr="009A24F9">
        <w:rPr>
          <w:snapToGrid/>
        </w:rPr>
        <w:t>Week 1</w:t>
      </w:r>
      <w:r w:rsidR="00C15D8E" w:rsidRPr="009A24F9">
        <w:rPr>
          <w:snapToGrid/>
        </w:rPr>
        <w:t>2</w:t>
      </w:r>
      <w:r w:rsidR="00184A75" w:rsidRPr="009A24F9">
        <w:rPr>
          <w:snapToGrid/>
        </w:rPr>
        <w:t xml:space="preserve"> to </w:t>
      </w:r>
      <w:r w:rsidR="00D74307" w:rsidRPr="009A24F9">
        <w:rPr>
          <w:snapToGrid/>
        </w:rPr>
        <w:t>16</w:t>
      </w:r>
      <w:r w:rsidR="00AD5C51" w:rsidRPr="009A24F9">
        <w:rPr>
          <w:snapToGrid/>
        </w:rPr>
        <w:t>)</w:t>
      </w:r>
      <w:r w:rsidR="00EB49C5" w:rsidRPr="009A24F9">
        <w:rPr>
          <w:snapToGrid/>
        </w:rPr>
        <w:t>.</w:t>
      </w:r>
      <w:r w:rsidR="000F3E60" w:rsidRPr="009A24F9">
        <w:rPr>
          <w:snapToGrid/>
        </w:rPr>
        <w:t xml:space="preserve"> </w:t>
      </w:r>
      <w:bookmarkStart w:id="35" w:name="_Ref141346024"/>
      <w:r w:rsidR="00F47DDA" w:rsidRPr="009A24F9">
        <w:rPr>
          <w:snapToGrid/>
        </w:rPr>
        <w:t xml:space="preserve">The PASI 75 results for reSURFACE-2 </w:t>
      </w:r>
      <w:r w:rsidR="004244D2" w:rsidRPr="009A24F9">
        <w:rPr>
          <w:snapToGrid/>
        </w:rPr>
        <w:t xml:space="preserve">trials </w:t>
      </w:r>
      <w:r w:rsidR="00F47DDA" w:rsidRPr="009A24F9">
        <w:rPr>
          <w:snapToGrid/>
        </w:rPr>
        <w:t>reported in the submission differed by one responder compared to the trial publication, and there were several rounding errors in the estimated treatment effects, but neither changed the overall interpretation of the results.</w:t>
      </w:r>
    </w:p>
    <w:p w14:paraId="128102E7" w14:textId="6ECDDD7E" w:rsidR="005156BF" w:rsidRPr="005B6D7B" w:rsidRDefault="005156BF" w:rsidP="00F47DDA">
      <w:pPr>
        <w:pStyle w:val="Caption"/>
        <w:rPr>
          <w:rStyle w:val="CommentReference"/>
          <w:rFonts w:eastAsiaTheme="majorEastAsia" w:cstheme="majorBidi"/>
          <w:b/>
          <w:bCs w:val="0"/>
          <w:szCs w:val="24"/>
        </w:rPr>
      </w:pPr>
      <w:r w:rsidRPr="005B6D7B">
        <w:rPr>
          <w:rStyle w:val="CommentReference"/>
          <w:rFonts w:eastAsiaTheme="majorEastAsia" w:cstheme="majorBidi"/>
          <w:b/>
          <w:bCs w:val="0"/>
          <w:szCs w:val="24"/>
        </w:rPr>
        <w:t xml:space="preserve">Table </w:t>
      </w:r>
      <w:r w:rsidRPr="005B6D7B">
        <w:rPr>
          <w:rStyle w:val="CommentReference"/>
          <w:rFonts w:eastAsiaTheme="majorEastAsia" w:cstheme="majorBidi"/>
          <w:b/>
          <w:bCs w:val="0"/>
          <w:szCs w:val="24"/>
        </w:rPr>
        <w:fldChar w:fldCharType="begin" w:fldLock="1"/>
      </w:r>
      <w:r w:rsidRPr="005B6D7B">
        <w:rPr>
          <w:rStyle w:val="CommentReference"/>
          <w:rFonts w:eastAsiaTheme="majorEastAsia" w:cstheme="majorBidi"/>
          <w:b/>
          <w:bCs w:val="0"/>
          <w:szCs w:val="24"/>
        </w:rPr>
        <w:instrText xml:space="preserve"> SEQ Table \* ARABIC </w:instrText>
      </w:r>
      <w:r w:rsidRPr="005B6D7B">
        <w:rPr>
          <w:rStyle w:val="CommentReference"/>
          <w:rFonts w:eastAsiaTheme="majorEastAsia" w:cstheme="majorBidi"/>
          <w:b/>
          <w:bCs w:val="0"/>
          <w:szCs w:val="24"/>
        </w:rPr>
        <w:fldChar w:fldCharType="separate"/>
      </w:r>
      <w:r w:rsidR="00435AF2">
        <w:rPr>
          <w:rStyle w:val="CommentReference"/>
          <w:rFonts w:eastAsiaTheme="majorEastAsia" w:cstheme="majorBidi"/>
          <w:b/>
          <w:bCs w:val="0"/>
          <w:noProof/>
          <w:szCs w:val="24"/>
        </w:rPr>
        <w:t>4</w:t>
      </w:r>
      <w:r w:rsidRPr="005B6D7B">
        <w:rPr>
          <w:rStyle w:val="CommentReference"/>
          <w:rFonts w:eastAsiaTheme="majorEastAsia" w:cstheme="majorBidi"/>
          <w:b/>
          <w:bCs w:val="0"/>
          <w:szCs w:val="24"/>
        </w:rPr>
        <w:fldChar w:fldCharType="end"/>
      </w:r>
      <w:bookmarkEnd w:id="35"/>
      <w:r w:rsidRPr="005B6D7B">
        <w:rPr>
          <w:rStyle w:val="CommentReference"/>
          <w:rFonts w:eastAsiaTheme="majorEastAsia" w:cstheme="majorBidi"/>
          <w:b/>
          <w:bCs w:val="0"/>
          <w:szCs w:val="24"/>
        </w:rPr>
        <w:t xml:space="preserve">: Summary of PASI 75 and PASI 90 response in the short-term </w:t>
      </w:r>
      <w:r w:rsidR="00F25A20" w:rsidRPr="005B6D7B">
        <w:rPr>
          <w:rStyle w:val="CommentReference"/>
          <w:rFonts w:eastAsiaTheme="majorEastAsia" w:cstheme="majorBidi"/>
          <w:b/>
          <w:bCs w:val="0"/>
          <w:szCs w:val="24"/>
        </w:rPr>
        <w:t>(12-</w:t>
      </w:r>
      <w:r w:rsidR="00F47DDA" w:rsidRPr="005B6D7B">
        <w:rPr>
          <w:rStyle w:val="CommentReference"/>
          <w:rFonts w:eastAsiaTheme="majorEastAsia" w:cstheme="majorBidi"/>
          <w:b/>
          <w:bCs w:val="0"/>
          <w:szCs w:val="24"/>
        </w:rPr>
        <w:t>16</w:t>
      </w:r>
      <w:r w:rsidR="00F25A20" w:rsidRPr="005B6D7B">
        <w:rPr>
          <w:rStyle w:val="CommentReference"/>
          <w:rFonts w:eastAsiaTheme="majorEastAsia" w:cstheme="majorBidi"/>
          <w:b/>
          <w:bCs w:val="0"/>
          <w:szCs w:val="24"/>
        </w:rPr>
        <w:t xml:space="preserve"> weeks) based on the direct randomised tr</w:t>
      </w:r>
      <w:r w:rsidR="00666EB5" w:rsidRPr="005B6D7B">
        <w:rPr>
          <w:rStyle w:val="CommentReference"/>
          <w:rFonts w:eastAsiaTheme="majorEastAsia" w:cstheme="majorBidi"/>
          <w:b/>
          <w:bCs w:val="0"/>
          <w:szCs w:val="24"/>
        </w:rPr>
        <w:t xml:space="preserve">ials </w:t>
      </w:r>
      <w:r w:rsidR="00F25A20" w:rsidRPr="005B6D7B">
        <w:rPr>
          <w:rStyle w:val="CommentReference"/>
          <w:rFonts w:eastAsiaTheme="majorEastAsia" w:cstheme="majorBidi"/>
          <w:b/>
          <w:bCs w:val="0"/>
          <w:szCs w:val="24"/>
        </w:rPr>
        <w:t>and indirect treatment comparison</w:t>
      </w:r>
      <w:r w:rsidR="00666EB5" w:rsidRPr="005B6D7B">
        <w:rPr>
          <w:rStyle w:val="CommentReference"/>
          <w:rFonts w:eastAsiaTheme="majorEastAsia" w:cstheme="majorBidi"/>
          <w:b/>
          <w:bCs w:val="0"/>
          <w:szCs w:val="24"/>
        </w:rPr>
        <w:t>s</w:t>
      </w:r>
      <w:r w:rsidR="00F25A20" w:rsidRPr="005B6D7B">
        <w:rPr>
          <w:rStyle w:val="CommentReference"/>
          <w:rFonts w:eastAsiaTheme="majorEastAsia" w:cstheme="majorBidi"/>
          <w:b/>
          <w:bCs w:val="0"/>
          <w:szCs w:val="24"/>
        </w:rPr>
        <w:t xml:space="preserve"> presented by the submission for risankizumab versus other biologics</w:t>
      </w:r>
      <w:r w:rsidR="00666EB5" w:rsidRPr="005B6D7B">
        <w:rPr>
          <w:rStyle w:val="CommentReference"/>
          <w:rFonts w:eastAsiaTheme="majorEastAsia" w:cstheme="majorBidi"/>
          <w:b/>
          <w:bCs w:val="0"/>
          <w:szCs w:val="24"/>
        </w:rPr>
        <w:t>.</w:t>
      </w:r>
      <w:r w:rsidR="00F25A20" w:rsidRPr="005B6D7B">
        <w:rPr>
          <w:rStyle w:val="CommentReference"/>
          <w:rFonts w:eastAsiaTheme="majorEastAsia" w:cstheme="majorBidi"/>
          <w:b/>
          <w:bCs w:val="0"/>
          <w:szCs w:val="24"/>
        </w:rPr>
        <w:t xml:space="preserve"> </w:t>
      </w:r>
    </w:p>
    <w:tbl>
      <w:tblPr>
        <w:tblStyle w:val="TableGrid"/>
        <w:tblW w:w="5008" w:type="pct"/>
        <w:tblLayout w:type="fixed"/>
        <w:tblCellMar>
          <w:left w:w="28" w:type="dxa"/>
          <w:right w:w="28" w:type="dxa"/>
        </w:tblCellMar>
        <w:tblLook w:val="04A0" w:firstRow="1" w:lastRow="0" w:firstColumn="1" w:lastColumn="0" w:noHBand="0" w:noVBand="1"/>
        <w:tblCaption w:val="Table 4: Summary of PASI 75 and PASI 90 response in the short-term (12-16 weeks) based on the direct randomised trials and indirect treatment comparisons presented by the submission for risankizumab versus other biologics. "/>
      </w:tblPr>
      <w:tblGrid>
        <w:gridCol w:w="1073"/>
        <w:gridCol w:w="1324"/>
        <w:gridCol w:w="1324"/>
        <w:gridCol w:w="1326"/>
        <w:gridCol w:w="1329"/>
        <w:gridCol w:w="1324"/>
        <w:gridCol w:w="1324"/>
        <w:gridCol w:w="7"/>
      </w:tblGrid>
      <w:tr w:rsidR="003D337D" w:rsidRPr="00CE1409" w14:paraId="1FBF82DC" w14:textId="3B07F8C0" w:rsidTr="001C7351">
        <w:trPr>
          <w:tblHeader/>
        </w:trPr>
        <w:tc>
          <w:tcPr>
            <w:tcW w:w="594" w:type="pct"/>
            <w:vMerge w:val="restart"/>
            <w:vAlign w:val="center"/>
          </w:tcPr>
          <w:p w14:paraId="6FF42EC3" w14:textId="6645D434" w:rsidR="003D337D" w:rsidRPr="00CE1409" w:rsidRDefault="003D337D" w:rsidP="00990DA7">
            <w:pPr>
              <w:pStyle w:val="TableText0"/>
              <w:rPr>
                <w:b/>
                <w:sz w:val="17"/>
                <w:szCs w:val="17"/>
              </w:rPr>
            </w:pPr>
            <w:r w:rsidRPr="00CE1409">
              <w:rPr>
                <w:b/>
                <w:sz w:val="17"/>
                <w:szCs w:val="17"/>
              </w:rPr>
              <w:t>Risankizumab versus comparator</w:t>
            </w:r>
          </w:p>
        </w:tc>
        <w:tc>
          <w:tcPr>
            <w:tcW w:w="2200" w:type="pct"/>
            <w:gridSpan w:val="3"/>
          </w:tcPr>
          <w:p w14:paraId="58724E61" w14:textId="77777777" w:rsidR="003D337D" w:rsidRPr="00CE1409" w:rsidRDefault="003D337D" w:rsidP="00990DA7">
            <w:pPr>
              <w:pStyle w:val="TableText0"/>
              <w:jc w:val="center"/>
              <w:rPr>
                <w:b/>
                <w:sz w:val="17"/>
                <w:szCs w:val="17"/>
              </w:rPr>
            </w:pPr>
            <w:r w:rsidRPr="00CE1409">
              <w:rPr>
                <w:b/>
                <w:sz w:val="17"/>
                <w:szCs w:val="17"/>
              </w:rPr>
              <w:t>PASI 75</w:t>
            </w:r>
          </w:p>
        </w:tc>
        <w:tc>
          <w:tcPr>
            <w:tcW w:w="2207" w:type="pct"/>
            <w:gridSpan w:val="4"/>
            <w:vAlign w:val="center"/>
          </w:tcPr>
          <w:p w14:paraId="7E20D52A" w14:textId="77777777" w:rsidR="003D337D" w:rsidRPr="00CE1409" w:rsidRDefault="003D337D" w:rsidP="00990DA7">
            <w:pPr>
              <w:pStyle w:val="TableText0"/>
              <w:jc w:val="center"/>
              <w:rPr>
                <w:b/>
                <w:sz w:val="17"/>
                <w:szCs w:val="17"/>
              </w:rPr>
            </w:pPr>
            <w:r w:rsidRPr="00CE1409">
              <w:rPr>
                <w:b/>
                <w:sz w:val="17"/>
                <w:szCs w:val="17"/>
              </w:rPr>
              <w:t>PASI 90</w:t>
            </w:r>
          </w:p>
        </w:tc>
      </w:tr>
      <w:tr w:rsidR="001C7351" w:rsidRPr="00CE1409" w14:paraId="30CA36BD" w14:textId="689DBFE4" w:rsidTr="001C7351">
        <w:trPr>
          <w:gridAfter w:val="1"/>
          <w:wAfter w:w="5" w:type="pct"/>
          <w:tblHeader/>
        </w:trPr>
        <w:tc>
          <w:tcPr>
            <w:tcW w:w="594" w:type="pct"/>
            <w:vMerge/>
            <w:vAlign w:val="center"/>
          </w:tcPr>
          <w:p w14:paraId="110BE1F4" w14:textId="77777777" w:rsidR="003D337D" w:rsidRPr="00CE1409" w:rsidRDefault="003D337D" w:rsidP="003D337D">
            <w:pPr>
              <w:pStyle w:val="TableText0"/>
              <w:rPr>
                <w:b/>
                <w:sz w:val="17"/>
                <w:szCs w:val="17"/>
              </w:rPr>
            </w:pPr>
          </w:p>
        </w:tc>
        <w:tc>
          <w:tcPr>
            <w:tcW w:w="733" w:type="pct"/>
            <w:vAlign w:val="center"/>
          </w:tcPr>
          <w:p w14:paraId="0999C9E4" w14:textId="0D5E7CDB" w:rsidR="003D337D" w:rsidRPr="00CE1409" w:rsidRDefault="003D337D" w:rsidP="003D337D">
            <w:pPr>
              <w:pStyle w:val="TableText0"/>
              <w:jc w:val="center"/>
              <w:rPr>
                <w:b/>
                <w:sz w:val="17"/>
                <w:szCs w:val="17"/>
              </w:rPr>
            </w:pPr>
            <w:r w:rsidRPr="00CE1409">
              <w:rPr>
                <w:b/>
                <w:bCs w:val="0"/>
                <w:sz w:val="17"/>
                <w:szCs w:val="17"/>
              </w:rPr>
              <w:t>OR (95% CI)</w:t>
            </w:r>
          </w:p>
        </w:tc>
        <w:tc>
          <w:tcPr>
            <w:tcW w:w="733" w:type="pct"/>
            <w:vAlign w:val="center"/>
          </w:tcPr>
          <w:p w14:paraId="0FE811AE" w14:textId="400E8F3C" w:rsidR="003D337D" w:rsidRPr="00CE1409" w:rsidRDefault="003D337D" w:rsidP="003D337D">
            <w:pPr>
              <w:pStyle w:val="TableText0"/>
              <w:jc w:val="center"/>
              <w:rPr>
                <w:b/>
                <w:sz w:val="17"/>
                <w:szCs w:val="17"/>
              </w:rPr>
            </w:pPr>
            <w:r w:rsidRPr="00CE1409">
              <w:rPr>
                <w:b/>
                <w:sz w:val="17"/>
                <w:szCs w:val="17"/>
              </w:rPr>
              <w:t>RR (95% CI)</w:t>
            </w:r>
          </w:p>
        </w:tc>
        <w:tc>
          <w:tcPr>
            <w:tcW w:w="734" w:type="pct"/>
            <w:vAlign w:val="center"/>
          </w:tcPr>
          <w:p w14:paraId="54FAF0FD" w14:textId="3BD3933B" w:rsidR="003D337D" w:rsidRPr="00CE1409" w:rsidRDefault="003D337D" w:rsidP="003D337D">
            <w:pPr>
              <w:pStyle w:val="TableText0"/>
              <w:jc w:val="center"/>
              <w:rPr>
                <w:b/>
                <w:sz w:val="17"/>
                <w:szCs w:val="17"/>
              </w:rPr>
            </w:pPr>
            <w:r w:rsidRPr="00CE1409">
              <w:rPr>
                <w:b/>
                <w:bCs w:val="0"/>
                <w:sz w:val="17"/>
                <w:szCs w:val="17"/>
              </w:rPr>
              <w:t>RD (95% CI)</w:t>
            </w:r>
          </w:p>
        </w:tc>
        <w:tc>
          <w:tcPr>
            <w:tcW w:w="736" w:type="pct"/>
            <w:vAlign w:val="center"/>
          </w:tcPr>
          <w:p w14:paraId="35556FA9" w14:textId="58E94FAB" w:rsidR="003D337D" w:rsidRPr="00CE1409" w:rsidRDefault="003D337D" w:rsidP="003D337D">
            <w:pPr>
              <w:pStyle w:val="TableText0"/>
              <w:jc w:val="center"/>
              <w:rPr>
                <w:b/>
                <w:sz w:val="17"/>
                <w:szCs w:val="17"/>
              </w:rPr>
            </w:pPr>
            <w:r w:rsidRPr="00CE1409">
              <w:rPr>
                <w:b/>
                <w:bCs w:val="0"/>
                <w:sz w:val="17"/>
                <w:szCs w:val="17"/>
              </w:rPr>
              <w:t>OR (95% CI)</w:t>
            </w:r>
          </w:p>
        </w:tc>
        <w:tc>
          <w:tcPr>
            <w:tcW w:w="733" w:type="pct"/>
            <w:shd w:val="clear" w:color="auto" w:fill="auto"/>
            <w:vAlign w:val="center"/>
          </w:tcPr>
          <w:p w14:paraId="39FBFD44" w14:textId="52572031" w:rsidR="003D337D" w:rsidRPr="00CE1409" w:rsidRDefault="003D337D" w:rsidP="003D337D">
            <w:pPr>
              <w:pStyle w:val="TableText0"/>
              <w:jc w:val="center"/>
              <w:rPr>
                <w:b/>
                <w:sz w:val="17"/>
                <w:szCs w:val="17"/>
              </w:rPr>
            </w:pPr>
            <w:r w:rsidRPr="00CE1409">
              <w:rPr>
                <w:b/>
                <w:sz w:val="17"/>
                <w:szCs w:val="17"/>
              </w:rPr>
              <w:t>RR (95% CI)</w:t>
            </w:r>
          </w:p>
        </w:tc>
        <w:tc>
          <w:tcPr>
            <w:tcW w:w="733" w:type="pct"/>
            <w:vAlign w:val="center"/>
          </w:tcPr>
          <w:p w14:paraId="132FEE00" w14:textId="7577D12E" w:rsidR="003D337D" w:rsidRPr="00204F64" w:rsidRDefault="003D337D" w:rsidP="003D337D">
            <w:pPr>
              <w:pStyle w:val="TableText0"/>
              <w:jc w:val="center"/>
              <w:rPr>
                <w:b/>
                <w:sz w:val="17"/>
                <w:szCs w:val="17"/>
              </w:rPr>
            </w:pPr>
            <w:r w:rsidRPr="00CE1409">
              <w:rPr>
                <w:b/>
                <w:bCs w:val="0"/>
                <w:sz w:val="17"/>
                <w:szCs w:val="17"/>
              </w:rPr>
              <w:t>RD (95% CI)</w:t>
            </w:r>
          </w:p>
        </w:tc>
      </w:tr>
      <w:tr w:rsidR="003D337D" w:rsidRPr="00CE1409" w14:paraId="3C692332" w14:textId="12154CC2" w:rsidTr="001C7351">
        <w:tc>
          <w:tcPr>
            <w:tcW w:w="5000" w:type="pct"/>
            <w:gridSpan w:val="8"/>
          </w:tcPr>
          <w:p w14:paraId="7ACF8E3C" w14:textId="1113DF56" w:rsidR="003D337D" w:rsidRPr="00CE1409" w:rsidRDefault="003D337D" w:rsidP="003D337D">
            <w:pPr>
              <w:pStyle w:val="TableText0"/>
              <w:rPr>
                <w:b/>
                <w:sz w:val="17"/>
                <w:szCs w:val="17"/>
              </w:rPr>
            </w:pPr>
            <w:r w:rsidRPr="00CE1409">
              <w:rPr>
                <w:b/>
                <w:sz w:val="17"/>
                <w:szCs w:val="17"/>
              </w:rPr>
              <w:t>Direct evidence (week 16)</w:t>
            </w:r>
          </w:p>
        </w:tc>
      </w:tr>
      <w:tr w:rsidR="001C7351" w:rsidRPr="00CE1409" w14:paraId="01B54588" w14:textId="5047B315" w:rsidTr="001C7351">
        <w:trPr>
          <w:gridAfter w:val="1"/>
          <w:wAfter w:w="5" w:type="pct"/>
        </w:trPr>
        <w:tc>
          <w:tcPr>
            <w:tcW w:w="594" w:type="pct"/>
            <w:vAlign w:val="center"/>
          </w:tcPr>
          <w:p w14:paraId="1E953FF2" w14:textId="213DD115" w:rsidR="003D337D" w:rsidRPr="00CE1409" w:rsidRDefault="003D337D" w:rsidP="003D337D">
            <w:pPr>
              <w:pStyle w:val="TableText0"/>
              <w:rPr>
                <w:sz w:val="17"/>
                <w:szCs w:val="17"/>
                <w:vertAlign w:val="superscript"/>
              </w:rPr>
            </w:pPr>
            <w:r w:rsidRPr="00CE1409">
              <w:rPr>
                <w:sz w:val="17"/>
                <w:szCs w:val="17"/>
              </w:rPr>
              <w:t>Adalimumab</w:t>
            </w:r>
            <w:r w:rsidRPr="00CE1409">
              <w:rPr>
                <w:sz w:val="17"/>
                <w:szCs w:val="17"/>
                <w:vertAlign w:val="superscript"/>
              </w:rPr>
              <w:t>1</w:t>
            </w:r>
          </w:p>
        </w:tc>
        <w:tc>
          <w:tcPr>
            <w:tcW w:w="733" w:type="pct"/>
          </w:tcPr>
          <w:p w14:paraId="0304C908" w14:textId="0A56E826" w:rsidR="003D337D" w:rsidRPr="00CE1409" w:rsidRDefault="003D337D" w:rsidP="003D337D">
            <w:pPr>
              <w:pStyle w:val="TableText0"/>
              <w:jc w:val="center"/>
              <w:rPr>
                <w:b/>
                <w:sz w:val="17"/>
                <w:szCs w:val="17"/>
                <w:highlight w:val="yellow"/>
              </w:rPr>
            </w:pPr>
            <w:r w:rsidRPr="00CE1409">
              <w:rPr>
                <w:b/>
                <w:bCs w:val="0"/>
                <w:sz w:val="17"/>
                <w:szCs w:val="17"/>
              </w:rPr>
              <w:t>3.85 (2.42,</w:t>
            </w:r>
            <w:r w:rsidR="00F36305" w:rsidRPr="00CE1409">
              <w:rPr>
                <w:b/>
                <w:bCs w:val="0"/>
                <w:sz w:val="17"/>
                <w:szCs w:val="17"/>
              </w:rPr>
              <w:t xml:space="preserve"> </w:t>
            </w:r>
            <w:r w:rsidRPr="00CE1409">
              <w:rPr>
                <w:b/>
                <w:bCs w:val="0"/>
                <w:sz w:val="17"/>
                <w:szCs w:val="17"/>
              </w:rPr>
              <w:t>6.11)</w:t>
            </w:r>
          </w:p>
        </w:tc>
        <w:tc>
          <w:tcPr>
            <w:tcW w:w="733" w:type="pct"/>
            <w:vAlign w:val="center"/>
          </w:tcPr>
          <w:p w14:paraId="5EC2EF5E" w14:textId="405C5BF1" w:rsidR="003D337D" w:rsidRPr="00CE1409" w:rsidRDefault="003D337D" w:rsidP="003D337D">
            <w:pPr>
              <w:pStyle w:val="TableText0"/>
              <w:jc w:val="center"/>
              <w:rPr>
                <w:sz w:val="17"/>
                <w:szCs w:val="17"/>
                <w:highlight w:val="yellow"/>
              </w:rPr>
            </w:pPr>
            <w:r w:rsidRPr="00CE1409">
              <w:rPr>
                <w:b/>
                <w:sz w:val="17"/>
                <w:szCs w:val="17"/>
              </w:rPr>
              <w:t>1.</w:t>
            </w:r>
            <w:r w:rsidR="00CA5AD9" w:rsidRPr="00CE1409">
              <w:rPr>
                <w:b/>
                <w:sz w:val="17"/>
                <w:szCs w:val="17"/>
              </w:rPr>
              <w:t>26</w:t>
            </w:r>
            <w:r w:rsidRPr="00CE1409">
              <w:rPr>
                <w:b/>
                <w:sz w:val="17"/>
                <w:szCs w:val="17"/>
              </w:rPr>
              <w:t xml:space="preserve"> (1.</w:t>
            </w:r>
            <w:r w:rsidR="00CA5AD9" w:rsidRPr="00CE1409">
              <w:rPr>
                <w:b/>
                <w:sz w:val="17"/>
                <w:szCs w:val="17"/>
              </w:rPr>
              <w:t>17</w:t>
            </w:r>
            <w:r w:rsidRPr="00CE1409">
              <w:rPr>
                <w:b/>
                <w:sz w:val="17"/>
                <w:szCs w:val="17"/>
              </w:rPr>
              <w:t>,</w:t>
            </w:r>
            <w:r w:rsidR="00F36305" w:rsidRPr="00CE1409">
              <w:rPr>
                <w:b/>
                <w:sz w:val="17"/>
                <w:szCs w:val="17"/>
              </w:rPr>
              <w:t xml:space="preserve"> </w:t>
            </w:r>
            <w:r w:rsidR="00CA5AD9" w:rsidRPr="00CE1409">
              <w:rPr>
                <w:b/>
                <w:sz w:val="17"/>
                <w:szCs w:val="17"/>
              </w:rPr>
              <w:t>1.37</w:t>
            </w:r>
            <w:r w:rsidRPr="00CE1409">
              <w:rPr>
                <w:b/>
                <w:sz w:val="17"/>
                <w:szCs w:val="17"/>
              </w:rPr>
              <w:t>)</w:t>
            </w:r>
          </w:p>
        </w:tc>
        <w:tc>
          <w:tcPr>
            <w:tcW w:w="734" w:type="pct"/>
            <w:vAlign w:val="center"/>
          </w:tcPr>
          <w:p w14:paraId="7765DBC9" w14:textId="0C1A4B64" w:rsidR="003D337D" w:rsidRPr="00CE1409" w:rsidRDefault="003D337D" w:rsidP="003D337D">
            <w:pPr>
              <w:pStyle w:val="TableText0"/>
              <w:jc w:val="center"/>
              <w:rPr>
                <w:sz w:val="17"/>
                <w:szCs w:val="17"/>
                <w:highlight w:val="yellow"/>
              </w:rPr>
            </w:pPr>
            <w:r w:rsidRPr="00CE1409">
              <w:rPr>
                <w:b/>
                <w:bCs w:val="0"/>
                <w:sz w:val="17"/>
                <w:szCs w:val="17"/>
              </w:rPr>
              <w:t>0.19 (0.13,</w:t>
            </w:r>
            <w:r w:rsidR="00F36305" w:rsidRPr="00CE1409">
              <w:rPr>
                <w:b/>
                <w:bCs w:val="0"/>
                <w:sz w:val="17"/>
                <w:szCs w:val="17"/>
              </w:rPr>
              <w:t xml:space="preserve"> </w:t>
            </w:r>
            <w:r w:rsidRPr="00CE1409">
              <w:rPr>
                <w:b/>
                <w:bCs w:val="0"/>
                <w:sz w:val="17"/>
                <w:szCs w:val="17"/>
              </w:rPr>
              <w:t>0.25)</w:t>
            </w:r>
          </w:p>
        </w:tc>
        <w:tc>
          <w:tcPr>
            <w:tcW w:w="736" w:type="pct"/>
          </w:tcPr>
          <w:p w14:paraId="15524DD6" w14:textId="3849C30B" w:rsidR="003D337D" w:rsidRPr="00CE1409" w:rsidRDefault="003107C3" w:rsidP="003D337D">
            <w:pPr>
              <w:pStyle w:val="TableText0"/>
              <w:jc w:val="center"/>
              <w:rPr>
                <w:b/>
                <w:sz w:val="17"/>
                <w:szCs w:val="17"/>
                <w:highlight w:val="yellow"/>
              </w:rPr>
            </w:pPr>
            <w:r w:rsidRPr="00CE1409">
              <w:rPr>
                <w:b/>
                <w:bCs w:val="0"/>
                <w:sz w:val="17"/>
                <w:szCs w:val="17"/>
              </w:rPr>
              <w:t>2.92 (2.08, 4.09)</w:t>
            </w:r>
          </w:p>
        </w:tc>
        <w:tc>
          <w:tcPr>
            <w:tcW w:w="733" w:type="pct"/>
            <w:shd w:val="clear" w:color="auto" w:fill="auto"/>
            <w:vAlign w:val="center"/>
          </w:tcPr>
          <w:p w14:paraId="19ADAAC7" w14:textId="64AB290A" w:rsidR="003D337D" w:rsidRPr="00CE1409" w:rsidRDefault="003D337D" w:rsidP="003D337D">
            <w:pPr>
              <w:pStyle w:val="TableText0"/>
              <w:jc w:val="center"/>
              <w:rPr>
                <w:sz w:val="17"/>
                <w:szCs w:val="17"/>
                <w:highlight w:val="yellow"/>
              </w:rPr>
            </w:pPr>
            <w:r w:rsidRPr="00CE1409">
              <w:rPr>
                <w:b/>
                <w:sz w:val="17"/>
                <w:szCs w:val="17"/>
              </w:rPr>
              <w:t>1.53 (1.33,1.75)</w:t>
            </w:r>
          </w:p>
        </w:tc>
        <w:tc>
          <w:tcPr>
            <w:tcW w:w="733" w:type="pct"/>
            <w:vAlign w:val="center"/>
          </w:tcPr>
          <w:p w14:paraId="367D5867" w14:textId="6289EED8" w:rsidR="003D337D" w:rsidRPr="00CE1409" w:rsidRDefault="003107C3" w:rsidP="003D337D">
            <w:pPr>
              <w:pStyle w:val="TableText0"/>
              <w:jc w:val="center"/>
              <w:rPr>
                <w:sz w:val="17"/>
                <w:szCs w:val="17"/>
                <w:highlight w:val="yellow"/>
              </w:rPr>
            </w:pPr>
            <w:r w:rsidRPr="00CE1409">
              <w:rPr>
                <w:b/>
                <w:bCs w:val="0"/>
                <w:sz w:val="17"/>
                <w:szCs w:val="17"/>
              </w:rPr>
              <w:t>0.25 (0.18, 0.33)</w:t>
            </w:r>
          </w:p>
        </w:tc>
      </w:tr>
      <w:tr w:rsidR="001C7351" w:rsidRPr="00CE1409" w14:paraId="5127E4D0" w14:textId="55AAEAB6" w:rsidTr="001C7351">
        <w:trPr>
          <w:gridAfter w:val="1"/>
          <w:wAfter w:w="5" w:type="pct"/>
        </w:trPr>
        <w:tc>
          <w:tcPr>
            <w:tcW w:w="594" w:type="pct"/>
            <w:vAlign w:val="center"/>
          </w:tcPr>
          <w:p w14:paraId="1911DD15" w14:textId="6F4F57C1" w:rsidR="003D337D" w:rsidRPr="00CE1409" w:rsidRDefault="003D337D" w:rsidP="003D337D">
            <w:pPr>
              <w:pStyle w:val="TableText0"/>
              <w:rPr>
                <w:sz w:val="17"/>
                <w:szCs w:val="17"/>
              </w:rPr>
            </w:pPr>
            <w:bookmarkStart w:id="36" w:name="_Hlk147911444"/>
            <w:r w:rsidRPr="00CE1409">
              <w:rPr>
                <w:sz w:val="17"/>
                <w:szCs w:val="17"/>
              </w:rPr>
              <w:t>Secukinumab</w:t>
            </w:r>
            <w:r w:rsidRPr="00CE1409">
              <w:rPr>
                <w:sz w:val="17"/>
                <w:szCs w:val="17"/>
                <w:vertAlign w:val="superscript"/>
              </w:rPr>
              <w:t>1</w:t>
            </w:r>
          </w:p>
        </w:tc>
        <w:tc>
          <w:tcPr>
            <w:tcW w:w="733" w:type="pct"/>
          </w:tcPr>
          <w:p w14:paraId="5DEE7AB7" w14:textId="44495C26" w:rsidR="003D337D" w:rsidRPr="00CE1409" w:rsidRDefault="00CA5AD9" w:rsidP="003D337D">
            <w:pPr>
              <w:pStyle w:val="TableText0"/>
              <w:jc w:val="center"/>
              <w:rPr>
                <w:b/>
                <w:sz w:val="17"/>
                <w:szCs w:val="17"/>
                <w:highlight w:val="yellow"/>
              </w:rPr>
            </w:pPr>
            <w:r w:rsidRPr="00204F64">
              <w:rPr>
                <w:b/>
                <w:bCs w:val="0"/>
                <w:sz w:val="17"/>
                <w:szCs w:val="17"/>
              </w:rPr>
              <w:t>2.72</w:t>
            </w:r>
            <w:r w:rsidRPr="00CE1409">
              <w:rPr>
                <w:b/>
                <w:bCs w:val="0"/>
                <w:sz w:val="17"/>
                <w:szCs w:val="17"/>
              </w:rPr>
              <w:t xml:space="preserve"> (</w:t>
            </w:r>
            <w:r w:rsidRPr="00204F64">
              <w:rPr>
                <w:b/>
                <w:bCs w:val="0"/>
                <w:sz w:val="17"/>
                <w:szCs w:val="17"/>
              </w:rPr>
              <w:t>1.39</w:t>
            </w:r>
            <w:r w:rsidRPr="00CE1409">
              <w:rPr>
                <w:b/>
                <w:bCs w:val="0"/>
                <w:sz w:val="17"/>
                <w:szCs w:val="17"/>
              </w:rPr>
              <w:t xml:space="preserve">, </w:t>
            </w:r>
            <w:r w:rsidRPr="00204F64">
              <w:rPr>
                <w:b/>
                <w:bCs w:val="0"/>
                <w:sz w:val="17"/>
                <w:szCs w:val="17"/>
              </w:rPr>
              <w:t>5.30</w:t>
            </w:r>
            <w:r w:rsidRPr="00CE1409">
              <w:rPr>
                <w:b/>
                <w:bCs w:val="0"/>
                <w:sz w:val="17"/>
                <w:szCs w:val="17"/>
              </w:rPr>
              <w:t>)</w:t>
            </w:r>
          </w:p>
        </w:tc>
        <w:tc>
          <w:tcPr>
            <w:tcW w:w="733" w:type="pct"/>
            <w:vAlign w:val="center"/>
          </w:tcPr>
          <w:p w14:paraId="5D5B4060" w14:textId="16BC34E7" w:rsidR="003D337D" w:rsidRPr="00CE1409" w:rsidRDefault="00CA5AD9" w:rsidP="003D337D">
            <w:pPr>
              <w:pStyle w:val="TableText0"/>
              <w:jc w:val="center"/>
              <w:rPr>
                <w:b/>
                <w:sz w:val="17"/>
                <w:szCs w:val="17"/>
                <w:highlight w:val="yellow"/>
              </w:rPr>
            </w:pPr>
            <w:r w:rsidRPr="00204F64">
              <w:rPr>
                <w:b/>
                <w:bCs w:val="0"/>
                <w:sz w:val="17"/>
                <w:szCs w:val="17"/>
              </w:rPr>
              <w:t>1.15</w:t>
            </w:r>
            <w:r w:rsidRPr="00CE1409">
              <w:rPr>
                <w:b/>
                <w:bCs w:val="0"/>
                <w:sz w:val="17"/>
                <w:szCs w:val="17"/>
              </w:rPr>
              <w:t xml:space="preserve"> (</w:t>
            </w:r>
            <w:r w:rsidRPr="00204F64">
              <w:rPr>
                <w:b/>
                <w:bCs w:val="0"/>
                <w:sz w:val="17"/>
                <w:szCs w:val="17"/>
              </w:rPr>
              <w:t>1.05</w:t>
            </w:r>
            <w:r w:rsidRPr="00CE1409">
              <w:rPr>
                <w:b/>
                <w:bCs w:val="0"/>
                <w:sz w:val="17"/>
                <w:szCs w:val="17"/>
              </w:rPr>
              <w:t xml:space="preserve">, </w:t>
            </w:r>
            <w:r w:rsidRPr="00204F64">
              <w:rPr>
                <w:b/>
                <w:bCs w:val="0"/>
                <w:sz w:val="17"/>
                <w:szCs w:val="17"/>
              </w:rPr>
              <w:t>1.26</w:t>
            </w:r>
            <w:r w:rsidRPr="00CE1409">
              <w:rPr>
                <w:b/>
                <w:bCs w:val="0"/>
                <w:sz w:val="17"/>
                <w:szCs w:val="17"/>
              </w:rPr>
              <w:t>)</w:t>
            </w:r>
          </w:p>
        </w:tc>
        <w:tc>
          <w:tcPr>
            <w:tcW w:w="734" w:type="pct"/>
            <w:vAlign w:val="center"/>
          </w:tcPr>
          <w:p w14:paraId="10C1833C" w14:textId="57D51C03" w:rsidR="003D337D" w:rsidRPr="00CE1409" w:rsidRDefault="00CA5AD9" w:rsidP="003D337D">
            <w:pPr>
              <w:pStyle w:val="TableText0"/>
              <w:jc w:val="center"/>
              <w:rPr>
                <w:sz w:val="17"/>
                <w:szCs w:val="17"/>
                <w:highlight w:val="yellow"/>
              </w:rPr>
            </w:pPr>
            <w:r w:rsidRPr="00204F64">
              <w:rPr>
                <w:b/>
                <w:bCs w:val="0"/>
                <w:sz w:val="17"/>
                <w:szCs w:val="17"/>
              </w:rPr>
              <w:t>0.12</w:t>
            </w:r>
            <w:r w:rsidRPr="00CE1409">
              <w:rPr>
                <w:b/>
                <w:bCs w:val="0"/>
                <w:sz w:val="17"/>
                <w:szCs w:val="17"/>
              </w:rPr>
              <w:t xml:space="preserve"> (0.04, </w:t>
            </w:r>
            <w:r w:rsidRPr="00204F64">
              <w:rPr>
                <w:b/>
                <w:bCs w:val="0"/>
                <w:sz w:val="17"/>
                <w:szCs w:val="17"/>
              </w:rPr>
              <w:t>0.19</w:t>
            </w:r>
            <w:r w:rsidRPr="00CE1409">
              <w:rPr>
                <w:b/>
                <w:bCs w:val="0"/>
                <w:sz w:val="17"/>
                <w:szCs w:val="17"/>
              </w:rPr>
              <w:t>)</w:t>
            </w:r>
          </w:p>
        </w:tc>
        <w:tc>
          <w:tcPr>
            <w:tcW w:w="736" w:type="pct"/>
          </w:tcPr>
          <w:p w14:paraId="1330BA77" w14:textId="52C27208" w:rsidR="003D337D" w:rsidRPr="00CE1409" w:rsidRDefault="006F61CE" w:rsidP="003D337D">
            <w:pPr>
              <w:pStyle w:val="TableText0"/>
              <w:jc w:val="center"/>
              <w:rPr>
                <w:sz w:val="17"/>
                <w:szCs w:val="17"/>
                <w:highlight w:val="yellow"/>
              </w:rPr>
            </w:pPr>
            <w:r w:rsidRPr="00CE1409">
              <w:rPr>
                <w:sz w:val="17"/>
                <w:szCs w:val="17"/>
              </w:rPr>
              <w:t>1.47 (0.92, 2.37)</w:t>
            </w:r>
          </w:p>
        </w:tc>
        <w:tc>
          <w:tcPr>
            <w:tcW w:w="733" w:type="pct"/>
            <w:shd w:val="clear" w:color="auto" w:fill="auto"/>
            <w:vAlign w:val="center"/>
          </w:tcPr>
          <w:p w14:paraId="6AD45EE6" w14:textId="118418C8" w:rsidR="003D337D" w:rsidRPr="00CE1409" w:rsidRDefault="006F61CE" w:rsidP="003D337D">
            <w:pPr>
              <w:pStyle w:val="TableText0"/>
              <w:jc w:val="center"/>
              <w:rPr>
                <w:b/>
                <w:sz w:val="17"/>
                <w:szCs w:val="17"/>
                <w:highlight w:val="yellow"/>
              </w:rPr>
            </w:pPr>
            <w:r w:rsidRPr="00CE1409">
              <w:rPr>
                <w:sz w:val="17"/>
                <w:szCs w:val="17"/>
              </w:rPr>
              <w:t>1.12 (0.97, 1.30)</w:t>
            </w:r>
          </w:p>
        </w:tc>
        <w:tc>
          <w:tcPr>
            <w:tcW w:w="733" w:type="pct"/>
            <w:vAlign w:val="center"/>
          </w:tcPr>
          <w:p w14:paraId="7049900B" w14:textId="32482852" w:rsidR="003D337D" w:rsidRPr="00CE1409" w:rsidRDefault="006F61CE" w:rsidP="003D337D">
            <w:pPr>
              <w:pStyle w:val="TableText0"/>
              <w:jc w:val="center"/>
              <w:rPr>
                <w:sz w:val="17"/>
                <w:szCs w:val="17"/>
                <w:highlight w:val="yellow"/>
              </w:rPr>
            </w:pPr>
            <w:r w:rsidRPr="00CE1409">
              <w:rPr>
                <w:sz w:val="17"/>
                <w:szCs w:val="17"/>
              </w:rPr>
              <w:t>0.08 (-0.02, 0.18)</w:t>
            </w:r>
          </w:p>
        </w:tc>
      </w:tr>
      <w:bookmarkEnd w:id="36"/>
      <w:tr w:rsidR="001C7351" w:rsidRPr="00CE1409" w14:paraId="3DA390FB" w14:textId="76B135E5" w:rsidTr="001C7351">
        <w:trPr>
          <w:gridAfter w:val="1"/>
          <w:wAfter w:w="5" w:type="pct"/>
        </w:trPr>
        <w:tc>
          <w:tcPr>
            <w:tcW w:w="594" w:type="pct"/>
            <w:shd w:val="clear" w:color="auto" w:fill="auto"/>
            <w:vAlign w:val="center"/>
          </w:tcPr>
          <w:p w14:paraId="1081BE00" w14:textId="3A8F30A8" w:rsidR="003D337D" w:rsidRPr="00CE1409" w:rsidRDefault="003D337D" w:rsidP="003D337D">
            <w:pPr>
              <w:pStyle w:val="TableText0"/>
              <w:rPr>
                <w:sz w:val="17"/>
                <w:szCs w:val="17"/>
              </w:rPr>
            </w:pPr>
            <w:r w:rsidRPr="00CE1409">
              <w:rPr>
                <w:sz w:val="17"/>
                <w:szCs w:val="17"/>
              </w:rPr>
              <w:t>Ustekinumab</w:t>
            </w:r>
            <w:r w:rsidRPr="00CE1409">
              <w:rPr>
                <w:sz w:val="17"/>
                <w:szCs w:val="17"/>
                <w:vertAlign w:val="superscript"/>
              </w:rPr>
              <w:t>1</w:t>
            </w:r>
          </w:p>
        </w:tc>
        <w:tc>
          <w:tcPr>
            <w:tcW w:w="733" w:type="pct"/>
          </w:tcPr>
          <w:p w14:paraId="49405588" w14:textId="451BC786" w:rsidR="003D337D" w:rsidRPr="00CE1409" w:rsidRDefault="003D337D" w:rsidP="003D337D">
            <w:pPr>
              <w:pStyle w:val="TableText0"/>
              <w:jc w:val="center"/>
              <w:rPr>
                <w:b/>
                <w:sz w:val="17"/>
                <w:szCs w:val="17"/>
                <w:highlight w:val="yellow"/>
              </w:rPr>
            </w:pPr>
            <w:r w:rsidRPr="00CE1409">
              <w:rPr>
                <w:b/>
                <w:bCs w:val="0"/>
                <w:sz w:val="17"/>
                <w:szCs w:val="17"/>
              </w:rPr>
              <w:t>3.33 (2.21, 5.02)</w:t>
            </w:r>
          </w:p>
        </w:tc>
        <w:tc>
          <w:tcPr>
            <w:tcW w:w="733" w:type="pct"/>
            <w:shd w:val="clear" w:color="auto" w:fill="auto"/>
            <w:vAlign w:val="center"/>
          </w:tcPr>
          <w:p w14:paraId="5C62C6D0" w14:textId="123A6565" w:rsidR="003D337D" w:rsidRPr="00CE1409" w:rsidRDefault="00CA5AD9" w:rsidP="003D337D">
            <w:pPr>
              <w:pStyle w:val="TableText0"/>
              <w:jc w:val="center"/>
              <w:rPr>
                <w:b/>
                <w:sz w:val="17"/>
                <w:szCs w:val="17"/>
                <w:highlight w:val="yellow"/>
              </w:rPr>
            </w:pPr>
            <w:r w:rsidRPr="00CE1409">
              <w:rPr>
                <w:b/>
                <w:bCs w:val="0"/>
                <w:sz w:val="17"/>
                <w:szCs w:val="17"/>
              </w:rPr>
              <w:t>1.23 (1.13, 1.35)</w:t>
            </w:r>
          </w:p>
        </w:tc>
        <w:tc>
          <w:tcPr>
            <w:tcW w:w="734" w:type="pct"/>
            <w:shd w:val="clear" w:color="auto" w:fill="auto"/>
            <w:vAlign w:val="center"/>
          </w:tcPr>
          <w:p w14:paraId="5471F7F9" w14:textId="45B9B915" w:rsidR="003D337D" w:rsidRPr="00CE1409" w:rsidRDefault="00CA5AD9" w:rsidP="003D337D">
            <w:pPr>
              <w:pStyle w:val="TableText0"/>
              <w:jc w:val="center"/>
              <w:rPr>
                <w:sz w:val="17"/>
                <w:szCs w:val="17"/>
                <w:highlight w:val="yellow"/>
              </w:rPr>
            </w:pPr>
            <w:r w:rsidRPr="00CE1409">
              <w:rPr>
                <w:b/>
                <w:bCs w:val="0"/>
                <w:sz w:val="17"/>
                <w:szCs w:val="17"/>
              </w:rPr>
              <w:t xml:space="preserve">0.17 (0.10, </w:t>
            </w:r>
            <w:r w:rsidRPr="00204F64">
              <w:rPr>
                <w:b/>
                <w:bCs w:val="0"/>
                <w:sz w:val="17"/>
                <w:szCs w:val="17"/>
              </w:rPr>
              <w:t>0.24</w:t>
            </w:r>
            <w:r w:rsidRPr="00CE1409">
              <w:rPr>
                <w:b/>
                <w:bCs w:val="0"/>
                <w:sz w:val="17"/>
                <w:szCs w:val="17"/>
              </w:rPr>
              <w:t>)</w:t>
            </w:r>
          </w:p>
        </w:tc>
        <w:tc>
          <w:tcPr>
            <w:tcW w:w="736" w:type="pct"/>
          </w:tcPr>
          <w:p w14:paraId="52087520" w14:textId="5E9903CF" w:rsidR="003D337D" w:rsidRPr="00CE1409" w:rsidRDefault="006F61CE" w:rsidP="003D337D">
            <w:pPr>
              <w:pStyle w:val="TableText0"/>
              <w:jc w:val="center"/>
              <w:rPr>
                <w:b/>
                <w:bCs w:val="0"/>
                <w:sz w:val="17"/>
                <w:szCs w:val="17"/>
                <w:highlight w:val="yellow"/>
              </w:rPr>
            </w:pPr>
            <w:r w:rsidRPr="00CE1409">
              <w:rPr>
                <w:b/>
                <w:bCs w:val="0"/>
                <w:sz w:val="17"/>
                <w:szCs w:val="17"/>
              </w:rPr>
              <w:t>3.72 (2.66, 5.21)</w:t>
            </w:r>
          </w:p>
        </w:tc>
        <w:tc>
          <w:tcPr>
            <w:tcW w:w="733" w:type="pct"/>
            <w:shd w:val="clear" w:color="auto" w:fill="auto"/>
            <w:vAlign w:val="center"/>
          </w:tcPr>
          <w:p w14:paraId="3342E034" w14:textId="799FD761" w:rsidR="003D337D" w:rsidRPr="00CE1409" w:rsidRDefault="006F61CE" w:rsidP="003D337D">
            <w:pPr>
              <w:pStyle w:val="TableText0"/>
              <w:jc w:val="center"/>
              <w:rPr>
                <w:b/>
                <w:sz w:val="17"/>
                <w:szCs w:val="17"/>
                <w:highlight w:val="yellow"/>
              </w:rPr>
            </w:pPr>
            <w:r w:rsidRPr="00CE1409">
              <w:rPr>
                <w:b/>
                <w:bCs w:val="0"/>
                <w:sz w:val="17"/>
                <w:szCs w:val="17"/>
              </w:rPr>
              <w:t>1.68 (1.43, 1.97)</w:t>
            </w:r>
          </w:p>
        </w:tc>
        <w:tc>
          <w:tcPr>
            <w:tcW w:w="733" w:type="pct"/>
            <w:shd w:val="clear" w:color="auto" w:fill="auto"/>
            <w:vAlign w:val="center"/>
          </w:tcPr>
          <w:p w14:paraId="279FEF14" w14:textId="62C78801" w:rsidR="003D337D" w:rsidRPr="00CE1409" w:rsidRDefault="006F61CE" w:rsidP="003D337D">
            <w:pPr>
              <w:pStyle w:val="TableText0"/>
              <w:jc w:val="center"/>
              <w:rPr>
                <w:sz w:val="17"/>
                <w:szCs w:val="17"/>
                <w:highlight w:val="yellow"/>
              </w:rPr>
            </w:pPr>
            <w:r w:rsidRPr="00CE1409">
              <w:rPr>
                <w:b/>
                <w:bCs w:val="0"/>
                <w:sz w:val="17"/>
                <w:szCs w:val="17"/>
              </w:rPr>
              <w:t>0.30 (0.23, 0.38)</w:t>
            </w:r>
          </w:p>
        </w:tc>
      </w:tr>
      <w:tr w:rsidR="003D337D" w:rsidRPr="00CE1409" w14:paraId="3F97F7DB" w14:textId="10E98633" w:rsidTr="001C7351">
        <w:tc>
          <w:tcPr>
            <w:tcW w:w="5000" w:type="pct"/>
            <w:gridSpan w:val="8"/>
          </w:tcPr>
          <w:p w14:paraId="548583C7" w14:textId="76CF8405" w:rsidR="003D337D" w:rsidRPr="00CE1409" w:rsidRDefault="003D337D" w:rsidP="00F47DDA">
            <w:pPr>
              <w:pStyle w:val="TableText0"/>
              <w:rPr>
                <w:b/>
                <w:sz w:val="17"/>
                <w:szCs w:val="17"/>
              </w:rPr>
            </w:pPr>
            <w:r w:rsidRPr="00CE1409">
              <w:rPr>
                <w:b/>
                <w:sz w:val="17"/>
                <w:szCs w:val="17"/>
              </w:rPr>
              <w:t>Indirect treatment comparison (week 12-</w:t>
            </w:r>
            <w:r w:rsidR="00F47DDA" w:rsidRPr="00CE1409">
              <w:rPr>
                <w:b/>
                <w:sz w:val="17"/>
                <w:szCs w:val="17"/>
              </w:rPr>
              <w:t>16</w:t>
            </w:r>
            <w:r w:rsidRPr="00CE1409">
              <w:rPr>
                <w:b/>
                <w:sz w:val="17"/>
                <w:szCs w:val="17"/>
              </w:rPr>
              <w:t>), [common ref</w:t>
            </w:r>
            <w:r w:rsidR="00847D64" w:rsidRPr="00CE1409">
              <w:rPr>
                <w:b/>
                <w:sz w:val="17"/>
                <w:szCs w:val="17"/>
              </w:rPr>
              <w:t>erence</w:t>
            </w:r>
            <w:r w:rsidRPr="00CE1409">
              <w:rPr>
                <w:b/>
                <w:sz w:val="17"/>
                <w:szCs w:val="17"/>
              </w:rPr>
              <w:t xml:space="preserve">] </w:t>
            </w:r>
          </w:p>
        </w:tc>
      </w:tr>
      <w:tr w:rsidR="001C7351" w:rsidRPr="00CE1409" w14:paraId="119A5271" w14:textId="23529D4D" w:rsidTr="001C7351">
        <w:trPr>
          <w:gridAfter w:val="1"/>
          <w:wAfter w:w="5" w:type="pct"/>
        </w:trPr>
        <w:tc>
          <w:tcPr>
            <w:tcW w:w="594" w:type="pct"/>
            <w:vAlign w:val="center"/>
          </w:tcPr>
          <w:p w14:paraId="58A2C81A" w14:textId="632F0579" w:rsidR="003D337D" w:rsidRPr="00CE1409" w:rsidRDefault="003D337D" w:rsidP="003D337D">
            <w:pPr>
              <w:pStyle w:val="TableText0"/>
              <w:rPr>
                <w:sz w:val="17"/>
                <w:szCs w:val="17"/>
              </w:rPr>
            </w:pPr>
            <w:r w:rsidRPr="00CE1409">
              <w:rPr>
                <w:sz w:val="17"/>
                <w:szCs w:val="17"/>
              </w:rPr>
              <w:t>Bimekizumab</w:t>
            </w:r>
            <w:r w:rsidRPr="00CE1409">
              <w:rPr>
                <w:sz w:val="17"/>
                <w:szCs w:val="17"/>
                <w:vertAlign w:val="superscript"/>
              </w:rPr>
              <w:t>2</w:t>
            </w:r>
          </w:p>
        </w:tc>
        <w:tc>
          <w:tcPr>
            <w:tcW w:w="733" w:type="pct"/>
            <w:vAlign w:val="center"/>
          </w:tcPr>
          <w:p w14:paraId="4C8397A3" w14:textId="00FE26FC" w:rsidR="003D337D" w:rsidRPr="00CE1409" w:rsidRDefault="003D337D" w:rsidP="003D337D">
            <w:pPr>
              <w:pStyle w:val="TableText0"/>
              <w:jc w:val="center"/>
              <w:rPr>
                <w:b/>
                <w:bCs w:val="0"/>
                <w:sz w:val="17"/>
                <w:szCs w:val="17"/>
              </w:rPr>
            </w:pPr>
            <w:r w:rsidRPr="00CE1409">
              <w:rPr>
                <w:sz w:val="17"/>
                <w:szCs w:val="17"/>
              </w:rPr>
              <w:t xml:space="preserve">[P] </w:t>
            </w:r>
            <w:r w:rsidRPr="00CE1409">
              <w:rPr>
                <w:b/>
                <w:bCs w:val="0"/>
                <w:sz w:val="17"/>
                <w:szCs w:val="17"/>
              </w:rPr>
              <w:t>0.27</w:t>
            </w:r>
            <w:r w:rsidR="00CA5AD9" w:rsidRPr="00CE1409">
              <w:rPr>
                <w:b/>
                <w:bCs w:val="0"/>
                <w:sz w:val="17"/>
                <w:szCs w:val="17"/>
              </w:rPr>
              <w:t xml:space="preserve"> </w:t>
            </w:r>
            <w:r w:rsidRPr="00CE1409">
              <w:rPr>
                <w:b/>
                <w:bCs w:val="0"/>
                <w:sz w:val="17"/>
                <w:szCs w:val="17"/>
              </w:rPr>
              <w:t>(0.12, 0.63)</w:t>
            </w:r>
          </w:p>
          <w:p w14:paraId="6F5D1C5B" w14:textId="3E2DE2C6" w:rsidR="003D337D" w:rsidRPr="00CE1409" w:rsidRDefault="003D337D" w:rsidP="003D337D">
            <w:pPr>
              <w:pStyle w:val="TableText0"/>
              <w:jc w:val="center"/>
              <w:rPr>
                <w:sz w:val="17"/>
                <w:szCs w:val="17"/>
              </w:rPr>
            </w:pPr>
            <w:r w:rsidRPr="00CE1409">
              <w:rPr>
                <w:sz w:val="17"/>
                <w:szCs w:val="17"/>
              </w:rPr>
              <w:t>[A] 0.72</w:t>
            </w:r>
            <w:r w:rsidR="00CA5AD9" w:rsidRPr="00CE1409">
              <w:rPr>
                <w:sz w:val="17"/>
                <w:szCs w:val="17"/>
              </w:rPr>
              <w:t xml:space="preserve"> </w:t>
            </w:r>
            <w:r w:rsidRPr="00CE1409">
              <w:rPr>
                <w:sz w:val="17"/>
                <w:szCs w:val="17"/>
              </w:rPr>
              <w:t>(0.36,</w:t>
            </w:r>
            <w:r w:rsidR="00CA5AD9" w:rsidRPr="00CE1409">
              <w:rPr>
                <w:sz w:val="17"/>
                <w:szCs w:val="17"/>
              </w:rPr>
              <w:t xml:space="preserve"> </w:t>
            </w:r>
            <w:r w:rsidRPr="00CE1409">
              <w:rPr>
                <w:sz w:val="17"/>
                <w:szCs w:val="17"/>
              </w:rPr>
              <w:t>1.47)</w:t>
            </w:r>
          </w:p>
          <w:p w14:paraId="76AA1FB5" w14:textId="77777777" w:rsidR="008A02DF" w:rsidRPr="008A02DF" w:rsidRDefault="003D337D" w:rsidP="00C0419F">
            <w:pPr>
              <w:pStyle w:val="TableText0"/>
              <w:jc w:val="center"/>
              <w:rPr>
                <w:sz w:val="17"/>
                <w:szCs w:val="17"/>
              </w:rPr>
            </w:pPr>
            <w:r w:rsidRPr="00CE1409">
              <w:rPr>
                <w:sz w:val="17"/>
                <w:szCs w:val="17"/>
              </w:rPr>
              <w:t xml:space="preserve">[S] </w:t>
            </w:r>
            <w:r w:rsidR="00CA5AD9" w:rsidRPr="00CE1409">
              <w:rPr>
                <w:sz w:val="17"/>
                <w:szCs w:val="17"/>
              </w:rPr>
              <w:t>2.00</w:t>
            </w:r>
            <w:r w:rsidR="00CA5AD9" w:rsidRPr="00204F64">
              <w:rPr>
                <w:sz w:val="17"/>
                <w:szCs w:val="17"/>
              </w:rPr>
              <w:t xml:space="preserve"> (0.84, 4.73)</w:t>
            </w:r>
          </w:p>
          <w:p w14:paraId="7E0B026A" w14:textId="65367EC4" w:rsidR="003D337D" w:rsidRPr="00CE1409" w:rsidRDefault="003D337D" w:rsidP="00C0419F">
            <w:pPr>
              <w:pStyle w:val="TableText0"/>
              <w:jc w:val="center"/>
              <w:rPr>
                <w:sz w:val="17"/>
                <w:szCs w:val="17"/>
                <w:highlight w:val="yellow"/>
              </w:rPr>
            </w:pPr>
            <w:r w:rsidRPr="00CE1409">
              <w:rPr>
                <w:sz w:val="17"/>
                <w:szCs w:val="17"/>
              </w:rPr>
              <w:t xml:space="preserve">[U] </w:t>
            </w:r>
            <w:r w:rsidR="00CA5AD9" w:rsidRPr="00CE1409">
              <w:rPr>
                <w:sz w:val="17"/>
                <w:szCs w:val="17"/>
              </w:rPr>
              <w:t>0.79 (0.41, 1.55)</w:t>
            </w:r>
          </w:p>
        </w:tc>
        <w:tc>
          <w:tcPr>
            <w:tcW w:w="733" w:type="pct"/>
            <w:vAlign w:val="center"/>
          </w:tcPr>
          <w:p w14:paraId="34ECBBB6" w14:textId="2A4F78C3" w:rsidR="003D337D" w:rsidRPr="00CE1409" w:rsidRDefault="003D337D" w:rsidP="003D337D">
            <w:pPr>
              <w:pStyle w:val="TableText0"/>
              <w:jc w:val="center"/>
              <w:rPr>
                <w:sz w:val="17"/>
                <w:szCs w:val="17"/>
              </w:rPr>
            </w:pPr>
            <w:r w:rsidRPr="00CE1409">
              <w:rPr>
                <w:sz w:val="17"/>
                <w:szCs w:val="17"/>
              </w:rPr>
              <w:t xml:space="preserve">[P] </w:t>
            </w:r>
            <w:r w:rsidRPr="00CE1409">
              <w:rPr>
                <w:b/>
                <w:sz w:val="17"/>
                <w:szCs w:val="17"/>
              </w:rPr>
              <w:t>0.46</w:t>
            </w:r>
            <w:r w:rsidR="00CA5AD9" w:rsidRPr="00CE1409">
              <w:rPr>
                <w:b/>
                <w:sz w:val="17"/>
                <w:szCs w:val="17"/>
              </w:rPr>
              <w:t xml:space="preserve"> </w:t>
            </w:r>
            <w:r w:rsidRPr="00CE1409">
              <w:rPr>
                <w:b/>
                <w:sz w:val="17"/>
                <w:szCs w:val="17"/>
              </w:rPr>
              <w:t>(0.22,</w:t>
            </w:r>
            <w:r w:rsidR="00CA5AD9" w:rsidRPr="00CE1409">
              <w:rPr>
                <w:b/>
                <w:sz w:val="17"/>
                <w:szCs w:val="17"/>
              </w:rPr>
              <w:t xml:space="preserve"> </w:t>
            </w:r>
            <w:r w:rsidRPr="00CE1409">
              <w:rPr>
                <w:b/>
                <w:sz w:val="17"/>
                <w:szCs w:val="17"/>
              </w:rPr>
              <w:t>0.96)</w:t>
            </w:r>
          </w:p>
          <w:p w14:paraId="52BA43FD" w14:textId="77777777" w:rsidR="008A02DF" w:rsidRPr="008A02DF" w:rsidRDefault="003D337D" w:rsidP="003D337D">
            <w:pPr>
              <w:pStyle w:val="TableText0"/>
              <w:jc w:val="center"/>
              <w:rPr>
                <w:sz w:val="17"/>
                <w:szCs w:val="17"/>
              </w:rPr>
            </w:pPr>
            <w:r w:rsidRPr="00CE1409">
              <w:rPr>
                <w:sz w:val="17"/>
                <w:szCs w:val="17"/>
              </w:rPr>
              <w:t xml:space="preserve">[A] </w:t>
            </w:r>
            <w:r w:rsidR="00912672" w:rsidRPr="00CE1409">
              <w:rPr>
                <w:sz w:val="17"/>
                <w:szCs w:val="17"/>
              </w:rPr>
              <w:t>0.95 (</w:t>
            </w:r>
            <w:r w:rsidR="00912672" w:rsidRPr="00204F64">
              <w:rPr>
                <w:sz w:val="17"/>
                <w:szCs w:val="17"/>
              </w:rPr>
              <w:t>0.83, 1.10</w:t>
            </w:r>
            <w:r w:rsidR="00912672" w:rsidRPr="00CE1409">
              <w:rPr>
                <w:sz w:val="17"/>
                <w:szCs w:val="17"/>
              </w:rPr>
              <w:t>)</w:t>
            </w:r>
          </w:p>
          <w:p w14:paraId="7C197436" w14:textId="77777777" w:rsidR="008A02DF" w:rsidRPr="008A02DF" w:rsidRDefault="003D337D" w:rsidP="00C0419F">
            <w:pPr>
              <w:pStyle w:val="TableText0"/>
              <w:jc w:val="center"/>
              <w:rPr>
                <w:sz w:val="17"/>
                <w:szCs w:val="17"/>
              </w:rPr>
            </w:pPr>
            <w:r w:rsidRPr="00CE1409">
              <w:rPr>
                <w:sz w:val="17"/>
                <w:szCs w:val="17"/>
              </w:rPr>
              <w:t xml:space="preserve">[S] </w:t>
            </w:r>
            <w:r w:rsidR="00912672" w:rsidRPr="00204F64">
              <w:rPr>
                <w:b/>
                <w:bCs w:val="0"/>
                <w:sz w:val="17"/>
                <w:szCs w:val="17"/>
              </w:rPr>
              <w:t>1.13</w:t>
            </w:r>
            <w:r w:rsidR="00912672" w:rsidRPr="00CE1409">
              <w:rPr>
                <w:b/>
                <w:bCs w:val="0"/>
                <w:sz w:val="17"/>
                <w:szCs w:val="17"/>
              </w:rPr>
              <w:t xml:space="preserve"> (</w:t>
            </w:r>
            <w:r w:rsidR="00912672" w:rsidRPr="00204F64">
              <w:rPr>
                <w:b/>
                <w:bCs w:val="0"/>
                <w:sz w:val="17"/>
                <w:szCs w:val="17"/>
              </w:rPr>
              <w:t>1.02</w:t>
            </w:r>
            <w:r w:rsidR="00912672" w:rsidRPr="00CE1409">
              <w:rPr>
                <w:b/>
                <w:bCs w:val="0"/>
                <w:sz w:val="17"/>
                <w:szCs w:val="17"/>
              </w:rPr>
              <w:t xml:space="preserve">, </w:t>
            </w:r>
            <w:r w:rsidR="00912672" w:rsidRPr="00204F64">
              <w:rPr>
                <w:b/>
                <w:bCs w:val="0"/>
                <w:sz w:val="17"/>
                <w:szCs w:val="17"/>
              </w:rPr>
              <w:t>1.25</w:t>
            </w:r>
            <w:r w:rsidR="00912672" w:rsidRPr="00CE1409">
              <w:rPr>
                <w:b/>
                <w:bCs w:val="0"/>
                <w:sz w:val="17"/>
                <w:szCs w:val="17"/>
              </w:rPr>
              <w:t>)</w:t>
            </w:r>
          </w:p>
          <w:p w14:paraId="77E3664F" w14:textId="4ECF2709" w:rsidR="003D337D" w:rsidRPr="00CE1409" w:rsidRDefault="003D337D" w:rsidP="00C0419F">
            <w:pPr>
              <w:pStyle w:val="TableText0"/>
              <w:jc w:val="center"/>
              <w:rPr>
                <w:sz w:val="17"/>
                <w:szCs w:val="17"/>
                <w:highlight w:val="yellow"/>
              </w:rPr>
            </w:pPr>
            <w:r w:rsidRPr="00CE1409">
              <w:rPr>
                <w:sz w:val="17"/>
                <w:szCs w:val="17"/>
              </w:rPr>
              <w:t xml:space="preserve">[U] </w:t>
            </w:r>
            <w:r w:rsidR="00912672" w:rsidRPr="00CE1409">
              <w:rPr>
                <w:sz w:val="17"/>
                <w:szCs w:val="17"/>
              </w:rPr>
              <w:t>0.98 (</w:t>
            </w:r>
            <w:r w:rsidR="00912672" w:rsidRPr="00204F64">
              <w:rPr>
                <w:sz w:val="17"/>
                <w:szCs w:val="17"/>
              </w:rPr>
              <w:t>0.85</w:t>
            </w:r>
            <w:r w:rsidR="00912672" w:rsidRPr="00CE1409">
              <w:rPr>
                <w:sz w:val="17"/>
                <w:szCs w:val="17"/>
              </w:rPr>
              <w:t>, 1.12)</w:t>
            </w:r>
          </w:p>
        </w:tc>
        <w:tc>
          <w:tcPr>
            <w:tcW w:w="734" w:type="pct"/>
            <w:vAlign w:val="center"/>
          </w:tcPr>
          <w:p w14:paraId="5E847AAD" w14:textId="580E11B6" w:rsidR="003D337D" w:rsidRPr="00CE1409" w:rsidRDefault="003D337D" w:rsidP="003D337D">
            <w:pPr>
              <w:pStyle w:val="TableText0"/>
              <w:jc w:val="center"/>
              <w:rPr>
                <w:b/>
                <w:bCs w:val="0"/>
                <w:sz w:val="17"/>
                <w:szCs w:val="17"/>
              </w:rPr>
            </w:pPr>
            <w:r w:rsidRPr="00CE1409">
              <w:rPr>
                <w:sz w:val="17"/>
                <w:szCs w:val="17"/>
              </w:rPr>
              <w:t>[P]</w:t>
            </w:r>
            <w:r w:rsidRPr="00CE1409">
              <w:rPr>
                <w:b/>
                <w:bCs w:val="0"/>
                <w:sz w:val="17"/>
                <w:szCs w:val="17"/>
              </w:rPr>
              <w:t>-0.09(-0.14,-0.04)</w:t>
            </w:r>
          </w:p>
          <w:p w14:paraId="564222AD" w14:textId="77777777" w:rsidR="008A02DF" w:rsidRPr="008A02DF" w:rsidRDefault="003D337D" w:rsidP="003D337D">
            <w:pPr>
              <w:pStyle w:val="TableText0"/>
              <w:jc w:val="center"/>
              <w:rPr>
                <w:sz w:val="17"/>
                <w:szCs w:val="17"/>
              </w:rPr>
            </w:pPr>
            <w:r w:rsidRPr="00CE1409">
              <w:rPr>
                <w:sz w:val="17"/>
                <w:szCs w:val="17"/>
              </w:rPr>
              <w:t>[A]</w:t>
            </w:r>
            <w:r w:rsidR="003107C3" w:rsidRPr="00CE1409">
              <w:rPr>
                <w:sz w:val="17"/>
                <w:szCs w:val="17"/>
              </w:rPr>
              <w:t>-0.04(</w:t>
            </w:r>
            <w:r w:rsidR="003107C3" w:rsidRPr="00204F64">
              <w:rPr>
                <w:sz w:val="17"/>
                <w:szCs w:val="17"/>
              </w:rPr>
              <w:t>-0.14</w:t>
            </w:r>
            <w:r w:rsidR="003107C3" w:rsidRPr="00CE1409">
              <w:rPr>
                <w:sz w:val="17"/>
                <w:szCs w:val="17"/>
              </w:rPr>
              <w:t>, 0.06)</w:t>
            </w:r>
          </w:p>
          <w:p w14:paraId="2908DF2D" w14:textId="77777777" w:rsidR="008A02DF" w:rsidRPr="008A02DF" w:rsidRDefault="003D337D" w:rsidP="003D337D">
            <w:pPr>
              <w:pStyle w:val="TableText0"/>
              <w:jc w:val="center"/>
              <w:rPr>
                <w:sz w:val="17"/>
                <w:szCs w:val="17"/>
              </w:rPr>
            </w:pPr>
            <w:r w:rsidRPr="00CE1409">
              <w:rPr>
                <w:sz w:val="17"/>
                <w:szCs w:val="17"/>
              </w:rPr>
              <w:t>[S]</w:t>
            </w:r>
            <w:r w:rsidR="00534824" w:rsidRPr="00CE1409">
              <w:rPr>
                <w:sz w:val="17"/>
                <w:szCs w:val="17"/>
              </w:rPr>
              <w:t xml:space="preserve"> </w:t>
            </w:r>
            <w:r w:rsidR="003107C3" w:rsidRPr="00204F64">
              <w:rPr>
                <w:b/>
                <w:bCs w:val="0"/>
                <w:sz w:val="17"/>
                <w:szCs w:val="17"/>
              </w:rPr>
              <w:t>0.10</w:t>
            </w:r>
            <w:r w:rsidR="00534824" w:rsidRPr="00204F64">
              <w:rPr>
                <w:b/>
                <w:bCs w:val="0"/>
                <w:sz w:val="17"/>
                <w:szCs w:val="17"/>
              </w:rPr>
              <w:t xml:space="preserve"> </w:t>
            </w:r>
            <w:r w:rsidR="003107C3" w:rsidRPr="00204F64">
              <w:rPr>
                <w:b/>
                <w:bCs w:val="0"/>
                <w:sz w:val="17"/>
                <w:szCs w:val="17"/>
              </w:rPr>
              <w:t>(0.02,</w:t>
            </w:r>
            <w:r w:rsidR="00534824" w:rsidRPr="00204F64">
              <w:rPr>
                <w:b/>
                <w:bCs w:val="0"/>
                <w:sz w:val="17"/>
                <w:szCs w:val="17"/>
              </w:rPr>
              <w:t xml:space="preserve"> </w:t>
            </w:r>
            <w:r w:rsidR="003107C3" w:rsidRPr="00204F64">
              <w:rPr>
                <w:b/>
                <w:bCs w:val="0"/>
                <w:sz w:val="17"/>
                <w:szCs w:val="17"/>
              </w:rPr>
              <w:t>0.19</w:t>
            </w:r>
            <w:r w:rsidR="003107C3" w:rsidRPr="00204F64">
              <w:rPr>
                <w:b/>
                <w:sz w:val="17"/>
                <w:szCs w:val="17"/>
              </w:rPr>
              <w:t>)</w:t>
            </w:r>
          </w:p>
          <w:p w14:paraId="7D457A63" w14:textId="42393DE9" w:rsidR="003D337D" w:rsidRPr="00CE1409" w:rsidRDefault="003D337D" w:rsidP="00C0419F">
            <w:pPr>
              <w:pStyle w:val="TableText0"/>
              <w:jc w:val="center"/>
              <w:rPr>
                <w:sz w:val="17"/>
                <w:szCs w:val="17"/>
                <w:highlight w:val="yellow"/>
              </w:rPr>
            </w:pPr>
            <w:r w:rsidRPr="00CE1409">
              <w:rPr>
                <w:sz w:val="17"/>
                <w:szCs w:val="17"/>
              </w:rPr>
              <w:t>[U]</w:t>
            </w:r>
            <w:r w:rsidR="003107C3" w:rsidRPr="00CE1409">
              <w:rPr>
                <w:sz w:val="17"/>
                <w:szCs w:val="17"/>
              </w:rPr>
              <w:t>-0.02(</w:t>
            </w:r>
            <w:r w:rsidR="003107C3" w:rsidRPr="00204F64">
              <w:rPr>
                <w:sz w:val="17"/>
                <w:szCs w:val="17"/>
              </w:rPr>
              <w:t>-0.12,</w:t>
            </w:r>
            <w:r w:rsidR="00534824" w:rsidRPr="00204F64">
              <w:rPr>
                <w:sz w:val="17"/>
                <w:szCs w:val="17"/>
              </w:rPr>
              <w:t xml:space="preserve"> </w:t>
            </w:r>
            <w:r w:rsidR="003107C3" w:rsidRPr="00204F64">
              <w:rPr>
                <w:sz w:val="17"/>
                <w:szCs w:val="17"/>
              </w:rPr>
              <w:t>0.08</w:t>
            </w:r>
            <w:r w:rsidR="003107C3" w:rsidRPr="00CE1409">
              <w:rPr>
                <w:sz w:val="17"/>
                <w:szCs w:val="17"/>
              </w:rPr>
              <w:t>)</w:t>
            </w:r>
          </w:p>
        </w:tc>
        <w:tc>
          <w:tcPr>
            <w:tcW w:w="736" w:type="pct"/>
            <w:vAlign w:val="center"/>
          </w:tcPr>
          <w:p w14:paraId="7A268E1D" w14:textId="77777777" w:rsidR="008A02DF" w:rsidRPr="008A02DF" w:rsidRDefault="003D337D" w:rsidP="003D337D">
            <w:pPr>
              <w:pStyle w:val="TableText0"/>
              <w:jc w:val="center"/>
              <w:rPr>
                <w:sz w:val="17"/>
                <w:szCs w:val="17"/>
              </w:rPr>
            </w:pPr>
            <w:r w:rsidRPr="00CE1409">
              <w:rPr>
                <w:sz w:val="17"/>
                <w:szCs w:val="17"/>
              </w:rPr>
              <w:t>[P]</w:t>
            </w:r>
            <w:r w:rsidR="00333BC2" w:rsidRPr="00CE1409">
              <w:rPr>
                <w:sz w:val="17"/>
                <w:szCs w:val="17"/>
              </w:rPr>
              <w:t xml:space="preserve"> 0.38 (0.13, </w:t>
            </w:r>
            <w:r w:rsidR="00333BC2" w:rsidRPr="00204F64">
              <w:rPr>
                <w:sz w:val="17"/>
                <w:szCs w:val="17"/>
              </w:rPr>
              <w:t>1.11</w:t>
            </w:r>
            <w:r w:rsidR="00333BC2" w:rsidRPr="00CE1409">
              <w:rPr>
                <w:sz w:val="17"/>
                <w:szCs w:val="17"/>
              </w:rPr>
              <w:t>)</w:t>
            </w:r>
          </w:p>
          <w:p w14:paraId="55F5DE3E" w14:textId="5466786B" w:rsidR="003D337D" w:rsidRPr="00CE1409" w:rsidRDefault="003D337D" w:rsidP="003D337D">
            <w:pPr>
              <w:pStyle w:val="TableText0"/>
              <w:jc w:val="center"/>
              <w:rPr>
                <w:b/>
                <w:bCs w:val="0"/>
                <w:sz w:val="17"/>
                <w:szCs w:val="17"/>
              </w:rPr>
            </w:pPr>
            <w:r w:rsidRPr="00CE1409">
              <w:rPr>
                <w:sz w:val="17"/>
                <w:szCs w:val="17"/>
              </w:rPr>
              <w:t xml:space="preserve">[A] </w:t>
            </w:r>
            <w:r w:rsidRPr="00CE1409">
              <w:rPr>
                <w:b/>
                <w:bCs w:val="0"/>
                <w:sz w:val="17"/>
                <w:szCs w:val="17"/>
              </w:rPr>
              <w:t>0.42</w:t>
            </w:r>
            <w:r w:rsidR="0083698D" w:rsidRPr="00CE1409">
              <w:rPr>
                <w:b/>
                <w:bCs w:val="0"/>
                <w:sz w:val="17"/>
                <w:szCs w:val="17"/>
              </w:rPr>
              <w:t xml:space="preserve"> </w:t>
            </w:r>
            <w:r w:rsidRPr="00CE1409">
              <w:rPr>
                <w:b/>
                <w:bCs w:val="0"/>
                <w:sz w:val="17"/>
                <w:szCs w:val="17"/>
              </w:rPr>
              <w:t>(0.24,</w:t>
            </w:r>
            <w:r w:rsidR="0083698D" w:rsidRPr="00CE1409">
              <w:rPr>
                <w:b/>
                <w:bCs w:val="0"/>
                <w:sz w:val="17"/>
                <w:szCs w:val="17"/>
              </w:rPr>
              <w:t xml:space="preserve"> </w:t>
            </w:r>
            <w:r w:rsidRPr="00CE1409">
              <w:rPr>
                <w:b/>
                <w:bCs w:val="0"/>
                <w:sz w:val="17"/>
                <w:szCs w:val="17"/>
              </w:rPr>
              <w:t>0.73)</w:t>
            </w:r>
          </w:p>
          <w:p w14:paraId="53AA6587" w14:textId="77777777" w:rsidR="008A02DF" w:rsidRPr="008A02DF" w:rsidRDefault="003D337D" w:rsidP="003D337D">
            <w:pPr>
              <w:pStyle w:val="TableText0"/>
              <w:jc w:val="center"/>
              <w:rPr>
                <w:sz w:val="17"/>
                <w:szCs w:val="17"/>
              </w:rPr>
            </w:pPr>
            <w:r w:rsidRPr="00CE1409">
              <w:rPr>
                <w:sz w:val="17"/>
                <w:szCs w:val="17"/>
              </w:rPr>
              <w:t xml:space="preserve">[S] </w:t>
            </w:r>
            <w:r w:rsidR="00333BC2" w:rsidRPr="00CE1409">
              <w:rPr>
                <w:sz w:val="17"/>
                <w:szCs w:val="17"/>
              </w:rPr>
              <w:t xml:space="preserve">0.72 (0.40, </w:t>
            </w:r>
            <w:r w:rsidR="00333BC2" w:rsidRPr="00204F64">
              <w:rPr>
                <w:sz w:val="17"/>
                <w:szCs w:val="17"/>
              </w:rPr>
              <w:t>1.31</w:t>
            </w:r>
            <w:r w:rsidR="00333BC2" w:rsidRPr="00CE1409">
              <w:rPr>
                <w:sz w:val="17"/>
                <w:szCs w:val="17"/>
              </w:rPr>
              <w:t>)</w:t>
            </w:r>
          </w:p>
          <w:p w14:paraId="1CEF2B14" w14:textId="3426E84B" w:rsidR="003D337D" w:rsidRPr="00CE1409" w:rsidRDefault="003D337D" w:rsidP="003D337D">
            <w:pPr>
              <w:pStyle w:val="TableText0"/>
              <w:jc w:val="center"/>
              <w:rPr>
                <w:sz w:val="17"/>
                <w:szCs w:val="17"/>
                <w:highlight w:val="yellow"/>
              </w:rPr>
            </w:pPr>
            <w:r w:rsidRPr="00CE1409">
              <w:rPr>
                <w:sz w:val="17"/>
                <w:szCs w:val="17"/>
              </w:rPr>
              <w:t xml:space="preserve">[U] </w:t>
            </w:r>
            <w:r w:rsidR="00333BC2" w:rsidRPr="00204F64">
              <w:rPr>
                <w:sz w:val="17"/>
                <w:szCs w:val="17"/>
              </w:rPr>
              <w:t>0.65 (0.37, 1.12)</w:t>
            </w:r>
          </w:p>
        </w:tc>
        <w:tc>
          <w:tcPr>
            <w:tcW w:w="733" w:type="pct"/>
            <w:shd w:val="clear" w:color="auto" w:fill="auto"/>
            <w:vAlign w:val="center"/>
          </w:tcPr>
          <w:p w14:paraId="08F5CE75" w14:textId="49C0BA56" w:rsidR="003D337D" w:rsidRPr="00CE1409" w:rsidRDefault="003D337D" w:rsidP="003D337D">
            <w:pPr>
              <w:pStyle w:val="TableText0"/>
              <w:jc w:val="center"/>
              <w:rPr>
                <w:sz w:val="17"/>
                <w:szCs w:val="17"/>
              </w:rPr>
            </w:pPr>
            <w:r w:rsidRPr="00CE1409">
              <w:rPr>
                <w:sz w:val="17"/>
                <w:szCs w:val="17"/>
              </w:rPr>
              <w:t xml:space="preserve">[P] </w:t>
            </w:r>
            <w:r w:rsidR="00333BC2" w:rsidRPr="00204F64">
              <w:rPr>
                <w:sz w:val="17"/>
                <w:szCs w:val="17"/>
              </w:rPr>
              <w:t>0.74 (0.16, 3.47)</w:t>
            </w:r>
          </w:p>
          <w:p w14:paraId="58FE023E" w14:textId="23CAEE43" w:rsidR="003D337D" w:rsidRPr="00CE1409" w:rsidRDefault="003D337D" w:rsidP="003D337D">
            <w:pPr>
              <w:pStyle w:val="TableText0"/>
              <w:jc w:val="center"/>
              <w:rPr>
                <w:sz w:val="17"/>
                <w:szCs w:val="17"/>
              </w:rPr>
            </w:pPr>
            <w:r w:rsidRPr="00CE1409">
              <w:rPr>
                <w:sz w:val="17"/>
                <w:szCs w:val="17"/>
              </w:rPr>
              <w:t>[A] 0.84</w:t>
            </w:r>
            <w:r w:rsidR="0083698D" w:rsidRPr="00CE1409">
              <w:rPr>
                <w:sz w:val="17"/>
                <w:szCs w:val="17"/>
              </w:rPr>
              <w:t xml:space="preserve"> </w:t>
            </w:r>
            <w:r w:rsidRPr="00CE1409">
              <w:rPr>
                <w:sz w:val="17"/>
                <w:szCs w:val="17"/>
              </w:rPr>
              <w:t>(0.67,</w:t>
            </w:r>
            <w:r w:rsidR="0083698D" w:rsidRPr="00CE1409">
              <w:rPr>
                <w:sz w:val="17"/>
                <w:szCs w:val="17"/>
              </w:rPr>
              <w:t xml:space="preserve"> </w:t>
            </w:r>
            <w:r w:rsidRPr="00CE1409">
              <w:rPr>
                <w:sz w:val="17"/>
                <w:szCs w:val="17"/>
              </w:rPr>
              <w:t>1.04)</w:t>
            </w:r>
          </w:p>
          <w:p w14:paraId="23A8F704" w14:textId="01A102BB" w:rsidR="003D337D" w:rsidRPr="00CE1409" w:rsidRDefault="003D337D" w:rsidP="003D337D">
            <w:pPr>
              <w:pStyle w:val="TableText0"/>
              <w:jc w:val="center"/>
              <w:rPr>
                <w:sz w:val="17"/>
                <w:szCs w:val="17"/>
              </w:rPr>
            </w:pPr>
            <w:r w:rsidRPr="00CE1409">
              <w:rPr>
                <w:sz w:val="17"/>
                <w:szCs w:val="17"/>
              </w:rPr>
              <w:t xml:space="preserve">[S] </w:t>
            </w:r>
            <w:r w:rsidR="00333BC2" w:rsidRPr="00204F64">
              <w:rPr>
                <w:sz w:val="17"/>
                <w:szCs w:val="17"/>
              </w:rPr>
              <w:t>0.97</w:t>
            </w:r>
            <w:r w:rsidR="00333BC2" w:rsidRPr="00CE1409">
              <w:rPr>
                <w:sz w:val="17"/>
                <w:szCs w:val="17"/>
              </w:rPr>
              <w:t xml:space="preserve"> (0.83, 1.15)</w:t>
            </w:r>
          </w:p>
          <w:p w14:paraId="6D751A01" w14:textId="6806929F" w:rsidR="003D337D" w:rsidRPr="00CE1409" w:rsidRDefault="003D337D" w:rsidP="003D337D">
            <w:pPr>
              <w:pStyle w:val="TableText0"/>
              <w:jc w:val="center"/>
              <w:rPr>
                <w:sz w:val="17"/>
                <w:szCs w:val="17"/>
              </w:rPr>
            </w:pPr>
            <w:r w:rsidRPr="00CE1409">
              <w:rPr>
                <w:sz w:val="17"/>
                <w:szCs w:val="17"/>
              </w:rPr>
              <w:t xml:space="preserve">[U] </w:t>
            </w:r>
            <w:r w:rsidR="00333BC2" w:rsidRPr="00204F64">
              <w:rPr>
                <w:sz w:val="17"/>
                <w:szCs w:val="17"/>
              </w:rPr>
              <w:t>0.98</w:t>
            </w:r>
            <w:r w:rsidR="00333BC2" w:rsidRPr="00CE1409">
              <w:rPr>
                <w:sz w:val="17"/>
                <w:szCs w:val="17"/>
              </w:rPr>
              <w:t xml:space="preserve"> (0.78, </w:t>
            </w:r>
            <w:r w:rsidR="00333BC2" w:rsidRPr="00204F64">
              <w:rPr>
                <w:sz w:val="17"/>
                <w:szCs w:val="17"/>
              </w:rPr>
              <w:t>1.23</w:t>
            </w:r>
            <w:r w:rsidR="00333BC2" w:rsidRPr="00CE1409">
              <w:rPr>
                <w:sz w:val="17"/>
                <w:szCs w:val="17"/>
              </w:rPr>
              <w:t>)</w:t>
            </w:r>
          </w:p>
        </w:tc>
        <w:tc>
          <w:tcPr>
            <w:tcW w:w="733" w:type="pct"/>
            <w:vAlign w:val="center"/>
          </w:tcPr>
          <w:p w14:paraId="40818E07" w14:textId="77777777" w:rsidR="003D337D" w:rsidRPr="00CE1409" w:rsidRDefault="003D337D" w:rsidP="003D337D">
            <w:pPr>
              <w:pStyle w:val="TableText0"/>
              <w:jc w:val="center"/>
              <w:rPr>
                <w:b/>
                <w:bCs w:val="0"/>
                <w:sz w:val="17"/>
                <w:szCs w:val="17"/>
              </w:rPr>
            </w:pPr>
            <w:r w:rsidRPr="00CE1409">
              <w:rPr>
                <w:sz w:val="17"/>
                <w:szCs w:val="17"/>
              </w:rPr>
              <w:t>[P]</w:t>
            </w:r>
            <w:r w:rsidRPr="00CE1409">
              <w:rPr>
                <w:b/>
                <w:bCs w:val="0"/>
                <w:sz w:val="17"/>
                <w:szCs w:val="17"/>
              </w:rPr>
              <w:t>-0.14(-0.19,-0.09)</w:t>
            </w:r>
          </w:p>
          <w:p w14:paraId="2833E612" w14:textId="082E5FBE" w:rsidR="003D337D" w:rsidRPr="00CE1409" w:rsidRDefault="003D337D" w:rsidP="003D337D">
            <w:pPr>
              <w:pStyle w:val="TableText0"/>
              <w:jc w:val="center"/>
              <w:rPr>
                <w:b/>
                <w:bCs w:val="0"/>
                <w:sz w:val="17"/>
                <w:szCs w:val="17"/>
              </w:rPr>
            </w:pPr>
            <w:r w:rsidRPr="00CE1409">
              <w:rPr>
                <w:sz w:val="17"/>
                <w:szCs w:val="17"/>
              </w:rPr>
              <w:t>[A]</w:t>
            </w:r>
            <w:r w:rsidR="00534824" w:rsidRPr="00204F64">
              <w:rPr>
                <w:b/>
                <w:bCs w:val="0"/>
                <w:sz w:val="17"/>
                <w:szCs w:val="17"/>
              </w:rPr>
              <w:t>-0.14(-0.26,-0.02)</w:t>
            </w:r>
          </w:p>
          <w:p w14:paraId="70CA011C" w14:textId="2C21CE49" w:rsidR="003D337D" w:rsidRPr="00204F64" w:rsidRDefault="003D337D" w:rsidP="003D337D">
            <w:pPr>
              <w:pStyle w:val="TableText0"/>
              <w:jc w:val="center"/>
              <w:rPr>
                <w:sz w:val="17"/>
                <w:szCs w:val="17"/>
              </w:rPr>
            </w:pPr>
            <w:r w:rsidRPr="00CE1409">
              <w:rPr>
                <w:sz w:val="17"/>
                <w:szCs w:val="17"/>
              </w:rPr>
              <w:t>[S]-0.03(-0.15,</w:t>
            </w:r>
            <w:r w:rsidR="0083698D" w:rsidRPr="00CE1409">
              <w:rPr>
                <w:sz w:val="17"/>
                <w:szCs w:val="17"/>
              </w:rPr>
              <w:t xml:space="preserve"> </w:t>
            </w:r>
            <w:r w:rsidRPr="00204F64">
              <w:rPr>
                <w:sz w:val="17"/>
                <w:szCs w:val="17"/>
              </w:rPr>
              <w:t>0.0</w:t>
            </w:r>
            <w:r w:rsidR="00534824" w:rsidRPr="00204F64">
              <w:rPr>
                <w:sz w:val="17"/>
                <w:szCs w:val="17"/>
              </w:rPr>
              <w:t>9</w:t>
            </w:r>
            <w:r w:rsidRPr="00CE1409">
              <w:rPr>
                <w:sz w:val="17"/>
                <w:szCs w:val="17"/>
              </w:rPr>
              <w:t>)</w:t>
            </w:r>
          </w:p>
          <w:p w14:paraId="5323705C" w14:textId="27F39C77" w:rsidR="003D337D" w:rsidRPr="00204F64" w:rsidRDefault="003D337D" w:rsidP="003D337D">
            <w:pPr>
              <w:pStyle w:val="TableText0"/>
              <w:jc w:val="center"/>
              <w:rPr>
                <w:sz w:val="17"/>
                <w:szCs w:val="17"/>
                <w:highlight w:val="yellow"/>
              </w:rPr>
            </w:pPr>
            <w:r w:rsidRPr="00CE1409">
              <w:rPr>
                <w:sz w:val="17"/>
                <w:szCs w:val="17"/>
              </w:rPr>
              <w:t>[U]</w:t>
            </w:r>
            <w:r w:rsidR="00534824" w:rsidRPr="00CE1409">
              <w:rPr>
                <w:sz w:val="17"/>
                <w:szCs w:val="17"/>
              </w:rPr>
              <w:t>-</w:t>
            </w:r>
            <w:r w:rsidR="00534824" w:rsidRPr="00204F64">
              <w:rPr>
                <w:sz w:val="17"/>
                <w:szCs w:val="17"/>
              </w:rPr>
              <w:t>0.05(-0.16,</w:t>
            </w:r>
            <w:r w:rsidR="0083698D" w:rsidRPr="00204F64">
              <w:rPr>
                <w:sz w:val="17"/>
                <w:szCs w:val="17"/>
              </w:rPr>
              <w:t xml:space="preserve"> </w:t>
            </w:r>
            <w:r w:rsidR="00534824" w:rsidRPr="00204F64">
              <w:rPr>
                <w:sz w:val="17"/>
                <w:szCs w:val="17"/>
              </w:rPr>
              <w:t>0.06)</w:t>
            </w:r>
          </w:p>
        </w:tc>
      </w:tr>
      <w:tr w:rsidR="001C7351" w:rsidRPr="00CE1409" w14:paraId="59631603" w14:textId="699DD17D" w:rsidTr="001C7351">
        <w:trPr>
          <w:gridAfter w:val="1"/>
          <w:wAfter w:w="5" w:type="pct"/>
        </w:trPr>
        <w:tc>
          <w:tcPr>
            <w:tcW w:w="594" w:type="pct"/>
            <w:vAlign w:val="center"/>
          </w:tcPr>
          <w:p w14:paraId="5AAF71D5" w14:textId="5B8AD504" w:rsidR="003D337D" w:rsidRPr="00CE1409" w:rsidRDefault="003D337D" w:rsidP="003D337D">
            <w:pPr>
              <w:pStyle w:val="TableText0"/>
              <w:rPr>
                <w:sz w:val="17"/>
                <w:szCs w:val="17"/>
                <w:vertAlign w:val="superscript"/>
              </w:rPr>
            </w:pPr>
            <w:r w:rsidRPr="00CE1409">
              <w:rPr>
                <w:sz w:val="17"/>
                <w:szCs w:val="17"/>
              </w:rPr>
              <w:t>Etanercept</w:t>
            </w:r>
            <w:r w:rsidRPr="00CE1409">
              <w:rPr>
                <w:sz w:val="17"/>
                <w:szCs w:val="17"/>
                <w:vertAlign w:val="superscript"/>
              </w:rPr>
              <w:t>1</w:t>
            </w:r>
          </w:p>
        </w:tc>
        <w:tc>
          <w:tcPr>
            <w:tcW w:w="733" w:type="pct"/>
          </w:tcPr>
          <w:p w14:paraId="4FE12B70" w14:textId="15A56EC7" w:rsidR="003D337D" w:rsidRPr="00CE1409" w:rsidRDefault="003D337D" w:rsidP="003D337D">
            <w:pPr>
              <w:pStyle w:val="TableText0"/>
              <w:jc w:val="center"/>
              <w:rPr>
                <w:sz w:val="17"/>
                <w:szCs w:val="17"/>
                <w:highlight w:val="yellow"/>
              </w:rPr>
            </w:pPr>
            <w:r w:rsidRPr="00CE1409">
              <w:rPr>
                <w:sz w:val="17"/>
                <w:szCs w:val="17"/>
              </w:rPr>
              <w:t xml:space="preserve">[P] </w:t>
            </w:r>
            <w:r w:rsidRPr="00CE1409">
              <w:rPr>
                <w:b/>
                <w:bCs w:val="0"/>
                <w:sz w:val="17"/>
                <w:szCs w:val="17"/>
              </w:rPr>
              <w:t>4.63</w:t>
            </w:r>
            <w:r w:rsidR="00CA5AD9" w:rsidRPr="00CE1409">
              <w:rPr>
                <w:b/>
                <w:bCs w:val="0"/>
                <w:sz w:val="17"/>
                <w:szCs w:val="17"/>
              </w:rPr>
              <w:t xml:space="preserve"> </w:t>
            </w:r>
            <w:r w:rsidRPr="00CE1409">
              <w:rPr>
                <w:b/>
                <w:bCs w:val="0"/>
                <w:sz w:val="17"/>
                <w:szCs w:val="17"/>
              </w:rPr>
              <w:t>(2.29, 9.35)</w:t>
            </w:r>
          </w:p>
        </w:tc>
        <w:tc>
          <w:tcPr>
            <w:tcW w:w="733" w:type="pct"/>
            <w:vAlign w:val="center"/>
          </w:tcPr>
          <w:p w14:paraId="17AEE63A" w14:textId="40B79838" w:rsidR="003D337D" w:rsidRPr="00CE1409" w:rsidRDefault="003D337D" w:rsidP="003D337D">
            <w:pPr>
              <w:pStyle w:val="TableText0"/>
              <w:jc w:val="center"/>
              <w:rPr>
                <w:sz w:val="17"/>
                <w:szCs w:val="17"/>
                <w:highlight w:val="yellow"/>
              </w:rPr>
            </w:pPr>
            <w:r w:rsidRPr="00CE1409">
              <w:rPr>
                <w:sz w:val="17"/>
                <w:szCs w:val="17"/>
              </w:rPr>
              <w:t>[P] 0.90</w:t>
            </w:r>
            <w:r w:rsidR="00912672" w:rsidRPr="00CE1409">
              <w:rPr>
                <w:sz w:val="17"/>
                <w:szCs w:val="17"/>
              </w:rPr>
              <w:t xml:space="preserve"> </w:t>
            </w:r>
            <w:r w:rsidRPr="00CE1409">
              <w:rPr>
                <w:sz w:val="17"/>
                <w:szCs w:val="17"/>
              </w:rPr>
              <w:t>(0.48,</w:t>
            </w:r>
            <w:r w:rsidR="00912672" w:rsidRPr="00CE1409">
              <w:rPr>
                <w:sz w:val="17"/>
                <w:szCs w:val="17"/>
              </w:rPr>
              <w:t xml:space="preserve"> </w:t>
            </w:r>
            <w:r w:rsidRPr="00CE1409">
              <w:rPr>
                <w:sz w:val="17"/>
                <w:szCs w:val="17"/>
              </w:rPr>
              <w:t>1.70)</w:t>
            </w:r>
          </w:p>
        </w:tc>
        <w:tc>
          <w:tcPr>
            <w:tcW w:w="734" w:type="pct"/>
            <w:vAlign w:val="center"/>
          </w:tcPr>
          <w:p w14:paraId="2BC2FD7D" w14:textId="63D6B2A5" w:rsidR="003D337D" w:rsidRPr="00CE1409" w:rsidRDefault="003D337D" w:rsidP="003D337D">
            <w:pPr>
              <w:pStyle w:val="TableText0"/>
              <w:jc w:val="center"/>
              <w:rPr>
                <w:sz w:val="17"/>
                <w:szCs w:val="17"/>
              </w:rPr>
            </w:pPr>
            <w:r w:rsidRPr="00CE1409">
              <w:rPr>
                <w:sz w:val="17"/>
                <w:szCs w:val="17"/>
              </w:rPr>
              <w:t>[P]</w:t>
            </w:r>
            <w:r w:rsidRPr="00CE1409">
              <w:rPr>
                <w:b/>
                <w:bCs w:val="0"/>
                <w:sz w:val="17"/>
                <w:szCs w:val="17"/>
              </w:rPr>
              <w:t xml:space="preserve"> 0.49</w:t>
            </w:r>
            <w:r w:rsidR="00534824" w:rsidRPr="00CE1409">
              <w:rPr>
                <w:b/>
                <w:bCs w:val="0"/>
                <w:sz w:val="17"/>
                <w:szCs w:val="17"/>
              </w:rPr>
              <w:t xml:space="preserve"> </w:t>
            </w:r>
            <w:r w:rsidRPr="00CE1409">
              <w:rPr>
                <w:b/>
                <w:bCs w:val="0"/>
                <w:sz w:val="17"/>
                <w:szCs w:val="17"/>
              </w:rPr>
              <w:t>(0.44,</w:t>
            </w:r>
            <w:r w:rsidR="00534824" w:rsidRPr="00CE1409">
              <w:rPr>
                <w:b/>
                <w:bCs w:val="0"/>
                <w:sz w:val="17"/>
                <w:szCs w:val="17"/>
              </w:rPr>
              <w:t xml:space="preserve"> </w:t>
            </w:r>
            <w:r w:rsidRPr="00CE1409">
              <w:rPr>
                <w:b/>
                <w:bCs w:val="0"/>
                <w:sz w:val="17"/>
                <w:szCs w:val="17"/>
              </w:rPr>
              <w:t>0.54)</w:t>
            </w:r>
          </w:p>
        </w:tc>
        <w:tc>
          <w:tcPr>
            <w:tcW w:w="736" w:type="pct"/>
          </w:tcPr>
          <w:p w14:paraId="27A20BBA" w14:textId="60D4DA25" w:rsidR="003D337D" w:rsidRPr="00CE1409" w:rsidRDefault="003D337D" w:rsidP="003D337D">
            <w:pPr>
              <w:pStyle w:val="TableText0"/>
              <w:jc w:val="center"/>
              <w:rPr>
                <w:sz w:val="17"/>
                <w:szCs w:val="17"/>
              </w:rPr>
            </w:pPr>
            <w:r w:rsidRPr="00CE1409">
              <w:rPr>
                <w:sz w:val="17"/>
                <w:szCs w:val="17"/>
              </w:rPr>
              <w:t xml:space="preserve">[P] </w:t>
            </w:r>
            <w:r w:rsidRPr="00CE1409">
              <w:rPr>
                <w:b/>
                <w:bCs w:val="0"/>
                <w:sz w:val="17"/>
                <w:szCs w:val="17"/>
              </w:rPr>
              <w:t>5.24(1.51,18.20)</w:t>
            </w:r>
          </w:p>
        </w:tc>
        <w:tc>
          <w:tcPr>
            <w:tcW w:w="733" w:type="pct"/>
            <w:shd w:val="clear" w:color="auto" w:fill="auto"/>
            <w:vAlign w:val="center"/>
          </w:tcPr>
          <w:p w14:paraId="728363A6" w14:textId="50BA3B4A" w:rsidR="003D337D" w:rsidRPr="00CE1409" w:rsidRDefault="003D337D" w:rsidP="003D337D">
            <w:pPr>
              <w:pStyle w:val="TableText0"/>
              <w:jc w:val="center"/>
              <w:rPr>
                <w:sz w:val="17"/>
                <w:szCs w:val="17"/>
              </w:rPr>
            </w:pPr>
            <w:r w:rsidRPr="00CE1409">
              <w:rPr>
                <w:sz w:val="17"/>
                <w:szCs w:val="17"/>
              </w:rPr>
              <w:t xml:space="preserve">[P] 1.66 </w:t>
            </w:r>
            <w:r w:rsidR="00333BC2" w:rsidRPr="00CE1409">
              <w:rPr>
                <w:sz w:val="17"/>
                <w:szCs w:val="17"/>
              </w:rPr>
              <w:t>(</w:t>
            </w:r>
            <w:r w:rsidRPr="00CE1409">
              <w:rPr>
                <w:sz w:val="17"/>
                <w:szCs w:val="17"/>
              </w:rPr>
              <w:t>0.50, 5.50</w:t>
            </w:r>
            <w:r w:rsidR="00333BC2" w:rsidRPr="00CE1409">
              <w:rPr>
                <w:sz w:val="17"/>
                <w:szCs w:val="17"/>
              </w:rPr>
              <w:t>)</w:t>
            </w:r>
          </w:p>
        </w:tc>
        <w:tc>
          <w:tcPr>
            <w:tcW w:w="733" w:type="pct"/>
            <w:vAlign w:val="center"/>
          </w:tcPr>
          <w:p w14:paraId="3592BCD5" w14:textId="438AF2DA" w:rsidR="003D337D" w:rsidRPr="00CE1409" w:rsidRDefault="003D337D" w:rsidP="003D337D">
            <w:pPr>
              <w:pStyle w:val="TableText0"/>
              <w:jc w:val="center"/>
              <w:rPr>
                <w:sz w:val="17"/>
                <w:szCs w:val="17"/>
                <w:highlight w:val="yellow"/>
              </w:rPr>
            </w:pPr>
            <w:r w:rsidRPr="00CE1409">
              <w:rPr>
                <w:sz w:val="17"/>
                <w:szCs w:val="17"/>
              </w:rPr>
              <w:t>[P]</w:t>
            </w:r>
            <w:r w:rsidR="0083698D" w:rsidRPr="00CE1409">
              <w:rPr>
                <w:sz w:val="17"/>
                <w:szCs w:val="17"/>
              </w:rPr>
              <w:t xml:space="preserve"> </w:t>
            </w:r>
            <w:r w:rsidRPr="00CE1409">
              <w:rPr>
                <w:b/>
                <w:bCs w:val="0"/>
                <w:sz w:val="17"/>
                <w:szCs w:val="17"/>
              </w:rPr>
              <w:t>0.59</w:t>
            </w:r>
            <w:r w:rsidR="0083698D" w:rsidRPr="00CE1409">
              <w:rPr>
                <w:b/>
                <w:bCs w:val="0"/>
                <w:sz w:val="17"/>
                <w:szCs w:val="17"/>
              </w:rPr>
              <w:t xml:space="preserve"> </w:t>
            </w:r>
            <w:r w:rsidRPr="00CE1409">
              <w:rPr>
                <w:b/>
                <w:bCs w:val="0"/>
                <w:sz w:val="17"/>
                <w:szCs w:val="17"/>
              </w:rPr>
              <w:t>(0.55,</w:t>
            </w:r>
            <w:r w:rsidR="0083698D" w:rsidRPr="00CE1409">
              <w:rPr>
                <w:b/>
                <w:bCs w:val="0"/>
                <w:sz w:val="17"/>
                <w:szCs w:val="17"/>
              </w:rPr>
              <w:t xml:space="preserve"> </w:t>
            </w:r>
            <w:r w:rsidRPr="00CE1409">
              <w:rPr>
                <w:b/>
                <w:bCs w:val="0"/>
                <w:sz w:val="17"/>
                <w:szCs w:val="17"/>
              </w:rPr>
              <w:t>0.63)</w:t>
            </w:r>
          </w:p>
        </w:tc>
      </w:tr>
      <w:tr w:rsidR="001C7351" w:rsidRPr="00CE1409" w14:paraId="3E184EAC" w14:textId="09029377" w:rsidTr="001C7351">
        <w:trPr>
          <w:gridAfter w:val="1"/>
          <w:wAfter w:w="5" w:type="pct"/>
        </w:trPr>
        <w:tc>
          <w:tcPr>
            <w:tcW w:w="594" w:type="pct"/>
            <w:vAlign w:val="center"/>
          </w:tcPr>
          <w:p w14:paraId="0C41D523" w14:textId="0AA47BD3" w:rsidR="003D337D" w:rsidRPr="00CE1409" w:rsidRDefault="003D337D" w:rsidP="003D337D">
            <w:pPr>
              <w:pStyle w:val="TableText0"/>
              <w:rPr>
                <w:sz w:val="17"/>
                <w:szCs w:val="17"/>
              </w:rPr>
            </w:pPr>
            <w:r w:rsidRPr="00CE1409">
              <w:rPr>
                <w:sz w:val="17"/>
                <w:szCs w:val="17"/>
              </w:rPr>
              <w:t>Guselkumab</w:t>
            </w:r>
            <w:r w:rsidRPr="00CE1409">
              <w:rPr>
                <w:sz w:val="17"/>
                <w:szCs w:val="17"/>
                <w:vertAlign w:val="superscript"/>
              </w:rPr>
              <w:t>2</w:t>
            </w:r>
          </w:p>
        </w:tc>
        <w:tc>
          <w:tcPr>
            <w:tcW w:w="733" w:type="pct"/>
            <w:vAlign w:val="center"/>
          </w:tcPr>
          <w:p w14:paraId="019DA205" w14:textId="7E5410A3" w:rsidR="003D337D" w:rsidRPr="00CE1409" w:rsidRDefault="003D337D" w:rsidP="003D337D">
            <w:pPr>
              <w:pStyle w:val="TableText0"/>
              <w:jc w:val="center"/>
              <w:rPr>
                <w:sz w:val="17"/>
                <w:szCs w:val="17"/>
              </w:rPr>
            </w:pPr>
            <w:r w:rsidRPr="00CE1409">
              <w:rPr>
                <w:sz w:val="17"/>
                <w:szCs w:val="17"/>
              </w:rPr>
              <w:t>[P] 0.80</w:t>
            </w:r>
            <w:r w:rsidR="00CA5AD9" w:rsidRPr="00CE1409">
              <w:rPr>
                <w:sz w:val="17"/>
                <w:szCs w:val="17"/>
              </w:rPr>
              <w:t xml:space="preserve"> </w:t>
            </w:r>
            <w:r w:rsidRPr="00CE1409">
              <w:rPr>
                <w:sz w:val="17"/>
                <w:szCs w:val="17"/>
              </w:rPr>
              <w:t>(0.45,</w:t>
            </w:r>
            <w:r w:rsidR="00CA5AD9" w:rsidRPr="00CE1409">
              <w:rPr>
                <w:sz w:val="17"/>
                <w:szCs w:val="17"/>
              </w:rPr>
              <w:t xml:space="preserve"> </w:t>
            </w:r>
            <w:r w:rsidRPr="00CE1409">
              <w:rPr>
                <w:sz w:val="17"/>
                <w:szCs w:val="17"/>
              </w:rPr>
              <w:t>1.43)</w:t>
            </w:r>
          </w:p>
          <w:p w14:paraId="39DE05BF" w14:textId="77777777" w:rsidR="008A02DF" w:rsidRPr="008A02DF" w:rsidRDefault="003D337D" w:rsidP="00C0419F">
            <w:pPr>
              <w:pStyle w:val="TableText0"/>
              <w:jc w:val="center"/>
              <w:rPr>
                <w:sz w:val="17"/>
                <w:szCs w:val="17"/>
              </w:rPr>
            </w:pPr>
            <w:r w:rsidRPr="00CE1409">
              <w:rPr>
                <w:sz w:val="17"/>
                <w:szCs w:val="17"/>
              </w:rPr>
              <w:t>[A]</w:t>
            </w:r>
            <w:r w:rsidR="00CA5AD9" w:rsidRPr="00CE1409">
              <w:rPr>
                <w:sz w:val="17"/>
                <w:szCs w:val="17"/>
              </w:rPr>
              <w:t xml:space="preserve"> 1.18 </w:t>
            </w:r>
            <w:r w:rsidR="00CA5AD9" w:rsidRPr="00204F64">
              <w:rPr>
                <w:sz w:val="17"/>
                <w:szCs w:val="17"/>
              </w:rPr>
              <w:t>(0.68, 2.03)</w:t>
            </w:r>
          </w:p>
          <w:p w14:paraId="64B706FF" w14:textId="4B05D58B" w:rsidR="003D337D" w:rsidRPr="00CE1409" w:rsidRDefault="003D337D" w:rsidP="00C0419F">
            <w:pPr>
              <w:pStyle w:val="TableText0"/>
              <w:jc w:val="center"/>
              <w:rPr>
                <w:sz w:val="17"/>
                <w:szCs w:val="17"/>
                <w:highlight w:val="yellow"/>
              </w:rPr>
            </w:pPr>
            <w:r w:rsidRPr="00CE1409">
              <w:rPr>
                <w:sz w:val="17"/>
                <w:szCs w:val="17"/>
              </w:rPr>
              <w:t xml:space="preserve">[S] </w:t>
            </w:r>
            <w:r w:rsidR="00CA5AD9" w:rsidRPr="00204F64">
              <w:rPr>
                <w:b/>
                <w:bCs w:val="0"/>
                <w:sz w:val="17"/>
                <w:szCs w:val="17"/>
              </w:rPr>
              <w:t>3.58 (1.62, 7.89)</w:t>
            </w:r>
          </w:p>
        </w:tc>
        <w:tc>
          <w:tcPr>
            <w:tcW w:w="733" w:type="pct"/>
            <w:vAlign w:val="center"/>
          </w:tcPr>
          <w:p w14:paraId="5A67444A" w14:textId="5E1E2692" w:rsidR="003D337D" w:rsidRPr="00CE1409" w:rsidRDefault="003D337D" w:rsidP="003D337D">
            <w:pPr>
              <w:pStyle w:val="TableText0"/>
              <w:jc w:val="center"/>
              <w:rPr>
                <w:sz w:val="17"/>
                <w:szCs w:val="17"/>
              </w:rPr>
            </w:pPr>
            <w:r w:rsidRPr="00CE1409">
              <w:rPr>
                <w:sz w:val="17"/>
                <w:szCs w:val="17"/>
              </w:rPr>
              <w:t>[P] 0.80</w:t>
            </w:r>
            <w:r w:rsidR="00912672" w:rsidRPr="00CE1409">
              <w:rPr>
                <w:sz w:val="17"/>
                <w:szCs w:val="17"/>
              </w:rPr>
              <w:t xml:space="preserve"> </w:t>
            </w:r>
            <w:r w:rsidRPr="00CE1409">
              <w:rPr>
                <w:sz w:val="17"/>
                <w:szCs w:val="17"/>
              </w:rPr>
              <w:t>(0.50,</w:t>
            </w:r>
            <w:r w:rsidR="00912672" w:rsidRPr="00CE1409">
              <w:rPr>
                <w:sz w:val="17"/>
                <w:szCs w:val="17"/>
              </w:rPr>
              <w:t xml:space="preserve"> </w:t>
            </w:r>
            <w:r w:rsidRPr="00CE1409">
              <w:rPr>
                <w:sz w:val="17"/>
                <w:szCs w:val="17"/>
              </w:rPr>
              <w:t>1.28)</w:t>
            </w:r>
          </w:p>
          <w:p w14:paraId="32762365" w14:textId="77777777" w:rsidR="008A02DF" w:rsidRPr="008A02DF" w:rsidRDefault="003D337D" w:rsidP="00C0419F">
            <w:pPr>
              <w:pStyle w:val="TableText0"/>
              <w:jc w:val="center"/>
              <w:rPr>
                <w:sz w:val="17"/>
                <w:szCs w:val="17"/>
              </w:rPr>
            </w:pPr>
            <w:r w:rsidRPr="00CE1409">
              <w:rPr>
                <w:sz w:val="17"/>
                <w:szCs w:val="17"/>
              </w:rPr>
              <w:t xml:space="preserve">[A] </w:t>
            </w:r>
            <w:r w:rsidR="00912672" w:rsidRPr="00CE1409">
              <w:rPr>
                <w:sz w:val="17"/>
                <w:szCs w:val="17"/>
              </w:rPr>
              <w:t xml:space="preserve">1.01 </w:t>
            </w:r>
            <w:r w:rsidR="00912672" w:rsidRPr="00204F64">
              <w:rPr>
                <w:sz w:val="17"/>
                <w:szCs w:val="17"/>
              </w:rPr>
              <w:t>(0.91, 1.11)</w:t>
            </w:r>
          </w:p>
          <w:p w14:paraId="549A5CEE" w14:textId="158F3878" w:rsidR="003D337D" w:rsidRPr="00CE1409" w:rsidRDefault="003D337D" w:rsidP="00C0419F">
            <w:pPr>
              <w:pStyle w:val="TableText0"/>
              <w:jc w:val="center"/>
              <w:rPr>
                <w:sz w:val="17"/>
                <w:szCs w:val="17"/>
                <w:highlight w:val="yellow"/>
              </w:rPr>
            </w:pPr>
            <w:r w:rsidRPr="00CE1409">
              <w:rPr>
                <w:sz w:val="17"/>
                <w:szCs w:val="17"/>
              </w:rPr>
              <w:t xml:space="preserve">[S] </w:t>
            </w:r>
            <w:r w:rsidR="00912672" w:rsidRPr="00204F64">
              <w:rPr>
                <w:b/>
                <w:bCs w:val="0"/>
                <w:sz w:val="17"/>
                <w:szCs w:val="17"/>
              </w:rPr>
              <w:t>1.19 (1.07, 1.31)</w:t>
            </w:r>
          </w:p>
        </w:tc>
        <w:tc>
          <w:tcPr>
            <w:tcW w:w="734" w:type="pct"/>
            <w:vAlign w:val="center"/>
          </w:tcPr>
          <w:p w14:paraId="6B722561" w14:textId="442533B3" w:rsidR="003D337D" w:rsidRPr="00CE1409" w:rsidRDefault="003D337D" w:rsidP="003D337D">
            <w:pPr>
              <w:pStyle w:val="TableText0"/>
              <w:jc w:val="center"/>
              <w:rPr>
                <w:sz w:val="17"/>
                <w:szCs w:val="17"/>
              </w:rPr>
            </w:pPr>
            <w:r w:rsidRPr="00CE1409">
              <w:rPr>
                <w:sz w:val="17"/>
                <w:szCs w:val="17"/>
              </w:rPr>
              <w:t>[P]-0.01(-0.06,</w:t>
            </w:r>
            <w:r w:rsidR="00534824" w:rsidRPr="00CE1409">
              <w:rPr>
                <w:sz w:val="17"/>
                <w:szCs w:val="17"/>
              </w:rPr>
              <w:t xml:space="preserve"> </w:t>
            </w:r>
            <w:r w:rsidRPr="00CE1409">
              <w:rPr>
                <w:sz w:val="17"/>
                <w:szCs w:val="17"/>
              </w:rPr>
              <w:t>0.04)</w:t>
            </w:r>
          </w:p>
          <w:p w14:paraId="194E90E6" w14:textId="623D391C" w:rsidR="003D337D" w:rsidRPr="00CE1409" w:rsidRDefault="003D337D" w:rsidP="003D337D">
            <w:pPr>
              <w:pStyle w:val="TableText0"/>
              <w:jc w:val="center"/>
              <w:rPr>
                <w:sz w:val="17"/>
                <w:szCs w:val="17"/>
              </w:rPr>
            </w:pPr>
            <w:r w:rsidRPr="00CE1409">
              <w:rPr>
                <w:sz w:val="17"/>
                <w:szCs w:val="17"/>
              </w:rPr>
              <w:t>[A] 0.01(-0.06,</w:t>
            </w:r>
            <w:r w:rsidR="00534824" w:rsidRPr="00CE1409">
              <w:rPr>
                <w:sz w:val="17"/>
                <w:szCs w:val="17"/>
              </w:rPr>
              <w:t xml:space="preserve"> </w:t>
            </w:r>
            <w:r w:rsidRPr="00CE1409">
              <w:rPr>
                <w:sz w:val="17"/>
                <w:szCs w:val="17"/>
              </w:rPr>
              <w:t>0.08)</w:t>
            </w:r>
          </w:p>
          <w:p w14:paraId="40EBFFA9" w14:textId="20BC9D22" w:rsidR="003D337D" w:rsidRPr="00CE1409" w:rsidRDefault="003D337D" w:rsidP="00C0419F">
            <w:pPr>
              <w:pStyle w:val="TableText0"/>
              <w:jc w:val="center"/>
              <w:rPr>
                <w:sz w:val="17"/>
                <w:szCs w:val="17"/>
                <w:highlight w:val="yellow"/>
              </w:rPr>
            </w:pPr>
            <w:r w:rsidRPr="00CE1409">
              <w:rPr>
                <w:sz w:val="17"/>
                <w:szCs w:val="17"/>
              </w:rPr>
              <w:t>[S]</w:t>
            </w:r>
            <w:r w:rsidR="00534824" w:rsidRPr="00CE1409">
              <w:rPr>
                <w:sz w:val="17"/>
                <w:szCs w:val="17"/>
              </w:rPr>
              <w:t xml:space="preserve"> </w:t>
            </w:r>
            <w:r w:rsidR="003107C3" w:rsidRPr="00204F64">
              <w:rPr>
                <w:b/>
                <w:bCs w:val="0"/>
                <w:sz w:val="17"/>
                <w:szCs w:val="17"/>
              </w:rPr>
              <w:t>0.14</w:t>
            </w:r>
            <w:r w:rsidR="00534824" w:rsidRPr="00204F64">
              <w:rPr>
                <w:b/>
                <w:bCs w:val="0"/>
                <w:sz w:val="17"/>
                <w:szCs w:val="17"/>
              </w:rPr>
              <w:t xml:space="preserve"> </w:t>
            </w:r>
            <w:r w:rsidR="003107C3" w:rsidRPr="00204F64">
              <w:rPr>
                <w:b/>
                <w:bCs w:val="0"/>
                <w:sz w:val="17"/>
                <w:szCs w:val="17"/>
              </w:rPr>
              <w:t>(0.06,</w:t>
            </w:r>
            <w:r w:rsidR="00534824" w:rsidRPr="00204F64">
              <w:rPr>
                <w:b/>
                <w:bCs w:val="0"/>
                <w:sz w:val="17"/>
                <w:szCs w:val="17"/>
              </w:rPr>
              <w:t xml:space="preserve"> </w:t>
            </w:r>
            <w:r w:rsidR="003107C3" w:rsidRPr="00CE1409">
              <w:rPr>
                <w:b/>
                <w:bCs w:val="0"/>
                <w:sz w:val="17"/>
                <w:szCs w:val="17"/>
              </w:rPr>
              <w:t>0.22)</w:t>
            </w:r>
          </w:p>
        </w:tc>
        <w:tc>
          <w:tcPr>
            <w:tcW w:w="736" w:type="pct"/>
            <w:vAlign w:val="center"/>
          </w:tcPr>
          <w:p w14:paraId="449784E0" w14:textId="742352D3" w:rsidR="003D337D" w:rsidRPr="00CE1409" w:rsidRDefault="003D337D" w:rsidP="003D337D">
            <w:pPr>
              <w:pStyle w:val="TableText0"/>
              <w:jc w:val="center"/>
              <w:rPr>
                <w:sz w:val="17"/>
                <w:szCs w:val="17"/>
              </w:rPr>
            </w:pPr>
            <w:r w:rsidRPr="00CE1409">
              <w:rPr>
                <w:sz w:val="17"/>
                <w:szCs w:val="17"/>
              </w:rPr>
              <w:t xml:space="preserve">[P] </w:t>
            </w:r>
            <w:r w:rsidR="00333BC2" w:rsidRPr="00CE1409">
              <w:rPr>
                <w:bCs w:val="0"/>
                <w:sz w:val="17"/>
                <w:szCs w:val="17"/>
              </w:rPr>
              <w:t xml:space="preserve">0.84 (0.36, </w:t>
            </w:r>
            <w:r w:rsidR="00333BC2" w:rsidRPr="00204F64">
              <w:rPr>
                <w:bCs w:val="0"/>
                <w:sz w:val="17"/>
                <w:szCs w:val="17"/>
              </w:rPr>
              <w:t>1.96</w:t>
            </w:r>
            <w:r w:rsidR="00333BC2" w:rsidRPr="00CE1409">
              <w:rPr>
                <w:bCs w:val="0"/>
                <w:sz w:val="17"/>
                <w:szCs w:val="17"/>
              </w:rPr>
              <w:t>)</w:t>
            </w:r>
          </w:p>
          <w:p w14:paraId="03D14E95" w14:textId="4682C76C" w:rsidR="003D337D" w:rsidRPr="00CE1409" w:rsidRDefault="003D337D" w:rsidP="003D337D">
            <w:pPr>
              <w:pStyle w:val="TableText0"/>
              <w:jc w:val="center"/>
              <w:rPr>
                <w:sz w:val="17"/>
                <w:szCs w:val="17"/>
              </w:rPr>
            </w:pPr>
            <w:r w:rsidRPr="00CE1409">
              <w:rPr>
                <w:sz w:val="17"/>
                <w:szCs w:val="17"/>
              </w:rPr>
              <w:t>[A] 1.08</w:t>
            </w:r>
            <w:r w:rsidR="0083698D" w:rsidRPr="00CE1409">
              <w:rPr>
                <w:sz w:val="17"/>
                <w:szCs w:val="17"/>
              </w:rPr>
              <w:t xml:space="preserve"> </w:t>
            </w:r>
            <w:r w:rsidRPr="00CE1409">
              <w:rPr>
                <w:sz w:val="17"/>
                <w:szCs w:val="17"/>
              </w:rPr>
              <w:t>(0.72,</w:t>
            </w:r>
            <w:r w:rsidR="0083698D" w:rsidRPr="00CE1409">
              <w:rPr>
                <w:sz w:val="17"/>
                <w:szCs w:val="17"/>
              </w:rPr>
              <w:t xml:space="preserve"> </w:t>
            </w:r>
            <w:r w:rsidRPr="00CE1409">
              <w:rPr>
                <w:sz w:val="17"/>
                <w:szCs w:val="17"/>
              </w:rPr>
              <w:t>1.62)</w:t>
            </w:r>
          </w:p>
          <w:p w14:paraId="76A3C940" w14:textId="37BC5563" w:rsidR="003D337D" w:rsidRPr="00CE1409" w:rsidRDefault="003D337D" w:rsidP="003D337D">
            <w:pPr>
              <w:pStyle w:val="TableText0"/>
              <w:jc w:val="center"/>
              <w:rPr>
                <w:sz w:val="17"/>
                <w:szCs w:val="17"/>
              </w:rPr>
            </w:pPr>
            <w:r w:rsidRPr="00CE1409">
              <w:rPr>
                <w:sz w:val="17"/>
                <w:szCs w:val="17"/>
              </w:rPr>
              <w:t xml:space="preserve">[S] </w:t>
            </w:r>
            <w:r w:rsidR="00333BC2" w:rsidRPr="00204F64">
              <w:rPr>
                <w:b/>
                <w:bCs w:val="0"/>
                <w:sz w:val="17"/>
                <w:szCs w:val="17"/>
              </w:rPr>
              <w:t>2.10 (1.22, 3.61)</w:t>
            </w:r>
          </w:p>
        </w:tc>
        <w:tc>
          <w:tcPr>
            <w:tcW w:w="733" w:type="pct"/>
            <w:shd w:val="clear" w:color="auto" w:fill="auto"/>
            <w:vAlign w:val="center"/>
          </w:tcPr>
          <w:p w14:paraId="2FA2F931" w14:textId="524AF64B" w:rsidR="003D337D" w:rsidRPr="00CE1409" w:rsidRDefault="003D337D" w:rsidP="003D337D">
            <w:pPr>
              <w:pStyle w:val="TableText0"/>
              <w:jc w:val="center"/>
              <w:rPr>
                <w:sz w:val="17"/>
                <w:szCs w:val="17"/>
              </w:rPr>
            </w:pPr>
            <w:r w:rsidRPr="00CE1409">
              <w:rPr>
                <w:sz w:val="17"/>
                <w:szCs w:val="17"/>
              </w:rPr>
              <w:t>[P] 0.81</w:t>
            </w:r>
            <w:r w:rsidR="0083698D" w:rsidRPr="00CE1409">
              <w:rPr>
                <w:sz w:val="17"/>
                <w:szCs w:val="17"/>
              </w:rPr>
              <w:t xml:space="preserve"> </w:t>
            </w:r>
            <w:r w:rsidRPr="00CE1409">
              <w:rPr>
                <w:sz w:val="17"/>
                <w:szCs w:val="17"/>
              </w:rPr>
              <w:t>(0.36,</w:t>
            </w:r>
            <w:r w:rsidR="0083698D" w:rsidRPr="00CE1409">
              <w:rPr>
                <w:sz w:val="17"/>
                <w:szCs w:val="17"/>
              </w:rPr>
              <w:t xml:space="preserve"> </w:t>
            </w:r>
            <w:r w:rsidRPr="00CE1409">
              <w:rPr>
                <w:sz w:val="17"/>
                <w:szCs w:val="17"/>
              </w:rPr>
              <w:t>1.81)</w:t>
            </w:r>
          </w:p>
          <w:p w14:paraId="1A3EAC0A" w14:textId="0568B685" w:rsidR="003D337D" w:rsidRPr="00CE1409" w:rsidRDefault="003D337D" w:rsidP="003D337D">
            <w:pPr>
              <w:pStyle w:val="TableText0"/>
              <w:jc w:val="center"/>
              <w:rPr>
                <w:sz w:val="17"/>
                <w:szCs w:val="17"/>
              </w:rPr>
            </w:pPr>
            <w:r w:rsidRPr="00CE1409">
              <w:rPr>
                <w:sz w:val="17"/>
                <w:szCs w:val="17"/>
              </w:rPr>
              <w:t>[A] 1.03</w:t>
            </w:r>
            <w:r w:rsidR="0083698D" w:rsidRPr="00CE1409">
              <w:rPr>
                <w:sz w:val="17"/>
                <w:szCs w:val="17"/>
              </w:rPr>
              <w:t xml:space="preserve"> </w:t>
            </w:r>
            <w:r w:rsidRPr="00CE1409">
              <w:rPr>
                <w:sz w:val="17"/>
                <w:szCs w:val="17"/>
              </w:rPr>
              <w:t>(</w:t>
            </w:r>
            <w:r w:rsidRPr="00204F64">
              <w:rPr>
                <w:sz w:val="17"/>
                <w:szCs w:val="17"/>
              </w:rPr>
              <w:t>0.8</w:t>
            </w:r>
            <w:r w:rsidR="00333BC2" w:rsidRPr="00204F64">
              <w:rPr>
                <w:sz w:val="17"/>
                <w:szCs w:val="17"/>
              </w:rPr>
              <w:t>8</w:t>
            </w:r>
            <w:r w:rsidRPr="00CE1409">
              <w:rPr>
                <w:sz w:val="17"/>
                <w:szCs w:val="17"/>
              </w:rPr>
              <w:t>,</w:t>
            </w:r>
            <w:r w:rsidR="0083698D" w:rsidRPr="00CE1409">
              <w:rPr>
                <w:sz w:val="17"/>
                <w:szCs w:val="17"/>
              </w:rPr>
              <w:t xml:space="preserve"> </w:t>
            </w:r>
            <w:r w:rsidRPr="00CE1409">
              <w:rPr>
                <w:sz w:val="17"/>
                <w:szCs w:val="17"/>
              </w:rPr>
              <w:t>1.22)</w:t>
            </w:r>
          </w:p>
          <w:p w14:paraId="38BBD122" w14:textId="69CECD94" w:rsidR="003D337D" w:rsidRPr="00CE1409" w:rsidRDefault="003D337D" w:rsidP="003D337D">
            <w:pPr>
              <w:pStyle w:val="TableText0"/>
              <w:jc w:val="center"/>
              <w:rPr>
                <w:sz w:val="17"/>
                <w:szCs w:val="17"/>
              </w:rPr>
            </w:pPr>
            <w:r w:rsidRPr="00CE1409">
              <w:rPr>
                <w:sz w:val="17"/>
                <w:szCs w:val="17"/>
              </w:rPr>
              <w:t xml:space="preserve">[S] </w:t>
            </w:r>
            <w:r w:rsidR="00333BC2" w:rsidRPr="00204F64">
              <w:rPr>
                <w:b/>
                <w:bCs w:val="0"/>
                <w:sz w:val="17"/>
                <w:szCs w:val="17"/>
              </w:rPr>
              <w:t xml:space="preserve">1.23 </w:t>
            </w:r>
            <w:r w:rsidR="00333BC2" w:rsidRPr="00CE1409">
              <w:rPr>
                <w:b/>
                <w:bCs w:val="0"/>
                <w:sz w:val="17"/>
                <w:szCs w:val="17"/>
              </w:rPr>
              <w:t>(</w:t>
            </w:r>
            <w:r w:rsidR="00333BC2" w:rsidRPr="00204F64">
              <w:rPr>
                <w:b/>
                <w:bCs w:val="0"/>
                <w:sz w:val="17"/>
                <w:szCs w:val="17"/>
              </w:rPr>
              <w:t>1.04</w:t>
            </w:r>
            <w:r w:rsidR="00333BC2" w:rsidRPr="00CE1409">
              <w:rPr>
                <w:b/>
                <w:bCs w:val="0"/>
                <w:sz w:val="17"/>
                <w:szCs w:val="17"/>
              </w:rPr>
              <w:t>, 1.45)</w:t>
            </w:r>
          </w:p>
        </w:tc>
        <w:tc>
          <w:tcPr>
            <w:tcW w:w="733" w:type="pct"/>
            <w:vAlign w:val="center"/>
          </w:tcPr>
          <w:p w14:paraId="7E77ED77" w14:textId="696D630A" w:rsidR="003D337D" w:rsidRPr="00CE1409" w:rsidRDefault="003D337D" w:rsidP="003D337D">
            <w:pPr>
              <w:pStyle w:val="TableText0"/>
              <w:jc w:val="center"/>
              <w:rPr>
                <w:sz w:val="17"/>
                <w:szCs w:val="17"/>
              </w:rPr>
            </w:pPr>
            <w:r w:rsidRPr="00CE1409">
              <w:rPr>
                <w:sz w:val="17"/>
                <w:szCs w:val="17"/>
              </w:rPr>
              <w:t>[P]</w:t>
            </w:r>
            <w:r w:rsidR="0083698D" w:rsidRPr="00CE1409">
              <w:rPr>
                <w:sz w:val="17"/>
                <w:szCs w:val="17"/>
              </w:rPr>
              <w:t xml:space="preserve"> </w:t>
            </w:r>
            <w:r w:rsidRPr="00CE1409">
              <w:rPr>
                <w:sz w:val="17"/>
                <w:szCs w:val="17"/>
              </w:rPr>
              <w:t>0.01(-0.03,</w:t>
            </w:r>
            <w:r w:rsidR="0083698D" w:rsidRPr="00CE1409">
              <w:rPr>
                <w:sz w:val="17"/>
                <w:szCs w:val="17"/>
              </w:rPr>
              <w:t xml:space="preserve"> </w:t>
            </w:r>
            <w:r w:rsidRPr="00CE1409">
              <w:rPr>
                <w:sz w:val="17"/>
                <w:szCs w:val="17"/>
              </w:rPr>
              <w:t>0.05)</w:t>
            </w:r>
          </w:p>
          <w:p w14:paraId="20C92377" w14:textId="7A3998F3" w:rsidR="003D337D" w:rsidRPr="00CE1409" w:rsidRDefault="003D337D" w:rsidP="003D337D">
            <w:pPr>
              <w:pStyle w:val="TableText0"/>
              <w:jc w:val="center"/>
              <w:rPr>
                <w:sz w:val="17"/>
                <w:szCs w:val="17"/>
              </w:rPr>
            </w:pPr>
            <w:r w:rsidRPr="00CE1409">
              <w:rPr>
                <w:sz w:val="17"/>
                <w:szCs w:val="17"/>
              </w:rPr>
              <w:t>[A]</w:t>
            </w:r>
            <w:r w:rsidR="0083698D" w:rsidRPr="00CE1409">
              <w:rPr>
                <w:sz w:val="17"/>
                <w:szCs w:val="17"/>
              </w:rPr>
              <w:t xml:space="preserve"> </w:t>
            </w:r>
            <w:r w:rsidRPr="00CE1409">
              <w:rPr>
                <w:sz w:val="17"/>
                <w:szCs w:val="17"/>
              </w:rPr>
              <w:t>0.02(-0.07,</w:t>
            </w:r>
            <w:r w:rsidR="0083698D" w:rsidRPr="00CE1409">
              <w:rPr>
                <w:sz w:val="17"/>
                <w:szCs w:val="17"/>
              </w:rPr>
              <w:t xml:space="preserve"> </w:t>
            </w:r>
            <w:r w:rsidRPr="00CE1409">
              <w:rPr>
                <w:sz w:val="17"/>
                <w:szCs w:val="17"/>
              </w:rPr>
              <w:t>0.11)</w:t>
            </w:r>
          </w:p>
          <w:p w14:paraId="1852DDEB" w14:textId="04FC3020" w:rsidR="003D337D" w:rsidRPr="00CE1409" w:rsidRDefault="003D337D" w:rsidP="003D337D">
            <w:pPr>
              <w:pStyle w:val="TableText0"/>
              <w:jc w:val="center"/>
              <w:rPr>
                <w:sz w:val="17"/>
                <w:szCs w:val="17"/>
                <w:highlight w:val="yellow"/>
              </w:rPr>
            </w:pPr>
            <w:r w:rsidRPr="00CE1409">
              <w:rPr>
                <w:sz w:val="17"/>
                <w:szCs w:val="17"/>
              </w:rPr>
              <w:t>[S]</w:t>
            </w:r>
            <w:r w:rsidR="0083698D" w:rsidRPr="00CE1409">
              <w:rPr>
                <w:sz w:val="17"/>
                <w:szCs w:val="17"/>
              </w:rPr>
              <w:t xml:space="preserve"> </w:t>
            </w:r>
            <w:r w:rsidRPr="00CE1409">
              <w:rPr>
                <w:b/>
                <w:bCs w:val="0"/>
                <w:sz w:val="17"/>
                <w:szCs w:val="17"/>
              </w:rPr>
              <w:t>0.15</w:t>
            </w:r>
            <w:r w:rsidR="0083698D" w:rsidRPr="00CE1409">
              <w:rPr>
                <w:b/>
                <w:bCs w:val="0"/>
                <w:sz w:val="17"/>
                <w:szCs w:val="17"/>
              </w:rPr>
              <w:t xml:space="preserve"> </w:t>
            </w:r>
            <w:r w:rsidRPr="00CE1409">
              <w:rPr>
                <w:b/>
                <w:bCs w:val="0"/>
                <w:sz w:val="17"/>
                <w:szCs w:val="17"/>
              </w:rPr>
              <w:t>(0.04,</w:t>
            </w:r>
            <w:r w:rsidR="0083698D" w:rsidRPr="00CE1409">
              <w:rPr>
                <w:b/>
                <w:bCs w:val="0"/>
                <w:sz w:val="17"/>
                <w:szCs w:val="17"/>
              </w:rPr>
              <w:t xml:space="preserve"> </w:t>
            </w:r>
            <w:r w:rsidRPr="00CE1409">
              <w:rPr>
                <w:b/>
                <w:bCs w:val="0"/>
                <w:sz w:val="17"/>
                <w:szCs w:val="17"/>
              </w:rPr>
              <w:t>0.26)</w:t>
            </w:r>
          </w:p>
        </w:tc>
      </w:tr>
      <w:tr w:rsidR="001C7351" w:rsidRPr="00CE1409" w14:paraId="39AC8987" w14:textId="217AC145" w:rsidTr="001C7351">
        <w:trPr>
          <w:gridAfter w:val="1"/>
          <w:wAfter w:w="5" w:type="pct"/>
        </w:trPr>
        <w:tc>
          <w:tcPr>
            <w:tcW w:w="594" w:type="pct"/>
            <w:vAlign w:val="center"/>
          </w:tcPr>
          <w:p w14:paraId="6859646F" w14:textId="61EAE01C" w:rsidR="003D337D" w:rsidRPr="00CE1409" w:rsidRDefault="003D337D" w:rsidP="003D337D">
            <w:pPr>
              <w:pStyle w:val="TableText0"/>
              <w:rPr>
                <w:sz w:val="17"/>
                <w:szCs w:val="17"/>
              </w:rPr>
            </w:pPr>
            <w:r w:rsidRPr="00CE1409">
              <w:rPr>
                <w:sz w:val="17"/>
                <w:szCs w:val="17"/>
              </w:rPr>
              <w:t>Ixekizumab</w:t>
            </w:r>
            <w:r w:rsidRPr="00CE1409">
              <w:rPr>
                <w:sz w:val="17"/>
                <w:szCs w:val="17"/>
                <w:vertAlign w:val="superscript"/>
              </w:rPr>
              <w:t>2</w:t>
            </w:r>
          </w:p>
        </w:tc>
        <w:tc>
          <w:tcPr>
            <w:tcW w:w="733" w:type="pct"/>
            <w:vAlign w:val="center"/>
          </w:tcPr>
          <w:p w14:paraId="4DD4261E" w14:textId="4518A3AD" w:rsidR="003D337D" w:rsidRPr="00CE1409" w:rsidRDefault="003D337D" w:rsidP="003D337D">
            <w:pPr>
              <w:pStyle w:val="TableText0"/>
              <w:jc w:val="center"/>
              <w:rPr>
                <w:b/>
                <w:bCs w:val="0"/>
                <w:sz w:val="17"/>
                <w:szCs w:val="17"/>
              </w:rPr>
            </w:pPr>
            <w:r w:rsidRPr="00CE1409">
              <w:rPr>
                <w:sz w:val="17"/>
                <w:szCs w:val="17"/>
              </w:rPr>
              <w:t xml:space="preserve">[P] </w:t>
            </w:r>
            <w:r w:rsidRPr="00CE1409">
              <w:rPr>
                <w:b/>
                <w:bCs w:val="0"/>
                <w:sz w:val="17"/>
                <w:szCs w:val="17"/>
              </w:rPr>
              <w:t>0.47</w:t>
            </w:r>
            <w:r w:rsidR="00CA5AD9" w:rsidRPr="00CE1409">
              <w:rPr>
                <w:b/>
                <w:bCs w:val="0"/>
                <w:sz w:val="17"/>
                <w:szCs w:val="17"/>
              </w:rPr>
              <w:t xml:space="preserve"> </w:t>
            </w:r>
            <w:r w:rsidRPr="00CE1409">
              <w:rPr>
                <w:b/>
                <w:bCs w:val="0"/>
                <w:sz w:val="17"/>
                <w:szCs w:val="17"/>
              </w:rPr>
              <w:t>(0.27,</w:t>
            </w:r>
            <w:r w:rsidR="00CA5AD9" w:rsidRPr="00CE1409">
              <w:rPr>
                <w:b/>
                <w:bCs w:val="0"/>
                <w:sz w:val="17"/>
                <w:szCs w:val="17"/>
              </w:rPr>
              <w:t xml:space="preserve"> </w:t>
            </w:r>
            <w:r w:rsidRPr="00CE1409">
              <w:rPr>
                <w:b/>
                <w:bCs w:val="0"/>
                <w:sz w:val="17"/>
                <w:szCs w:val="17"/>
              </w:rPr>
              <w:t>0.84)</w:t>
            </w:r>
          </w:p>
          <w:p w14:paraId="42638F7F" w14:textId="664EC103" w:rsidR="003D337D" w:rsidRPr="00CE1409" w:rsidRDefault="003D337D" w:rsidP="00C0419F">
            <w:pPr>
              <w:pStyle w:val="TableText0"/>
              <w:jc w:val="center"/>
              <w:rPr>
                <w:sz w:val="17"/>
                <w:szCs w:val="17"/>
              </w:rPr>
            </w:pPr>
            <w:r w:rsidRPr="00CE1409">
              <w:rPr>
                <w:sz w:val="17"/>
                <w:szCs w:val="17"/>
              </w:rPr>
              <w:t xml:space="preserve">[U] </w:t>
            </w:r>
            <w:r w:rsidR="00CA5AD9" w:rsidRPr="00CE1409">
              <w:rPr>
                <w:sz w:val="17"/>
                <w:szCs w:val="17"/>
              </w:rPr>
              <w:t>0.97 (</w:t>
            </w:r>
            <w:r w:rsidR="00CA5AD9" w:rsidRPr="00204F64">
              <w:rPr>
                <w:sz w:val="17"/>
                <w:szCs w:val="17"/>
              </w:rPr>
              <w:t>0.47</w:t>
            </w:r>
            <w:r w:rsidR="00CA5AD9" w:rsidRPr="00CE1409">
              <w:rPr>
                <w:sz w:val="17"/>
                <w:szCs w:val="17"/>
              </w:rPr>
              <w:t>, 2.04)</w:t>
            </w:r>
          </w:p>
        </w:tc>
        <w:tc>
          <w:tcPr>
            <w:tcW w:w="733" w:type="pct"/>
            <w:vAlign w:val="center"/>
          </w:tcPr>
          <w:p w14:paraId="3AF57390" w14:textId="147A6C88" w:rsidR="003D337D" w:rsidRPr="00CE1409" w:rsidRDefault="003D337D" w:rsidP="003D337D">
            <w:pPr>
              <w:pStyle w:val="TableText0"/>
              <w:jc w:val="center"/>
              <w:rPr>
                <w:sz w:val="17"/>
                <w:szCs w:val="17"/>
              </w:rPr>
            </w:pPr>
            <w:r w:rsidRPr="00CE1409">
              <w:rPr>
                <w:sz w:val="17"/>
                <w:szCs w:val="17"/>
              </w:rPr>
              <w:t xml:space="preserve">[P] </w:t>
            </w:r>
            <w:r w:rsidRPr="00CE1409">
              <w:rPr>
                <w:b/>
                <w:sz w:val="17"/>
                <w:szCs w:val="17"/>
              </w:rPr>
              <w:t>0.52</w:t>
            </w:r>
            <w:r w:rsidR="00912672" w:rsidRPr="00CE1409">
              <w:rPr>
                <w:b/>
                <w:sz w:val="17"/>
                <w:szCs w:val="17"/>
              </w:rPr>
              <w:t xml:space="preserve"> </w:t>
            </w:r>
            <w:r w:rsidRPr="00CE1409">
              <w:rPr>
                <w:b/>
                <w:sz w:val="17"/>
                <w:szCs w:val="17"/>
              </w:rPr>
              <w:t>(0.32,</w:t>
            </w:r>
            <w:r w:rsidR="00912672" w:rsidRPr="00CE1409">
              <w:rPr>
                <w:b/>
                <w:sz w:val="17"/>
                <w:szCs w:val="17"/>
              </w:rPr>
              <w:t xml:space="preserve"> </w:t>
            </w:r>
            <w:r w:rsidRPr="00CE1409">
              <w:rPr>
                <w:b/>
                <w:sz w:val="17"/>
                <w:szCs w:val="17"/>
              </w:rPr>
              <w:t>0.83)</w:t>
            </w:r>
          </w:p>
          <w:p w14:paraId="486ED6AF" w14:textId="6A1EF86D" w:rsidR="003D337D" w:rsidRPr="00CE1409" w:rsidRDefault="003D337D" w:rsidP="00C0419F">
            <w:pPr>
              <w:pStyle w:val="TableText0"/>
              <w:jc w:val="center"/>
              <w:rPr>
                <w:sz w:val="17"/>
                <w:szCs w:val="17"/>
              </w:rPr>
            </w:pPr>
            <w:r w:rsidRPr="00CE1409">
              <w:rPr>
                <w:sz w:val="17"/>
                <w:szCs w:val="17"/>
              </w:rPr>
              <w:t xml:space="preserve">[U] </w:t>
            </w:r>
            <w:r w:rsidR="00912672" w:rsidRPr="00CE1409">
              <w:rPr>
                <w:sz w:val="17"/>
                <w:szCs w:val="17"/>
              </w:rPr>
              <w:t>0.96</w:t>
            </w:r>
            <w:r w:rsidR="00912672" w:rsidRPr="00204F64">
              <w:rPr>
                <w:sz w:val="17"/>
                <w:szCs w:val="17"/>
              </w:rPr>
              <w:t xml:space="preserve"> (0.83, 1.12)</w:t>
            </w:r>
          </w:p>
        </w:tc>
        <w:tc>
          <w:tcPr>
            <w:tcW w:w="734" w:type="pct"/>
            <w:vAlign w:val="center"/>
          </w:tcPr>
          <w:p w14:paraId="7942DF2F" w14:textId="7EE4DCC4" w:rsidR="003D337D" w:rsidRPr="00CE1409" w:rsidRDefault="003D337D" w:rsidP="003D337D">
            <w:pPr>
              <w:pStyle w:val="TableText0"/>
              <w:jc w:val="center"/>
              <w:rPr>
                <w:b/>
                <w:bCs w:val="0"/>
                <w:sz w:val="17"/>
                <w:szCs w:val="17"/>
              </w:rPr>
            </w:pPr>
            <w:r w:rsidRPr="00CE1409">
              <w:rPr>
                <w:sz w:val="17"/>
                <w:szCs w:val="17"/>
              </w:rPr>
              <w:t>[P]</w:t>
            </w:r>
            <w:r w:rsidRPr="00CE1409">
              <w:rPr>
                <w:bCs w:val="0"/>
                <w:sz w:val="17"/>
                <w:szCs w:val="17"/>
              </w:rPr>
              <w:t>-0.04(-0.08,</w:t>
            </w:r>
            <w:r w:rsidR="00534824" w:rsidRPr="00CE1409">
              <w:rPr>
                <w:bCs w:val="0"/>
                <w:sz w:val="17"/>
                <w:szCs w:val="17"/>
              </w:rPr>
              <w:t xml:space="preserve"> </w:t>
            </w:r>
            <w:r w:rsidRPr="00CE1409">
              <w:rPr>
                <w:bCs w:val="0"/>
                <w:sz w:val="17"/>
                <w:szCs w:val="17"/>
              </w:rPr>
              <w:t>0.00)</w:t>
            </w:r>
          </w:p>
          <w:p w14:paraId="1FC8FC57" w14:textId="0B6E868F" w:rsidR="003D337D" w:rsidRPr="00CE1409" w:rsidRDefault="003D337D" w:rsidP="00C0419F">
            <w:pPr>
              <w:pStyle w:val="TableText0"/>
              <w:jc w:val="center"/>
              <w:rPr>
                <w:sz w:val="17"/>
                <w:szCs w:val="17"/>
                <w:highlight w:val="yellow"/>
              </w:rPr>
            </w:pPr>
            <w:r w:rsidRPr="00CE1409">
              <w:rPr>
                <w:sz w:val="17"/>
                <w:szCs w:val="17"/>
              </w:rPr>
              <w:t>[U]</w:t>
            </w:r>
            <w:r w:rsidR="003107C3" w:rsidRPr="00CE1409">
              <w:rPr>
                <w:sz w:val="17"/>
                <w:szCs w:val="17"/>
              </w:rPr>
              <w:t>-0.03(</w:t>
            </w:r>
            <w:r w:rsidR="003107C3" w:rsidRPr="00204F64">
              <w:rPr>
                <w:sz w:val="17"/>
                <w:szCs w:val="17"/>
              </w:rPr>
              <w:t>-0.14,</w:t>
            </w:r>
            <w:r w:rsidR="0083698D" w:rsidRPr="00204F64">
              <w:rPr>
                <w:sz w:val="17"/>
                <w:szCs w:val="17"/>
              </w:rPr>
              <w:t xml:space="preserve"> </w:t>
            </w:r>
            <w:r w:rsidR="003107C3" w:rsidRPr="00204F64">
              <w:rPr>
                <w:sz w:val="17"/>
                <w:szCs w:val="17"/>
              </w:rPr>
              <w:t>0.08</w:t>
            </w:r>
            <w:r w:rsidR="003107C3" w:rsidRPr="00CE1409">
              <w:rPr>
                <w:sz w:val="17"/>
                <w:szCs w:val="17"/>
              </w:rPr>
              <w:t>)</w:t>
            </w:r>
          </w:p>
        </w:tc>
        <w:tc>
          <w:tcPr>
            <w:tcW w:w="736" w:type="pct"/>
          </w:tcPr>
          <w:p w14:paraId="647D1654" w14:textId="2A8FA235" w:rsidR="003D337D" w:rsidRPr="00CE1409" w:rsidRDefault="003D337D" w:rsidP="003D337D">
            <w:pPr>
              <w:pStyle w:val="TableText0"/>
              <w:jc w:val="center"/>
              <w:rPr>
                <w:sz w:val="17"/>
                <w:szCs w:val="17"/>
              </w:rPr>
            </w:pPr>
            <w:r w:rsidRPr="00CE1409">
              <w:rPr>
                <w:sz w:val="17"/>
                <w:szCs w:val="17"/>
              </w:rPr>
              <w:t xml:space="preserve">[P] </w:t>
            </w:r>
            <w:r w:rsidR="00333BC2" w:rsidRPr="00CE1409">
              <w:rPr>
                <w:sz w:val="17"/>
                <w:szCs w:val="17"/>
              </w:rPr>
              <w:t>0.47 (</w:t>
            </w:r>
            <w:r w:rsidR="00333BC2" w:rsidRPr="00204F64">
              <w:rPr>
                <w:sz w:val="17"/>
                <w:szCs w:val="17"/>
              </w:rPr>
              <w:t>0.19, 1.16</w:t>
            </w:r>
            <w:r w:rsidR="00333BC2" w:rsidRPr="00CE1409">
              <w:rPr>
                <w:sz w:val="17"/>
                <w:szCs w:val="17"/>
              </w:rPr>
              <w:t>)</w:t>
            </w:r>
          </w:p>
          <w:p w14:paraId="5268062B" w14:textId="6A76CE81" w:rsidR="003D337D" w:rsidRPr="00CE1409" w:rsidRDefault="003D337D" w:rsidP="003D337D">
            <w:pPr>
              <w:pStyle w:val="TableText0"/>
              <w:jc w:val="center"/>
              <w:rPr>
                <w:sz w:val="17"/>
                <w:szCs w:val="17"/>
              </w:rPr>
            </w:pPr>
            <w:r w:rsidRPr="00CE1409">
              <w:rPr>
                <w:sz w:val="17"/>
                <w:szCs w:val="17"/>
              </w:rPr>
              <w:t xml:space="preserve">[U] </w:t>
            </w:r>
            <w:r w:rsidR="00333BC2" w:rsidRPr="00CE1409">
              <w:rPr>
                <w:sz w:val="17"/>
                <w:szCs w:val="17"/>
              </w:rPr>
              <w:t>1.01 (</w:t>
            </w:r>
            <w:r w:rsidR="00333BC2" w:rsidRPr="00204F64">
              <w:rPr>
                <w:sz w:val="17"/>
                <w:szCs w:val="17"/>
              </w:rPr>
              <w:t>0.56</w:t>
            </w:r>
            <w:r w:rsidR="00333BC2" w:rsidRPr="00CE1409">
              <w:rPr>
                <w:sz w:val="17"/>
                <w:szCs w:val="17"/>
              </w:rPr>
              <w:t>, 1.83)</w:t>
            </w:r>
          </w:p>
        </w:tc>
        <w:tc>
          <w:tcPr>
            <w:tcW w:w="733" w:type="pct"/>
            <w:shd w:val="clear" w:color="auto" w:fill="auto"/>
            <w:vAlign w:val="center"/>
          </w:tcPr>
          <w:p w14:paraId="42392B7A" w14:textId="26C571CE" w:rsidR="003D337D" w:rsidRPr="00CE1409" w:rsidRDefault="003D337D" w:rsidP="003D337D">
            <w:pPr>
              <w:pStyle w:val="TableText0"/>
              <w:jc w:val="center"/>
              <w:rPr>
                <w:sz w:val="17"/>
                <w:szCs w:val="17"/>
              </w:rPr>
            </w:pPr>
            <w:r w:rsidRPr="00CE1409">
              <w:rPr>
                <w:sz w:val="17"/>
                <w:szCs w:val="17"/>
              </w:rPr>
              <w:t xml:space="preserve">[P] </w:t>
            </w:r>
            <w:r w:rsidRPr="00CE1409">
              <w:rPr>
                <w:b/>
                <w:sz w:val="17"/>
                <w:szCs w:val="17"/>
              </w:rPr>
              <w:t>0.42</w:t>
            </w:r>
            <w:r w:rsidR="0083698D" w:rsidRPr="00CE1409">
              <w:rPr>
                <w:b/>
                <w:sz w:val="17"/>
                <w:szCs w:val="17"/>
              </w:rPr>
              <w:t xml:space="preserve"> </w:t>
            </w:r>
            <w:r w:rsidRPr="00CE1409">
              <w:rPr>
                <w:b/>
                <w:sz w:val="17"/>
                <w:szCs w:val="17"/>
              </w:rPr>
              <w:t>(0.18,</w:t>
            </w:r>
            <w:r w:rsidR="0083698D" w:rsidRPr="00CE1409">
              <w:rPr>
                <w:b/>
                <w:sz w:val="17"/>
                <w:szCs w:val="17"/>
              </w:rPr>
              <w:t xml:space="preserve"> </w:t>
            </w:r>
            <w:r w:rsidRPr="00CE1409">
              <w:rPr>
                <w:b/>
                <w:sz w:val="17"/>
                <w:szCs w:val="17"/>
              </w:rPr>
              <w:t>0.99)</w:t>
            </w:r>
          </w:p>
          <w:p w14:paraId="7C855E0F" w14:textId="7AEDF979" w:rsidR="003D337D" w:rsidRPr="00CE1409" w:rsidRDefault="003D337D" w:rsidP="003D337D">
            <w:pPr>
              <w:pStyle w:val="TableText0"/>
              <w:jc w:val="center"/>
              <w:rPr>
                <w:sz w:val="17"/>
                <w:szCs w:val="17"/>
                <w:highlight w:val="yellow"/>
              </w:rPr>
            </w:pPr>
            <w:r w:rsidRPr="00CE1409">
              <w:rPr>
                <w:sz w:val="17"/>
                <w:szCs w:val="17"/>
              </w:rPr>
              <w:t>[U] 0.97</w:t>
            </w:r>
            <w:r w:rsidR="0083698D" w:rsidRPr="00CE1409">
              <w:rPr>
                <w:sz w:val="17"/>
                <w:szCs w:val="17"/>
              </w:rPr>
              <w:t xml:space="preserve"> </w:t>
            </w:r>
            <w:r w:rsidRPr="00CE1409">
              <w:rPr>
                <w:sz w:val="17"/>
                <w:szCs w:val="17"/>
              </w:rPr>
              <w:t>(0.75,</w:t>
            </w:r>
            <w:r w:rsidR="0083698D" w:rsidRPr="00CE1409">
              <w:rPr>
                <w:sz w:val="17"/>
                <w:szCs w:val="17"/>
              </w:rPr>
              <w:t xml:space="preserve"> </w:t>
            </w:r>
            <w:r w:rsidRPr="00CE1409">
              <w:rPr>
                <w:sz w:val="17"/>
                <w:szCs w:val="17"/>
              </w:rPr>
              <w:t>1.26)</w:t>
            </w:r>
          </w:p>
        </w:tc>
        <w:tc>
          <w:tcPr>
            <w:tcW w:w="733" w:type="pct"/>
            <w:vAlign w:val="center"/>
          </w:tcPr>
          <w:p w14:paraId="68A2B323" w14:textId="745B373C" w:rsidR="003D337D" w:rsidRPr="00CE1409" w:rsidRDefault="003D337D" w:rsidP="003D337D">
            <w:pPr>
              <w:pStyle w:val="TableText0"/>
              <w:jc w:val="center"/>
              <w:rPr>
                <w:sz w:val="17"/>
                <w:szCs w:val="17"/>
              </w:rPr>
            </w:pPr>
            <w:r w:rsidRPr="00CE1409">
              <w:rPr>
                <w:sz w:val="17"/>
                <w:szCs w:val="17"/>
              </w:rPr>
              <w:t>[P]</w:t>
            </w:r>
            <w:r w:rsidR="0083698D" w:rsidRPr="00CE1409">
              <w:rPr>
                <w:sz w:val="17"/>
                <w:szCs w:val="17"/>
              </w:rPr>
              <w:t xml:space="preserve"> </w:t>
            </w:r>
            <w:r w:rsidRPr="00CE1409">
              <w:rPr>
                <w:sz w:val="17"/>
                <w:szCs w:val="17"/>
              </w:rPr>
              <w:t>0.01(-0.03,</w:t>
            </w:r>
            <w:r w:rsidR="0083698D" w:rsidRPr="00CE1409">
              <w:rPr>
                <w:sz w:val="17"/>
                <w:szCs w:val="17"/>
              </w:rPr>
              <w:t xml:space="preserve"> </w:t>
            </w:r>
            <w:r w:rsidRPr="00CE1409">
              <w:rPr>
                <w:sz w:val="17"/>
                <w:szCs w:val="17"/>
              </w:rPr>
              <w:t>0.05)</w:t>
            </w:r>
          </w:p>
          <w:p w14:paraId="0E1E40E7" w14:textId="6A62DE53" w:rsidR="003D337D" w:rsidRPr="00204F64" w:rsidRDefault="003D337D" w:rsidP="003D337D">
            <w:pPr>
              <w:pStyle w:val="TableText0"/>
              <w:jc w:val="center"/>
              <w:rPr>
                <w:sz w:val="17"/>
                <w:szCs w:val="17"/>
                <w:highlight w:val="yellow"/>
              </w:rPr>
            </w:pPr>
            <w:r w:rsidRPr="00CE1409">
              <w:rPr>
                <w:sz w:val="17"/>
                <w:szCs w:val="17"/>
              </w:rPr>
              <w:t>[U]-0.01(-0.14,</w:t>
            </w:r>
            <w:r w:rsidR="0083698D" w:rsidRPr="00CE1409">
              <w:rPr>
                <w:sz w:val="17"/>
                <w:szCs w:val="17"/>
              </w:rPr>
              <w:t xml:space="preserve"> </w:t>
            </w:r>
            <w:r w:rsidRPr="00CE1409">
              <w:rPr>
                <w:sz w:val="17"/>
                <w:szCs w:val="17"/>
              </w:rPr>
              <w:t>0.12)</w:t>
            </w:r>
          </w:p>
        </w:tc>
      </w:tr>
      <w:tr w:rsidR="001C7351" w:rsidRPr="00CE1409" w14:paraId="0121417F" w14:textId="468774EB" w:rsidTr="001C7351">
        <w:trPr>
          <w:gridAfter w:val="1"/>
          <w:wAfter w:w="5" w:type="pct"/>
        </w:trPr>
        <w:tc>
          <w:tcPr>
            <w:tcW w:w="594" w:type="pct"/>
            <w:vAlign w:val="center"/>
          </w:tcPr>
          <w:p w14:paraId="132FDC7B" w14:textId="781AD1BE" w:rsidR="003D337D" w:rsidRPr="00CE1409" w:rsidRDefault="003D337D" w:rsidP="003D337D">
            <w:pPr>
              <w:pStyle w:val="TableText0"/>
              <w:rPr>
                <w:sz w:val="17"/>
                <w:szCs w:val="17"/>
                <w:vertAlign w:val="superscript"/>
              </w:rPr>
            </w:pPr>
            <w:r w:rsidRPr="00CE1409">
              <w:rPr>
                <w:sz w:val="17"/>
                <w:szCs w:val="17"/>
              </w:rPr>
              <w:t>Tildrakizumab</w:t>
            </w:r>
            <w:r w:rsidRPr="00CE1409">
              <w:rPr>
                <w:sz w:val="17"/>
                <w:szCs w:val="17"/>
                <w:vertAlign w:val="superscript"/>
              </w:rPr>
              <w:t>1</w:t>
            </w:r>
          </w:p>
        </w:tc>
        <w:tc>
          <w:tcPr>
            <w:tcW w:w="733" w:type="pct"/>
          </w:tcPr>
          <w:p w14:paraId="01394006" w14:textId="0EBA2459" w:rsidR="003D337D" w:rsidRPr="00CE1409" w:rsidRDefault="003D337D" w:rsidP="00C0419F">
            <w:pPr>
              <w:pStyle w:val="TableText0"/>
              <w:jc w:val="center"/>
              <w:rPr>
                <w:sz w:val="17"/>
                <w:szCs w:val="17"/>
                <w:highlight w:val="yellow"/>
              </w:rPr>
            </w:pPr>
            <w:r w:rsidRPr="00CE1409">
              <w:rPr>
                <w:sz w:val="17"/>
                <w:szCs w:val="17"/>
              </w:rPr>
              <w:t xml:space="preserve">[P] </w:t>
            </w:r>
            <w:r w:rsidR="00CA5AD9" w:rsidRPr="00204F64">
              <w:rPr>
                <w:b/>
                <w:bCs w:val="0"/>
                <w:sz w:val="17"/>
                <w:szCs w:val="17"/>
              </w:rPr>
              <w:t>2.71 (1.44, 5.10)</w:t>
            </w:r>
          </w:p>
        </w:tc>
        <w:tc>
          <w:tcPr>
            <w:tcW w:w="733" w:type="pct"/>
            <w:vAlign w:val="center"/>
          </w:tcPr>
          <w:p w14:paraId="2E2A1CD9" w14:textId="01A45F28" w:rsidR="003D337D" w:rsidRPr="00CE1409" w:rsidRDefault="003D337D" w:rsidP="00C0419F">
            <w:pPr>
              <w:pStyle w:val="TableText0"/>
              <w:jc w:val="center"/>
              <w:rPr>
                <w:sz w:val="17"/>
                <w:szCs w:val="17"/>
                <w:highlight w:val="yellow"/>
              </w:rPr>
            </w:pPr>
            <w:r w:rsidRPr="00CE1409">
              <w:rPr>
                <w:sz w:val="17"/>
                <w:szCs w:val="17"/>
              </w:rPr>
              <w:t xml:space="preserve">[P] </w:t>
            </w:r>
            <w:r w:rsidRPr="00204F64">
              <w:rPr>
                <w:sz w:val="17"/>
                <w:szCs w:val="17"/>
              </w:rPr>
              <w:t>0.9</w:t>
            </w:r>
            <w:r w:rsidR="00C0419F" w:rsidRPr="00204F64">
              <w:rPr>
                <w:sz w:val="17"/>
                <w:szCs w:val="17"/>
              </w:rPr>
              <w:t>1</w:t>
            </w:r>
            <w:r w:rsidR="00912672" w:rsidRPr="00204F64">
              <w:rPr>
                <w:sz w:val="17"/>
                <w:szCs w:val="17"/>
              </w:rPr>
              <w:t xml:space="preserve"> </w:t>
            </w:r>
            <w:r w:rsidRPr="00CE1409">
              <w:rPr>
                <w:sz w:val="17"/>
                <w:szCs w:val="17"/>
              </w:rPr>
              <w:t>(0.53,</w:t>
            </w:r>
            <w:r w:rsidR="00912672" w:rsidRPr="00CE1409">
              <w:rPr>
                <w:sz w:val="17"/>
                <w:szCs w:val="17"/>
              </w:rPr>
              <w:t xml:space="preserve"> </w:t>
            </w:r>
            <w:r w:rsidRPr="00CE1409">
              <w:rPr>
                <w:sz w:val="17"/>
                <w:szCs w:val="17"/>
              </w:rPr>
              <w:t>1.58)</w:t>
            </w:r>
          </w:p>
        </w:tc>
        <w:tc>
          <w:tcPr>
            <w:tcW w:w="734" w:type="pct"/>
            <w:vAlign w:val="center"/>
          </w:tcPr>
          <w:p w14:paraId="20A17339" w14:textId="4A4AF19F" w:rsidR="003D337D" w:rsidRPr="00CE1409" w:rsidRDefault="003D337D" w:rsidP="003D337D">
            <w:pPr>
              <w:pStyle w:val="TableText0"/>
              <w:jc w:val="center"/>
              <w:rPr>
                <w:sz w:val="17"/>
                <w:szCs w:val="17"/>
              </w:rPr>
            </w:pPr>
            <w:r w:rsidRPr="00CE1409">
              <w:rPr>
                <w:sz w:val="17"/>
                <w:szCs w:val="17"/>
              </w:rPr>
              <w:t>[P]</w:t>
            </w:r>
            <w:r w:rsidR="0083698D" w:rsidRPr="00CE1409">
              <w:rPr>
                <w:sz w:val="17"/>
                <w:szCs w:val="17"/>
              </w:rPr>
              <w:t xml:space="preserve"> </w:t>
            </w:r>
            <w:r w:rsidR="003107C3" w:rsidRPr="00CE1409">
              <w:rPr>
                <w:b/>
                <w:bCs w:val="0"/>
                <w:sz w:val="17"/>
                <w:szCs w:val="17"/>
              </w:rPr>
              <w:t>0.23</w:t>
            </w:r>
            <w:r w:rsidR="0083698D" w:rsidRPr="00CE1409">
              <w:rPr>
                <w:b/>
                <w:bCs w:val="0"/>
                <w:sz w:val="17"/>
                <w:szCs w:val="17"/>
              </w:rPr>
              <w:t xml:space="preserve"> </w:t>
            </w:r>
            <w:r w:rsidR="003107C3" w:rsidRPr="00204F64">
              <w:rPr>
                <w:b/>
                <w:bCs w:val="0"/>
                <w:sz w:val="17"/>
                <w:szCs w:val="17"/>
              </w:rPr>
              <w:t>(0.17,</w:t>
            </w:r>
            <w:r w:rsidR="0083698D" w:rsidRPr="00204F64">
              <w:rPr>
                <w:b/>
                <w:bCs w:val="0"/>
                <w:sz w:val="17"/>
                <w:szCs w:val="17"/>
              </w:rPr>
              <w:t xml:space="preserve"> </w:t>
            </w:r>
            <w:r w:rsidR="003107C3" w:rsidRPr="00204F64">
              <w:rPr>
                <w:b/>
                <w:bCs w:val="0"/>
                <w:sz w:val="17"/>
                <w:szCs w:val="17"/>
              </w:rPr>
              <w:t>0.29)</w:t>
            </w:r>
          </w:p>
        </w:tc>
        <w:tc>
          <w:tcPr>
            <w:tcW w:w="736" w:type="pct"/>
          </w:tcPr>
          <w:p w14:paraId="482C97BD" w14:textId="3B13213C" w:rsidR="003D337D" w:rsidRPr="00CE1409" w:rsidRDefault="003D337D" w:rsidP="003D337D">
            <w:pPr>
              <w:pStyle w:val="TableText0"/>
              <w:jc w:val="center"/>
              <w:rPr>
                <w:sz w:val="17"/>
                <w:szCs w:val="17"/>
              </w:rPr>
            </w:pPr>
            <w:r w:rsidRPr="00CE1409">
              <w:rPr>
                <w:sz w:val="17"/>
                <w:szCs w:val="17"/>
              </w:rPr>
              <w:t xml:space="preserve">[P] </w:t>
            </w:r>
            <w:r w:rsidR="00333BC2" w:rsidRPr="00204F64">
              <w:rPr>
                <w:sz w:val="17"/>
                <w:szCs w:val="17"/>
              </w:rPr>
              <w:t xml:space="preserve">2.92 </w:t>
            </w:r>
            <w:r w:rsidR="00333BC2" w:rsidRPr="00CE1409">
              <w:rPr>
                <w:sz w:val="17"/>
                <w:szCs w:val="17"/>
              </w:rPr>
              <w:t>(1.09</w:t>
            </w:r>
            <w:r w:rsidR="00333BC2" w:rsidRPr="00204F64">
              <w:rPr>
                <w:sz w:val="17"/>
                <w:szCs w:val="17"/>
              </w:rPr>
              <w:t>, 7.79</w:t>
            </w:r>
            <w:r w:rsidR="00333BC2" w:rsidRPr="00CE1409">
              <w:rPr>
                <w:sz w:val="17"/>
                <w:szCs w:val="17"/>
              </w:rPr>
              <w:t>)</w:t>
            </w:r>
          </w:p>
        </w:tc>
        <w:tc>
          <w:tcPr>
            <w:tcW w:w="733" w:type="pct"/>
            <w:shd w:val="clear" w:color="auto" w:fill="auto"/>
            <w:vAlign w:val="center"/>
          </w:tcPr>
          <w:p w14:paraId="6CCE02A2" w14:textId="129D0051" w:rsidR="003D337D" w:rsidRPr="00CE1409" w:rsidRDefault="003D337D" w:rsidP="003D337D">
            <w:pPr>
              <w:pStyle w:val="TableText0"/>
              <w:jc w:val="center"/>
              <w:rPr>
                <w:b/>
                <w:sz w:val="17"/>
                <w:szCs w:val="17"/>
                <w:highlight w:val="yellow"/>
              </w:rPr>
            </w:pPr>
            <w:r w:rsidRPr="00CE1409">
              <w:rPr>
                <w:sz w:val="17"/>
                <w:szCs w:val="17"/>
              </w:rPr>
              <w:t>[P] 1.26</w:t>
            </w:r>
            <w:r w:rsidR="0083698D" w:rsidRPr="00CE1409">
              <w:rPr>
                <w:sz w:val="17"/>
                <w:szCs w:val="17"/>
              </w:rPr>
              <w:t xml:space="preserve"> </w:t>
            </w:r>
            <w:r w:rsidRPr="00CE1409">
              <w:rPr>
                <w:sz w:val="17"/>
                <w:szCs w:val="17"/>
              </w:rPr>
              <w:t>(0.49,</w:t>
            </w:r>
            <w:r w:rsidR="0083698D" w:rsidRPr="00CE1409">
              <w:rPr>
                <w:sz w:val="17"/>
                <w:szCs w:val="17"/>
              </w:rPr>
              <w:t xml:space="preserve"> </w:t>
            </w:r>
            <w:r w:rsidRPr="00204F64">
              <w:rPr>
                <w:sz w:val="17"/>
                <w:szCs w:val="17"/>
              </w:rPr>
              <w:t>3.2</w:t>
            </w:r>
            <w:r w:rsidR="00333BC2" w:rsidRPr="00204F64">
              <w:rPr>
                <w:sz w:val="17"/>
                <w:szCs w:val="17"/>
              </w:rPr>
              <w:t>5</w:t>
            </w:r>
            <w:r w:rsidRPr="00CE1409">
              <w:rPr>
                <w:sz w:val="17"/>
                <w:szCs w:val="17"/>
              </w:rPr>
              <w:t>)</w:t>
            </w:r>
          </w:p>
        </w:tc>
        <w:tc>
          <w:tcPr>
            <w:tcW w:w="733" w:type="pct"/>
            <w:vAlign w:val="center"/>
          </w:tcPr>
          <w:p w14:paraId="3647F225" w14:textId="4FCAFA75" w:rsidR="003D337D" w:rsidRPr="00204F64" w:rsidRDefault="003D337D" w:rsidP="003D337D">
            <w:pPr>
              <w:pStyle w:val="TableText0"/>
              <w:jc w:val="center"/>
              <w:rPr>
                <w:b/>
                <w:sz w:val="17"/>
                <w:szCs w:val="17"/>
                <w:highlight w:val="yellow"/>
              </w:rPr>
            </w:pPr>
            <w:r w:rsidRPr="00CE1409">
              <w:rPr>
                <w:sz w:val="17"/>
                <w:szCs w:val="17"/>
              </w:rPr>
              <w:t>[P]</w:t>
            </w:r>
            <w:r w:rsidR="0083698D" w:rsidRPr="00CE1409">
              <w:rPr>
                <w:sz w:val="17"/>
                <w:szCs w:val="17"/>
              </w:rPr>
              <w:t xml:space="preserve"> </w:t>
            </w:r>
            <w:r w:rsidRPr="00CE1409">
              <w:rPr>
                <w:b/>
                <w:bCs w:val="0"/>
                <w:sz w:val="17"/>
                <w:szCs w:val="17"/>
              </w:rPr>
              <w:t>0.35</w:t>
            </w:r>
            <w:r w:rsidR="0083698D" w:rsidRPr="00CE1409">
              <w:rPr>
                <w:b/>
                <w:bCs w:val="0"/>
                <w:sz w:val="17"/>
                <w:szCs w:val="17"/>
              </w:rPr>
              <w:t xml:space="preserve"> </w:t>
            </w:r>
            <w:r w:rsidRPr="00CE1409">
              <w:rPr>
                <w:b/>
                <w:bCs w:val="0"/>
                <w:sz w:val="17"/>
                <w:szCs w:val="17"/>
              </w:rPr>
              <w:t>(0.30,</w:t>
            </w:r>
            <w:r w:rsidR="0083698D" w:rsidRPr="00CE1409">
              <w:rPr>
                <w:b/>
                <w:bCs w:val="0"/>
                <w:sz w:val="17"/>
                <w:szCs w:val="17"/>
              </w:rPr>
              <w:t xml:space="preserve"> </w:t>
            </w:r>
            <w:r w:rsidRPr="00CE1409">
              <w:rPr>
                <w:b/>
                <w:bCs w:val="0"/>
                <w:sz w:val="17"/>
                <w:szCs w:val="17"/>
              </w:rPr>
              <w:t>0.40)</w:t>
            </w:r>
          </w:p>
        </w:tc>
      </w:tr>
    </w:tbl>
    <w:p w14:paraId="31EC07DE" w14:textId="6037B32B" w:rsidR="006242F1" w:rsidRPr="005B6D7B" w:rsidRDefault="006242F1" w:rsidP="008439F7">
      <w:pPr>
        <w:pStyle w:val="FooterTableFigure"/>
        <w:spacing w:after="0"/>
      </w:pPr>
      <w:r w:rsidRPr="005B6D7B">
        <w:t>Source: Table</w:t>
      </w:r>
      <w:r w:rsidR="008439F7" w:rsidRPr="005B6D7B">
        <w:t>s</w:t>
      </w:r>
      <w:r w:rsidRPr="005B6D7B">
        <w:t xml:space="preserve"> 1-22 </w:t>
      </w:r>
      <w:r w:rsidR="008439F7" w:rsidRPr="005B6D7B">
        <w:t>and</w:t>
      </w:r>
      <w:r w:rsidRPr="005B6D7B">
        <w:t xml:space="preserve"> 1-23, p</w:t>
      </w:r>
      <w:r w:rsidR="00D451F8" w:rsidRPr="005B6D7B">
        <w:t>p</w:t>
      </w:r>
      <w:r w:rsidRPr="005B6D7B">
        <w:t xml:space="preserve"> 107-11</w:t>
      </w:r>
      <w:r w:rsidR="00FB3650" w:rsidRPr="005B6D7B">
        <w:t>2</w:t>
      </w:r>
      <w:r w:rsidRPr="005B6D7B">
        <w:t xml:space="preserve"> of Appendix 1 and Attachment 5.2</w:t>
      </w:r>
      <w:r w:rsidR="008439F7" w:rsidRPr="005B6D7B">
        <w:t xml:space="preserve"> </w:t>
      </w:r>
      <w:r w:rsidRPr="005B6D7B">
        <w:t>of the submission</w:t>
      </w:r>
    </w:p>
    <w:p w14:paraId="500A6657" w14:textId="6CD25FB7" w:rsidR="00EE0868" w:rsidRPr="009A24F9" w:rsidRDefault="00EE0868" w:rsidP="00EE0868">
      <w:pPr>
        <w:pStyle w:val="TableFigureFooter"/>
        <w:spacing w:after="0"/>
        <w:rPr>
          <w:iCs/>
        </w:rPr>
      </w:pPr>
      <w:r w:rsidRPr="00204F64">
        <w:rPr>
          <w:iCs/>
        </w:rPr>
        <w:t xml:space="preserve">. </w:t>
      </w:r>
      <w:r w:rsidRPr="00204F64">
        <w:rPr>
          <w:b/>
          <w:bCs/>
          <w:iCs/>
        </w:rPr>
        <w:t>Bold</w:t>
      </w:r>
      <w:r w:rsidRPr="00204F64">
        <w:rPr>
          <w:iCs/>
        </w:rPr>
        <w:t>=statistically significant.</w:t>
      </w:r>
    </w:p>
    <w:p w14:paraId="46F6AB6F" w14:textId="516B3A63" w:rsidR="006242F1" w:rsidRPr="005B6D7B" w:rsidRDefault="006242F1" w:rsidP="00726BE4">
      <w:pPr>
        <w:pStyle w:val="FooterTableFigure"/>
      </w:pPr>
      <w:r w:rsidRPr="005B6D7B">
        <w:t>A</w:t>
      </w:r>
      <w:r w:rsidR="00DF018C" w:rsidRPr="005B6D7B">
        <w:t>=</w:t>
      </w:r>
      <w:r w:rsidRPr="005B6D7B">
        <w:t>adalimumab; CI</w:t>
      </w:r>
      <w:r w:rsidR="00DF018C" w:rsidRPr="005B6D7B">
        <w:t>=</w:t>
      </w:r>
      <w:r w:rsidRPr="005B6D7B">
        <w:t xml:space="preserve">confidence intervals; </w:t>
      </w:r>
      <w:r w:rsidR="00726BE4" w:rsidRPr="005B6D7B">
        <w:t>RD</w:t>
      </w:r>
      <w:r w:rsidR="00DF018C" w:rsidRPr="005B6D7B">
        <w:t>=</w:t>
      </w:r>
      <w:r w:rsidR="00726BE4" w:rsidRPr="005B6D7B">
        <w:t>risk difference; OR</w:t>
      </w:r>
      <w:r w:rsidR="00DF018C" w:rsidRPr="005B6D7B">
        <w:t>=</w:t>
      </w:r>
      <w:r w:rsidR="00420D28">
        <w:t>odds ratio</w:t>
      </w:r>
      <w:r w:rsidR="00726BE4" w:rsidRPr="005B6D7B">
        <w:t xml:space="preserve">; </w:t>
      </w:r>
      <w:r w:rsidRPr="005B6D7B">
        <w:t>PASI</w:t>
      </w:r>
      <w:r w:rsidR="00DF018C" w:rsidRPr="005B6D7B">
        <w:t>=</w:t>
      </w:r>
      <w:r w:rsidRPr="005B6D7B">
        <w:t>Psoriasis Area Severity Index; P</w:t>
      </w:r>
      <w:r w:rsidR="00DF018C" w:rsidRPr="005B6D7B">
        <w:t>=</w:t>
      </w:r>
      <w:r w:rsidRPr="005B6D7B">
        <w:t>placebo; S</w:t>
      </w:r>
      <w:r w:rsidR="00DF018C" w:rsidRPr="005B6D7B">
        <w:t>=</w:t>
      </w:r>
      <w:r w:rsidRPr="005B6D7B">
        <w:t>secukinumab; RR</w:t>
      </w:r>
      <w:r w:rsidR="00DF018C" w:rsidRPr="005B6D7B">
        <w:t>=</w:t>
      </w:r>
      <w:r w:rsidRPr="005B6D7B">
        <w:t>relative risk; U</w:t>
      </w:r>
      <w:r w:rsidR="00DF018C" w:rsidRPr="005B6D7B">
        <w:t>=</w:t>
      </w:r>
      <w:r w:rsidRPr="005B6D7B">
        <w:t>ustekinumab</w:t>
      </w:r>
      <w:r w:rsidR="00847D64" w:rsidRPr="005B6D7B">
        <w:t>.</w:t>
      </w:r>
    </w:p>
    <w:p w14:paraId="410AAA2D" w14:textId="7E6686BE" w:rsidR="006242F1" w:rsidRPr="005B6D7B" w:rsidRDefault="00EE0868" w:rsidP="00EE0868">
      <w:pPr>
        <w:pStyle w:val="FooterTableFigure"/>
      </w:pPr>
      <w:r w:rsidRPr="005B6D7B">
        <w:t xml:space="preserve">Note: </w:t>
      </w:r>
      <w:r w:rsidR="006242F1" w:rsidRPr="005B6D7B">
        <w:t xml:space="preserve">Meta-analyses conducted using fixed effects in RevMan 5. </w:t>
      </w:r>
    </w:p>
    <w:p w14:paraId="512F5850" w14:textId="139D2DF3" w:rsidR="006242F1" w:rsidRPr="005B6D7B" w:rsidRDefault="006242F1" w:rsidP="00DD27E5">
      <w:pPr>
        <w:pStyle w:val="FooterTableFigure"/>
        <w:ind w:left="165" w:hanging="165"/>
      </w:pPr>
      <w:r w:rsidRPr="005B6D7B">
        <w:rPr>
          <w:vertAlign w:val="superscript"/>
        </w:rPr>
        <w:t>1</w:t>
      </w:r>
      <w:r w:rsidRPr="005B6D7B">
        <w:rPr>
          <w:vertAlign w:val="superscript"/>
        </w:rPr>
        <w:tab/>
      </w:r>
      <w:r w:rsidRPr="005B6D7B">
        <w:t xml:space="preserve">The submission made the clinical claim that risankizumab has superior efficacy </w:t>
      </w:r>
      <w:r w:rsidR="00DD27E5" w:rsidRPr="005B6D7B">
        <w:t>versus comparator</w:t>
      </w:r>
      <w:r w:rsidRPr="005B6D7B">
        <w:t xml:space="preserve"> </w:t>
      </w:r>
    </w:p>
    <w:p w14:paraId="205BE6BB" w14:textId="2E304D27" w:rsidR="006242F1" w:rsidRPr="005B6D7B" w:rsidRDefault="006242F1" w:rsidP="00DD27E5">
      <w:pPr>
        <w:pStyle w:val="FooterTableFigure"/>
      </w:pPr>
      <w:r w:rsidRPr="005B6D7B">
        <w:rPr>
          <w:vertAlign w:val="superscript"/>
        </w:rPr>
        <w:t>2</w:t>
      </w:r>
      <w:r w:rsidRPr="005B6D7B">
        <w:rPr>
          <w:vertAlign w:val="superscript"/>
        </w:rPr>
        <w:tab/>
      </w:r>
      <w:r w:rsidRPr="005B6D7B">
        <w:t xml:space="preserve">The submission made the clinical claim that risankizumab has non-inferior efficacy </w:t>
      </w:r>
      <w:r w:rsidR="00DD27E5" w:rsidRPr="005B6D7B">
        <w:t>versus comparator</w:t>
      </w:r>
      <w:r w:rsidRPr="005B6D7B">
        <w:t>.</w:t>
      </w:r>
    </w:p>
    <w:p w14:paraId="3A65437A" w14:textId="3D6965BB" w:rsidR="009E25BB" w:rsidRPr="009A24F9" w:rsidRDefault="00987E98" w:rsidP="00720C25">
      <w:pPr>
        <w:pStyle w:val="3-BodyText"/>
      </w:pPr>
      <w:r w:rsidRPr="009A24F9">
        <w:rPr>
          <w:snapToGrid/>
        </w:rPr>
        <w:t xml:space="preserve">The results of the </w:t>
      </w:r>
      <w:r w:rsidR="0002449F" w:rsidRPr="009A24F9">
        <w:rPr>
          <w:snapToGrid/>
        </w:rPr>
        <w:t xml:space="preserve">short-term </w:t>
      </w:r>
      <w:r w:rsidRPr="009A24F9">
        <w:rPr>
          <w:snapToGrid/>
        </w:rPr>
        <w:t xml:space="preserve">direct </w:t>
      </w:r>
      <w:r w:rsidR="00EF5A86" w:rsidRPr="009A24F9">
        <w:rPr>
          <w:snapToGrid/>
        </w:rPr>
        <w:t>comparisons</w:t>
      </w:r>
      <w:r w:rsidRPr="009A24F9">
        <w:rPr>
          <w:snapToGrid/>
        </w:rPr>
        <w:t xml:space="preserve"> found more </w:t>
      </w:r>
      <w:r w:rsidR="00720C25" w:rsidRPr="009A24F9">
        <w:rPr>
          <w:snapToGrid/>
        </w:rPr>
        <w:t>patients</w:t>
      </w:r>
      <w:r w:rsidRPr="009A24F9">
        <w:rPr>
          <w:snapToGrid/>
        </w:rPr>
        <w:t xml:space="preserve"> achieve</w:t>
      </w:r>
      <w:r w:rsidR="00720C25" w:rsidRPr="009A24F9">
        <w:rPr>
          <w:snapToGrid/>
        </w:rPr>
        <w:t>d</w:t>
      </w:r>
      <w:r w:rsidRPr="009A24F9">
        <w:rPr>
          <w:snapToGrid/>
        </w:rPr>
        <w:t xml:space="preserve"> PASI</w:t>
      </w:r>
      <w:r w:rsidR="00E75C16" w:rsidRPr="009A24F9">
        <w:rPr>
          <w:snapToGrid/>
        </w:rPr>
        <w:t> </w:t>
      </w:r>
      <w:r w:rsidRPr="009A24F9">
        <w:rPr>
          <w:snapToGrid/>
        </w:rPr>
        <w:t xml:space="preserve">75 </w:t>
      </w:r>
      <w:r w:rsidR="00720C25" w:rsidRPr="009A24F9">
        <w:rPr>
          <w:snapToGrid/>
        </w:rPr>
        <w:t xml:space="preserve">at Week 16 </w:t>
      </w:r>
      <w:r w:rsidRPr="009A24F9">
        <w:rPr>
          <w:snapToGrid/>
        </w:rPr>
        <w:t>with risankizumab compared to adalimumab, secukinumab and ustekinumab, and</w:t>
      </w:r>
      <w:r w:rsidR="00EF5A86" w:rsidRPr="009A24F9">
        <w:rPr>
          <w:snapToGrid/>
        </w:rPr>
        <w:t xml:space="preserve"> </w:t>
      </w:r>
      <w:r w:rsidRPr="009A24F9">
        <w:rPr>
          <w:snapToGrid/>
        </w:rPr>
        <w:t xml:space="preserve">PASI 90 </w:t>
      </w:r>
      <w:r w:rsidR="00720C25" w:rsidRPr="009A24F9">
        <w:rPr>
          <w:snapToGrid/>
        </w:rPr>
        <w:t xml:space="preserve">at Week 16 </w:t>
      </w:r>
      <w:r w:rsidRPr="009A24F9">
        <w:rPr>
          <w:snapToGrid/>
        </w:rPr>
        <w:t>with risankizumab compared to adalimumab and ustekinumab.</w:t>
      </w:r>
      <w:r w:rsidR="0052485B" w:rsidRPr="009A24F9">
        <w:rPr>
          <w:snapToGrid/>
        </w:rPr>
        <w:t xml:space="preserve"> Numerically more patients achieved PASI 90 at Week 16 with risankizumab compared to secukinumab, but the result did not reach statisti</w:t>
      </w:r>
      <w:r w:rsidR="0002449F" w:rsidRPr="009A24F9">
        <w:rPr>
          <w:snapToGrid/>
        </w:rPr>
        <w:t>cal significance.</w:t>
      </w:r>
    </w:p>
    <w:p w14:paraId="09969F5A" w14:textId="65990FD7" w:rsidR="00AC39C2" w:rsidRPr="009A24F9" w:rsidRDefault="009E25BB" w:rsidP="00F47DDA">
      <w:pPr>
        <w:pStyle w:val="3-BodyText"/>
      </w:pPr>
      <w:bookmarkStart w:id="37" w:name="_Ref150437182"/>
      <w:r w:rsidRPr="009A24F9">
        <w:rPr>
          <w:snapToGrid/>
        </w:rPr>
        <w:t>T</w:t>
      </w:r>
      <w:r w:rsidR="00EF5A86" w:rsidRPr="009A24F9">
        <w:rPr>
          <w:snapToGrid/>
        </w:rPr>
        <w:t xml:space="preserve">he </w:t>
      </w:r>
      <w:r w:rsidR="0052485B" w:rsidRPr="009A24F9">
        <w:rPr>
          <w:snapToGrid/>
        </w:rPr>
        <w:t xml:space="preserve">results and </w:t>
      </w:r>
      <w:r w:rsidR="00EF5A86" w:rsidRPr="009A24F9">
        <w:rPr>
          <w:snapToGrid/>
        </w:rPr>
        <w:t xml:space="preserve">interpretation of the </w:t>
      </w:r>
      <w:r w:rsidR="0002449F" w:rsidRPr="009A24F9">
        <w:rPr>
          <w:snapToGrid/>
        </w:rPr>
        <w:t xml:space="preserve">short-term </w:t>
      </w:r>
      <w:r w:rsidR="00F47DDA" w:rsidRPr="009A24F9">
        <w:rPr>
          <w:snapToGrid/>
        </w:rPr>
        <w:t>ITC</w:t>
      </w:r>
      <w:r w:rsidR="0002449F" w:rsidRPr="009A24F9">
        <w:rPr>
          <w:snapToGrid/>
        </w:rPr>
        <w:t xml:space="preserve"> (Week 12-</w:t>
      </w:r>
      <w:r w:rsidR="000F3E60" w:rsidRPr="009A24F9">
        <w:rPr>
          <w:snapToGrid/>
        </w:rPr>
        <w:t>16</w:t>
      </w:r>
      <w:r w:rsidR="0002449F" w:rsidRPr="009A24F9">
        <w:rPr>
          <w:snapToGrid/>
        </w:rPr>
        <w:t>)</w:t>
      </w:r>
      <w:r w:rsidR="0052485B" w:rsidRPr="009A24F9">
        <w:rPr>
          <w:snapToGrid/>
        </w:rPr>
        <w:t>, however,</w:t>
      </w:r>
      <w:r w:rsidR="00EF5A86" w:rsidRPr="009A24F9">
        <w:rPr>
          <w:snapToGrid/>
        </w:rPr>
        <w:t xml:space="preserve"> varie</w:t>
      </w:r>
      <w:r w:rsidR="00E025C0" w:rsidRPr="009A24F9">
        <w:rPr>
          <w:snapToGrid/>
        </w:rPr>
        <w:t>d</w:t>
      </w:r>
      <w:r w:rsidR="00EF5A86" w:rsidRPr="009A24F9">
        <w:rPr>
          <w:snapToGrid/>
        </w:rPr>
        <w:t xml:space="preserve"> </w:t>
      </w:r>
      <w:r w:rsidR="0052485B" w:rsidRPr="009A24F9">
        <w:rPr>
          <w:snapToGrid/>
        </w:rPr>
        <w:t xml:space="preserve">considerably </w:t>
      </w:r>
      <w:r w:rsidR="00EF5A86" w:rsidRPr="009A24F9">
        <w:rPr>
          <w:snapToGrid/>
        </w:rPr>
        <w:t xml:space="preserve">depending on the </w:t>
      </w:r>
      <w:r w:rsidR="002F683E" w:rsidRPr="009A24F9">
        <w:rPr>
          <w:snapToGrid/>
        </w:rPr>
        <w:t xml:space="preserve">outcome, </w:t>
      </w:r>
      <w:r w:rsidR="00EF5A86" w:rsidRPr="009A24F9">
        <w:rPr>
          <w:snapToGrid/>
        </w:rPr>
        <w:t>risk statistic</w:t>
      </w:r>
      <w:r w:rsidR="002F683E" w:rsidRPr="009A24F9">
        <w:rPr>
          <w:snapToGrid/>
        </w:rPr>
        <w:t xml:space="preserve"> and/or</w:t>
      </w:r>
      <w:r w:rsidR="00EF5A86" w:rsidRPr="009A24F9">
        <w:rPr>
          <w:snapToGrid/>
        </w:rPr>
        <w:t xml:space="preserve"> common reference used</w:t>
      </w:r>
      <w:r w:rsidR="0052485B" w:rsidRPr="009A24F9">
        <w:rPr>
          <w:snapToGrid/>
        </w:rPr>
        <w:t>:</w:t>
      </w:r>
      <w:bookmarkEnd w:id="37"/>
    </w:p>
    <w:p w14:paraId="70D1BD6C" w14:textId="4DE3FB97" w:rsidR="00726BE4" w:rsidRPr="009A24F9" w:rsidRDefault="00726BE4" w:rsidP="0055090C">
      <w:pPr>
        <w:pStyle w:val="3-BodyText"/>
        <w:numPr>
          <w:ilvl w:val="0"/>
          <w:numId w:val="33"/>
        </w:numPr>
        <w:ind w:left="1134"/>
      </w:pPr>
      <w:r w:rsidRPr="009A24F9">
        <w:t xml:space="preserve">For comparison versus bimekizumab, there was no clear pattern of results. </w:t>
      </w:r>
      <w:r w:rsidR="00275EEA" w:rsidRPr="009A24F9">
        <w:t xml:space="preserve">For PASI 75, </w:t>
      </w:r>
      <w:r w:rsidR="0048201F" w:rsidRPr="009A24F9">
        <w:t xml:space="preserve">results using placebo as the common reference </w:t>
      </w:r>
      <w:r w:rsidRPr="009A24F9">
        <w:t>favoured</w:t>
      </w:r>
      <w:r w:rsidR="00516924" w:rsidRPr="009A24F9">
        <w:t xml:space="preserve"> bimekizumab</w:t>
      </w:r>
      <w:r w:rsidR="00275EEA" w:rsidRPr="009A24F9">
        <w:t>,</w:t>
      </w:r>
      <w:r w:rsidR="00516924" w:rsidRPr="009A24F9">
        <w:t xml:space="preserve"> </w:t>
      </w:r>
      <w:r w:rsidR="0048201F" w:rsidRPr="009A24F9">
        <w:t xml:space="preserve">results </w:t>
      </w:r>
      <w:r w:rsidR="00516924" w:rsidRPr="009A24F9">
        <w:t>using secukinumab as the common reference</w:t>
      </w:r>
      <w:r w:rsidR="0048201F" w:rsidRPr="009A24F9">
        <w:t xml:space="preserve"> generally favoured risankizumab,</w:t>
      </w:r>
      <w:r w:rsidR="00516924" w:rsidRPr="009A24F9">
        <w:t xml:space="preserve"> and </w:t>
      </w:r>
      <w:r w:rsidR="0048201F" w:rsidRPr="009A24F9">
        <w:t xml:space="preserve">results using adalimumab or ustekinumab as the common reference showed </w:t>
      </w:r>
      <w:r w:rsidR="00516924" w:rsidRPr="009A24F9">
        <w:t xml:space="preserve">no significant difference. </w:t>
      </w:r>
      <w:r w:rsidR="00F37A3A" w:rsidRPr="009A24F9">
        <w:t xml:space="preserve">For PASI 90, </w:t>
      </w:r>
      <w:r w:rsidR="00516924" w:rsidRPr="009A24F9">
        <w:t xml:space="preserve">results </w:t>
      </w:r>
      <w:r w:rsidR="0048201F" w:rsidRPr="009A24F9">
        <w:t xml:space="preserve">either favoured bimekizumab or showed </w:t>
      </w:r>
      <w:r w:rsidR="00F37A3A" w:rsidRPr="009A24F9">
        <w:t xml:space="preserve">no </w:t>
      </w:r>
      <w:r w:rsidR="00A5115B" w:rsidRPr="009A24F9">
        <w:t xml:space="preserve">significant </w:t>
      </w:r>
      <w:r w:rsidR="00F37A3A" w:rsidRPr="009A24F9">
        <w:t>difference</w:t>
      </w:r>
      <w:r w:rsidR="0048201F" w:rsidRPr="009A24F9">
        <w:t>.</w:t>
      </w:r>
    </w:p>
    <w:p w14:paraId="22BF0205" w14:textId="140DFFE6" w:rsidR="00987E98" w:rsidRPr="009A24F9" w:rsidRDefault="002F683E" w:rsidP="0055090C">
      <w:pPr>
        <w:pStyle w:val="3-BodyText"/>
        <w:numPr>
          <w:ilvl w:val="0"/>
          <w:numId w:val="33"/>
        </w:numPr>
        <w:ind w:left="1134"/>
      </w:pPr>
      <w:r w:rsidRPr="009A24F9">
        <w:rPr>
          <w:snapToGrid/>
        </w:rPr>
        <w:lastRenderedPageBreak/>
        <w:t xml:space="preserve">For comparison versus </w:t>
      </w:r>
      <w:r w:rsidR="00AC39C2" w:rsidRPr="009A24F9">
        <w:rPr>
          <w:snapToGrid/>
        </w:rPr>
        <w:t xml:space="preserve">etanercept, PASI 75 </w:t>
      </w:r>
      <w:r w:rsidR="00726BE4" w:rsidRPr="009A24F9">
        <w:rPr>
          <w:snapToGrid/>
        </w:rPr>
        <w:t xml:space="preserve">and PASI 90 </w:t>
      </w:r>
      <w:r w:rsidR="00AC39C2" w:rsidRPr="009A24F9">
        <w:rPr>
          <w:snapToGrid/>
        </w:rPr>
        <w:t xml:space="preserve">results </w:t>
      </w:r>
      <w:r w:rsidR="00F73C7E" w:rsidRPr="009A24F9">
        <w:rPr>
          <w:snapToGrid/>
        </w:rPr>
        <w:t xml:space="preserve">using the risk difference and odds ratio </w:t>
      </w:r>
      <w:r w:rsidR="00AC39C2" w:rsidRPr="009A24F9">
        <w:rPr>
          <w:snapToGrid/>
        </w:rPr>
        <w:t>favoured risankizumab but there was no significant difference using the relative risk stat</w:t>
      </w:r>
      <w:r w:rsidR="00726BE4" w:rsidRPr="009A24F9">
        <w:rPr>
          <w:snapToGrid/>
        </w:rPr>
        <w:t>i</w:t>
      </w:r>
      <w:r w:rsidR="00AC39C2" w:rsidRPr="009A24F9">
        <w:rPr>
          <w:snapToGrid/>
        </w:rPr>
        <w:t>stic</w:t>
      </w:r>
      <w:r w:rsidR="00726BE4" w:rsidRPr="009A24F9">
        <w:rPr>
          <w:snapToGrid/>
        </w:rPr>
        <w:t>.</w:t>
      </w:r>
    </w:p>
    <w:p w14:paraId="0A4D6C2F" w14:textId="2D8C4655" w:rsidR="00EA114D" w:rsidRPr="009A24F9" w:rsidRDefault="00A62F7F" w:rsidP="0055090C">
      <w:pPr>
        <w:pStyle w:val="3-BodyText"/>
        <w:numPr>
          <w:ilvl w:val="0"/>
          <w:numId w:val="33"/>
        </w:numPr>
        <w:ind w:left="1134"/>
      </w:pPr>
      <w:r w:rsidRPr="009A24F9">
        <w:t xml:space="preserve">For comparison versus guselkumab, </w:t>
      </w:r>
      <w:r w:rsidR="00F73C7E" w:rsidRPr="009A24F9">
        <w:t>PASI 75 and PASI 90 results using secukinumab as the common reference favoured risankizumab but results using placebo or adalimumab showed no significant difference</w:t>
      </w:r>
      <w:r w:rsidR="00ED495F" w:rsidRPr="009A24F9">
        <w:t>.</w:t>
      </w:r>
    </w:p>
    <w:p w14:paraId="38CD3BD7" w14:textId="49095567" w:rsidR="00ED495F" w:rsidRPr="009A24F9" w:rsidRDefault="00ED495F" w:rsidP="0055090C">
      <w:pPr>
        <w:pStyle w:val="3-BodyText"/>
        <w:numPr>
          <w:ilvl w:val="0"/>
          <w:numId w:val="33"/>
        </w:numPr>
        <w:ind w:left="1134"/>
      </w:pPr>
      <w:r w:rsidRPr="009A24F9">
        <w:t xml:space="preserve">For comparison versus ixekizumab, </w:t>
      </w:r>
      <w:r w:rsidR="003F3C1E" w:rsidRPr="009A24F9">
        <w:t xml:space="preserve">PASI 75 results using placebo as the common reference favoured ixekizumab but results using ustekinumab as common reference showed no difference. </w:t>
      </w:r>
      <w:r w:rsidR="00EF2BDC" w:rsidRPr="009A24F9">
        <w:t>The</w:t>
      </w:r>
      <w:r w:rsidR="007E6FF6" w:rsidRPr="009A24F9">
        <w:t xml:space="preserve"> results </w:t>
      </w:r>
      <w:r w:rsidR="00EF2BDC" w:rsidRPr="009A24F9">
        <w:t xml:space="preserve">generally </w:t>
      </w:r>
      <w:r w:rsidR="007E6FF6" w:rsidRPr="009A24F9">
        <w:t xml:space="preserve">showed </w:t>
      </w:r>
      <w:r w:rsidR="00EF2BDC" w:rsidRPr="009A24F9">
        <w:t xml:space="preserve">no difference in terms of </w:t>
      </w:r>
      <w:r w:rsidR="003F3C1E" w:rsidRPr="009A24F9">
        <w:t>PASI 90.</w:t>
      </w:r>
    </w:p>
    <w:p w14:paraId="707E1835" w14:textId="1464AF86" w:rsidR="00C917E9" w:rsidRPr="009A24F9" w:rsidRDefault="00C917E9" w:rsidP="0055090C">
      <w:pPr>
        <w:pStyle w:val="3-BodyText"/>
        <w:numPr>
          <w:ilvl w:val="0"/>
          <w:numId w:val="33"/>
        </w:numPr>
        <w:ind w:left="1134"/>
      </w:pPr>
      <w:r w:rsidRPr="009A24F9">
        <w:t xml:space="preserve">For comparison versus tildrakizumab, </w:t>
      </w:r>
      <w:r w:rsidRPr="009A24F9">
        <w:rPr>
          <w:snapToGrid/>
        </w:rPr>
        <w:t>PASI 75 and PASI 90 results using the risk difference and odds ratio favoured risankizumab but there was no significant difference using the relative risk statistic.</w:t>
      </w:r>
    </w:p>
    <w:p w14:paraId="46970E3F" w14:textId="4F61C787" w:rsidR="002A7B3B" w:rsidRPr="009A24F9" w:rsidRDefault="004C7310" w:rsidP="00C91B21">
      <w:pPr>
        <w:pStyle w:val="3-BodyText"/>
      </w:pPr>
      <w:r w:rsidRPr="009A24F9">
        <w:rPr>
          <w:snapToGrid/>
        </w:rPr>
        <w:t xml:space="preserve">For completeness, </w:t>
      </w:r>
      <w:r w:rsidR="00BC6824" w:rsidRPr="009A24F9">
        <w:rPr>
          <w:snapToGrid/>
        </w:rPr>
        <w:fldChar w:fldCharType="begin" w:fldLock="1"/>
      </w:r>
      <w:r w:rsidR="00BC6824" w:rsidRPr="009A24F9">
        <w:rPr>
          <w:snapToGrid/>
        </w:rPr>
        <w:instrText xml:space="preserve"> REF _Ref141964579 \h  \* MERGEFORMAT </w:instrText>
      </w:r>
      <w:r w:rsidR="00BC6824" w:rsidRPr="009A24F9">
        <w:rPr>
          <w:snapToGrid/>
        </w:rPr>
      </w:r>
      <w:r w:rsidR="00BC6824" w:rsidRPr="009A24F9">
        <w:rPr>
          <w:snapToGrid/>
        </w:rPr>
        <w:fldChar w:fldCharType="separate"/>
      </w:r>
      <w:r w:rsidR="00BC6824" w:rsidRPr="009A24F9">
        <w:t xml:space="preserve">Table </w:t>
      </w:r>
      <w:r w:rsidR="00BC6824" w:rsidRPr="009A24F9">
        <w:rPr>
          <w:noProof/>
        </w:rPr>
        <w:t>5</w:t>
      </w:r>
      <w:r w:rsidR="00BC6824" w:rsidRPr="009A24F9">
        <w:rPr>
          <w:snapToGrid/>
        </w:rPr>
        <w:fldChar w:fldCharType="end"/>
      </w:r>
      <w:r w:rsidR="00BC6824" w:rsidRPr="009A24F9">
        <w:rPr>
          <w:snapToGrid/>
        </w:rPr>
        <w:t xml:space="preserve"> </w:t>
      </w:r>
      <w:r w:rsidR="00704D5B" w:rsidRPr="009A24F9">
        <w:rPr>
          <w:snapToGrid/>
        </w:rPr>
        <w:t xml:space="preserve">presents </w:t>
      </w:r>
      <w:r w:rsidR="00740062" w:rsidRPr="009A24F9">
        <w:rPr>
          <w:snapToGrid/>
        </w:rPr>
        <w:t xml:space="preserve">comparative </w:t>
      </w:r>
      <w:r w:rsidRPr="009A24F9">
        <w:rPr>
          <w:snapToGrid/>
        </w:rPr>
        <w:t>results</w:t>
      </w:r>
      <w:r w:rsidR="00704D5B" w:rsidRPr="009A24F9">
        <w:rPr>
          <w:snapToGrid/>
        </w:rPr>
        <w:t xml:space="preserve"> from published NMAs comparing risankizumab to other biologics for CPP. These results include data from the</w:t>
      </w:r>
      <w:r w:rsidRPr="009A24F9">
        <w:rPr>
          <w:snapToGrid/>
        </w:rPr>
        <w:t xml:space="preserve"> NMA presented in the risankizumab July 2019 submission (subsequently published as Armstrong et al 2020</w:t>
      </w:r>
      <w:r w:rsidR="002A4D98" w:rsidRPr="009A24F9">
        <w:rPr>
          <w:rStyle w:val="FootnoteReference"/>
        </w:rPr>
        <w:footnoteReference w:id="4"/>
      </w:r>
      <w:r w:rsidRPr="009A24F9">
        <w:rPr>
          <w:snapToGrid/>
        </w:rPr>
        <w:t xml:space="preserve">), </w:t>
      </w:r>
      <w:r w:rsidR="00C91B21" w:rsidRPr="009A24F9">
        <w:rPr>
          <w:snapToGrid/>
        </w:rPr>
        <w:t>and NMAs presented in the bimekizumab March 2023 submission (</w:t>
      </w:r>
      <w:r w:rsidRPr="009A24F9">
        <w:rPr>
          <w:snapToGrid/>
        </w:rPr>
        <w:t>Armstrong et al 2022</w:t>
      </w:r>
      <w:r w:rsidR="00C91B21" w:rsidRPr="009A24F9">
        <w:rPr>
          <w:snapToGrid/>
        </w:rPr>
        <w:t xml:space="preserve"> and </w:t>
      </w:r>
      <w:r w:rsidRPr="009A24F9">
        <w:rPr>
          <w:snapToGrid/>
        </w:rPr>
        <w:t>Sbidian et al 2022</w:t>
      </w:r>
      <w:r w:rsidR="00704D5B" w:rsidRPr="009A24F9">
        <w:rPr>
          <w:snapToGrid/>
        </w:rPr>
        <w:t>)</w:t>
      </w:r>
      <w:r w:rsidR="00E75C16" w:rsidRPr="009A24F9">
        <w:rPr>
          <w:snapToGrid/>
        </w:rPr>
        <w:t xml:space="preserve"> extracted and included during the evaluation</w:t>
      </w:r>
      <w:r w:rsidRPr="009A24F9">
        <w:rPr>
          <w:snapToGrid/>
        </w:rPr>
        <w:t>.</w:t>
      </w:r>
      <w:r w:rsidR="00F544CB" w:rsidRPr="009A24F9">
        <w:rPr>
          <w:snapToGrid/>
        </w:rPr>
        <w:t xml:space="preserve"> Overall, the published NMAs </w:t>
      </w:r>
      <w:r w:rsidR="00854913" w:rsidRPr="009A24F9">
        <w:rPr>
          <w:snapToGrid/>
        </w:rPr>
        <w:t xml:space="preserve">concluded </w:t>
      </w:r>
      <w:r w:rsidR="00F544CB" w:rsidRPr="009A24F9">
        <w:rPr>
          <w:snapToGrid/>
        </w:rPr>
        <w:t xml:space="preserve">that </w:t>
      </w:r>
      <w:r w:rsidR="00854913" w:rsidRPr="009A24F9">
        <w:rPr>
          <w:snapToGrid/>
        </w:rPr>
        <w:t xml:space="preserve">risankizumab was one of several </w:t>
      </w:r>
      <w:r w:rsidR="00F544CB" w:rsidRPr="009A24F9">
        <w:rPr>
          <w:snapToGrid/>
        </w:rPr>
        <w:t xml:space="preserve">biologics </w:t>
      </w:r>
      <w:r w:rsidR="00854913" w:rsidRPr="009A24F9">
        <w:rPr>
          <w:snapToGrid/>
        </w:rPr>
        <w:t xml:space="preserve">found to be </w:t>
      </w:r>
      <w:r w:rsidR="00F544CB" w:rsidRPr="009A24F9">
        <w:rPr>
          <w:snapToGrid/>
        </w:rPr>
        <w:t xml:space="preserve">more effective than other biologics in terms of short-term PASI response. </w:t>
      </w:r>
      <w:r w:rsidR="00800B41" w:rsidRPr="009A24F9">
        <w:rPr>
          <w:snapToGrid/>
        </w:rPr>
        <w:t>For example, Armstrong found the most</w:t>
      </w:r>
      <w:r w:rsidR="00854913" w:rsidRPr="009A24F9">
        <w:rPr>
          <w:snapToGrid/>
        </w:rPr>
        <w:t xml:space="preserve"> effective biologics included risankizumab, </w:t>
      </w:r>
      <w:r w:rsidR="00854913" w:rsidRPr="009A24F9">
        <w:t>bimekizumab and guselkumab</w:t>
      </w:r>
      <w:r w:rsidR="00800B41" w:rsidRPr="009A24F9">
        <w:rPr>
          <w:snapToGrid/>
        </w:rPr>
        <w:t xml:space="preserve">, whereas </w:t>
      </w:r>
      <w:r w:rsidR="00800B41" w:rsidRPr="009A24F9">
        <w:t xml:space="preserve">Sbidian et al 2022 found the most effective biologics included </w:t>
      </w:r>
      <w:r w:rsidR="00854913" w:rsidRPr="009A24F9">
        <w:rPr>
          <w:snapToGrid/>
        </w:rPr>
        <w:t xml:space="preserve">risankizumab, </w:t>
      </w:r>
      <w:r w:rsidR="00854913" w:rsidRPr="009A24F9">
        <w:t>bimekizumab, guselkumab and infliximab.</w:t>
      </w:r>
    </w:p>
    <w:p w14:paraId="400C3DD4" w14:textId="3ED8837A" w:rsidR="00CD03F8" w:rsidRDefault="00CD03F8">
      <w:pPr>
        <w:jc w:val="left"/>
        <w:rPr>
          <w:rFonts w:ascii="Arial Narrow" w:hAnsi="Arial Narrow"/>
          <w:b/>
          <w:bCs/>
          <w:sz w:val="20"/>
          <w:szCs w:val="18"/>
        </w:rPr>
      </w:pPr>
      <w:bookmarkStart w:id="38" w:name="_Ref141964579"/>
    </w:p>
    <w:p w14:paraId="28DB181D" w14:textId="7FCB1BB3" w:rsidR="00AF5B60" w:rsidRPr="005B6D7B" w:rsidRDefault="00AF5B60" w:rsidP="00705C96">
      <w:pPr>
        <w:pStyle w:val="Caption"/>
      </w:pPr>
      <w:r w:rsidRPr="005B6D7B">
        <w:lastRenderedPageBreak/>
        <w:t xml:space="preserve">Table </w:t>
      </w:r>
      <w:r w:rsidR="004D70E1">
        <w:fldChar w:fldCharType="begin" w:fldLock="1"/>
      </w:r>
      <w:r w:rsidR="004D70E1">
        <w:instrText xml:space="preserve"> SEQ Table \* ARABIC </w:instrText>
      </w:r>
      <w:r w:rsidR="004D70E1">
        <w:fldChar w:fldCharType="separate"/>
      </w:r>
      <w:r w:rsidR="00435AF2">
        <w:rPr>
          <w:noProof/>
        </w:rPr>
        <w:t>5</w:t>
      </w:r>
      <w:r w:rsidR="004D70E1">
        <w:rPr>
          <w:noProof/>
        </w:rPr>
        <w:fldChar w:fldCharType="end"/>
      </w:r>
      <w:bookmarkEnd w:id="38"/>
      <w:r w:rsidRPr="005B6D7B">
        <w:t xml:space="preserve">: Short-term (weeks 10-16) PASI 75 and PASI 90 responses from published network meta-analyses </w:t>
      </w:r>
    </w:p>
    <w:tbl>
      <w:tblPr>
        <w:tblStyle w:val="TableGrid"/>
        <w:tblW w:w="0" w:type="auto"/>
        <w:tblLayout w:type="fixed"/>
        <w:tblCellMar>
          <w:left w:w="28" w:type="dxa"/>
          <w:right w:w="28" w:type="dxa"/>
        </w:tblCellMar>
        <w:tblLook w:val="04A0" w:firstRow="1" w:lastRow="0" w:firstColumn="1" w:lastColumn="0" w:noHBand="0" w:noVBand="1"/>
        <w:tblCaption w:val="Table 5: Short-term (weeks 10-16) PASI 75 and PASI 90 responses from published network meta-analyses "/>
      </w:tblPr>
      <w:tblGrid>
        <w:gridCol w:w="1129"/>
        <w:gridCol w:w="1197"/>
        <w:gridCol w:w="1338"/>
        <w:gridCol w:w="1338"/>
        <w:gridCol w:w="1338"/>
        <w:gridCol w:w="1338"/>
        <w:gridCol w:w="1339"/>
      </w:tblGrid>
      <w:tr w:rsidR="00AF5B60" w:rsidRPr="00CE1409" w14:paraId="2651F5BE" w14:textId="77777777" w:rsidTr="001C7351">
        <w:tc>
          <w:tcPr>
            <w:tcW w:w="1129" w:type="dxa"/>
            <w:vMerge w:val="restart"/>
            <w:shd w:val="clear" w:color="auto" w:fill="auto"/>
            <w:vAlign w:val="center"/>
          </w:tcPr>
          <w:p w14:paraId="7838CF2C" w14:textId="77777777" w:rsidR="00AF5B60" w:rsidRPr="00CE1409" w:rsidRDefault="00AF5B60" w:rsidP="0055090C">
            <w:pPr>
              <w:keepNext/>
              <w:keepLines/>
              <w:jc w:val="left"/>
              <w:rPr>
                <w:rFonts w:ascii="Arial Narrow" w:hAnsi="Arial Narrow"/>
                <w:b/>
                <w:bCs/>
                <w:sz w:val="17"/>
                <w:szCs w:val="17"/>
              </w:rPr>
            </w:pPr>
            <w:r w:rsidRPr="00CE1409">
              <w:rPr>
                <w:rFonts w:ascii="Arial Narrow" w:hAnsi="Arial Narrow"/>
                <w:b/>
                <w:bCs/>
                <w:sz w:val="17"/>
                <w:szCs w:val="17"/>
              </w:rPr>
              <w:t>Risankizumab</w:t>
            </w:r>
            <w:r w:rsidRPr="00CE1409">
              <w:rPr>
                <w:rFonts w:ascii="Arial Narrow" w:hAnsi="Arial Narrow"/>
                <w:b/>
                <w:sz w:val="17"/>
                <w:szCs w:val="17"/>
              </w:rPr>
              <w:t xml:space="preserve"> </w:t>
            </w:r>
            <w:r w:rsidRPr="00CE1409">
              <w:rPr>
                <w:rFonts w:ascii="Arial Narrow" w:hAnsi="Arial Narrow"/>
                <w:b/>
                <w:bCs/>
                <w:sz w:val="17"/>
                <w:szCs w:val="17"/>
              </w:rPr>
              <w:t>versus comparator</w:t>
            </w:r>
          </w:p>
        </w:tc>
        <w:tc>
          <w:tcPr>
            <w:tcW w:w="3873" w:type="dxa"/>
            <w:gridSpan w:val="3"/>
            <w:shd w:val="clear" w:color="auto" w:fill="auto"/>
            <w:vAlign w:val="center"/>
          </w:tcPr>
          <w:p w14:paraId="3670C57E" w14:textId="77777777" w:rsidR="00AF5B60" w:rsidRPr="00CE1409" w:rsidRDefault="00AF5B60" w:rsidP="0055090C">
            <w:pPr>
              <w:keepNext/>
              <w:keepLines/>
              <w:jc w:val="center"/>
              <w:rPr>
                <w:rFonts w:ascii="Arial Narrow" w:hAnsi="Arial Narrow"/>
                <w:b/>
                <w:bCs/>
                <w:sz w:val="17"/>
                <w:szCs w:val="17"/>
              </w:rPr>
            </w:pPr>
            <w:r w:rsidRPr="00CE1409">
              <w:rPr>
                <w:rFonts w:ascii="Arial Narrow" w:hAnsi="Arial Narrow"/>
                <w:b/>
                <w:bCs/>
                <w:sz w:val="17"/>
                <w:szCs w:val="17"/>
              </w:rPr>
              <w:t>PASI 75 - Relative Risk (95% CI)</w:t>
            </w:r>
          </w:p>
        </w:tc>
        <w:tc>
          <w:tcPr>
            <w:tcW w:w="4015" w:type="dxa"/>
            <w:gridSpan w:val="3"/>
            <w:shd w:val="clear" w:color="auto" w:fill="auto"/>
            <w:vAlign w:val="center"/>
          </w:tcPr>
          <w:p w14:paraId="1F554C04" w14:textId="77777777" w:rsidR="00AF5B60" w:rsidRPr="00CE1409" w:rsidRDefault="00AF5B60" w:rsidP="0055090C">
            <w:pPr>
              <w:keepNext/>
              <w:keepLines/>
              <w:jc w:val="center"/>
              <w:rPr>
                <w:rFonts w:ascii="Arial Narrow" w:hAnsi="Arial Narrow"/>
                <w:b/>
                <w:bCs/>
                <w:sz w:val="17"/>
                <w:szCs w:val="17"/>
              </w:rPr>
            </w:pPr>
            <w:r w:rsidRPr="00CE1409">
              <w:rPr>
                <w:rFonts w:ascii="Arial Narrow" w:hAnsi="Arial Narrow"/>
                <w:b/>
                <w:bCs/>
                <w:sz w:val="17"/>
                <w:szCs w:val="17"/>
              </w:rPr>
              <w:t>PASI 90 - Relative Risk (95% CI)</w:t>
            </w:r>
          </w:p>
        </w:tc>
      </w:tr>
      <w:tr w:rsidR="00AF5B60" w:rsidRPr="00CE1409" w14:paraId="40CFB91B" w14:textId="77777777" w:rsidTr="001C7351">
        <w:tc>
          <w:tcPr>
            <w:tcW w:w="1129" w:type="dxa"/>
            <w:vMerge/>
            <w:shd w:val="clear" w:color="auto" w:fill="auto"/>
            <w:vAlign w:val="center"/>
          </w:tcPr>
          <w:p w14:paraId="314D4E05" w14:textId="77777777" w:rsidR="00AF5B60" w:rsidRPr="00CE1409" w:rsidRDefault="00AF5B60" w:rsidP="0055090C">
            <w:pPr>
              <w:keepNext/>
              <w:keepLines/>
              <w:jc w:val="left"/>
              <w:rPr>
                <w:rFonts w:ascii="Arial Narrow" w:hAnsi="Arial Narrow"/>
                <w:b/>
                <w:bCs/>
                <w:sz w:val="17"/>
                <w:szCs w:val="17"/>
              </w:rPr>
            </w:pPr>
          </w:p>
        </w:tc>
        <w:tc>
          <w:tcPr>
            <w:tcW w:w="1197" w:type="dxa"/>
            <w:shd w:val="clear" w:color="auto" w:fill="auto"/>
            <w:vAlign w:val="center"/>
          </w:tcPr>
          <w:p w14:paraId="7DB6E10A" w14:textId="77777777" w:rsidR="00AF5B60" w:rsidRPr="00CE1409" w:rsidRDefault="00AF5B60" w:rsidP="0055090C">
            <w:pPr>
              <w:keepNext/>
              <w:keepLines/>
              <w:jc w:val="center"/>
              <w:rPr>
                <w:rFonts w:ascii="Arial Narrow" w:hAnsi="Arial Narrow"/>
                <w:b/>
                <w:bCs/>
                <w:sz w:val="17"/>
                <w:szCs w:val="17"/>
              </w:rPr>
            </w:pPr>
            <w:r w:rsidRPr="00CE1409">
              <w:rPr>
                <w:rFonts w:ascii="Arial Narrow" w:hAnsi="Arial Narrow"/>
                <w:b/>
                <w:bCs/>
                <w:sz w:val="17"/>
                <w:szCs w:val="17"/>
              </w:rPr>
              <w:t>Armstrong 2020 (Bayesian NMA)</w:t>
            </w:r>
          </w:p>
        </w:tc>
        <w:tc>
          <w:tcPr>
            <w:tcW w:w="1338" w:type="dxa"/>
            <w:shd w:val="clear" w:color="auto" w:fill="auto"/>
            <w:vAlign w:val="center"/>
          </w:tcPr>
          <w:p w14:paraId="6BE44AEB" w14:textId="77777777" w:rsidR="00AF5B60" w:rsidRPr="00C7610F" w:rsidRDefault="00AF5B60" w:rsidP="0055090C">
            <w:pPr>
              <w:keepNext/>
              <w:keepLines/>
              <w:jc w:val="center"/>
              <w:rPr>
                <w:rFonts w:ascii="Arial Narrow" w:hAnsi="Arial Narrow"/>
                <w:b/>
                <w:bCs/>
                <w:sz w:val="17"/>
                <w:szCs w:val="17"/>
              </w:rPr>
            </w:pPr>
            <w:r w:rsidRPr="00C7610F">
              <w:rPr>
                <w:rFonts w:ascii="Arial Narrow" w:hAnsi="Arial Narrow"/>
                <w:b/>
                <w:bCs/>
                <w:sz w:val="17"/>
                <w:szCs w:val="17"/>
              </w:rPr>
              <w:t xml:space="preserve">Armstrong 2022 (Bayesian NMA) </w:t>
            </w:r>
          </w:p>
        </w:tc>
        <w:tc>
          <w:tcPr>
            <w:tcW w:w="1338" w:type="dxa"/>
            <w:shd w:val="clear" w:color="auto" w:fill="auto"/>
            <w:vAlign w:val="center"/>
          </w:tcPr>
          <w:p w14:paraId="301B172D" w14:textId="77777777" w:rsidR="00AF5B60" w:rsidRPr="00C7610F" w:rsidRDefault="00AF5B60" w:rsidP="0055090C">
            <w:pPr>
              <w:keepNext/>
              <w:keepLines/>
              <w:jc w:val="center"/>
              <w:rPr>
                <w:rFonts w:ascii="Arial Narrow" w:hAnsi="Arial Narrow"/>
                <w:b/>
                <w:bCs/>
                <w:sz w:val="17"/>
                <w:szCs w:val="17"/>
              </w:rPr>
            </w:pPr>
            <w:r w:rsidRPr="00C7610F">
              <w:rPr>
                <w:rFonts w:ascii="Arial Narrow" w:hAnsi="Arial Narrow"/>
                <w:b/>
                <w:bCs/>
                <w:sz w:val="17"/>
                <w:szCs w:val="17"/>
              </w:rPr>
              <w:t>Sbidian 2022 (Frequentist NMA)</w:t>
            </w:r>
          </w:p>
        </w:tc>
        <w:tc>
          <w:tcPr>
            <w:tcW w:w="1338" w:type="dxa"/>
            <w:shd w:val="clear" w:color="auto" w:fill="auto"/>
            <w:vAlign w:val="center"/>
          </w:tcPr>
          <w:p w14:paraId="1A54F24A" w14:textId="77777777" w:rsidR="00AF5B60" w:rsidRPr="00CE1409" w:rsidRDefault="00AF5B60" w:rsidP="0055090C">
            <w:pPr>
              <w:keepNext/>
              <w:keepLines/>
              <w:jc w:val="center"/>
              <w:rPr>
                <w:rFonts w:ascii="Arial Narrow" w:hAnsi="Arial Narrow"/>
                <w:b/>
                <w:bCs/>
                <w:sz w:val="17"/>
                <w:szCs w:val="17"/>
              </w:rPr>
            </w:pPr>
            <w:r w:rsidRPr="00CE1409">
              <w:rPr>
                <w:rFonts w:ascii="Arial Narrow" w:hAnsi="Arial Narrow"/>
                <w:b/>
                <w:bCs/>
                <w:sz w:val="17"/>
                <w:szCs w:val="17"/>
              </w:rPr>
              <w:t>Armstrong 2020 (Bayesian NMA)</w:t>
            </w:r>
          </w:p>
        </w:tc>
        <w:tc>
          <w:tcPr>
            <w:tcW w:w="1338" w:type="dxa"/>
            <w:shd w:val="clear" w:color="auto" w:fill="auto"/>
            <w:vAlign w:val="center"/>
          </w:tcPr>
          <w:p w14:paraId="47DFCBA9" w14:textId="77777777" w:rsidR="00AF5B60" w:rsidRPr="00C7610F" w:rsidRDefault="00AF5B60" w:rsidP="0055090C">
            <w:pPr>
              <w:keepNext/>
              <w:keepLines/>
              <w:jc w:val="center"/>
              <w:rPr>
                <w:rFonts w:ascii="Arial Narrow" w:hAnsi="Arial Narrow"/>
                <w:b/>
                <w:bCs/>
                <w:sz w:val="17"/>
                <w:szCs w:val="17"/>
              </w:rPr>
            </w:pPr>
            <w:r w:rsidRPr="00C7610F">
              <w:rPr>
                <w:rFonts w:ascii="Arial Narrow" w:hAnsi="Arial Narrow"/>
                <w:b/>
                <w:bCs/>
                <w:sz w:val="17"/>
                <w:szCs w:val="17"/>
              </w:rPr>
              <w:t xml:space="preserve">Armstrong 2022 (Bayesian NMA) </w:t>
            </w:r>
          </w:p>
        </w:tc>
        <w:tc>
          <w:tcPr>
            <w:tcW w:w="1339" w:type="dxa"/>
            <w:shd w:val="clear" w:color="auto" w:fill="auto"/>
            <w:vAlign w:val="center"/>
          </w:tcPr>
          <w:p w14:paraId="6F94F6DF" w14:textId="77777777" w:rsidR="00AF5B60" w:rsidRPr="00C7610F" w:rsidRDefault="00AF5B60" w:rsidP="0055090C">
            <w:pPr>
              <w:keepNext/>
              <w:keepLines/>
              <w:jc w:val="center"/>
              <w:rPr>
                <w:rFonts w:ascii="Arial Narrow" w:hAnsi="Arial Narrow"/>
                <w:b/>
                <w:bCs/>
                <w:sz w:val="17"/>
                <w:szCs w:val="17"/>
              </w:rPr>
            </w:pPr>
            <w:r w:rsidRPr="00C7610F">
              <w:rPr>
                <w:rFonts w:ascii="Arial Narrow" w:hAnsi="Arial Narrow"/>
                <w:b/>
                <w:bCs/>
                <w:sz w:val="17"/>
                <w:szCs w:val="17"/>
              </w:rPr>
              <w:t>Sbidian 2022 (Frequentist NMA)</w:t>
            </w:r>
          </w:p>
        </w:tc>
      </w:tr>
      <w:tr w:rsidR="00AF5B60" w:rsidRPr="00CE1409" w14:paraId="28ABA930" w14:textId="77777777" w:rsidTr="001C7351">
        <w:tc>
          <w:tcPr>
            <w:tcW w:w="1129" w:type="dxa"/>
            <w:shd w:val="clear" w:color="auto" w:fill="auto"/>
            <w:vAlign w:val="center"/>
          </w:tcPr>
          <w:p w14:paraId="7BFD1074" w14:textId="77777777" w:rsidR="00AF5B60" w:rsidRPr="00CE1409" w:rsidRDefault="00AF5B60" w:rsidP="0055090C">
            <w:pPr>
              <w:keepNext/>
              <w:keepLines/>
              <w:jc w:val="left"/>
              <w:rPr>
                <w:rFonts w:ascii="Arial Narrow" w:hAnsi="Arial Narrow"/>
                <w:sz w:val="17"/>
                <w:szCs w:val="17"/>
              </w:rPr>
            </w:pPr>
            <w:r w:rsidRPr="00CE1409">
              <w:rPr>
                <w:rFonts w:ascii="Arial Narrow" w:hAnsi="Arial Narrow"/>
                <w:sz w:val="17"/>
                <w:szCs w:val="17"/>
              </w:rPr>
              <w:t>Bimekizumab</w:t>
            </w:r>
          </w:p>
        </w:tc>
        <w:tc>
          <w:tcPr>
            <w:tcW w:w="1197" w:type="dxa"/>
            <w:shd w:val="clear" w:color="auto" w:fill="auto"/>
            <w:vAlign w:val="center"/>
          </w:tcPr>
          <w:p w14:paraId="366D3591" w14:textId="77777777" w:rsidR="00AF5B60" w:rsidRPr="00CE1409" w:rsidRDefault="00AF5B60" w:rsidP="0055090C">
            <w:pPr>
              <w:keepNext/>
              <w:keepLines/>
              <w:jc w:val="center"/>
              <w:rPr>
                <w:rFonts w:ascii="Arial Narrow" w:hAnsi="Arial Narrow"/>
                <w:sz w:val="17"/>
                <w:szCs w:val="17"/>
              </w:rPr>
            </w:pPr>
            <w:r w:rsidRPr="00CE1409">
              <w:rPr>
                <w:rFonts w:ascii="Arial Narrow" w:hAnsi="Arial Narrow"/>
                <w:sz w:val="17"/>
                <w:szCs w:val="17"/>
              </w:rPr>
              <w:t>NR</w:t>
            </w:r>
          </w:p>
        </w:tc>
        <w:tc>
          <w:tcPr>
            <w:tcW w:w="1338" w:type="dxa"/>
            <w:shd w:val="clear" w:color="auto" w:fill="auto"/>
            <w:vAlign w:val="center"/>
          </w:tcPr>
          <w:p w14:paraId="16ACC63B" w14:textId="77777777" w:rsidR="00AF5B60" w:rsidRPr="00C7610F" w:rsidRDefault="00AF5B60" w:rsidP="0055090C">
            <w:pPr>
              <w:keepNext/>
              <w:keepLines/>
              <w:jc w:val="center"/>
              <w:rPr>
                <w:rFonts w:ascii="Arial Narrow" w:hAnsi="Arial Narrow"/>
                <w:sz w:val="17"/>
                <w:szCs w:val="17"/>
              </w:rPr>
            </w:pPr>
            <w:r w:rsidRPr="00C7610F">
              <w:rPr>
                <w:rFonts w:ascii="Arial Narrow" w:hAnsi="Arial Narrow"/>
                <w:sz w:val="17"/>
                <w:szCs w:val="17"/>
              </w:rPr>
              <w:t>0.97 (0.93,1.02)</w:t>
            </w:r>
          </w:p>
        </w:tc>
        <w:tc>
          <w:tcPr>
            <w:tcW w:w="1338" w:type="dxa"/>
            <w:shd w:val="clear" w:color="auto" w:fill="auto"/>
            <w:vAlign w:val="center"/>
          </w:tcPr>
          <w:p w14:paraId="7D3D9501" w14:textId="77777777" w:rsidR="00AF5B60" w:rsidRPr="00C7610F" w:rsidRDefault="00AF5B60" w:rsidP="0055090C">
            <w:pPr>
              <w:keepNext/>
              <w:keepLines/>
              <w:jc w:val="center"/>
              <w:rPr>
                <w:rFonts w:ascii="Arial Narrow" w:hAnsi="Arial Narrow"/>
                <w:sz w:val="17"/>
                <w:szCs w:val="17"/>
              </w:rPr>
            </w:pPr>
            <w:r w:rsidRPr="00C7610F">
              <w:rPr>
                <w:rFonts w:ascii="Arial Narrow" w:hAnsi="Arial Narrow"/>
                <w:sz w:val="17"/>
                <w:szCs w:val="17"/>
              </w:rPr>
              <w:t>1.00 (0.90,1.12)^</w:t>
            </w:r>
          </w:p>
        </w:tc>
        <w:tc>
          <w:tcPr>
            <w:tcW w:w="1338" w:type="dxa"/>
            <w:shd w:val="clear" w:color="auto" w:fill="auto"/>
            <w:vAlign w:val="center"/>
          </w:tcPr>
          <w:p w14:paraId="3E8A43D2" w14:textId="77777777" w:rsidR="00AF5B60" w:rsidRPr="00CE1409" w:rsidRDefault="00AF5B60" w:rsidP="0055090C">
            <w:pPr>
              <w:keepNext/>
              <w:keepLines/>
              <w:jc w:val="center"/>
              <w:rPr>
                <w:rFonts w:ascii="Arial Narrow" w:hAnsi="Arial Narrow"/>
                <w:sz w:val="17"/>
                <w:szCs w:val="17"/>
              </w:rPr>
            </w:pPr>
            <w:r w:rsidRPr="00CE1409">
              <w:rPr>
                <w:rFonts w:ascii="Arial Narrow" w:hAnsi="Arial Narrow"/>
                <w:sz w:val="17"/>
                <w:szCs w:val="17"/>
              </w:rPr>
              <w:t>NR</w:t>
            </w:r>
          </w:p>
        </w:tc>
        <w:tc>
          <w:tcPr>
            <w:tcW w:w="1338" w:type="dxa"/>
            <w:shd w:val="clear" w:color="auto" w:fill="auto"/>
            <w:vAlign w:val="center"/>
          </w:tcPr>
          <w:p w14:paraId="59589DE3" w14:textId="77777777" w:rsidR="00AF5B60" w:rsidRPr="00C7610F" w:rsidRDefault="00AF5B60" w:rsidP="0055090C">
            <w:pPr>
              <w:keepNext/>
              <w:keepLines/>
              <w:jc w:val="center"/>
              <w:rPr>
                <w:rFonts w:ascii="Arial Narrow" w:hAnsi="Arial Narrow"/>
                <w:b/>
                <w:bCs/>
                <w:sz w:val="17"/>
                <w:szCs w:val="17"/>
              </w:rPr>
            </w:pPr>
            <w:r w:rsidRPr="00C7610F">
              <w:rPr>
                <w:rFonts w:ascii="Arial Narrow" w:hAnsi="Arial Narrow"/>
                <w:b/>
                <w:bCs/>
                <w:sz w:val="17"/>
                <w:szCs w:val="17"/>
              </w:rPr>
              <w:t>0.87 (0.80,0.94)</w:t>
            </w:r>
          </w:p>
        </w:tc>
        <w:tc>
          <w:tcPr>
            <w:tcW w:w="1339" w:type="dxa"/>
            <w:shd w:val="clear" w:color="auto" w:fill="auto"/>
            <w:vAlign w:val="center"/>
          </w:tcPr>
          <w:p w14:paraId="37ADFC0F" w14:textId="77777777" w:rsidR="00AF5B60" w:rsidRPr="00C7610F" w:rsidRDefault="00AF5B60" w:rsidP="0055090C">
            <w:pPr>
              <w:keepNext/>
              <w:keepLines/>
              <w:jc w:val="center"/>
              <w:rPr>
                <w:rFonts w:ascii="Arial Narrow" w:hAnsi="Arial Narrow"/>
                <w:sz w:val="17"/>
                <w:szCs w:val="17"/>
              </w:rPr>
            </w:pPr>
            <w:r w:rsidRPr="00C7610F">
              <w:rPr>
                <w:rFonts w:ascii="Arial Narrow" w:hAnsi="Arial Narrow"/>
                <w:sz w:val="17"/>
                <w:szCs w:val="17"/>
              </w:rPr>
              <w:t>0.95 (0.85,1.05)^</w:t>
            </w:r>
          </w:p>
        </w:tc>
      </w:tr>
      <w:tr w:rsidR="00AF5B60" w:rsidRPr="00CE1409" w14:paraId="1199A963" w14:textId="77777777" w:rsidTr="001C7351">
        <w:tc>
          <w:tcPr>
            <w:tcW w:w="1129" w:type="dxa"/>
            <w:shd w:val="clear" w:color="auto" w:fill="auto"/>
            <w:vAlign w:val="center"/>
          </w:tcPr>
          <w:p w14:paraId="5C8652D4" w14:textId="77777777" w:rsidR="00AF5B60" w:rsidRPr="00CE1409" w:rsidRDefault="00AF5B60" w:rsidP="0055090C">
            <w:pPr>
              <w:keepNext/>
              <w:keepLines/>
              <w:jc w:val="left"/>
              <w:rPr>
                <w:rFonts w:ascii="Arial Narrow" w:hAnsi="Arial Narrow"/>
                <w:sz w:val="17"/>
                <w:szCs w:val="17"/>
              </w:rPr>
            </w:pPr>
            <w:r w:rsidRPr="00CE1409">
              <w:rPr>
                <w:rFonts w:ascii="Arial Narrow" w:hAnsi="Arial Narrow"/>
                <w:sz w:val="17"/>
                <w:szCs w:val="17"/>
              </w:rPr>
              <w:t>Ixekizumab</w:t>
            </w:r>
          </w:p>
        </w:tc>
        <w:tc>
          <w:tcPr>
            <w:tcW w:w="1197" w:type="dxa"/>
            <w:shd w:val="clear" w:color="auto" w:fill="auto"/>
            <w:vAlign w:val="center"/>
          </w:tcPr>
          <w:p w14:paraId="2824784B" w14:textId="77777777" w:rsidR="00AF5B60" w:rsidRPr="00CE1409" w:rsidRDefault="00AF5B60" w:rsidP="0055090C">
            <w:pPr>
              <w:keepNext/>
              <w:keepLines/>
              <w:jc w:val="center"/>
              <w:rPr>
                <w:rFonts w:ascii="Arial Narrow" w:hAnsi="Arial Narrow"/>
                <w:sz w:val="17"/>
                <w:szCs w:val="17"/>
              </w:rPr>
            </w:pPr>
            <w:r w:rsidRPr="00CE1409">
              <w:rPr>
                <w:rFonts w:ascii="Arial Narrow" w:hAnsi="Arial Narrow"/>
                <w:sz w:val="17"/>
                <w:szCs w:val="17"/>
              </w:rPr>
              <w:t>1.00 (0.97,1.04)</w:t>
            </w:r>
          </w:p>
        </w:tc>
        <w:tc>
          <w:tcPr>
            <w:tcW w:w="1338" w:type="dxa"/>
            <w:shd w:val="clear" w:color="auto" w:fill="auto"/>
            <w:vAlign w:val="center"/>
          </w:tcPr>
          <w:p w14:paraId="1A279098" w14:textId="77777777" w:rsidR="00AF5B60" w:rsidRPr="00C7610F" w:rsidRDefault="00AF5B60" w:rsidP="0055090C">
            <w:pPr>
              <w:keepNext/>
              <w:keepLines/>
              <w:jc w:val="center"/>
              <w:rPr>
                <w:rFonts w:ascii="Arial Narrow" w:hAnsi="Arial Narrow"/>
                <w:sz w:val="17"/>
                <w:szCs w:val="17"/>
              </w:rPr>
            </w:pPr>
            <w:r w:rsidRPr="00C7610F">
              <w:rPr>
                <w:rFonts w:ascii="Arial Narrow" w:hAnsi="Arial Narrow"/>
                <w:sz w:val="17"/>
                <w:szCs w:val="17"/>
              </w:rPr>
              <w:t>1.01 (0.96, 1.06)</w:t>
            </w:r>
          </w:p>
        </w:tc>
        <w:tc>
          <w:tcPr>
            <w:tcW w:w="1338" w:type="dxa"/>
            <w:shd w:val="clear" w:color="auto" w:fill="auto"/>
            <w:vAlign w:val="center"/>
          </w:tcPr>
          <w:p w14:paraId="7AE2C54C" w14:textId="77777777" w:rsidR="00AF5B60" w:rsidRPr="00C7610F" w:rsidRDefault="00AF5B60" w:rsidP="0055090C">
            <w:pPr>
              <w:keepNext/>
              <w:keepLines/>
              <w:jc w:val="center"/>
              <w:rPr>
                <w:rFonts w:ascii="Arial Narrow" w:hAnsi="Arial Narrow"/>
                <w:sz w:val="17"/>
                <w:szCs w:val="17"/>
              </w:rPr>
            </w:pPr>
            <w:r w:rsidRPr="00C7610F">
              <w:rPr>
                <w:rFonts w:ascii="Arial Narrow" w:hAnsi="Arial Narrow"/>
                <w:sz w:val="17"/>
                <w:szCs w:val="17"/>
              </w:rPr>
              <w:t>0.99 (0.87,1.12)^</w:t>
            </w:r>
          </w:p>
        </w:tc>
        <w:tc>
          <w:tcPr>
            <w:tcW w:w="1338" w:type="dxa"/>
            <w:shd w:val="clear" w:color="auto" w:fill="auto"/>
            <w:vAlign w:val="center"/>
          </w:tcPr>
          <w:p w14:paraId="68B7E9A5" w14:textId="77777777" w:rsidR="00AF5B60" w:rsidRPr="00CE1409" w:rsidRDefault="00AF5B60" w:rsidP="0055090C">
            <w:pPr>
              <w:keepNext/>
              <w:keepLines/>
              <w:jc w:val="center"/>
              <w:rPr>
                <w:rFonts w:ascii="Arial Narrow" w:hAnsi="Arial Narrow"/>
                <w:b/>
                <w:bCs/>
                <w:sz w:val="17"/>
                <w:szCs w:val="17"/>
              </w:rPr>
            </w:pPr>
            <w:r w:rsidRPr="00CE1409">
              <w:rPr>
                <w:rFonts w:ascii="Arial Narrow" w:hAnsi="Arial Narrow"/>
                <w:b/>
                <w:bCs/>
                <w:sz w:val="17"/>
                <w:szCs w:val="17"/>
              </w:rPr>
              <w:t>1.01 (0.93, 1.09)</w:t>
            </w:r>
          </w:p>
        </w:tc>
        <w:tc>
          <w:tcPr>
            <w:tcW w:w="1338" w:type="dxa"/>
            <w:shd w:val="clear" w:color="auto" w:fill="auto"/>
            <w:vAlign w:val="center"/>
          </w:tcPr>
          <w:p w14:paraId="728B54A7" w14:textId="77777777" w:rsidR="00AF5B60" w:rsidRPr="00C7610F" w:rsidRDefault="00AF5B60" w:rsidP="0055090C">
            <w:pPr>
              <w:keepNext/>
              <w:keepLines/>
              <w:jc w:val="center"/>
              <w:rPr>
                <w:rFonts w:ascii="Arial Narrow" w:hAnsi="Arial Narrow"/>
                <w:sz w:val="17"/>
                <w:szCs w:val="17"/>
              </w:rPr>
            </w:pPr>
            <w:r w:rsidRPr="00C7610F">
              <w:rPr>
                <w:rFonts w:ascii="Arial Narrow" w:hAnsi="Arial Narrow"/>
                <w:sz w:val="17"/>
                <w:szCs w:val="17"/>
              </w:rPr>
              <w:t>1.03 (0.94,1.14)</w:t>
            </w:r>
          </w:p>
        </w:tc>
        <w:tc>
          <w:tcPr>
            <w:tcW w:w="1339" w:type="dxa"/>
            <w:shd w:val="clear" w:color="auto" w:fill="auto"/>
            <w:vAlign w:val="center"/>
          </w:tcPr>
          <w:p w14:paraId="663B7238" w14:textId="77777777" w:rsidR="00AF5B60" w:rsidRPr="00C7610F" w:rsidRDefault="00AF5B60" w:rsidP="0055090C">
            <w:pPr>
              <w:keepNext/>
              <w:keepLines/>
              <w:jc w:val="center"/>
              <w:rPr>
                <w:rFonts w:ascii="Arial Narrow" w:hAnsi="Arial Narrow"/>
                <w:sz w:val="17"/>
                <w:szCs w:val="17"/>
              </w:rPr>
            </w:pPr>
            <w:r w:rsidRPr="00C7610F">
              <w:rPr>
                <w:rFonts w:ascii="Arial Narrow" w:hAnsi="Arial Narrow"/>
                <w:sz w:val="17"/>
                <w:szCs w:val="17"/>
              </w:rPr>
              <w:t>0.95 (0.85,1.06)^</w:t>
            </w:r>
          </w:p>
        </w:tc>
      </w:tr>
      <w:tr w:rsidR="00AF5B60" w:rsidRPr="00CE1409" w14:paraId="54BA8EBF" w14:textId="77777777" w:rsidTr="001C7351">
        <w:tc>
          <w:tcPr>
            <w:tcW w:w="1129" w:type="dxa"/>
            <w:shd w:val="clear" w:color="auto" w:fill="auto"/>
            <w:vAlign w:val="center"/>
          </w:tcPr>
          <w:p w14:paraId="4F03E2AD" w14:textId="77777777" w:rsidR="00AF5B60" w:rsidRPr="00CE1409" w:rsidRDefault="00AF5B60" w:rsidP="0055090C">
            <w:pPr>
              <w:keepNext/>
              <w:keepLines/>
              <w:jc w:val="left"/>
              <w:rPr>
                <w:rFonts w:ascii="Arial Narrow" w:hAnsi="Arial Narrow"/>
                <w:sz w:val="17"/>
                <w:szCs w:val="17"/>
              </w:rPr>
            </w:pPr>
            <w:r w:rsidRPr="00CE1409">
              <w:rPr>
                <w:rFonts w:ascii="Arial Narrow" w:hAnsi="Arial Narrow"/>
                <w:sz w:val="17"/>
                <w:szCs w:val="17"/>
              </w:rPr>
              <w:t>Guselkumab</w:t>
            </w:r>
          </w:p>
        </w:tc>
        <w:tc>
          <w:tcPr>
            <w:tcW w:w="1197" w:type="dxa"/>
            <w:shd w:val="clear" w:color="auto" w:fill="auto"/>
            <w:vAlign w:val="center"/>
          </w:tcPr>
          <w:p w14:paraId="631BEB06" w14:textId="77777777" w:rsidR="00AF5B60" w:rsidRPr="00CE1409" w:rsidRDefault="00AF5B60" w:rsidP="0055090C">
            <w:pPr>
              <w:keepNext/>
              <w:keepLines/>
              <w:jc w:val="center"/>
              <w:rPr>
                <w:rFonts w:ascii="Arial Narrow" w:hAnsi="Arial Narrow"/>
                <w:sz w:val="17"/>
                <w:szCs w:val="17"/>
              </w:rPr>
            </w:pPr>
            <w:r w:rsidRPr="00CE1409">
              <w:rPr>
                <w:rFonts w:ascii="Arial Narrow" w:hAnsi="Arial Narrow"/>
                <w:sz w:val="17"/>
                <w:szCs w:val="17"/>
              </w:rPr>
              <w:t>1.03 (0.99,1.07)</w:t>
            </w:r>
          </w:p>
        </w:tc>
        <w:tc>
          <w:tcPr>
            <w:tcW w:w="1338" w:type="dxa"/>
            <w:shd w:val="clear" w:color="auto" w:fill="auto"/>
            <w:vAlign w:val="center"/>
          </w:tcPr>
          <w:p w14:paraId="41143FC3" w14:textId="77777777" w:rsidR="00AF5B60" w:rsidRPr="00C7610F" w:rsidRDefault="00AF5B60" w:rsidP="0055090C">
            <w:pPr>
              <w:keepNext/>
              <w:keepLines/>
              <w:jc w:val="center"/>
              <w:rPr>
                <w:rFonts w:ascii="Arial Narrow" w:hAnsi="Arial Narrow"/>
                <w:sz w:val="17"/>
                <w:szCs w:val="17"/>
              </w:rPr>
            </w:pPr>
            <w:r w:rsidRPr="00C7610F">
              <w:rPr>
                <w:rFonts w:ascii="Arial Narrow" w:hAnsi="Arial Narrow"/>
                <w:sz w:val="17"/>
                <w:szCs w:val="17"/>
              </w:rPr>
              <w:t>1.04 (0.99,1.09)</w:t>
            </w:r>
          </w:p>
        </w:tc>
        <w:tc>
          <w:tcPr>
            <w:tcW w:w="1338" w:type="dxa"/>
            <w:shd w:val="clear" w:color="auto" w:fill="auto"/>
            <w:vAlign w:val="center"/>
          </w:tcPr>
          <w:p w14:paraId="40DEFBF9" w14:textId="77777777" w:rsidR="00AF5B60" w:rsidRPr="00C7610F" w:rsidRDefault="00AF5B60" w:rsidP="0055090C">
            <w:pPr>
              <w:keepNext/>
              <w:keepLines/>
              <w:jc w:val="center"/>
              <w:rPr>
                <w:rFonts w:ascii="Arial Narrow" w:hAnsi="Arial Narrow"/>
                <w:sz w:val="17"/>
                <w:szCs w:val="17"/>
              </w:rPr>
            </w:pPr>
            <w:r w:rsidRPr="00C7610F">
              <w:rPr>
                <w:rFonts w:ascii="Arial Narrow" w:hAnsi="Arial Narrow"/>
                <w:sz w:val="17"/>
                <w:szCs w:val="17"/>
              </w:rPr>
              <w:t>1.09 (0.98,1.21)^</w:t>
            </w:r>
          </w:p>
        </w:tc>
        <w:tc>
          <w:tcPr>
            <w:tcW w:w="1338" w:type="dxa"/>
            <w:shd w:val="clear" w:color="auto" w:fill="auto"/>
            <w:vAlign w:val="center"/>
          </w:tcPr>
          <w:p w14:paraId="45755B05" w14:textId="77777777" w:rsidR="00AF5B60" w:rsidRPr="00CE1409" w:rsidRDefault="00AF5B60" w:rsidP="0055090C">
            <w:pPr>
              <w:keepNext/>
              <w:keepLines/>
              <w:jc w:val="center"/>
              <w:rPr>
                <w:rFonts w:ascii="Arial Narrow" w:hAnsi="Arial Narrow"/>
                <w:b/>
                <w:bCs/>
                <w:sz w:val="17"/>
                <w:szCs w:val="17"/>
              </w:rPr>
            </w:pPr>
            <w:r w:rsidRPr="00CE1409">
              <w:rPr>
                <w:rFonts w:ascii="Arial Narrow" w:hAnsi="Arial Narrow"/>
                <w:b/>
                <w:bCs/>
                <w:sz w:val="17"/>
                <w:szCs w:val="17"/>
              </w:rPr>
              <w:t>1.06 (0.98, 1.16)</w:t>
            </w:r>
          </w:p>
        </w:tc>
        <w:tc>
          <w:tcPr>
            <w:tcW w:w="1338" w:type="dxa"/>
            <w:shd w:val="clear" w:color="auto" w:fill="auto"/>
            <w:vAlign w:val="center"/>
          </w:tcPr>
          <w:p w14:paraId="4231A74F" w14:textId="77777777" w:rsidR="00AF5B60" w:rsidRPr="00C7610F" w:rsidRDefault="00AF5B60" w:rsidP="0055090C">
            <w:pPr>
              <w:keepNext/>
              <w:keepLines/>
              <w:jc w:val="center"/>
              <w:rPr>
                <w:rFonts w:ascii="Arial Narrow" w:hAnsi="Arial Narrow"/>
                <w:sz w:val="17"/>
                <w:szCs w:val="17"/>
              </w:rPr>
            </w:pPr>
            <w:r w:rsidRPr="00C7610F">
              <w:rPr>
                <w:rFonts w:ascii="Arial Narrow" w:hAnsi="Arial Narrow"/>
                <w:sz w:val="17"/>
                <w:szCs w:val="17"/>
              </w:rPr>
              <w:t>1.09 (0.98,1.20)</w:t>
            </w:r>
          </w:p>
        </w:tc>
        <w:tc>
          <w:tcPr>
            <w:tcW w:w="1339" w:type="dxa"/>
            <w:shd w:val="clear" w:color="auto" w:fill="auto"/>
            <w:vAlign w:val="center"/>
          </w:tcPr>
          <w:p w14:paraId="05EC4909" w14:textId="77777777" w:rsidR="00AF5B60" w:rsidRPr="00C7610F" w:rsidRDefault="00AF5B60" w:rsidP="0055090C">
            <w:pPr>
              <w:keepNext/>
              <w:keepLines/>
              <w:jc w:val="center"/>
              <w:rPr>
                <w:rFonts w:ascii="Arial Narrow" w:hAnsi="Arial Narrow"/>
                <w:b/>
                <w:bCs/>
                <w:sz w:val="17"/>
                <w:szCs w:val="17"/>
              </w:rPr>
            </w:pPr>
            <w:r w:rsidRPr="00C7610F">
              <w:rPr>
                <w:rFonts w:ascii="Arial Narrow" w:hAnsi="Arial Narrow"/>
                <w:b/>
                <w:bCs/>
                <w:sz w:val="17"/>
                <w:szCs w:val="17"/>
              </w:rPr>
              <w:t>1.19 (1.08,1.32)^</w:t>
            </w:r>
          </w:p>
        </w:tc>
      </w:tr>
      <w:tr w:rsidR="00AF5B60" w:rsidRPr="00CE1409" w14:paraId="203CADA2" w14:textId="77777777" w:rsidTr="001C7351">
        <w:tc>
          <w:tcPr>
            <w:tcW w:w="1129" w:type="dxa"/>
            <w:shd w:val="clear" w:color="auto" w:fill="auto"/>
            <w:vAlign w:val="center"/>
          </w:tcPr>
          <w:p w14:paraId="1403233C" w14:textId="77777777" w:rsidR="00AF5B60" w:rsidRPr="00CE1409" w:rsidRDefault="00AF5B60" w:rsidP="0055090C">
            <w:pPr>
              <w:keepNext/>
              <w:keepLines/>
              <w:jc w:val="left"/>
              <w:rPr>
                <w:rFonts w:ascii="Arial Narrow" w:hAnsi="Arial Narrow"/>
                <w:sz w:val="17"/>
                <w:szCs w:val="17"/>
              </w:rPr>
            </w:pPr>
            <w:r w:rsidRPr="00CE1409">
              <w:rPr>
                <w:rFonts w:ascii="Arial Narrow" w:hAnsi="Arial Narrow"/>
                <w:sz w:val="17"/>
                <w:szCs w:val="17"/>
              </w:rPr>
              <w:t>Infliximab</w:t>
            </w:r>
          </w:p>
        </w:tc>
        <w:tc>
          <w:tcPr>
            <w:tcW w:w="1197" w:type="dxa"/>
            <w:shd w:val="clear" w:color="auto" w:fill="auto"/>
            <w:vAlign w:val="center"/>
          </w:tcPr>
          <w:p w14:paraId="576B7336" w14:textId="77777777" w:rsidR="00AF5B60" w:rsidRPr="00CE1409" w:rsidRDefault="00AF5B60" w:rsidP="0055090C">
            <w:pPr>
              <w:keepNext/>
              <w:keepLines/>
              <w:jc w:val="center"/>
              <w:rPr>
                <w:rFonts w:ascii="Arial Narrow" w:hAnsi="Arial Narrow"/>
                <w:sz w:val="17"/>
                <w:szCs w:val="17"/>
              </w:rPr>
            </w:pPr>
            <w:r w:rsidRPr="00CE1409">
              <w:rPr>
                <w:rFonts w:ascii="Arial Narrow" w:hAnsi="Arial Narrow"/>
                <w:b/>
                <w:bCs/>
                <w:sz w:val="17"/>
                <w:szCs w:val="17"/>
              </w:rPr>
              <w:t>1.11 (1.05,1.17)</w:t>
            </w:r>
          </w:p>
        </w:tc>
        <w:tc>
          <w:tcPr>
            <w:tcW w:w="1338" w:type="dxa"/>
            <w:shd w:val="clear" w:color="auto" w:fill="auto"/>
            <w:vAlign w:val="center"/>
          </w:tcPr>
          <w:p w14:paraId="502FC438" w14:textId="77777777" w:rsidR="00AF5B60" w:rsidRPr="00C7610F" w:rsidRDefault="00AF5B60" w:rsidP="0055090C">
            <w:pPr>
              <w:keepNext/>
              <w:keepLines/>
              <w:jc w:val="center"/>
              <w:rPr>
                <w:rFonts w:ascii="Arial Narrow" w:hAnsi="Arial Narrow"/>
                <w:sz w:val="17"/>
                <w:szCs w:val="17"/>
              </w:rPr>
            </w:pPr>
            <w:r w:rsidRPr="00C7610F">
              <w:rPr>
                <w:rFonts w:ascii="Arial Narrow" w:hAnsi="Arial Narrow"/>
                <w:b/>
                <w:bCs/>
                <w:sz w:val="17"/>
                <w:szCs w:val="17"/>
              </w:rPr>
              <w:t>1.13 (1.06,1.21)</w:t>
            </w:r>
          </w:p>
        </w:tc>
        <w:tc>
          <w:tcPr>
            <w:tcW w:w="1338" w:type="dxa"/>
            <w:shd w:val="clear" w:color="auto" w:fill="auto"/>
            <w:vAlign w:val="center"/>
          </w:tcPr>
          <w:p w14:paraId="53877DDF" w14:textId="77777777" w:rsidR="00AF5B60" w:rsidRPr="00C7610F" w:rsidRDefault="00AF5B60" w:rsidP="0055090C">
            <w:pPr>
              <w:keepNext/>
              <w:keepLines/>
              <w:jc w:val="center"/>
              <w:rPr>
                <w:rFonts w:ascii="Arial Narrow" w:hAnsi="Arial Narrow"/>
                <w:sz w:val="17"/>
                <w:szCs w:val="17"/>
              </w:rPr>
            </w:pPr>
            <w:r w:rsidRPr="00C7610F">
              <w:rPr>
                <w:rFonts w:ascii="Arial Narrow" w:hAnsi="Arial Narrow"/>
                <w:sz w:val="17"/>
                <w:szCs w:val="17"/>
              </w:rPr>
              <w:t>0.76 (0.50,1.16)^</w:t>
            </w:r>
          </w:p>
        </w:tc>
        <w:tc>
          <w:tcPr>
            <w:tcW w:w="1338" w:type="dxa"/>
            <w:shd w:val="clear" w:color="auto" w:fill="auto"/>
            <w:vAlign w:val="center"/>
          </w:tcPr>
          <w:p w14:paraId="0FF4B293" w14:textId="77777777" w:rsidR="00AF5B60" w:rsidRPr="00CE1409" w:rsidRDefault="00AF5B60" w:rsidP="0055090C">
            <w:pPr>
              <w:keepNext/>
              <w:keepLines/>
              <w:jc w:val="center"/>
              <w:rPr>
                <w:rFonts w:ascii="Arial Narrow" w:hAnsi="Arial Narrow"/>
                <w:b/>
                <w:bCs/>
                <w:sz w:val="17"/>
                <w:szCs w:val="17"/>
              </w:rPr>
            </w:pPr>
            <w:r w:rsidRPr="00CE1409">
              <w:rPr>
                <w:rFonts w:ascii="Arial Narrow" w:hAnsi="Arial Narrow"/>
                <w:b/>
                <w:bCs/>
                <w:sz w:val="17"/>
                <w:szCs w:val="17"/>
              </w:rPr>
              <w:t>1.25 (1.12, 1.40)</w:t>
            </w:r>
          </w:p>
        </w:tc>
        <w:tc>
          <w:tcPr>
            <w:tcW w:w="1338" w:type="dxa"/>
            <w:shd w:val="clear" w:color="auto" w:fill="auto"/>
            <w:vAlign w:val="center"/>
          </w:tcPr>
          <w:p w14:paraId="39736DB8" w14:textId="77777777" w:rsidR="00AF5B60" w:rsidRPr="00C7610F" w:rsidRDefault="00AF5B60" w:rsidP="0055090C">
            <w:pPr>
              <w:keepNext/>
              <w:keepLines/>
              <w:jc w:val="center"/>
              <w:rPr>
                <w:rFonts w:ascii="Arial Narrow" w:hAnsi="Arial Narrow"/>
                <w:b/>
                <w:bCs/>
                <w:sz w:val="17"/>
                <w:szCs w:val="17"/>
              </w:rPr>
            </w:pPr>
            <w:r w:rsidRPr="00C7610F">
              <w:rPr>
                <w:rFonts w:ascii="Arial Narrow" w:hAnsi="Arial Narrow"/>
                <w:b/>
                <w:bCs/>
                <w:sz w:val="17"/>
                <w:szCs w:val="17"/>
              </w:rPr>
              <w:t>1.35 (1.19,1.53)</w:t>
            </w:r>
          </w:p>
        </w:tc>
        <w:tc>
          <w:tcPr>
            <w:tcW w:w="1339" w:type="dxa"/>
            <w:shd w:val="clear" w:color="auto" w:fill="auto"/>
            <w:vAlign w:val="center"/>
          </w:tcPr>
          <w:p w14:paraId="1C450E27" w14:textId="77777777" w:rsidR="00AF5B60" w:rsidRPr="00C7610F" w:rsidRDefault="00AF5B60" w:rsidP="0055090C">
            <w:pPr>
              <w:keepNext/>
              <w:keepLines/>
              <w:jc w:val="center"/>
              <w:rPr>
                <w:rFonts w:ascii="Arial Narrow" w:hAnsi="Arial Narrow"/>
                <w:sz w:val="17"/>
                <w:szCs w:val="17"/>
              </w:rPr>
            </w:pPr>
            <w:r w:rsidRPr="00C7610F">
              <w:rPr>
                <w:rFonts w:ascii="Arial Narrow" w:hAnsi="Arial Narrow"/>
                <w:sz w:val="17"/>
                <w:szCs w:val="17"/>
              </w:rPr>
              <w:t>0.57 (0.24,1.39)^</w:t>
            </w:r>
          </w:p>
        </w:tc>
      </w:tr>
      <w:tr w:rsidR="00AF5B60" w:rsidRPr="00CE1409" w14:paraId="208918C8" w14:textId="77777777" w:rsidTr="001C7351">
        <w:tc>
          <w:tcPr>
            <w:tcW w:w="1129" w:type="dxa"/>
            <w:shd w:val="clear" w:color="auto" w:fill="auto"/>
            <w:vAlign w:val="center"/>
          </w:tcPr>
          <w:p w14:paraId="52DDF3EC" w14:textId="77777777" w:rsidR="00AF5B60" w:rsidRPr="00CE1409" w:rsidRDefault="00AF5B60" w:rsidP="0055090C">
            <w:pPr>
              <w:keepNext/>
              <w:keepLines/>
              <w:jc w:val="left"/>
              <w:rPr>
                <w:rFonts w:ascii="Arial Narrow" w:hAnsi="Arial Narrow"/>
                <w:sz w:val="17"/>
                <w:szCs w:val="17"/>
              </w:rPr>
            </w:pPr>
            <w:r w:rsidRPr="00CE1409">
              <w:rPr>
                <w:rFonts w:ascii="Arial Narrow" w:hAnsi="Arial Narrow"/>
                <w:sz w:val="17"/>
                <w:szCs w:val="17"/>
              </w:rPr>
              <w:t>Tildrakizumab</w:t>
            </w:r>
          </w:p>
        </w:tc>
        <w:tc>
          <w:tcPr>
            <w:tcW w:w="1197" w:type="dxa"/>
            <w:shd w:val="clear" w:color="auto" w:fill="auto"/>
            <w:vAlign w:val="center"/>
          </w:tcPr>
          <w:p w14:paraId="27E376EF" w14:textId="77777777" w:rsidR="00AF5B60" w:rsidRPr="00CE1409" w:rsidRDefault="00AF5B60" w:rsidP="0055090C">
            <w:pPr>
              <w:keepNext/>
              <w:keepLines/>
              <w:jc w:val="center"/>
              <w:rPr>
                <w:rFonts w:ascii="Arial Narrow" w:hAnsi="Arial Narrow"/>
                <w:sz w:val="17"/>
                <w:szCs w:val="17"/>
              </w:rPr>
            </w:pPr>
            <w:r w:rsidRPr="00CE1409">
              <w:rPr>
                <w:rFonts w:ascii="Arial Narrow" w:hAnsi="Arial Narrow"/>
                <w:b/>
                <w:bCs/>
                <w:sz w:val="17"/>
                <w:szCs w:val="17"/>
              </w:rPr>
              <w:t>1.42 (1.30,1.56)</w:t>
            </w:r>
          </w:p>
        </w:tc>
        <w:tc>
          <w:tcPr>
            <w:tcW w:w="1338" w:type="dxa"/>
            <w:shd w:val="clear" w:color="auto" w:fill="auto"/>
            <w:vAlign w:val="center"/>
          </w:tcPr>
          <w:p w14:paraId="5C566C44" w14:textId="77777777" w:rsidR="00AF5B60" w:rsidRPr="00C7610F" w:rsidRDefault="00AF5B60" w:rsidP="0055090C">
            <w:pPr>
              <w:keepNext/>
              <w:keepLines/>
              <w:jc w:val="center"/>
              <w:rPr>
                <w:rFonts w:ascii="Arial Narrow" w:hAnsi="Arial Narrow"/>
                <w:sz w:val="17"/>
                <w:szCs w:val="17"/>
              </w:rPr>
            </w:pPr>
            <w:r w:rsidRPr="00C7610F">
              <w:rPr>
                <w:rFonts w:ascii="Arial Narrow" w:hAnsi="Arial Narrow"/>
                <w:b/>
                <w:bCs/>
                <w:sz w:val="17"/>
                <w:szCs w:val="17"/>
              </w:rPr>
              <w:t>1.43 (1.27,1.60)</w:t>
            </w:r>
          </w:p>
        </w:tc>
        <w:tc>
          <w:tcPr>
            <w:tcW w:w="1338" w:type="dxa"/>
            <w:shd w:val="clear" w:color="auto" w:fill="auto"/>
            <w:vAlign w:val="center"/>
          </w:tcPr>
          <w:p w14:paraId="7A844471" w14:textId="77777777" w:rsidR="00AF5B60" w:rsidRPr="00C7610F" w:rsidRDefault="00AF5B60" w:rsidP="0055090C">
            <w:pPr>
              <w:keepNext/>
              <w:keepLines/>
              <w:jc w:val="center"/>
              <w:rPr>
                <w:rFonts w:ascii="Arial Narrow" w:hAnsi="Arial Narrow"/>
                <w:sz w:val="17"/>
                <w:szCs w:val="17"/>
              </w:rPr>
            </w:pPr>
            <w:r w:rsidRPr="00C7610F">
              <w:rPr>
                <w:rFonts w:ascii="Arial Narrow" w:hAnsi="Arial Narrow"/>
                <w:b/>
                <w:bCs/>
                <w:sz w:val="17"/>
                <w:szCs w:val="17"/>
              </w:rPr>
              <w:t>1.28 (1.05,1.55)^</w:t>
            </w:r>
          </w:p>
        </w:tc>
        <w:tc>
          <w:tcPr>
            <w:tcW w:w="1338" w:type="dxa"/>
            <w:shd w:val="clear" w:color="auto" w:fill="auto"/>
            <w:vAlign w:val="center"/>
          </w:tcPr>
          <w:p w14:paraId="3F4297CA" w14:textId="77777777" w:rsidR="00AF5B60" w:rsidRPr="00CE1409" w:rsidRDefault="00AF5B60" w:rsidP="0055090C">
            <w:pPr>
              <w:keepNext/>
              <w:keepLines/>
              <w:jc w:val="center"/>
              <w:rPr>
                <w:rFonts w:ascii="Arial Narrow" w:hAnsi="Arial Narrow"/>
                <w:b/>
                <w:bCs/>
                <w:sz w:val="17"/>
                <w:szCs w:val="17"/>
              </w:rPr>
            </w:pPr>
            <w:r w:rsidRPr="00CE1409">
              <w:rPr>
                <w:rFonts w:ascii="Arial Narrow" w:hAnsi="Arial Narrow"/>
                <w:b/>
                <w:bCs/>
                <w:sz w:val="17"/>
                <w:szCs w:val="17"/>
              </w:rPr>
              <w:t>1.94 (1.67, 2.29)</w:t>
            </w:r>
          </w:p>
        </w:tc>
        <w:tc>
          <w:tcPr>
            <w:tcW w:w="1338" w:type="dxa"/>
            <w:shd w:val="clear" w:color="auto" w:fill="auto"/>
            <w:vAlign w:val="center"/>
          </w:tcPr>
          <w:p w14:paraId="78C5FA38" w14:textId="77777777" w:rsidR="00AF5B60" w:rsidRPr="00C7610F" w:rsidRDefault="00AF5B60" w:rsidP="0055090C">
            <w:pPr>
              <w:keepNext/>
              <w:keepLines/>
              <w:jc w:val="center"/>
              <w:rPr>
                <w:rFonts w:ascii="Arial Narrow" w:hAnsi="Arial Narrow"/>
                <w:b/>
                <w:bCs/>
                <w:sz w:val="17"/>
                <w:szCs w:val="17"/>
              </w:rPr>
            </w:pPr>
            <w:r w:rsidRPr="00C7610F">
              <w:rPr>
                <w:rFonts w:ascii="Arial Narrow" w:hAnsi="Arial Narrow"/>
                <w:b/>
                <w:bCs/>
                <w:sz w:val="17"/>
                <w:szCs w:val="17"/>
              </w:rPr>
              <w:t>1.95 (1.60,2.39)</w:t>
            </w:r>
          </w:p>
        </w:tc>
        <w:tc>
          <w:tcPr>
            <w:tcW w:w="1339" w:type="dxa"/>
            <w:shd w:val="clear" w:color="auto" w:fill="auto"/>
            <w:vAlign w:val="center"/>
          </w:tcPr>
          <w:p w14:paraId="5E1D2E61" w14:textId="77777777" w:rsidR="00AF5B60" w:rsidRPr="00C7610F" w:rsidRDefault="00AF5B60" w:rsidP="0055090C">
            <w:pPr>
              <w:keepNext/>
              <w:keepLines/>
              <w:jc w:val="center"/>
              <w:rPr>
                <w:rFonts w:ascii="Arial Narrow" w:hAnsi="Arial Narrow"/>
                <w:b/>
                <w:bCs/>
                <w:sz w:val="17"/>
                <w:szCs w:val="17"/>
              </w:rPr>
            </w:pPr>
            <w:r w:rsidRPr="00C7610F">
              <w:rPr>
                <w:rFonts w:ascii="Arial Narrow" w:hAnsi="Arial Narrow"/>
                <w:b/>
                <w:bCs/>
                <w:sz w:val="17"/>
                <w:szCs w:val="17"/>
              </w:rPr>
              <w:t>1.55 (1.19,2.01)^</w:t>
            </w:r>
          </w:p>
        </w:tc>
      </w:tr>
      <w:tr w:rsidR="00AF5B60" w:rsidRPr="00CE1409" w14:paraId="6ABF2C03" w14:textId="77777777" w:rsidTr="001C7351">
        <w:tc>
          <w:tcPr>
            <w:tcW w:w="1129" w:type="dxa"/>
            <w:shd w:val="clear" w:color="auto" w:fill="auto"/>
            <w:vAlign w:val="center"/>
          </w:tcPr>
          <w:p w14:paraId="46886674" w14:textId="2A7D57C8" w:rsidR="00AF5B60" w:rsidRPr="00CE1409" w:rsidRDefault="00AF5B60" w:rsidP="0055090C">
            <w:pPr>
              <w:keepNext/>
              <w:keepLines/>
              <w:jc w:val="left"/>
              <w:rPr>
                <w:rFonts w:ascii="Arial Narrow" w:hAnsi="Arial Narrow"/>
                <w:sz w:val="17"/>
                <w:szCs w:val="17"/>
              </w:rPr>
            </w:pPr>
            <w:r w:rsidRPr="00CE1409">
              <w:rPr>
                <w:rFonts w:ascii="Arial Narrow" w:hAnsi="Arial Narrow"/>
                <w:sz w:val="17"/>
                <w:szCs w:val="17"/>
              </w:rPr>
              <w:t>Etanercept</w:t>
            </w:r>
          </w:p>
        </w:tc>
        <w:tc>
          <w:tcPr>
            <w:tcW w:w="1197" w:type="dxa"/>
            <w:shd w:val="clear" w:color="auto" w:fill="auto"/>
            <w:vAlign w:val="center"/>
          </w:tcPr>
          <w:p w14:paraId="79CF5A03" w14:textId="77777777" w:rsidR="00AF5B60" w:rsidRPr="00CE1409" w:rsidRDefault="00AF5B60" w:rsidP="0055090C">
            <w:pPr>
              <w:keepNext/>
              <w:keepLines/>
              <w:jc w:val="center"/>
              <w:rPr>
                <w:rFonts w:ascii="Arial Narrow" w:hAnsi="Arial Narrow"/>
                <w:sz w:val="17"/>
                <w:szCs w:val="17"/>
              </w:rPr>
            </w:pPr>
            <w:r w:rsidRPr="00CE1409">
              <w:rPr>
                <w:rFonts w:ascii="Arial Narrow" w:hAnsi="Arial Narrow"/>
                <w:b/>
                <w:bCs/>
                <w:sz w:val="17"/>
                <w:szCs w:val="17"/>
              </w:rPr>
              <w:t>2.22 (1.97,2.52)</w:t>
            </w:r>
          </w:p>
        </w:tc>
        <w:tc>
          <w:tcPr>
            <w:tcW w:w="1338" w:type="dxa"/>
            <w:shd w:val="clear" w:color="auto" w:fill="auto"/>
            <w:vAlign w:val="center"/>
          </w:tcPr>
          <w:p w14:paraId="22BD182F" w14:textId="560CF667" w:rsidR="00AF5B60" w:rsidRPr="00C7610F" w:rsidRDefault="00AF5B60" w:rsidP="0055090C">
            <w:pPr>
              <w:keepNext/>
              <w:keepLines/>
              <w:jc w:val="center"/>
              <w:rPr>
                <w:rFonts w:ascii="Arial Narrow" w:hAnsi="Arial Narrow"/>
                <w:sz w:val="17"/>
                <w:szCs w:val="17"/>
              </w:rPr>
            </w:pPr>
            <w:r w:rsidRPr="00C7610F">
              <w:rPr>
                <w:rFonts w:ascii="Arial Narrow" w:hAnsi="Arial Narrow"/>
                <w:sz w:val="17"/>
                <w:szCs w:val="17"/>
              </w:rPr>
              <w:t>25</w:t>
            </w:r>
            <w:r w:rsidR="00975D86" w:rsidRPr="00C7610F">
              <w:rPr>
                <w:rFonts w:ascii="Arial Narrow" w:hAnsi="Arial Narrow"/>
                <w:sz w:val="17"/>
                <w:szCs w:val="17"/>
              </w:rPr>
              <w:t>*</w:t>
            </w:r>
            <w:r w:rsidRPr="00C7610F">
              <w:rPr>
                <w:rFonts w:ascii="Arial Narrow" w:hAnsi="Arial Narrow"/>
                <w:sz w:val="17"/>
                <w:szCs w:val="17"/>
              </w:rPr>
              <w:t>:</w:t>
            </w:r>
            <w:r w:rsidRPr="00C7610F">
              <w:rPr>
                <w:rFonts w:ascii="Arial Narrow" w:hAnsi="Arial Narrow"/>
                <w:b/>
                <w:bCs/>
                <w:sz w:val="17"/>
                <w:szCs w:val="17"/>
              </w:rPr>
              <w:t>2.38 (2.02,2.81)</w:t>
            </w:r>
          </w:p>
          <w:p w14:paraId="4B55768D" w14:textId="21C961F7" w:rsidR="00AF5B60" w:rsidRPr="00C7610F" w:rsidRDefault="00AF5B60" w:rsidP="0055090C">
            <w:pPr>
              <w:keepNext/>
              <w:keepLines/>
              <w:jc w:val="center"/>
              <w:rPr>
                <w:rFonts w:ascii="Arial Narrow" w:hAnsi="Arial Narrow"/>
                <w:sz w:val="17"/>
                <w:szCs w:val="17"/>
              </w:rPr>
            </w:pPr>
            <w:r w:rsidRPr="00C7610F">
              <w:rPr>
                <w:rFonts w:ascii="Arial Narrow" w:hAnsi="Arial Narrow"/>
                <w:sz w:val="17"/>
                <w:szCs w:val="17"/>
              </w:rPr>
              <w:t>50</w:t>
            </w:r>
            <w:r w:rsidR="00975D86" w:rsidRPr="00C7610F">
              <w:rPr>
                <w:rFonts w:ascii="Arial Narrow" w:hAnsi="Arial Narrow"/>
                <w:sz w:val="17"/>
                <w:szCs w:val="17"/>
              </w:rPr>
              <w:t>*</w:t>
            </w:r>
            <w:r w:rsidRPr="00C7610F">
              <w:rPr>
                <w:rFonts w:ascii="Arial Narrow" w:hAnsi="Arial Narrow"/>
                <w:sz w:val="17"/>
                <w:szCs w:val="17"/>
              </w:rPr>
              <w:t>:</w:t>
            </w:r>
            <w:r w:rsidRPr="00C7610F">
              <w:rPr>
                <w:rFonts w:ascii="Arial Narrow" w:hAnsi="Arial Narrow"/>
                <w:b/>
                <w:bCs/>
                <w:sz w:val="17"/>
                <w:szCs w:val="17"/>
              </w:rPr>
              <w:t>1.76 (1.63,1.91)</w:t>
            </w:r>
          </w:p>
        </w:tc>
        <w:tc>
          <w:tcPr>
            <w:tcW w:w="1338" w:type="dxa"/>
            <w:shd w:val="clear" w:color="auto" w:fill="auto"/>
            <w:vAlign w:val="center"/>
          </w:tcPr>
          <w:p w14:paraId="28B1D0E5" w14:textId="77777777" w:rsidR="00AF5B60" w:rsidRPr="00C7610F" w:rsidRDefault="00AF5B60" w:rsidP="0055090C">
            <w:pPr>
              <w:keepNext/>
              <w:keepLines/>
              <w:jc w:val="center"/>
              <w:rPr>
                <w:rFonts w:ascii="Arial Narrow" w:hAnsi="Arial Narrow"/>
                <w:sz w:val="17"/>
                <w:szCs w:val="17"/>
              </w:rPr>
            </w:pPr>
            <w:r w:rsidRPr="00C7610F">
              <w:rPr>
                <w:rFonts w:ascii="Arial Narrow" w:hAnsi="Arial Narrow"/>
                <w:b/>
                <w:bCs/>
                <w:sz w:val="17"/>
                <w:szCs w:val="17"/>
              </w:rPr>
              <w:t>1.69 (1.51,1.89)^</w:t>
            </w:r>
          </w:p>
        </w:tc>
        <w:tc>
          <w:tcPr>
            <w:tcW w:w="1338" w:type="dxa"/>
            <w:shd w:val="clear" w:color="auto" w:fill="auto"/>
            <w:vAlign w:val="center"/>
          </w:tcPr>
          <w:p w14:paraId="48A7BA95" w14:textId="77777777" w:rsidR="00AF5B60" w:rsidRPr="00CE1409" w:rsidRDefault="00AF5B60" w:rsidP="0055090C">
            <w:pPr>
              <w:keepNext/>
              <w:keepLines/>
              <w:jc w:val="center"/>
              <w:rPr>
                <w:rFonts w:ascii="Arial Narrow" w:hAnsi="Arial Narrow"/>
                <w:b/>
                <w:bCs/>
                <w:sz w:val="17"/>
                <w:szCs w:val="17"/>
              </w:rPr>
            </w:pPr>
            <w:r w:rsidRPr="00CE1409">
              <w:rPr>
                <w:rFonts w:ascii="Arial Narrow" w:hAnsi="Arial Narrow"/>
                <w:b/>
                <w:bCs/>
                <w:sz w:val="17"/>
                <w:szCs w:val="17"/>
              </w:rPr>
              <w:t>3.99 (3.31, 4.85)</w:t>
            </w:r>
          </w:p>
        </w:tc>
        <w:tc>
          <w:tcPr>
            <w:tcW w:w="1338" w:type="dxa"/>
            <w:shd w:val="clear" w:color="auto" w:fill="auto"/>
            <w:vAlign w:val="center"/>
          </w:tcPr>
          <w:p w14:paraId="65ADB45A" w14:textId="16361620" w:rsidR="00AF5B60" w:rsidRPr="00C7610F" w:rsidRDefault="00AF5B60" w:rsidP="0055090C">
            <w:pPr>
              <w:keepNext/>
              <w:keepLines/>
              <w:jc w:val="center"/>
              <w:rPr>
                <w:rFonts w:ascii="Arial Narrow" w:hAnsi="Arial Narrow"/>
                <w:sz w:val="17"/>
                <w:szCs w:val="17"/>
              </w:rPr>
            </w:pPr>
            <w:r w:rsidRPr="00C7610F">
              <w:rPr>
                <w:rFonts w:ascii="Arial Narrow" w:hAnsi="Arial Narrow"/>
                <w:sz w:val="17"/>
                <w:szCs w:val="17"/>
              </w:rPr>
              <w:t>25</w:t>
            </w:r>
            <w:r w:rsidR="00975D86" w:rsidRPr="00C7610F">
              <w:rPr>
                <w:rFonts w:ascii="Arial Narrow" w:hAnsi="Arial Narrow"/>
                <w:sz w:val="17"/>
                <w:szCs w:val="17"/>
              </w:rPr>
              <w:t>*</w:t>
            </w:r>
            <w:r w:rsidRPr="00C7610F">
              <w:rPr>
                <w:rFonts w:ascii="Arial Narrow" w:hAnsi="Arial Narrow"/>
                <w:sz w:val="17"/>
                <w:szCs w:val="17"/>
              </w:rPr>
              <w:t>:</w:t>
            </w:r>
            <w:r w:rsidRPr="00C7610F">
              <w:rPr>
                <w:rFonts w:ascii="Arial Narrow" w:hAnsi="Arial Narrow"/>
                <w:b/>
                <w:bCs/>
                <w:sz w:val="17"/>
                <w:szCs w:val="17"/>
              </w:rPr>
              <w:t>5.27 (3.96,7.00)</w:t>
            </w:r>
          </w:p>
          <w:p w14:paraId="53ECD2CF" w14:textId="55E3681D" w:rsidR="00AF5B60" w:rsidRPr="00C7610F" w:rsidRDefault="00AF5B60" w:rsidP="0055090C">
            <w:pPr>
              <w:keepNext/>
              <w:keepLines/>
              <w:jc w:val="center"/>
              <w:rPr>
                <w:rFonts w:ascii="Arial Narrow" w:hAnsi="Arial Narrow"/>
                <w:sz w:val="17"/>
                <w:szCs w:val="17"/>
              </w:rPr>
            </w:pPr>
            <w:r w:rsidRPr="00C7610F">
              <w:rPr>
                <w:rFonts w:ascii="Arial Narrow" w:hAnsi="Arial Narrow"/>
                <w:sz w:val="17"/>
                <w:szCs w:val="17"/>
              </w:rPr>
              <w:t>50</w:t>
            </w:r>
            <w:r w:rsidR="00975D86" w:rsidRPr="00C7610F">
              <w:rPr>
                <w:rFonts w:ascii="Arial Narrow" w:hAnsi="Arial Narrow"/>
                <w:sz w:val="17"/>
                <w:szCs w:val="17"/>
              </w:rPr>
              <w:t>*</w:t>
            </w:r>
            <w:r w:rsidRPr="00C7610F">
              <w:rPr>
                <w:rFonts w:ascii="Arial Narrow" w:hAnsi="Arial Narrow"/>
                <w:sz w:val="17"/>
                <w:szCs w:val="17"/>
              </w:rPr>
              <w:t>:</w:t>
            </w:r>
            <w:r w:rsidRPr="00C7610F">
              <w:rPr>
                <w:rFonts w:ascii="Arial Narrow" w:hAnsi="Arial Narrow"/>
                <w:b/>
                <w:bCs/>
                <w:sz w:val="17"/>
                <w:szCs w:val="17"/>
              </w:rPr>
              <w:t>3.11 (2.69,3.60)</w:t>
            </w:r>
          </w:p>
        </w:tc>
        <w:tc>
          <w:tcPr>
            <w:tcW w:w="1339" w:type="dxa"/>
            <w:shd w:val="clear" w:color="auto" w:fill="auto"/>
            <w:vAlign w:val="center"/>
          </w:tcPr>
          <w:p w14:paraId="3F60418A" w14:textId="77777777" w:rsidR="00AF5B60" w:rsidRPr="00C7610F" w:rsidRDefault="00AF5B60" w:rsidP="0055090C">
            <w:pPr>
              <w:keepNext/>
              <w:keepLines/>
              <w:jc w:val="center"/>
              <w:rPr>
                <w:rFonts w:ascii="Arial Narrow" w:hAnsi="Arial Narrow"/>
                <w:b/>
                <w:bCs/>
                <w:sz w:val="17"/>
                <w:szCs w:val="17"/>
              </w:rPr>
            </w:pPr>
            <w:r w:rsidRPr="00C7610F">
              <w:rPr>
                <w:rFonts w:ascii="Arial Narrow" w:hAnsi="Arial Narrow"/>
                <w:b/>
                <w:bCs/>
                <w:sz w:val="17"/>
                <w:szCs w:val="17"/>
              </w:rPr>
              <w:t>2.70 (2.35,3.10)^</w:t>
            </w:r>
          </w:p>
        </w:tc>
      </w:tr>
      <w:tr w:rsidR="00AF5B60" w:rsidRPr="00CE1409" w14:paraId="4B235DE3" w14:textId="77777777" w:rsidTr="001C7351">
        <w:tc>
          <w:tcPr>
            <w:tcW w:w="1129" w:type="dxa"/>
            <w:shd w:val="clear" w:color="auto" w:fill="auto"/>
            <w:vAlign w:val="center"/>
          </w:tcPr>
          <w:p w14:paraId="430869F9" w14:textId="77777777" w:rsidR="00AF5B60" w:rsidRPr="00CE1409" w:rsidRDefault="00AF5B60" w:rsidP="0055090C">
            <w:pPr>
              <w:keepNext/>
              <w:keepLines/>
              <w:jc w:val="left"/>
              <w:rPr>
                <w:rFonts w:ascii="Arial Narrow" w:hAnsi="Arial Narrow"/>
                <w:sz w:val="17"/>
                <w:szCs w:val="17"/>
              </w:rPr>
            </w:pPr>
            <w:r w:rsidRPr="00CE1409">
              <w:rPr>
                <w:rFonts w:ascii="Arial Narrow" w:hAnsi="Arial Narrow"/>
                <w:sz w:val="17"/>
                <w:szCs w:val="17"/>
              </w:rPr>
              <w:t>Adalimumab</w:t>
            </w:r>
          </w:p>
        </w:tc>
        <w:tc>
          <w:tcPr>
            <w:tcW w:w="1197" w:type="dxa"/>
            <w:shd w:val="clear" w:color="auto" w:fill="auto"/>
            <w:vAlign w:val="center"/>
          </w:tcPr>
          <w:p w14:paraId="34D64B1A" w14:textId="77777777" w:rsidR="00AF5B60" w:rsidRPr="00CE1409" w:rsidRDefault="00AF5B60" w:rsidP="0055090C">
            <w:pPr>
              <w:keepNext/>
              <w:keepLines/>
              <w:jc w:val="center"/>
              <w:rPr>
                <w:rFonts w:ascii="Arial Narrow" w:hAnsi="Arial Narrow"/>
                <w:b/>
                <w:bCs/>
                <w:sz w:val="17"/>
                <w:szCs w:val="17"/>
              </w:rPr>
            </w:pPr>
            <w:r w:rsidRPr="00CE1409">
              <w:rPr>
                <w:rFonts w:ascii="Arial Narrow" w:hAnsi="Arial Narrow"/>
                <w:b/>
                <w:bCs/>
                <w:sz w:val="17"/>
                <w:szCs w:val="17"/>
              </w:rPr>
              <w:t>1.28 (1.23,1.35)</w:t>
            </w:r>
          </w:p>
        </w:tc>
        <w:tc>
          <w:tcPr>
            <w:tcW w:w="1338" w:type="dxa"/>
            <w:shd w:val="clear" w:color="auto" w:fill="auto"/>
            <w:vAlign w:val="center"/>
          </w:tcPr>
          <w:p w14:paraId="1C0BEF87" w14:textId="77777777" w:rsidR="00AF5B60" w:rsidRPr="00C7610F" w:rsidRDefault="00AF5B60" w:rsidP="0055090C">
            <w:pPr>
              <w:keepNext/>
              <w:keepLines/>
              <w:jc w:val="center"/>
              <w:rPr>
                <w:rFonts w:ascii="Arial Narrow" w:hAnsi="Arial Narrow"/>
                <w:sz w:val="17"/>
                <w:szCs w:val="17"/>
              </w:rPr>
            </w:pPr>
            <w:r w:rsidRPr="00C7610F">
              <w:rPr>
                <w:rFonts w:ascii="Arial Narrow" w:hAnsi="Arial Narrow"/>
                <w:b/>
                <w:bCs/>
                <w:sz w:val="17"/>
                <w:szCs w:val="17"/>
              </w:rPr>
              <w:t>1.29 (1.21,1.37)</w:t>
            </w:r>
          </w:p>
        </w:tc>
        <w:tc>
          <w:tcPr>
            <w:tcW w:w="1338" w:type="dxa"/>
            <w:shd w:val="clear" w:color="auto" w:fill="auto"/>
            <w:vAlign w:val="center"/>
          </w:tcPr>
          <w:p w14:paraId="10F0C1AC" w14:textId="77777777" w:rsidR="00AF5B60" w:rsidRPr="00C7610F" w:rsidRDefault="00AF5B60" w:rsidP="0055090C">
            <w:pPr>
              <w:keepNext/>
              <w:keepLines/>
              <w:jc w:val="center"/>
              <w:rPr>
                <w:rFonts w:ascii="Arial Narrow" w:hAnsi="Arial Narrow"/>
                <w:sz w:val="17"/>
                <w:szCs w:val="17"/>
              </w:rPr>
            </w:pPr>
            <w:r w:rsidRPr="00C7610F">
              <w:rPr>
                <w:rFonts w:ascii="Arial Narrow" w:hAnsi="Arial Narrow"/>
                <w:b/>
                <w:bCs/>
                <w:sz w:val="17"/>
                <w:szCs w:val="17"/>
              </w:rPr>
              <w:t>1.33 (1.21,1.47)^</w:t>
            </w:r>
          </w:p>
        </w:tc>
        <w:tc>
          <w:tcPr>
            <w:tcW w:w="1338" w:type="dxa"/>
            <w:shd w:val="clear" w:color="auto" w:fill="auto"/>
            <w:vAlign w:val="center"/>
          </w:tcPr>
          <w:p w14:paraId="7F429CBA" w14:textId="77777777" w:rsidR="00AF5B60" w:rsidRPr="00CE1409" w:rsidRDefault="00AF5B60" w:rsidP="0055090C">
            <w:pPr>
              <w:keepNext/>
              <w:keepLines/>
              <w:jc w:val="center"/>
              <w:rPr>
                <w:rFonts w:ascii="Arial Narrow" w:hAnsi="Arial Narrow"/>
                <w:b/>
                <w:bCs/>
                <w:sz w:val="17"/>
                <w:szCs w:val="17"/>
              </w:rPr>
            </w:pPr>
            <w:r w:rsidRPr="00CE1409">
              <w:rPr>
                <w:rFonts w:ascii="Arial Narrow" w:hAnsi="Arial Narrow"/>
                <w:b/>
                <w:bCs/>
                <w:sz w:val="17"/>
                <w:szCs w:val="17"/>
              </w:rPr>
              <w:t>1.64 (1.50, 1.79)</w:t>
            </w:r>
          </w:p>
        </w:tc>
        <w:tc>
          <w:tcPr>
            <w:tcW w:w="1338" w:type="dxa"/>
            <w:shd w:val="clear" w:color="auto" w:fill="auto"/>
            <w:vAlign w:val="center"/>
          </w:tcPr>
          <w:p w14:paraId="39838315" w14:textId="77777777" w:rsidR="00AF5B60" w:rsidRPr="00C7610F" w:rsidRDefault="00AF5B60" w:rsidP="0055090C">
            <w:pPr>
              <w:keepNext/>
              <w:keepLines/>
              <w:jc w:val="center"/>
              <w:rPr>
                <w:rFonts w:ascii="Arial Narrow" w:hAnsi="Arial Narrow"/>
                <w:b/>
                <w:bCs/>
                <w:sz w:val="17"/>
                <w:szCs w:val="17"/>
              </w:rPr>
            </w:pPr>
            <w:r w:rsidRPr="00C7610F">
              <w:rPr>
                <w:rFonts w:ascii="Arial Narrow" w:hAnsi="Arial Narrow"/>
                <w:b/>
                <w:bCs/>
                <w:sz w:val="17"/>
                <w:szCs w:val="17"/>
              </w:rPr>
              <w:t>1.61 (1.44,1.81)</w:t>
            </w:r>
          </w:p>
        </w:tc>
        <w:tc>
          <w:tcPr>
            <w:tcW w:w="1339" w:type="dxa"/>
            <w:shd w:val="clear" w:color="auto" w:fill="auto"/>
            <w:vAlign w:val="center"/>
          </w:tcPr>
          <w:p w14:paraId="05488BAF" w14:textId="77777777" w:rsidR="00AF5B60" w:rsidRPr="00C7610F" w:rsidRDefault="00AF5B60" w:rsidP="0055090C">
            <w:pPr>
              <w:keepNext/>
              <w:keepLines/>
              <w:jc w:val="center"/>
              <w:rPr>
                <w:rFonts w:ascii="Arial Narrow" w:hAnsi="Arial Narrow"/>
                <w:b/>
                <w:bCs/>
                <w:sz w:val="17"/>
                <w:szCs w:val="17"/>
              </w:rPr>
            </w:pPr>
            <w:r w:rsidRPr="00C7610F">
              <w:rPr>
                <w:rFonts w:ascii="Arial Narrow" w:hAnsi="Arial Narrow"/>
                <w:b/>
                <w:bCs/>
                <w:sz w:val="17"/>
                <w:szCs w:val="17"/>
              </w:rPr>
              <w:t>1.66 (1.50,1.83)^</w:t>
            </w:r>
          </w:p>
        </w:tc>
      </w:tr>
      <w:tr w:rsidR="00AF5B60" w:rsidRPr="00CE1409" w14:paraId="400CE02E" w14:textId="77777777" w:rsidTr="001C7351">
        <w:tc>
          <w:tcPr>
            <w:tcW w:w="1129" w:type="dxa"/>
            <w:shd w:val="clear" w:color="auto" w:fill="auto"/>
            <w:vAlign w:val="center"/>
          </w:tcPr>
          <w:p w14:paraId="26D5B8D7" w14:textId="77777777" w:rsidR="00AF5B60" w:rsidRPr="00CE1409" w:rsidRDefault="00AF5B60" w:rsidP="0055090C">
            <w:pPr>
              <w:keepNext/>
              <w:keepLines/>
              <w:jc w:val="left"/>
              <w:rPr>
                <w:rFonts w:ascii="Arial Narrow" w:hAnsi="Arial Narrow"/>
                <w:sz w:val="17"/>
                <w:szCs w:val="17"/>
              </w:rPr>
            </w:pPr>
            <w:r w:rsidRPr="00CE1409">
              <w:rPr>
                <w:rFonts w:ascii="Arial Narrow" w:hAnsi="Arial Narrow"/>
                <w:sz w:val="17"/>
                <w:szCs w:val="17"/>
              </w:rPr>
              <w:t>Ustekinumab</w:t>
            </w:r>
          </w:p>
        </w:tc>
        <w:tc>
          <w:tcPr>
            <w:tcW w:w="1197" w:type="dxa"/>
            <w:shd w:val="clear" w:color="auto" w:fill="auto"/>
            <w:vAlign w:val="center"/>
          </w:tcPr>
          <w:p w14:paraId="7020CEBE" w14:textId="77777777" w:rsidR="00AF5B60" w:rsidRPr="00CE1409" w:rsidRDefault="00AF5B60" w:rsidP="0055090C">
            <w:pPr>
              <w:keepNext/>
              <w:keepLines/>
              <w:jc w:val="center"/>
              <w:rPr>
                <w:rFonts w:ascii="Arial Narrow" w:hAnsi="Arial Narrow"/>
                <w:b/>
                <w:bCs/>
                <w:sz w:val="17"/>
                <w:szCs w:val="17"/>
              </w:rPr>
            </w:pPr>
            <w:r w:rsidRPr="00CE1409">
              <w:rPr>
                <w:rFonts w:ascii="Arial Narrow" w:hAnsi="Arial Narrow"/>
                <w:b/>
                <w:bCs/>
                <w:sz w:val="17"/>
                <w:szCs w:val="17"/>
              </w:rPr>
              <w:t>1.28 (1.22,1.35)</w:t>
            </w:r>
          </w:p>
        </w:tc>
        <w:tc>
          <w:tcPr>
            <w:tcW w:w="1338" w:type="dxa"/>
            <w:shd w:val="clear" w:color="auto" w:fill="auto"/>
            <w:vAlign w:val="center"/>
          </w:tcPr>
          <w:p w14:paraId="35A84988" w14:textId="77777777" w:rsidR="00AF5B60" w:rsidRPr="00C7610F" w:rsidRDefault="00AF5B60" w:rsidP="0055090C">
            <w:pPr>
              <w:keepNext/>
              <w:keepLines/>
              <w:jc w:val="center"/>
              <w:rPr>
                <w:rFonts w:ascii="Arial Narrow" w:hAnsi="Arial Narrow"/>
                <w:sz w:val="17"/>
                <w:szCs w:val="17"/>
              </w:rPr>
            </w:pPr>
            <w:r w:rsidRPr="00C7610F">
              <w:rPr>
                <w:rFonts w:ascii="Arial Narrow" w:hAnsi="Arial Narrow"/>
                <w:b/>
                <w:bCs/>
                <w:sz w:val="17"/>
                <w:szCs w:val="17"/>
              </w:rPr>
              <w:t>1.26 (1.19,1.34)</w:t>
            </w:r>
          </w:p>
        </w:tc>
        <w:tc>
          <w:tcPr>
            <w:tcW w:w="1338" w:type="dxa"/>
            <w:shd w:val="clear" w:color="auto" w:fill="auto"/>
            <w:vAlign w:val="center"/>
          </w:tcPr>
          <w:p w14:paraId="1419BFA6" w14:textId="77777777" w:rsidR="00AF5B60" w:rsidRPr="00C7610F" w:rsidRDefault="00AF5B60" w:rsidP="0055090C">
            <w:pPr>
              <w:keepNext/>
              <w:keepLines/>
              <w:jc w:val="center"/>
              <w:rPr>
                <w:rFonts w:ascii="Arial Narrow" w:hAnsi="Arial Narrow"/>
                <w:sz w:val="17"/>
                <w:szCs w:val="17"/>
              </w:rPr>
            </w:pPr>
            <w:r w:rsidRPr="00C7610F">
              <w:rPr>
                <w:rFonts w:ascii="Arial Narrow" w:hAnsi="Arial Narrow"/>
                <w:b/>
                <w:bCs/>
                <w:sz w:val="17"/>
                <w:szCs w:val="17"/>
              </w:rPr>
              <w:t>1.21 (1.12,1.31)^</w:t>
            </w:r>
          </w:p>
        </w:tc>
        <w:tc>
          <w:tcPr>
            <w:tcW w:w="1338" w:type="dxa"/>
            <w:shd w:val="clear" w:color="auto" w:fill="auto"/>
            <w:vAlign w:val="center"/>
          </w:tcPr>
          <w:p w14:paraId="3ADA0398" w14:textId="77777777" w:rsidR="00AF5B60" w:rsidRPr="00CE1409" w:rsidRDefault="00AF5B60" w:rsidP="0055090C">
            <w:pPr>
              <w:keepNext/>
              <w:keepLines/>
              <w:jc w:val="center"/>
              <w:rPr>
                <w:rFonts w:ascii="Arial Narrow" w:hAnsi="Arial Narrow"/>
                <w:b/>
                <w:bCs/>
                <w:sz w:val="17"/>
                <w:szCs w:val="17"/>
              </w:rPr>
            </w:pPr>
            <w:r w:rsidRPr="00CE1409">
              <w:rPr>
                <w:rFonts w:ascii="Arial Narrow" w:hAnsi="Arial Narrow"/>
                <w:b/>
                <w:bCs/>
                <w:sz w:val="17"/>
                <w:szCs w:val="17"/>
              </w:rPr>
              <w:t>1.63 (1.48, 1.79)</w:t>
            </w:r>
          </w:p>
        </w:tc>
        <w:tc>
          <w:tcPr>
            <w:tcW w:w="1338" w:type="dxa"/>
            <w:shd w:val="clear" w:color="auto" w:fill="auto"/>
            <w:vAlign w:val="center"/>
          </w:tcPr>
          <w:p w14:paraId="58C8B236" w14:textId="77777777" w:rsidR="00AF5B60" w:rsidRPr="00C7610F" w:rsidRDefault="00AF5B60" w:rsidP="0055090C">
            <w:pPr>
              <w:keepNext/>
              <w:keepLines/>
              <w:jc w:val="center"/>
              <w:rPr>
                <w:rFonts w:ascii="Arial Narrow" w:hAnsi="Arial Narrow"/>
                <w:b/>
                <w:bCs/>
                <w:sz w:val="17"/>
                <w:szCs w:val="17"/>
              </w:rPr>
            </w:pPr>
            <w:r w:rsidRPr="00C7610F">
              <w:rPr>
                <w:rFonts w:ascii="Arial Narrow" w:hAnsi="Arial Narrow"/>
                <w:b/>
                <w:bCs/>
                <w:sz w:val="17"/>
                <w:szCs w:val="17"/>
              </w:rPr>
              <w:t>1.62 (1.45,1.81)</w:t>
            </w:r>
          </w:p>
        </w:tc>
        <w:tc>
          <w:tcPr>
            <w:tcW w:w="1339" w:type="dxa"/>
            <w:shd w:val="clear" w:color="auto" w:fill="auto"/>
            <w:vAlign w:val="center"/>
          </w:tcPr>
          <w:p w14:paraId="2669B336" w14:textId="77777777" w:rsidR="00AF5B60" w:rsidRPr="00C7610F" w:rsidRDefault="00AF5B60" w:rsidP="0055090C">
            <w:pPr>
              <w:keepNext/>
              <w:keepLines/>
              <w:jc w:val="center"/>
              <w:rPr>
                <w:rFonts w:ascii="Arial Narrow" w:hAnsi="Arial Narrow"/>
                <w:b/>
                <w:bCs/>
                <w:sz w:val="17"/>
                <w:szCs w:val="17"/>
              </w:rPr>
            </w:pPr>
            <w:r w:rsidRPr="00C7610F">
              <w:rPr>
                <w:rFonts w:ascii="Arial Narrow" w:hAnsi="Arial Narrow"/>
                <w:b/>
                <w:bCs/>
                <w:sz w:val="17"/>
                <w:szCs w:val="17"/>
              </w:rPr>
              <w:t>1.52 (1.38,1.67)^</w:t>
            </w:r>
          </w:p>
        </w:tc>
      </w:tr>
      <w:tr w:rsidR="00AF5B60" w:rsidRPr="00CE1409" w14:paraId="5FA923A8" w14:textId="77777777" w:rsidTr="001C7351">
        <w:tc>
          <w:tcPr>
            <w:tcW w:w="1129" w:type="dxa"/>
            <w:shd w:val="clear" w:color="auto" w:fill="auto"/>
            <w:vAlign w:val="center"/>
          </w:tcPr>
          <w:p w14:paraId="49011C14" w14:textId="77777777" w:rsidR="00AF5B60" w:rsidRPr="00CE1409" w:rsidRDefault="00AF5B60" w:rsidP="0055090C">
            <w:pPr>
              <w:keepNext/>
              <w:keepLines/>
              <w:jc w:val="left"/>
              <w:rPr>
                <w:rFonts w:ascii="Arial Narrow" w:hAnsi="Arial Narrow"/>
                <w:sz w:val="17"/>
                <w:szCs w:val="17"/>
              </w:rPr>
            </w:pPr>
            <w:r w:rsidRPr="00CE1409">
              <w:rPr>
                <w:rFonts w:ascii="Arial Narrow" w:hAnsi="Arial Narrow"/>
                <w:sz w:val="17"/>
                <w:szCs w:val="17"/>
              </w:rPr>
              <w:t>Secukinumab</w:t>
            </w:r>
          </w:p>
        </w:tc>
        <w:tc>
          <w:tcPr>
            <w:tcW w:w="1197" w:type="dxa"/>
            <w:shd w:val="clear" w:color="auto" w:fill="auto"/>
            <w:vAlign w:val="center"/>
          </w:tcPr>
          <w:p w14:paraId="4A9EFD29" w14:textId="77777777" w:rsidR="00AF5B60" w:rsidRPr="00CE1409" w:rsidRDefault="00AF5B60" w:rsidP="0055090C">
            <w:pPr>
              <w:keepNext/>
              <w:keepLines/>
              <w:jc w:val="center"/>
              <w:rPr>
                <w:rFonts w:ascii="Arial Narrow" w:hAnsi="Arial Narrow"/>
                <w:sz w:val="17"/>
                <w:szCs w:val="17"/>
              </w:rPr>
            </w:pPr>
            <w:r w:rsidRPr="00CE1409">
              <w:rPr>
                <w:rFonts w:ascii="Arial Narrow" w:hAnsi="Arial Narrow"/>
                <w:b/>
                <w:bCs/>
                <w:sz w:val="17"/>
                <w:szCs w:val="17"/>
              </w:rPr>
              <w:t>1.07 (1.03,1.12)</w:t>
            </w:r>
          </w:p>
        </w:tc>
        <w:tc>
          <w:tcPr>
            <w:tcW w:w="1338" w:type="dxa"/>
            <w:shd w:val="clear" w:color="auto" w:fill="auto"/>
            <w:vAlign w:val="center"/>
          </w:tcPr>
          <w:p w14:paraId="5062FC30" w14:textId="77777777" w:rsidR="00AF5B60" w:rsidRPr="00C7610F" w:rsidRDefault="00AF5B60" w:rsidP="0055090C">
            <w:pPr>
              <w:keepNext/>
              <w:keepLines/>
              <w:jc w:val="center"/>
              <w:rPr>
                <w:rFonts w:ascii="Arial Narrow" w:hAnsi="Arial Narrow"/>
                <w:sz w:val="17"/>
                <w:szCs w:val="17"/>
              </w:rPr>
            </w:pPr>
            <w:r w:rsidRPr="00C7610F">
              <w:rPr>
                <w:rFonts w:ascii="Arial Narrow" w:hAnsi="Arial Narrow"/>
                <w:b/>
                <w:bCs/>
                <w:sz w:val="17"/>
                <w:szCs w:val="17"/>
              </w:rPr>
              <w:t>1.31 (1.19,1.45)</w:t>
            </w:r>
          </w:p>
        </w:tc>
        <w:tc>
          <w:tcPr>
            <w:tcW w:w="1338" w:type="dxa"/>
            <w:shd w:val="clear" w:color="auto" w:fill="auto"/>
            <w:vAlign w:val="center"/>
          </w:tcPr>
          <w:p w14:paraId="0071A5AB" w14:textId="77777777" w:rsidR="00AF5B60" w:rsidRPr="00C7610F" w:rsidRDefault="00AF5B60" w:rsidP="0055090C">
            <w:pPr>
              <w:keepNext/>
              <w:keepLines/>
              <w:jc w:val="center"/>
              <w:rPr>
                <w:rFonts w:ascii="Arial Narrow" w:hAnsi="Arial Narrow"/>
                <w:sz w:val="17"/>
                <w:szCs w:val="17"/>
              </w:rPr>
            </w:pPr>
            <w:r w:rsidRPr="00C7610F">
              <w:rPr>
                <w:rFonts w:ascii="Arial Narrow" w:hAnsi="Arial Narrow"/>
                <w:sz w:val="17"/>
                <w:szCs w:val="17"/>
              </w:rPr>
              <w:t>1.06 (0.97,1.15)^</w:t>
            </w:r>
          </w:p>
        </w:tc>
        <w:tc>
          <w:tcPr>
            <w:tcW w:w="1338" w:type="dxa"/>
            <w:shd w:val="clear" w:color="auto" w:fill="auto"/>
            <w:vAlign w:val="center"/>
          </w:tcPr>
          <w:p w14:paraId="22ED37A3" w14:textId="77777777" w:rsidR="00AF5B60" w:rsidRPr="00CE1409" w:rsidRDefault="00AF5B60" w:rsidP="0055090C">
            <w:pPr>
              <w:keepNext/>
              <w:keepLines/>
              <w:jc w:val="center"/>
              <w:rPr>
                <w:rFonts w:ascii="Arial Narrow" w:hAnsi="Arial Narrow"/>
                <w:b/>
                <w:bCs/>
                <w:sz w:val="17"/>
                <w:szCs w:val="17"/>
              </w:rPr>
            </w:pPr>
            <w:r w:rsidRPr="00CE1409">
              <w:rPr>
                <w:rFonts w:ascii="Arial Narrow" w:hAnsi="Arial Narrow"/>
                <w:b/>
                <w:bCs/>
                <w:sz w:val="17"/>
                <w:szCs w:val="17"/>
              </w:rPr>
              <w:t>1.17 (1.07, 1.27)</w:t>
            </w:r>
          </w:p>
        </w:tc>
        <w:tc>
          <w:tcPr>
            <w:tcW w:w="1338" w:type="dxa"/>
            <w:shd w:val="clear" w:color="auto" w:fill="auto"/>
            <w:vAlign w:val="center"/>
          </w:tcPr>
          <w:p w14:paraId="017C29A2" w14:textId="77777777" w:rsidR="00AF5B60" w:rsidRPr="00C7610F" w:rsidRDefault="00AF5B60" w:rsidP="0055090C">
            <w:pPr>
              <w:keepNext/>
              <w:keepLines/>
              <w:jc w:val="center"/>
              <w:rPr>
                <w:rFonts w:ascii="Arial Narrow" w:hAnsi="Arial Narrow"/>
                <w:b/>
                <w:bCs/>
                <w:sz w:val="17"/>
                <w:szCs w:val="17"/>
              </w:rPr>
            </w:pPr>
            <w:r w:rsidRPr="00C7610F">
              <w:rPr>
                <w:rFonts w:ascii="Arial Narrow" w:hAnsi="Arial Narrow"/>
                <w:b/>
                <w:bCs/>
                <w:sz w:val="17"/>
                <w:szCs w:val="17"/>
              </w:rPr>
              <w:t>1.15 (1.04,1.28)</w:t>
            </w:r>
          </w:p>
        </w:tc>
        <w:tc>
          <w:tcPr>
            <w:tcW w:w="1339" w:type="dxa"/>
            <w:shd w:val="clear" w:color="auto" w:fill="auto"/>
            <w:vAlign w:val="center"/>
          </w:tcPr>
          <w:p w14:paraId="1355DA6C" w14:textId="77777777" w:rsidR="00AF5B60" w:rsidRPr="00C7610F" w:rsidRDefault="00AF5B60" w:rsidP="0055090C">
            <w:pPr>
              <w:keepNext/>
              <w:keepLines/>
              <w:jc w:val="center"/>
              <w:rPr>
                <w:rFonts w:ascii="Arial Narrow" w:hAnsi="Arial Narrow"/>
                <w:b/>
                <w:bCs/>
                <w:sz w:val="17"/>
                <w:szCs w:val="17"/>
              </w:rPr>
            </w:pPr>
            <w:r w:rsidRPr="00C7610F">
              <w:rPr>
                <w:rFonts w:ascii="Arial Narrow" w:hAnsi="Arial Narrow"/>
                <w:b/>
                <w:bCs/>
                <w:sz w:val="17"/>
                <w:szCs w:val="17"/>
              </w:rPr>
              <w:t>1.09 (1.00,1.20)^</w:t>
            </w:r>
          </w:p>
        </w:tc>
      </w:tr>
    </w:tbl>
    <w:p w14:paraId="4F42A073" w14:textId="521684E3" w:rsidR="00975D86" w:rsidRPr="005B6D7B" w:rsidRDefault="00975D86" w:rsidP="0055090C">
      <w:pPr>
        <w:pStyle w:val="TableFigureFooter"/>
        <w:keepNext/>
        <w:keepLines/>
        <w:spacing w:after="0"/>
      </w:pPr>
      <w:r w:rsidRPr="00C7610F">
        <w:rPr>
          <w:b/>
          <w:bCs/>
        </w:rPr>
        <w:t>Bold</w:t>
      </w:r>
      <w:r w:rsidRPr="00C7610F">
        <w:t>=statistically significant.</w:t>
      </w:r>
    </w:p>
    <w:p w14:paraId="76C9DD7D" w14:textId="27C53716" w:rsidR="00AF5B60" w:rsidRPr="005B6D7B" w:rsidRDefault="00AF5B60" w:rsidP="0055090C">
      <w:pPr>
        <w:pStyle w:val="TableFigureFooter"/>
        <w:keepNext/>
        <w:keepLines/>
      </w:pPr>
      <w:r w:rsidRPr="005B6D7B">
        <w:t>Source: Armstrong 2020, Table S9 of Armstrong 2022, Figure 7 of Sbidian 2022</w:t>
      </w:r>
    </w:p>
    <w:p w14:paraId="3942EF1C" w14:textId="55135592" w:rsidR="00AF5B60" w:rsidRPr="005B6D7B" w:rsidRDefault="00AF5B60" w:rsidP="0055090C">
      <w:pPr>
        <w:pStyle w:val="TableFigureFooter"/>
        <w:keepNext/>
        <w:keepLines/>
      </w:pPr>
      <w:r w:rsidRPr="005B6D7B">
        <w:t>CI</w:t>
      </w:r>
      <w:r w:rsidR="00DF018C" w:rsidRPr="005B6D7B">
        <w:t>=</w:t>
      </w:r>
      <w:r w:rsidRPr="005B6D7B">
        <w:t>confidence intervals; ITC</w:t>
      </w:r>
      <w:r w:rsidR="00DF018C" w:rsidRPr="005B6D7B">
        <w:t>=</w:t>
      </w:r>
      <w:r w:rsidRPr="005B6D7B">
        <w:t>indirect treatment comparison; NWM</w:t>
      </w:r>
      <w:r w:rsidR="00DF018C" w:rsidRPr="005B6D7B">
        <w:t>=</w:t>
      </w:r>
      <w:r w:rsidRPr="005B6D7B">
        <w:t>network meta-analysis; NR</w:t>
      </w:r>
      <w:r w:rsidR="00DF018C" w:rsidRPr="005B6D7B">
        <w:t>=</w:t>
      </w:r>
      <w:r w:rsidRPr="005B6D7B">
        <w:t>not reported; PASI</w:t>
      </w:r>
      <w:r w:rsidR="00DF018C" w:rsidRPr="005B6D7B">
        <w:t>=</w:t>
      </w:r>
      <w:r w:rsidRPr="005B6D7B">
        <w:t xml:space="preserve">Psoriasis Area Severity Index; </w:t>
      </w:r>
      <w:r w:rsidR="00975D86" w:rsidRPr="005B6D7B">
        <w:t>25*=25mg etanercept, 50*=50mg etanercept</w:t>
      </w:r>
    </w:p>
    <w:p w14:paraId="270D5E86" w14:textId="43A93288" w:rsidR="00AF5B60" w:rsidRPr="005B6D7B" w:rsidRDefault="00AF5B60" w:rsidP="0055090C">
      <w:pPr>
        <w:pStyle w:val="TableFigureFooter"/>
        <w:keepNext/>
        <w:keepLines/>
      </w:pPr>
      <w:r w:rsidRPr="005B6D7B">
        <w:t>Note:</w:t>
      </w:r>
      <w:r w:rsidR="002517AC" w:rsidRPr="005B6D7B">
        <w:t xml:space="preserve"> Given </w:t>
      </w:r>
      <w:r w:rsidRPr="005B6D7B">
        <w:t xml:space="preserve">Armstrong </w:t>
      </w:r>
      <w:r w:rsidR="002517AC" w:rsidRPr="005B6D7B">
        <w:t xml:space="preserve">et al </w:t>
      </w:r>
      <w:r w:rsidRPr="005B6D7B">
        <w:t>2022</w:t>
      </w:r>
      <w:r w:rsidR="002517AC" w:rsidRPr="005B6D7B">
        <w:t xml:space="preserve"> only</w:t>
      </w:r>
      <w:r w:rsidRPr="005B6D7B">
        <w:t xml:space="preserve"> </w:t>
      </w:r>
      <w:r w:rsidR="002517AC" w:rsidRPr="005B6D7B">
        <w:t xml:space="preserve">reported results comparing </w:t>
      </w:r>
      <w:r w:rsidRPr="005B6D7B">
        <w:t xml:space="preserve">bimekizumab </w:t>
      </w:r>
      <w:r w:rsidR="002517AC" w:rsidRPr="005B6D7B">
        <w:t>versus other biologics, results comparing risankizumab versus other biologics were derived during the evaluation from these estimates.</w:t>
      </w:r>
      <w:r w:rsidRPr="005B6D7B">
        <w:t xml:space="preserve"> </w:t>
      </w:r>
    </w:p>
    <w:p w14:paraId="46F01079" w14:textId="13A25CD2" w:rsidR="00AF5B60" w:rsidRPr="005B6D7B" w:rsidRDefault="00AF5B60" w:rsidP="00AF5B60">
      <w:pPr>
        <w:pStyle w:val="TableFigureFooter"/>
      </w:pPr>
      <w:r w:rsidRPr="005B6D7B">
        <w:t>^</w:t>
      </w:r>
      <w:r w:rsidRPr="005B6D7B">
        <w:tab/>
        <w:t>Different dose arms in the included trials (approved and other doses) were grouped together in one ‘arm’ for the base case analysis</w:t>
      </w:r>
    </w:p>
    <w:p w14:paraId="1E2DC8CC" w14:textId="6E5897D9" w:rsidR="00F554D3" w:rsidRPr="005D1E8B" w:rsidRDefault="00F554D3" w:rsidP="00C7610F">
      <w:pPr>
        <w:pStyle w:val="3-BodyText"/>
        <w:shd w:val="clear" w:color="auto" w:fill="FFFFFF" w:themeFill="background1"/>
      </w:pPr>
      <w:bookmarkStart w:id="39" w:name="_Ref150437191"/>
      <w:r w:rsidRPr="005D1E8B">
        <w:t xml:space="preserve">The ESC noted the NMA results appeared to have notable differences in results depending on whether Bayesian or frequentist approach was used, however also noted </w:t>
      </w:r>
      <w:r w:rsidR="00B64453" w:rsidRPr="005D1E8B">
        <w:t>the NMAs included different lists of trials, with Armstrong 202</w:t>
      </w:r>
      <w:r w:rsidR="00A462B0" w:rsidRPr="005D1E8B">
        <w:t>0</w:t>
      </w:r>
      <w:r w:rsidR="00B64453" w:rsidRPr="005D1E8B">
        <w:t xml:space="preserve"> </w:t>
      </w:r>
      <w:r w:rsidR="00A462B0" w:rsidRPr="005D1E8B">
        <w:t xml:space="preserve">including 60 trials, Armstrong 2022 (an update to the 2020 publication) including 86 trials </w:t>
      </w:r>
      <w:r w:rsidR="00B64453" w:rsidRPr="005D1E8B">
        <w:t>and Sbidian 2022 including 167 studies</w:t>
      </w:r>
      <w:r w:rsidRPr="005D1E8B">
        <w:t xml:space="preserve">. </w:t>
      </w:r>
      <w:r w:rsidR="00A462B0" w:rsidRPr="005D1E8B">
        <w:t>The ESC recalled it had been previously noted that the Armstrong 2022 review included a subset of RCTs included in the Sbidian 2022 review due to the narrower selection criteria (e.g., exclusion of unapproved treatments/doses, without PASI response outcomes, unpublished RCTs, non-English publications) and earlier search date (paragraph 6.13, bimekizumab PSD, March 2023 PBAC meeting.</w:t>
      </w:r>
      <w:bookmarkEnd w:id="39"/>
      <w:r w:rsidR="00A462B0" w:rsidRPr="005D1E8B">
        <w:t xml:space="preserve"> </w:t>
      </w:r>
    </w:p>
    <w:p w14:paraId="0E8BCA3A" w14:textId="4FBB8D7A" w:rsidR="00C72A4C" w:rsidRPr="005B6D7B" w:rsidRDefault="00C72A4C" w:rsidP="00C72A4C">
      <w:pPr>
        <w:pStyle w:val="3-BodyText"/>
        <w:numPr>
          <w:ilvl w:val="0"/>
          <w:numId w:val="0"/>
        </w:numPr>
        <w:ind w:left="720" w:hanging="720"/>
        <w:outlineLvl w:val="3"/>
        <w:rPr>
          <w:u w:val="single"/>
        </w:rPr>
      </w:pPr>
      <w:r w:rsidRPr="005B6D7B">
        <w:rPr>
          <w:u w:val="single"/>
        </w:rPr>
        <w:t>Longer term response</w:t>
      </w:r>
    </w:p>
    <w:p w14:paraId="557244E7" w14:textId="30EE8CAB" w:rsidR="00AD5C51" w:rsidRPr="009A24F9" w:rsidRDefault="00B87FF0" w:rsidP="000B7429">
      <w:pPr>
        <w:pStyle w:val="3-BodyText"/>
        <w:shd w:val="clear" w:color="auto" w:fill="FFFFFF" w:themeFill="background1"/>
        <w:rPr>
          <w:snapToGrid/>
        </w:rPr>
      </w:pPr>
      <w:r w:rsidRPr="009A24F9">
        <w:rPr>
          <w:snapToGrid/>
        </w:rPr>
        <w:fldChar w:fldCharType="begin" w:fldLock="1"/>
      </w:r>
      <w:r w:rsidRPr="009A24F9">
        <w:rPr>
          <w:snapToGrid/>
        </w:rPr>
        <w:instrText xml:space="preserve"> REF _Ref141960945 \h </w:instrText>
      </w:r>
      <w:r w:rsidR="00BB5640" w:rsidRPr="009A24F9">
        <w:rPr>
          <w:snapToGrid/>
        </w:rPr>
        <w:instrText xml:space="preserve"> \* MERGEFORMAT </w:instrText>
      </w:r>
      <w:r w:rsidRPr="009A24F9">
        <w:rPr>
          <w:snapToGrid/>
        </w:rPr>
      </w:r>
      <w:r w:rsidRPr="009A24F9">
        <w:rPr>
          <w:snapToGrid/>
        </w:rPr>
        <w:fldChar w:fldCharType="separate"/>
      </w:r>
      <w:r w:rsidRPr="009A24F9">
        <w:t xml:space="preserve">Table </w:t>
      </w:r>
      <w:r w:rsidRPr="009A24F9">
        <w:rPr>
          <w:noProof/>
        </w:rPr>
        <w:t>6</w:t>
      </w:r>
      <w:r w:rsidRPr="009A24F9">
        <w:rPr>
          <w:snapToGrid/>
        </w:rPr>
        <w:fldChar w:fldCharType="end"/>
      </w:r>
      <w:r w:rsidRPr="009A24F9">
        <w:rPr>
          <w:snapToGrid/>
        </w:rPr>
        <w:t xml:space="preserve"> </w:t>
      </w:r>
      <w:r w:rsidR="00AD5C51" w:rsidRPr="009A24F9">
        <w:rPr>
          <w:snapToGrid/>
        </w:rPr>
        <w:t xml:space="preserve">summarises the results </w:t>
      </w:r>
      <w:r w:rsidR="00A76B0A" w:rsidRPr="009A24F9">
        <w:rPr>
          <w:snapToGrid/>
        </w:rPr>
        <w:t xml:space="preserve">of the direct </w:t>
      </w:r>
      <w:r w:rsidR="00542D9C" w:rsidRPr="009A24F9">
        <w:rPr>
          <w:snapToGrid/>
        </w:rPr>
        <w:t>evidence</w:t>
      </w:r>
      <w:r w:rsidR="00A76B0A" w:rsidRPr="009A24F9">
        <w:rPr>
          <w:snapToGrid/>
        </w:rPr>
        <w:t xml:space="preserve"> and </w:t>
      </w:r>
      <w:r w:rsidR="00542D9C" w:rsidRPr="009A24F9">
        <w:rPr>
          <w:snapToGrid/>
        </w:rPr>
        <w:t>ITC</w:t>
      </w:r>
      <w:r w:rsidR="00A76B0A" w:rsidRPr="009A24F9">
        <w:rPr>
          <w:snapToGrid/>
        </w:rPr>
        <w:t xml:space="preserve">, </w:t>
      </w:r>
      <w:r w:rsidR="00AD5C51" w:rsidRPr="009A24F9">
        <w:rPr>
          <w:snapToGrid/>
        </w:rPr>
        <w:t>comparing risankizumab versus the nominated comparators in terms of long-term PASI 75 and PASI 90 response (Week 48 to 52).</w:t>
      </w:r>
      <w:r w:rsidR="00EF2BDC" w:rsidRPr="009A24F9">
        <w:rPr>
          <w:snapToGrid/>
        </w:rPr>
        <w:t xml:space="preserve"> The results showed more patients </w:t>
      </w:r>
      <w:r w:rsidR="000B7429" w:rsidRPr="009A24F9">
        <w:rPr>
          <w:snapToGrid/>
        </w:rPr>
        <w:t>had</w:t>
      </w:r>
      <w:r w:rsidR="00EF2BDC" w:rsidRPr="009A24F9">
        <w:rPr>
          <w:snapToGrid/>
        </w:rPr>
        <w:t xml:space="preserve"> PASI</w:t>
      </w:r>
      <w:r w:rsidR="00975D86" w:rsidRPr="009A24F9">
        <w:rPr>
          <w:snapToGrid/>
        </w:rPr>
        <w:t> </w:t>
      </w:r>
      <w:r w:rsidR="00EF2BDC" w:rsidRPr="009A24F9">
        <w:rPr>
          <w:snapToGrid/>
        </w:rPr>
        <w:t>75 response at Week 52 with risankizumab compared to secukinumab and ustekinumab, and PASI 90 at Week 48-52 with risankizumab compared to secukinumab, ustekinumab, bimekizumab, guselkumab and ixekizumab.</w:t>
      </w:r>
      <w:r w:rsidR="000F3E60" w:rsidRPr="009A24F9">
        <w:rPr>
          <w:snapToGrid/>
        </w:rPr>
        <w:t xml:space="preserve"> </w:t>
      </w:r>
    </w:p>
    <w:p w14:paraId="38D1910B" w14:textId="77777777" w:rsidR="00285386" w:rsidRDefault="00285386">
      <w:pPr>
        <w:jc w:val="left"/>
        <w:rPr>
          <w:rFonts w:ascii="Arial Narrow" w:hAnsi="Arial Narrow"/>
          <w:b/>
          <w:bCs/>
          <w:sz w:val="20"/>
          <w:szCs w:val="18"/>
        </w:rPr>
      </w:pPr>
      <w:bookmarkStart w:id="40" w:name="_Ref141960945"/>
      <w:r>
        <w:br w:type="page"/>
      </w:r>
    </w:p>
    <w:p w14:paraId="6C308A47" w14:textId="43A55598" w:rsidR="00B44171" w:rsidRPr="005B6D7B" w:rsidRDefault="00B87FF0" w:rsidP="00B87FF0">
      <w:pPr>
        <w:pStyle w:val="Caption"/>
      </w:pPr>
      <w:r w:rsidRPr="005B6D7B">
        <w:lastRenderedPageBreak/>
        <w:t xml:space="preserve">Table </w:t>
      </w:r>
      <w:r w:rsidR="004D70E1">
        <w:fldChar w:fldCharType="begin" w:fldLock="1"/>
      </w:r>
      <w:r w:rsidR="004D70E1">
        <w:instrText xml:space="preserve"> SEQ Table \* ARABIC </w:instrText>
      </w:r>
      <w:r w:rsidR="004D70E1">
        <w:fldChar w:fldCharType="separate"/>
      </w:r>
      <w:r w:rsidR="00435AF2">
        <w:rPr>
          <w:noProof/>
        </w:rPr>
        <w:t>6</w:t>
      </w:r>
      <w:r w:rsidR="004D70E1">
        <w:rPr>
          <w:noProof/>
        </w:rPr>
        <w:fldChar w:fldCharType="end"/>
      </w:r>
      <w:bookmarkEnd w:id="40"/>
      <w:r w:rsidR="00B44171" w:rsidRPr="005B6D7B">
        <w:t xml:space="preserve">: Summary of PASI 75 and PASI 90 response in the long-term (48-52 weeks) based on the direct randomised trials and indirect treatment comparisons presented by the submission for risankizumab versus other biologics. </w:t>
      </w:r>
    </w:p>
    <w:tbl>
      <w:tblPr>
        <w:tblStyle w:val="TableGrid"/>
        <w:tblW w:w="5000" w:type="pct"/>
        <w:tblCellMar>
          <w:left w:w="28" w:type="dxa"/>
          <w:right w:w="28" w:type="dxa"/>
        </w:tblCellMar>
        <w:tblLook w:val="04A0" w:firstRow="1" w:lastRow="0" w:firstColumn="1" w:lastColumn="0" w:noHBand="0" w:noVBand="1"/>
        <w:tblCaption w:val="Table 6: Summary of PASI 75 and PASI 90 response in the long-term (48-52 weeks) based on the direct randomised trials and indirect treatment comparisons presented by the submission for risankizumab versus other biologics. "/>
      </w:tblPr>
      <w:tblGrid>
        <w:gridCol w:w="1123"/>
        <w:gridCol w:w="1314"/>
        <w:gridCol w:w="1315"/>
        <w:gridCol w:w="1315"/>
        <w:gridCol w:w="1315"/>
        <w:gridCol w:w="1315"/>
        <w:gridCol w:w="1320"/>
      </w:tblGrid>
      <w:tr w:rsidR="002517AC" w:rsidRPr="005B6D7B" w14:paraId="50232A15" w14:textId="77777777" w:rsidTr="00A35472">
        <w:tc>
          <w:tcPr>
            <w:tcW w:w="623" w:type="pct"/>
            <w:vMerge w:val="restart"/>
            <w:vAlign w:val="center"/>
          </w:tcPr>
          <w:p w14:paraId="4758A12E" w14:textId="1BC2F235" w:rsidR="002517AC" w:rsidRPr="005B6D7B" w:rsidRDefault="002517AC" w:rsidP="002517AC">
            <w:pPr>
              <w:pStyle w:val="TableText0"/>
              <w:rPr>
                <w:sz w:val="17"/>
                <w:szCs w:val="17"/>
              </w:rPr>
            </w:pPr>
            <w:r w:rsidRPr="005B6D7B">
              <w:rPr>
                <w:b/>
                <w:sz w:val="17"/>
                <w:szCs w:val="17"/>
              </w:rPr>
              <w:t>Risankizumab versus comparator</w:t>
            </w:r>
          </w:p>
        </w:tc>
        <w:tc>
          <w:tcPr>
            <w:tcW w:w="2187" w:type="pct"/>
            <w:gridSpan w:val="3"/>
          </w:tcPr>
          <w:p w14:paraId="36C4DE4C" w14:textId="1B884ED9" w:rsidR="002517AC" w:rsidRPr="005B6D7B" w:rsidRDefault="002517AC" w:rsidP="002517AC">
            <w:pPr>
              <w:pStyle w:val="TableText0"/>
              <w:jc w:val="center"/>
              <w:rPr>
                <w:b/>
                <w:bCs w:val="0"/>
                <w:sz w:val="17"/>
                <w:szCs w:val="17"/>
              </w:rPr>
            </w:pPr>
            <w:r w:rsidRPr="005B6D7B">
              <w:rPr>
                <w:b/>
                <w:sz w:val="17"/>
                <w:szCs w:val="17"/>
              </w:rPr>
              <w:t>PASI 75</w:t>
            </w:r>
          </w:p>
        </w:tc>
        <w:tc>
          <w:tcPr>
            <w:tcW w:w="2190" w:type="pct"/>
            <w:gridSpan w:val="3"/>
            <w:shd w:val="clear" w:color="auto" w:fill="auto"/>
            <w:vAlign w:val="center"/>
          </w:tcPr>
          <w:p w14:paraId="16016F9A" w14:textId="5745A60F" w:rsidR="002517AC" w:rsidRPr="005B6D7B" w:rsidRDefault="002517AC" w:rsidP="002517AC">
            <w:pPr>
              <w:pStyle w:val="TableText0"/>
              <w:jc w:val="center"/>
              <w:rPr>
                <w:b/>
                <w:bCs w:val="0"/>
                <w:sz w:val="17"/>
                <w:szCs w:val="17"/>
              </w:rPr>
            </w:pPr>
            <w:r w:rsidRPr="005B6D7B">
              <w:rPr>
                <w:b/>
                <w:sz w:val="17"/>
                <w:szCs w:val="17"/>
              </w:rPr>
              <w:t>PASI 90</w:t>
            </w:r>
          </w:p>
        </w:tc>
      </w:tr>
      <w:tr w:rsidR="002517AC" w:rsidRPr="005B6D7B" w14:paraId="0C9F3A05" w14:textId="77777777" w:rsidTr="00A35472">
        <w:tc>
          <w:tcPr>
            <w:tcW w:w="623" w:type="pct"/>
            <w:vMerge/>
            <w:vAlign w:val="center"/>
          </w:tcPr>
          <w:p w14:paraId="1D35C09A" w14:textId="77777777" w:rsidR="002517AC" w:rsidRPr="005B6D7B" w:rsidRDefault="002517AC" w:rsidP="002517AC">
            <w:pPr>
              <w:pStyle w:val="TableText0"/>
              <w:rPr>
                <w:sz w:val="17"/>
                <w:szCs w:val="17"/>
              </w:rPr>
            </w:pPr>
          </w:p>
        </w:tc>
        <w:tc>
          <w:tcPr>
            <w:tcW w:w="729" w:type="pct"/>
            <w:vAlign w:val="center"/>
          </w:tcPr>
          <w:p w14:paraId="322AA2B2" w14:textId="24C4401B" w:rsidR="002517AC" w:rsidRPr="005B6D7B" w:rsidRDefault="002517AC" w:rsidP="002517AC">
            <w:pPr>
              <w:pStyle w:val="TableText0"/>
              <w:jc w:val="center"/>
              <w:rPr>
                <w:sz w:val="17"/>
                <w:szCs w:val="17"/>
              </w:rPr>
            </w:pPr>
            <w:r w:rsidRPr="005B6D7B">
              <w:rPr>
                <w:b/>
                <w:bCs w:val="0"/>
                <w:sz w:val="17"/>
                <w:szCs w:val="17"/>
              </w:rPr>
              <w:t>OR (95% CI)</w:t>
            </w:r>
          </w:p>
        </w:tc>
        <w:tc>
          <w:tcPr>
            <w:tcW w:w="729" w:type="pct"/>
            <w:vAlign w:val="center"/>
          </w:tcPr>
          <w:p w14:paraId="28B05CD5" w14:textId="17DC0BA6" w:rsidR="002517AC" w:rsidRPr="005B6D7B" w:rsidRDefault="002517AC" w:rsidP="002517AC">
            <w:pPr>
              <w:pStyle w:val="TableText0"/>
              <w:jc w:val="center"/>
              <w:rPr>
                <w:sz w:val="17"/>
                <w:szCs w:val="17"/>
              </w:rPr>
            </w:pPr>
            <w:r w:rsidRPr="005B6D7B">
              <w:rPr>
                <w:b/>
                <w:sz w:val="17"/>
                <w:szCs w:val="17"/>
              </w:rPr>
              <w:t>RR (95% CI)</w:t>
            </w:r>
          </w:p>
        </w:tc>
        <w:tc>
          <w:tcPr>
            <w:tcW w:w="729" w:type="pct"/>
            <w:vAlign w:val="center"/>
          </w:tcPr>
          <w:p w14:paraId="10E62CE0" w14:textId="6FB7AFDA" w:rsidR="002517AC" w:rsidRPr="005B6D7B" w:rsidRDefault="002517AC" w:rsidP="002517AC">
            <w:pPr>
              <w:pStyle w:val="TableText0"/>
              <w:jc w:val="center"/>
              <w:rPr>
                <w:sz w:val="17"/>
                <w:szCs w:val="17"/>
              </w:rPr>
            </w:pPr>
            <w:r w:rsidRPr="005B6D7B">
              <w:rPr>
                <w:b/>
                <w:bCs w:val="0"/>
                <w:sz w:val="17"/>
                <w:szCs w:val="17"/>
              </w:rPr>
              <w:t>RD (95% CI)</w:t>
            </w:r>
          </w:p>
        </w:tc>
        <w:tc>
          <w:tcPr>
            <w:tcW w:w="729" w:type="pct"/>
            <w:shd w:val="clear" w:color="auto" w:fill="auto"/>
            <w:vAlign w:val="center"/>
          </w:tcPr>
          <w:p w14:paraId="69544A84" w14:textId="74E22226" w:rsidR="002517AC" w:rsidRPr="005B6D7B" w:rsidRDefault="002517AC" w:rsidP="002517AC">
            <w:pPr>
              <w:pStyle w:val="TableText0"/>
              <w:jc w:val="center"/>
              <w:rPr>
                <w:sz w:val="17"/>
                <w:szCs w:val="17"/>
              </w:rPr>
            </w:pPr>
            <w:r w:rsidRPr="005B6D7B">
              <w:rPr>
                <w:b/>
                <w:bCs w:val="0"/>
                <w:sz w:val="17"/>
                <w:szCs w:val="17"/>
              </w:rPr>
              <w:t>OR (95% CI)</w:t>
            </w:r>
          </w:p>
        </w:tc>
        <w:tc>
          <w:tcPr>
            <w:tcW w:w="729" w:type="pct"/>
            <w:vAlign w:val="center"/>
          </w:tcPr>
          <w:p w14:paraId="61BB8C2F" w14:textId="2244F1A2" w:rsidR="002517AC" w:rsidRPr="005B6D7B" w:rsidRDefault="002517AC" w:rsidP="002517AC">
            <w:pPr>
              <w:pStyle w:val="TableText0"/>
              <w:jc w:val="center"/>
              <w:rPr>
                <w:sz w:val="17"/>
                <w:szCs w:val="17"/>
              </w:rPr>
            </w:pPr>
            <w:r w:rsidRPr="005B6D7B">
              <w:rPr>
                <w:b/>
                <w:sz w:val="17"/>
                <w:szCs w:val="17"/>
              </w:rPr>
              <w:t>RR (95% CI)</w:t>
            </w:r>
          </w:p>
        </w:tc>
        <w:tc>
          <w:tcPr>
            <w:tcW w:w="732" w:type="pct"/>
            <w:vAlign w:val="center"/>
          </w:tcPr>
          <w:p w14:paraId="72FDC5EE" w14:textId="49F6A7FF" w:rsidR="002517AC" w:rsidRPr="005B6D7B" w:rsidRDefault="002517AC" w:rsidP="002517AC">
            <w:pPr>
              <w:pStyle w:val="TableText0"/>
              <w:jc w:val="center"/>
              <w:rPr>
                <w:sz w:val="17"/>
                <w:szCs w:val="17"/>
              </w:rPr>
            </w:pPr>
            <w:r w:rsidRPr="005B6D7B">
              <w:rPr>
                <w:b/>
                <w:bCs w:val="0"/>
                <w:sz w:val="17"/>
                <w:szCs w:val="17"/>
              </w:rPr>
              <w:t>RD (95% CI)</w:t>
            </w:r>
          </w:p>
        </w:tc>
      </w:tr>
      <w:tr w:rsidR="00B44171" w:rsidRPr="005B6D7B" w14:paraId="29B2ADA1" w14:textId="77777777" w:rsidTr="00A35472">
        <w:tc>
          <w:tcPr>
            <w:tcW w:w="5000" w:type="pct"/>
            <w:gridSpan w:val="7"/>
          </w:tcPr>
          <w:p w14:paraId="53817D59" w14:textId="77777777" w:rsidR="00B44171" w:rsidRPr="005B6D7B" w:rsidRDefault="00B44171" w:rsidP="00A35472">
            <w:pPr>
              <w:pStyle w:val="TableText0"/>
              <w:rPr>
                <w:b/>
                <w:sz w:val="17"/>
                <w:szCs w:val="17"/>
              </w:rPr>
            </w:pPr>
            <w:r w:rsidRPr="005B6D7B">
              <w:rPr>
                <w:b/>
                <w:sz w:val="17"/>
                <w:szCs w:val="17"/>
              </w:rPr>
              <w:t>Direct evidence</w:t>
            </w:r>
          </w:p>
        </w:tc>
      </w:tr>
      <w:tr w:rsidR="006A2E6C" w:rsidRPr="005B6D7B" w14:paraId="2E326905" w14:textId="77777777" w:rsidTr="00AD5C51">
        <w:tc>
          <w:tcPr>
            <w:tcW w:w="623" w:type="pct"/>
            <w:vAlign w:val="center"/>
          </w:tcPr>
          <w:p w14:paraId="09127B33" w14:textId="77777777" w:rsidR="00AD5C51" w:rsidRPr="005B6D7B" w:rsidRDefault="00AD5C51" w:rsidP="00AD5C51">
            <w:pPr>
              <w:pStyle w:val="TableText0"/>
              <w:rPr>
                <w:sz w:val="17"/>
                <w:szCs w:val="17"/>
              </w:rPr>
            </w:pPr>
            <w:r w:rsidRPr="005B6D7B">
              <w:rPr>
                <w:sz w:val="17"/>
                <w:szCs w:val="17"/>
              </w:rPr>
              <w:t>Secukinumab</w:t>
            </w:r>
            <w:r w:rsidRPr="005B6D7B">
              <w:rPr>
                <w:sz w:val="17"/>
                <w:szCs w:val="17"/>
                <w:vertAlign w:val="superscript"/>
              </w:rPr>
              <w:t>1</w:t>
            </w:r>
          </w:p>
        </w:tc>
        <w:tc>
          <w:tcPr>
            <w:tcW w:w="729" w:type="pct"/>
            <w:vAlign w:val="center"/>
          </w:tcPr>
          <w:p w14:paraId="250D12D8" w14:textId="49CBF569" w:rsidR="00AD5C51" w:rsidRPr="005B6D7B" w:rsidRDefault="00857749" w:rsidP="00857749">
            <w:pPr>
              <w:pStyle w:val="TableText0"/>
              <w:jc w:val="center"/>
              <w:rPr>
                <w:b/>
                <w:sz w:val="17"/>
                <w:szCs w:val="17"/>
                <w:highlight w:val="yellow"/>
              </w:rPr>
            </w:pPr>
            <w:r w:rsidRPr="005B6D7B">
              <w:rPr>
                <w:b/>
                <w:sz w:val="17"/>
                <w:szCs w:val="17"/>
              </w:rPr>
              <w:t>3.98 (2.15,</w:t>
            </w:r>
            <w:r w:rsidR="00085DD1" w:rsidRPr="005B6D7B">
              <w:rPr>
                <w:b/>
                <w:sz w:val="17"/>
                <w:szCs w:val="17"/>
              </w:rPr>
              <w:t xml:space="preserve"> </w:t>
            </w:r>
            <w:r w:rsidRPr="005B6D7B">
              <w:rPr>
                <w:b/>
                <w:sz w:val="17"/>
                <w:szCs w:val="17"/>
              </w:rPr>
              <w:t>7.35)</w:t>
            </w:r>
          </w:p>
        </w:tc>
        <w:tc>
          <w:tcPr>
            <w:tcW w:w="729" w:type="pct"/>
            <w:vAlign w:val="center"/>
          </w:tcPr>
          <w:p w14:paraId="0198AE9B" w14:textId="30929629" w:rsidR="00AD5C51" w:rsidRPr="005B6D7B" w:rsidRDefault="00857749" w:rsidP="00857749">
            <w:pPr>
              <w:pStyle w:val="TableText0"/>
              <w:jc w:val="center"/>
              <w:rPr>
                <w:b/>
                <w:sz w:val="17"/>
                <w:szCs w:val="17"/>
              </w:rPr>
            </w:pPr>
            <w:r w:rsidRPr="005B6D7B">
              <w:rPr>
                <w:b/>
                <w:sz w:val="17"/>
                <w:szCs w:val="17"/>
              </w:rPr>
              <w:t>1.29 (1.15,</w:t>
            </w:r>
            <w:r w:rsidR="00085DD1" w:rsidRPr="005B6D7B">
              <w:rPr>
                <w:b/>
                <w:sz w:val="17"/>
                <w:szCs w:val="17"/>
              </w:rPr>
              <w:t xml:space="preserve"> </w:t>
            </w:r>
            <w:r w:rsidRPr="005B6D7B">
              <w:rPr>
                <w:b/>
                <w:sz w:val="17"/>
                <w:szCs w:val="17"/>
              </w:rPr>
              <w:t>1.44)</w:t>
            </w:r>
          </w:p>
        </w:tc>
        <w:tc>
          <w:tcPr>
            <w:tcW w:w="729" w:type="pct"/>
          </w:tcPr>
          <w:p w14:paraId="596F2462" w14:textId="029774A5" w:rsidR="00AD5C51" w:rsidRPr="005B6D7B" w:rsidRDefault="00857749" w:rsidP="00857749">
            <w:pPr>
              <w:pStyle w:val="TableText0"/>
              <w:jc w:val="center"/>
              <w:rPr>
                <w:b/>
                <w:sz w:val="17"/>
                <w:szCs w:val="17"/>
              </w:rPr>
            </w:pPr>
            <w:r w:rsidRPr="005B6D7B">
              <w:rPr>
                <w:b/>
                <w:sz w:val="17"/>
                <w:szCs w:val="17"/>
              </w:rPr>
              <w:t>0.20 (0.12,</w:t>
            </w:r>
            <w:r w:rsidR="00085DD1" w:rsidRPr="005B6D7B">
              <w:rPr>
                <w:b/>
                <w:sz w:val="17"/>
                <w:szCs w:val="17"/>
              </w:rPr>
              <w:t xml:space="preserve"> </w:t>
            </w:r>
            <w:r w:rsidRPr="005B6D7B">
              <w:rPr>
                <w:b/>
                <w:sz w:val="17"/>
                <w:szCs w:val="17"/>
              </w:rPr>
              <w:t>0.29)</w:t>
            </w:r>
          </w:p>
        </w:tc>
        <w:tc>
          <w:tcPr>
            <w:tcW w:w="729" w:type="pct"/>
            <w:shd w:val="clear" w:color="auto" w:fill="auto"/>
            <w:vAlign w:val="center"/>
          </w:tcPr>
          <w:p w14:paraId="17D3A6A9" w14:textId="13473C39" w:rsidR="00AD5C51" w:rsidRPr="009E2C35" w:rsidRDefault="00AE4F79" w:rsidP="00857749">
            <w:pPr>
              <w:pStyle w:val="TableText0"/>
              <w:jc w:val="center"/>
              <w:rPr>
                <w:b/>
                <w:bCs w:val="0"/>
                <w:iCs/>
                <w:sz w:val="17"/>
                <w:szCs w:val="17"/>
                <w:highlight w:val="yellow"/>
              </w:rPr>
            </w:pPr>
            <w:r w:rsidRPr="009C5BA6">
              <w:rPr>
                <w:b/>
                <w:bCs w:val="0"/>
                <w:iCs/>
                <w:sz w:val="17"/>
                <w:szCs w:val="17"/>
              </w:rPr>
              <w:t>4.86 (2.81, 8.38)</w:t>
            </w:r>
          </w:p>
        </w:tc>
        <w:tc>
          <w:tcPr>
            <w:tcW w:w="729" w:type="pct"/>
            <w:vAlign w:val="center"/>
          </w:tcPr>
          <w:p w14:paraId="2DAD6548" w14:textId="42233DFC" w:rsidR="00AD5C51" w:rsidRPr="009E2C35" w:rsidRDefault="00AE4F79" w:rsidP="00857749">
            <w:pPr>
              <w:pStyle w:val="TableText0"/>
              <w:jc w:val="center"/>
              <w:rPr>
                <w:b/>
                <w:bCs w:val="0"/>
                <w:iCs/>
                <w:sz w:val="17"/>
                <w:szCs w:val="17"/>
                <w:highlight w:val="yellow"/>
              </w:rPr>
            </w:pPr>
            <w:r w:rsidRPr="009C5BA6">
              <w:rPr>
                <w:b/>
                <w:bCs w:val="0"/>
                <w:iCs/>
                <w:sz w:val="17"/>
                <w:szCs w:val="17"/>
              </w:rPr>
              <w:t>1.52 (1.31, 1.76)</w:t>
            </w:r>
          </w:p>
        </w:tc>
        <w:tc>
          <w:tcPr>
            <w:tcW w:w="732" w:type="pct"/>
          </w:tcPr>
          <w:p w14:paraId="7013445C" w14:textId="5EAF18D8" w:rsidR="00AD5C51" w:rsidRPr="009E2C35" w:rsidRDefault="00AE4F79" w:rsidP="00857749">
            <w:pPr>
              <w:pStyle w:val="TableText0"/>
              <w:jc w:val="center"/>
              <w:rPr>
                <w:b/>
                <w:bCs w:val="0"/>
                <w:iCs/>
                <w:sz w:val="17"/>
                <w:szCs w:val="17"/>
                <w:highlight w:val="yellow"/>
              </w:rPr>
            </w:pPr>
            <w:r w:rsidRPr="009E2C35">
              <w:rPr>
                <w:b/>
                <w:bCs w:val="0"/>
                <w:iCs/>
                <w:sz w:val="17"/>
                <w:szCs w:val="17"/>
              </w:rPr>
              <w:t>0.30 (</w:t>
            </w:r>
            <w:r w:rsidRPr="009C5BA6">
              <w:rPr>
                <w:b/>
                <w:bCs w:val="0"/>
                <w:iCs/>
                <w:sz w:val="17"/>
                <w:szCs w:val="17"/>
              </w:rPr>
              <w:t>0.20</w:t>
            </w:r>
            <w:r w:rsidRPr="009E2C35">
              <w:rPr>
                <w:b/>
                <w:bCs w:val="0"/>
                <w:iCs/>
                <w:sz w:val="17"/>
                <w:szCs w:val="17"/>
              </w:rPr>
              <w:t>, 0.39)</w:t>
            </w:r>
          </w:p>
        </w:tc>
      </w:tr>
      <w:tr w:rsidR="006A2E6C" w:rsidRPr="005B6D7B" w14:paraId="76A5AB62" w14:textId="77777777" w:rsidTr="00AD5C51">
        <w:tc>
          <w:tcPr>
            <w:tcW w:w="623" w:type="pct"/>
            <w:vAlign w:val="center"/>
          </w:tcPr>
          <w:p w14:paraId="5EF3B85C" w14:textId="77777777" w:rsidR="00AD5C51" w:rsidRPr="005B6D7B" w:rsidRDefault="00AD5C51" w:rsidP="00AD5C51">
            <w:pPr>
              <w:pStyle w:val="TableText0"/>
              <w:rPr>
                <w:sz w:val="17"/>
                <w:szCs w:val="17"/>
              </w:rPr>
            </w:pPr>
            <w:r w:rsidRPr="005B6D7B">
              <w:rPr>
                <w:sz w:val="17"/>
                <w:szCs w:val="17"/>
              </w:rPr>
              <w:t>Ustekinumab</w:t>
            </w:r>
            <w:r w:rsidRPr="005B6D7B">
              <w:rPr>
                <w:sz w:val="17"/>
                <w:szCs w:val="17"/>
                <w:vertAlign w:val="superscript"/>
              </w:rPr>
              <w:t>1</w:t>
            </w:r>
          </w:p>
        </w:tc>
        <w:tc>
          <w:tcPr>
            <w:tcW w:w="729" w:type="pct"/>
            <w:vAlign w:val="center"/>
          </w:tcPr>
          <w:p w14:paraId="46F48F91" w14:textId="076297F1" w:rsidR="00AD5C51" w:rsidRPr="005B6D7B" w:rsidRDefault="00857749" w:rsidP="00857749">
            <w:pPr>
              <w:pStyle w:val="TableText0"/>
              <w:jc w:val="center"/>
              <w:rPr>
                <w:b/>
                <w:sz w:val="17"/>
                <w:szCs w:val="17"/>
                <w:highlight w:val="yellow"/>
              </w:rPr>
            </w:pPr>
            <w:r w:rsidRPr="005B6D7B">
              <w:rPr>
                <w:b/>
                <w:sz w:val="17"/>
                <w:szCs w:val="17"/>
              </w:rPr>
              <w:t>3.98 (2.60,</w:t>
            </w:r>
            <w:r w:rsidR="00085DD1" w:rsidRPr="005B6D7B">
              <w:rPr>
                <w:b/>
                <w:sz w:val="17"/>
                <w:szCs w:val="17"/>
              </w:rPr>
              <w:t xml:space="preserve"> </w:t>
            </w:r>
            <w:r w:rsidRPr="005B6D7B">
              <w:rPr>
                <w:b/>
                <w:sz w:val="17"/>
                <w:szCs w:val="17"/>
              </w:rPr>
              <w:t>6.10)</w:t>
            </w:r>
          </w:p>
        </w:tc>
        <w:tc>
          <w:tcPr>
            <w:tcW w:w="729" w:type="pct"/>
            <w:vAlign w:val="center"/>
          </w:tcPr>
          <w:p w14:paraId="2F3487F7" w14:textId="6C6B9C4B" w:rsidR="00AD5C51" w:rsidRPr="005B6D7B" w:rsidRDefault="00857749" w:rsidP="00857749">
            <w:pPr>
              <w:pStyle w:val="TableText0"/>
              <w:jc w:val="center"/>
              <w:rPr>
                <w:b/>
                <w:sz w:val="17"/>
                <w:szCs w:val="17"/>
                <w:highlight w:val="yellow"/>
              </w:rPr>
            </w:pPr>
            <w:r w:rsidRPr="005B6D7B">
              <w:rPr>
                <w:b/>
                <w:sz w:val="17"/>
                <w:szCs w:val="17"/>
              </w:rPr>
              <w:t>1.25 (1.14,</w:t>
            </w:r>
            <w:r w:rsidR="00085DD1" w:rsidRPr="005B6D7B">
              <w:rPr>
                <w:b/>
                <w:sz w:val="17"/>
                <w:szCs w:val="17"/>
              </w:rPr>
              <w:t xml:space="preserve"> </w:t>
            </w:r>
            <w:r w:rsidRPr="005B6D7B">
              <w:rPr>
                <w:b/>
                <w:sz w:val="17"/>
                <w:szCs w:val="17"/>
              </w:rPr>
              <w:t>1.36)</w:t>
            </w:r>
          </w:p>
        </w:tc>
        <w:tc>
          <w:tcPr>
            <w:tcW w:w="729" w:type="pct"/>
          </w:tcPr>
          <w:p w14:paraId="0D50E3DA" w14:textId="7757CC5D" w:rsidR="00AD5C51" w:rsidRPr="005B6D7B" w:rsidRDefault="00857749" w:rsidP="00857749">
            <w:pPr>
              <w:pStyle w:val="TableText0"/>
              <w:jc w:val="center"/>
              <w:rPr>
                <w:b/>
                <w:sz w:val="17"/>
                <w:szCs w:val="17"/>
                <w:highlight w:val="yellow"/>
              </w:rPr>
            </w:pPr>
            <w:r w:rsidRPr="005B6D7B">
              <w:rPr>
                <w:b/>
                <w:sz w:val="17"/>
                <w:szCs w:val="17"/>
              </w:rPr>
              <w:t>0.18 (0.12,</w:t>
            </w:r>
            <w:r w:rsidR="00085DD1" w:rsidRPr="005B6D7B">
              <w:rPr>
                <w:b/>
                <w:sz w:val="17"/>
                <w:szCs w:val="17"/>
              </w:rPr>
              <w:t xml:space="preserve"> </w:t>
            </w:r>
            <w:r w:rsidRPr="005B6D7B">
              <w:rPr>
                <w:b/>
                <w:sz w:val="17"/>
                <w:szCs w:val="17"/>
              </w:rPr>
              <w:t>0.25)</w:t>
            </w:r>
          </w:p>
        </w:tc>
        <w:tc>
          <w:tcPr>
            <w:tcW w:w="729" w:type="pct"/>
            <w:shd w:val="clear" w:color="auto" w:fill="auto"/>
            <w:vAlign w:val="center"/>
          </w:tcPr>
          <w:p w14:paraId="7341E2DB" w14:textId="217F5591" w:rsidR="00AD5C51" w:rsidRPr="009E2C35" w:rsidRDefault="00857749" w:rsidP="00857749">
            <w:pPr>
              <w:pStyle w:val="TableText0"/>
              <w:jc w:val="center"/>
              <w:rPr>
                <w:b/>
                <w:iCs/>
                <w:sz w:val="17"/>
                <w:szCs w:val="17"/>
                <w:highlight w:val="yellow"/>
              </w:rPr>
            </w:pPr>
            <w:r w:rsidRPr="009E2C35">
              <w:rPr>
                <w:b/>
                <w:iCs/>
                <w:sz w:val="17"/>
                <w:szCs w:val="17"/>
              </w:rPr>
              <w:t>4.84 (3.42,</w:t>
            </w:r>
            <w:r w:rsidR="00B5425D" w:rsidRPr="009E2C35">
              <w:rPr>
                <w:b/>
                <w:iCs/>
                <w:sz w:val="17"/>
                <w:szCs w:val="17"/>
              </w:rPr>
              <w:t xml:space="preserve"> </w:t>
            </w:r>
            <w:r w:rsidRPr="009E2C35">
              <w:rPr>
                <w:b/>
                <w:iCs/>
                <w:sz w:val="17"/>
                <w:szCs w:val="17"/>
              </w:rPr>
              <w:t>6.84)</w:t>
            </w:r>
          </w:p>
        </w:tc>
        <w:tc>
          <w:tcPr>
            <w:tcW w:w="729" w:type="pct"/>
            <w:vAlign w:val="center"/>
          </w:tcPr>
          <w:p w14:paraId="41A8E265" w14:textId="2D02688E" w:rsidR="00AD5C51" w:rsidRPr="009E2C35" w:rsidRDefault="00AD5C51" w:rsidP="00857749">
            <w:pPr>
              <w:pStyle w:val="TableText0"/>
              <w:jc w:val="center"/>
              <w:rPr>
                <w:b/>
                <w:iCs/>
                <w:sz w:val="17"/>
                <w:szCs w:val="17"/>
                <w:highlight w:val="yellow"/>
              </w:rPr>
            </w:pPr>
            <w:r w:rsidRPr="009E2C35">
              <w:rPr>
                <w:b/>
                <w:iCs/>
                <w:sz w:val="17"/>
                <w:szCs w:val="17"/>
              </w:rPr>
              <w:t>1.72 (1.48,</w:t>
            </w:r>
            <w:r w:rsidR="00B5425D" w:rsidRPr="009E2C35">
              <w:rPr>
                <w:b/>
                <w:iCs/>
                <w:sz w:val="17"/>
                <w:szCs w:val="17"/>
              </w:rPr>
              <w:t xml:space="preserve"> </w:t>
            </w:r>
            <w:r w:rsidRPr="009E2C35">
              <w:rPr>
                <w:b/>
                <w:iCs/>
                <w:sz w:val="17"/>
                <w:szCs w:val="17"/>
              </w:rPr>
              <w:t>2.00)</w:t>
            </w:r>
          </w:p>
        </w:tc>
        <w:tc>
          <w:tcPr>
            <w:tcW w:w="732" w:type="pct"/>
          </w:tcPr>
          <w:p w14:paraId="070219D5" w14:textId="5071D0FF" w:rsidR="00AD5C51" w:rsidRPr="009E2C35" w:rsidRDefault="00857749" w:rsidP="00857749">
            <w:pPr>
              <w:pStyle w:val="TableText0"/>
              <w:jc w:val="center"/>
              <w:rPr>
                <w:b/>
                <w:iCs/>
                <w:sz w:val="17"/>
                <w:szCs w:val="17"/>
                <w:highlight w:val="yellow"/>
              </w:rPr>
            </w:pPr>
            <w:r w:rsidRPr="009E2C35">
              <w:rPr>
                <w:b/>
                <w:iCs/>
                <w:sz w:val="17"/>
                <w:szCs w:val="17"/>
              </w:rPr>
              <w:t>0.34 (0.26,</w:t>
            </w:r>
            <w:r w:rsidR="00B5425D" w:rsidRPr="009E2C35">
              <w:rPr>
                <w:b/>
                <w:iCs/>
                <w:sz w:val="17"/>
                <w:szCs w:val="17"/>
              </w:rPr>
              <w:t xml:space="preserve"> </w:t>
            </w:r>
            <w:r w:rsidRPr="009E2C35">
              <w:rPr>
                <w:b/>
                <w:iCs/>
                <w:sz w:val="17"/>
                <w:szCs w:val="17"/>
              </w:rPr>
              <w:t>0.42)</w:t>
            </w:r>
          </w:p>
        </w:tc>
      </w:tr>
      <w:tr w:rsidR="00AD5C51" w:rsidRPr="005B6D7B" w14:paraId="1E07B541" w14:textId="77777777" w:rsidTr="00A35472">
        <w:tc>
          <w:tcPr>
            <w:tcW w:w="5000" w:type="pct"/>
            <w:gridSpan w:val="7"/>
          </w:tcPr>
          <w:p w14:paraId="4CACD8D8" w14:textId="6496E71F" w:rsidR="00AD5C51" w:rsidRPr="009E2C35" w:rsidRDefault="00AD5C51" w:rsidP="00AD5C51">
            <w:pPr>
              <w:pStyle w:val="TableText0"/>
              <w:rPr>
                <w:b/>
                <w:iCs/>
                <w:sz w:val="17"/>
                <w:szCs w:val="17"/>
              </w:rPr>
            </w:pPr>
            <w:r w:rsidRPr="009E2C35">
              <w:rPr>
                <w:b/>
                <w:iCs/>
                <w:sz w:val="17"/>
                <w:szCs w:val="17"/>
              </w:rPr>
              <w:t>Indirect Treatment Comparison [common ref</w:t>
            </w:r>
            <w:r w:rsidR="00D9015B" w:rsidRPr="009E2C35">
              <w:rPr>
                <w:b/>
                <w:iCs/>
                <w:sz w:val="17"/>
                <w:szCs w:val="17"/>
              </w:rPr>
              <w:t>erence</w:t>
            </w:r>
            <w:r w:rsidRPr="009E2C35">
              <w:rPr>
                <w:b/>
                <w:iCs/>
                <w:sz w:val="17"/>
                <w:szCs w:val="17"/>
              </w:rPr>
              <w:t>]</w:t>
            </w:r>
          </w:p>
        </w:tc>
      </w:tr>
      <w:tr w:rsidR="006A2E6C" w:rsidRPr="005B6D7B" w14:paraId="720D8CC3" w14:textId="77777777" w:rsidTr="00AD5C51">
        <w:tc>
          <w:tcPr>
            <w:tcW w:w="623" w:type="pct"/>
            <w:vAlign w:val="center"/>
          </w:tcPr>
          <w:p w14:paraId="28C14FD6" w14:textId="77777777" w:rsidR="00AD5C51" w:rsidRPr="005B6D7B" w:rsidRDefault="00AD5C51" w:rsidP="00AD5C51">
            <w:pPr>
              <w:pStyle w:val="TableText0"/>
              <w:rPr>
                <w:sz w:val="17"/>
                <w:szCs w:val="17"/>
                <w:vertAlign w:val="superscript"/>
              </w:rPr>
            </w:pPr>
            <w:r w:rsidRPr="005B6D7B">
              <w:rPr>
                <w:sz w:val="17"/>
                <w:szCs w:val="17"/>
              </w:rPr>
              <w:t>Bimekizumab</w:t>
            </w:r>
            <w:r w:rsidRPr="005B6D7B">
              <w:rPr>
                <w:sz w:val="17"/>
                <w:szCs w:val="17"/>
                <w:vertAlign w:val="superscript"/>
              </w:rPr>
              <w:t>2</w:t>
            </w:r>
          </w:p>
        </w:tc>
        <w:tc>
          <w:tcPr>
            <w:tcW w:w="729" w:type="pct"/>
            <w:vAlign w:val="center"/>
          </w:tcPr>
          <w:p w14:paraId="1B209AB0" w14:textId="3A06991B" w:rsidR="00AD5C51" w:rsidRPr="009E2C35" w:rsidRDefault="00130FCE" w:rsidP="00130FCE">
            <w:pPr>
              <w:pStyle w:val="TableText0"/>
              <w:jc w:val="center"/>
              <w:rPr>
                <w:sz w:val="17"/>
                <w:szCs w:val="17"/>
              </w:rPr>
            </w:pPr>
            <w:r w:rsidRPr="009E2C35">
              <w:rPr>
                <w:sz w:val="17"/>
                <w:szCs w:val="17"/>
              </w:rPr>
              <w:t>[S]</w:t>
            </w:r>
            <w:r w:rsidR="00085DD1" w:rsidRPr="009E2C35">
              <w:rPr>
                <w:sz w:val="17"/>
                <w:szCs w:val="17"/>
              </w:rPr>
              <w:t xml:space="preserve"> </w:t>
            </w:r>
            <w:r w:rsidRPr="009E2C35">
              <w:rPr>
                <w:sz w:val="17"/>
                <w:szCs w:val="17"/>
              </w:rPr>
              <w:t>2.19</w:t>
            </w:r>
            <w:r w:rsidR="00085DD1" w:rsidRPr="009E2C35">
              <w:rPr>
                <w:sz w:val="17"/>
                <w:szCs w:val="17"/>
              </w:rPr>
              <w:t xml:space="preserve"> </w:t>
            </w:r>
            <w:r w:rsidRPr="009E2C35">
              <w:rPr>
                <w:sz w:val="17"/>
                <w:szCs w:val="17"/>
              </w:rPr>
              <w:t>(</w:t>
            </w:r>
            <w:r w:rsidRPr="009C5BA6">
              <w:rPr>
                <w:sz w:val="17"/>
                <w:szCs w:val="17"/>
              </w:rPr>
              <w:t>0.9</w:t>
            </w:r>
            <w:r w:rsidR="00085DD1" w:rsidRPr="009C5BA6">
              <w:rPr>
                <w:sz w:val="17"/>
                <w:szCs w:val="17"/>
              </w:rPr>
              <w:t>5</w:t>
            </w:r>
            <w:r w:rsidRPr="009E2C35">
              <w:rPr>
                <w:sz w:val="17"/>
                <w:szCs w:val="17"/>
              </w:rPr>
              <w:t>,</w:t>
            </w:r>
            <w:r w:rsidR="00085DD1" w:rsidRPr="009E2C35">
              <w:rPr>
                <w:sz w:val="17"/>
                <w:szCs w:val="17"/>
              </w:rPr>
              <w:t xml:space="preserve"> </w:t>
            </w:r>
            <w:r w:rsidRPr="009E2C35">
              <w:rPr>
                <w:sz w:val="17"/>
                <w:szCs w:val="17"/>
              </w:rPr>
              <w:t>5.01)</w:t>
            </w:r>
          </w:p>
        </w:tc>
        <w:tc>
          <w:tcPr>
            <w:tcW w:w="729" w:type="pct"/>
            <w:vAlign w:val="center"/>
          </w:tcPr>
          <w:p w14:paraId="4CDB1286" w14:textId="635FFC90" w:rsidR="00AD5C51" w:rsidRPr="009E2C35" w:rsidRDefault="00AD5C51" w:rsidP="00130FCE">
            <w:pPr>
              <w:pStyle w:val="TableText0"/>
              <w:jc w:val="center"/>
              <w:rPr>
                <w:sz w:val="17"/>
                <w:szCs w:val="17"/>
              </w:rPr>
            </w:pPr>
            <w:r w:rsidRPr="009E2C35">
              <w:rPr>
                <w:sz w:val="17"/>
                <w:szCs w:val="17"/>
              </w:rPr>
              <w:t>[S]</w:t>
            </w:r>
            <w:r w:rsidR="00085DD1" w:rsidRPr="009E2C35">
              <w:rPr>
                <w:sz w:val="17"/>
                <w:szCs w:val="17"/>
              </w:rPr>
              <w:t xml:space="preserve"> </w:t>
            </w:r>
            <w:r w:rsidRPr="009C5BA6">
              <w:rPr>
                <w:b/>
                <w:sz w:val="17"/>
                <w:szCs w:val="17"/>
              </w:rPr>
              <w:t>1.2</w:t>
            </w:r>
            <w:r w:rsidR="00085DD1" w:rsidRPr="009C5BA6">
              <w:rPr>
                <w:b/>
                <w:sz w:val="17"/>
                <w:szCs w:val="17"/>
              </w:rPr>
              <w:t>1</w:t>
            </w:r>
            <w:r w:rsidR="00085DD1" w:rsidRPr="009E2C35">
              <w:rPr>
                <w:b/>
                <w:sz w:val="17"/>
                <w:szCs w:val="17"/>
              </w:rPr>
              <w:t xml:space="preserve"> </w:t>
            </w:r>
            <w:r w:rsidRPr="009E2C35">
              <w:rPr>
                <w:b/>
                <w:sz w:val="17"/>
                <w:szCs w:val="17"/>
              </w:rPr>
              <w:t>(1.06,</w:t>
            </w:r>
            <w:r w:rsidR="00085DD1" w:rsidRPr="009E2C35">
              <w:rPr>
                <w:b/>
                <w:sz w:val="17"/>
                <w:szCs w:val="17"/>
              </w:rPr>
              <w:t xml:space="preserve"> </w:t>
            </w:r>
            <w:r w:rsidRPr="009E2C35">
              <w:rPr>
                <w:b/>
                <w:sz w:val="17"/>
                <w:szCs w:val="17"/>
              </w:rPr>
              <w:t>1.37)</w:t>
            </w:r>
          </w:p>
        </w:tc>
        <w:tc>
          <w:tcPr>
            <w:tcW w:w="729" w:type="pct"/>
          </w:tcPr>
          <w:p w14:paraId="0B628E8D" w14:textId="719F7165" w:rsidR="00AD5C51" w:rsidRPr="009E2C35" w:rsidRDefault="00130FCE" w:rsidP="00130FCE">
            <w:pPr>
              <w:pStyle w:val="TableText0"/>
              <w:jc w:val="center"/>
              <w:rPr>
                <w:b/>
                <w:sz w:val="17"/>
                <w:szCs w:val="17"/>
              </w:rPr>
            </w:pPr>
            <w:r w:rsidRPr="009E2C35">
              <w:rPr>
                <w:sz w:val="17"/>
                <w:szCs w:val="17"/>
              </w:rPr>
              <w:t>[S]</w:t>
            </w:r>
            <w:r w:rsidR="00085DD1" w:rsidRPr="009E2C35">
              <w:rPr>
                <w:sz w:val="17"/>
                <w:szCs w:val="17"/>
              </w:rPr>
              <w:t xml:space="preserve"> </w:t>
            </w:r>
            <w:r w:rsidRPr="009E2C35">
              <w:rPr>
                <w:b/>
                <w:sz w:val="17"/>
                <w:szCs w:val="17"/>
              </w:rPr>
              <w:t>0.14</w:t>
            </w:r>
            <w:r w:rsidR="00085DD1" w:rsidRPr="009E2C35">
              <w:rPr>
                <w:b/>
                <w:sz w:val="17"/>
                <w:szCs w:val="17"/>
              </w:rPr>
              <w:t xml:space="preserve"> </w:t>
            </w:r>
            <w:r w:rsidRPr="009E2C35">
              <w:rPr>
                <w:b/>
                <w:sz w:val="17"/>
                <w:szCs w:val="17"/>
              </w:rPr>
              <w:t>(0.04,</w:t>
            </w:r>
            <w:r w:rsidR="00085DD1" w:rsidRPr="009E2C35">
              <w:rPr>
                <w:b/>
                <w:sz w:val="17"/>
                <w:szCs w:val="17"/>
              </w:rPr>
              <w:t xml:space="preserve"> </w:t>
            </w:r>
            <w:r w:rsidRPr="009E2C35">
              <w:rPr>
                <w:b/>
                <w:sz w:val="17"/>
                <w:szCs w:val="17"/>
              </w:rPr>
              <w:t>0.24)</w:t>
            </w:r>
          </w:p>
        </w:tc>
        <w:tc>
          <w:tcPr>
            <w:tcW w:w="729" w:type="pct"/>
            <w:shd w:val="clear" w:color="auto" w:fill="auto"/>
            <w:vAlign w:val="center"/>
          </w:tcPr>
          <w:p w14:paraId="5F0371F7" w14:textId="565C8551" w:rsidR="00AD5C51" w:rsidRPr="009E2C35" w:rsidRDefault="00130FCE" w:rsidP="00130FCE">
            <w:pPr>
              <w:pStyle w:val="TableText0"/>
              <w:jc w:val="center"/>
              <w:rPr>
                <w:b/>
                <w:iCs/>
                <w:sz w:val="17"/>
                <w:szCs w:val="17"/>
              </w:rPr>
            </w:pPr>
            <w:r w:rsidRPr="009E2C35">
              <w:rPr>
                <w:iCs/>
                <w:sz w:val="17"/>
                <w:szCs w:val="17"/>
              </w:rPr>
              <w:t>[S]</w:t>
            </w:r>
            <w:r w:rsidR="00B5425D" w:rsidRPr="009C5BA6">
              <w:rPr>
                <w:b/>
                <w:iCs/>
                <w:sz w:val="17"/>
                <w:szCs w:val="17"/>
              </w:rPr>
              <w:t xml:space="preserve"> 2.12 (1.04, 4.32)</w:t>
            </w:r>
          </w:p>
        </w:tc>
        <w:tc>
          <w:tcPr>
            <w:tcW w:w="729" w:type="pct"/>
            <w:vAlign w:val="center"/>
          </w:tcPr>
          <w:p w14:paraId="2237FA28" w14:textId="08AD4915" w:rsidR="00AD5C51" w:rsidRPr="009E2C35" w:rsidRDefault="00AD5C51" w:rsidP="00AD5C51">
            <w:pPr>
              <w:pStyle w:val="TableText0"/>
              <w:jc w:val="center"/>
              <w:rPr>
                <w:iCs/>
                <w:sz w:val="17"/>
                <w:szCs w:val="17"/>
              </w:rPr>
            </w:pPr>
            <w:r w:rsidRPr="009E2C35">
              <w:rPr>
                <w:iCs/>
                <w:sz w:val="17"/>
                <w:szCs w:val="17"/>
              </w:rPr>
              <w:t>[S]</w:t>
            </w:r>
            <w:r w:rsidR="00116D79" w:rsidRPr="009E2C35">
              <w:rPr>
                <w:iCs/>
                <w:sz w:val="17"/>
                <w:szCs w:val="17"/>
              </w:rPr>
              <w:t xml:space="preserve"> </w:t>
            </w:r>
            <w:r w:rsidRPr="009E2C35">
              <w:rPr>
                <w:rFonts w:cstheme="minorHAnsi"/>
                <w:b/>
                <w:iCs/>
                <w:sz w:val="17"/>
                <w:szCs w:val="17"/>
              </w:rPr>
              <w:t>1.30</w:t>
            </w:r>
            <w:r w:rsidR="00116D79" w:rsidRPr="009E2C35">
              <w:rPr>
                <w:rFonts w:cstheme="minorHAnsi"/>
                <w:b/>
                <w:iCs/>
                <w:sz w:val="17"/>
                <w:szCs w:val="17"/>
              </w:rPr>
              <w:t xml:space="preserve"> </w:t>
            </w:r>
            <w:r w:rsidRPr="009E2C35">
              <w:rPr>
                <w:rFonts w:cstheme="minorHAnsi"/>
                <w:b/>
                <w:iCs/>
                <w:sz w:val="17"/>
                <w:szCs w:val="17"/>
              </w:rPr>
              <w:t>(1.10</w:t>
            </w:r>
            <w:r w:rsidRPr="009E2C35">
              <w:rPr>
                <w:rFonts w:cstheme="minorHAnsi"/>
                <w:b/>
                <w:bCs w:val="0"/>
                <w:iCs/>
                <w:sz w:val="17"/>
                <w:szCs w:val="17"/>
              </w:rPr>
              <w:t>,</w:t>
            </w:r>
            <w:r w:rsidR="00116D79" w:rsidRPr="009E2C35">
              <w:rPr>
                <w:rFonts w:cstheme="minorHAnsi"/>
                <w:b/>
                <w:bCs w:val="0"/>
                <w:iCs/>
                <w:sz w:val="17"/>
                <w:szCs w:val="17"/>
              </w:rPr>
              <w:t xml:space="preserve"> </w:t>
            </w:r>
            <w:r w:rsidRPr="009E2C35">
              <w:rPr>
                <w:rFonts w:cstheme="minorHAnsi"/>
                <w:b/>
                <w:iCs/>
                <w:sz w:val="17"/>
                <w:szCs w:val="17"/>
              </w:rPr>
              <w:t>1.54)</w:t>
            </w:r>
          </w:p>
        </w:tc>
        <w:tc>
          <w:tcPr>
            <w:tcW w:w="732" w:type="pct"/>
          </w:tcPr>
          <w:p w14:paraId="588499CF" w14:textId="2B8471D9" w:rsidR="00AD5C51" w:rsidRPr="009E2C35" w:rsidRDefault="00130FCE" w:rsidP="00130FCE">
            <w:pPr>
              <w:pStyle w:val="TableText0"/>
              <w:jc w:val="center"/>
              <w:rPr>
                <w:b/>
                <w:iCs/>
                <w:sz w:val="17"/>
                <w:szCs w:val="17"/>
                <w:highlight w:val="yellow"/>
              </w:rPr>
            </w:pPr>
            <w:r w:rsidRPr="009E2C35">
              <w:rPr>
                <w:iCs/>
                <w:sz w:val="17"/>
                <w:szCs w:val="17"/>
              </w:rPr>
              <w:t>[S]</w:t>
            </w:r>
            <w:r w:rsidR="00116D79" w:rsidRPr="009E2C35">
              <w:rPr>
                <w:iCs/>
                <w:sz w:val="17"/>
                <w:szCs w:val="17"/>
              </w:rPr>
              <w:t xml:space="preserve"> </w:t>
            </w:r>
            <w:r w:rsidRPr="009E2C35">
              <w:rPr>
                <w:b/>
                <w:iCs/>
                <w:sz w:val="17"/>
                <w:szCs w:val="17"/>
              </w:rPr>
              <w:t>0.17</w:t>
            </w:r>
            <w:r w:rsidR="00116D79" w:rsidRPr="009E2C35">
              <w:rPr>
                <w:b/>
                <w:iCs/>
                <w:sz w:val="17"/>
                <w:szCs w:val="17"/>
              </w:rPr>
              <w:t xml:space="preserve"> </w:t>
            </w:r>
            <w:r w:rsidRPr="009E2C35">
              <w:rPr>
                <w:b/>
                <w:iCs/>
                <w:sz w:val="17"/>
                <w:szCs w:val="17"/>
              </w:rPr>
              <w:t>(</w:t>
            </w:r>
            <w:r w:rsidRPr="009C5BA6">
              <w:rPr>
                <w:b/>
                <w:iCs/>
                <w:sz w:val="17"/>
                <w:szCs w:val="17"/>
              </w:rPr>
              <w:t>0.0</w:t>
            </w:r>
            <w:r w:rsidR="00B5425D" w:rsidRPr="009C5BA6">
              <w:rPr>
                <w:b/>
                <w:iCs/>
                <w:sz w:val="17"/>
                <w:szCs w:val="17"/>
              </w:rPr>
              <w:t>5</w:t>
            </w:r>
            <w:r w:rsidRPr="009E2C35">
              <w:rPr>
                <w:b/>
                <w:iCs/>
                <w:sz w:val="17"/>
                <w:szCs w:val="17"/>
              </w:rPr>
              <w:t>,</w:t>
            </w:r>
            <w:r w:rsidR="00116D79" w:rsidRPr="009E2C35">
              <w:rPr>
                <w:b/>
                <w:iCs/>
                <w:sz w:val="17"/>
                <w:szCs w:val="17"/>
              </w:rPr>
              <w:t xml:space="preserve"> </w:t>
            </w:r>
            <w:r w:rsidRPr="009E2C35">
              <w:rPr>
                <w:b/>
                <w:iCs/>
                <w:sz w:val="17"/>
                <w:szCs w:val="17"/>
              </w:rPr>
              <w:t>0.29)</w:t>
            </w:r>
          </w:p>
        </w:tc>
      </w:tr>
      <w:tr w:rsidR="006A2E6C" w:rsidRPr="005B6D7B" w14:paraId="29D267F0" w14:textId="77777777" w:rsidTr="00AD5C51">
        <w:tc>
          <w:tcPr>
            <w:tcW w:w="623" w:type="pct"/>
            <w:vAlign w:val="center"/>
          </w:tcPr>
          <w:p w14:paraId="597A59D0" w14:textId="77777777" w:rsidR="00AD5C51" w:rsidRPr="005B6D7B" w:rsidRDefault="00AD5C51" w:rsidP="00AD5C51">
            <w:pPr>
              <w:pStyle w:val="TableText0"/>
              <w:rPr>
                <w:sz w:val="17"/>
                <w:szCs w:val="17"/>
                <w:vertAlign w:val="superscript"/>
              </w:rPr>
            </w:pPr>
            <w:r w:rsidRPr="005B6D7B">
              <w:rPr>
                <w:sz w:val="17"/>
                <w:szCs w:val="17"/>
              </w:rPr>
              <w:t>Guselkumab</w:t>
            </w:r>
            <w:r w:rsidRPr="005B6D7B">
              <w:rPr>
                <w:sz w:val="17"/>
                <w:szCs w:val="17"/>
                <w:vertAlign w:val="superscript"/>
              </w:rPr>
              <w:t>2</w:t>
            </w:r>
          </w:p>
        </w:tc>
        <w:tc>
          <w:tcPr>
            <w:tcW w:w="729" w:type="pct"/>
            <w:vAlign w:val="center"/>
          </w:tcPr>
          <w:p w14:paraId="45D45FF2" w14:textId="3FA3B1F0" w:rsidR="00AD5C51" w:rsidRPr="009E2C35" w:rsidRDefault="00130FCE" w:rsidP="00AD5C51">
            <w:pPr>
              <w:pStyle w:val="TableText0"/>
              <w:jc w:val="center"/>
              <w:rPr>
                <w:b/>
                <w:sz w:val="17"/>
                <w:szCs w:val="17"/>
              </w:rPr>
            </w:pPr>
            <w:r w:rsidRPr="009E2C35">
              <w:rPr>
                <w:sz w:val="17"/>
                <w:szCs w:val="17"/>
              </w:rPr>
              <w:t>NR</w:t>
            </w:r>
          </w:p>
        </w:tc>
        <w:tc>
          <w:tcPr>
            <w:tcW w:w="729" w:type="pct"/>
            <w:vAlign w:val="center"/>
          </w:tcPr>
          <w:p w14:paraId="7F71A984" w14:textId="27754C39" w:rsidR="00AD5C51" w:rsidRPr="009E2C35" w:rsidRDefault="00AD5C51" w:rsidP="00AD5C51">
            <w:pPr>
              <w:pStyle w:val="TableText0"/>
              <w:jc w:val="center"/>
              <w:rPr>
                <w:sz w:val="17"/>
                <w:szCs w:val="17"/>
              </w:rPr>
            </w:pPr>
            <w:r w:rsidRPr="009E2C35">
              <w:rPr>
                <w:sz w:val="17"/>
                <w:szCs w:val="17"/>
              </w:rPr>
              <w:t>NR</w:t>
            </w:r>
          </w:p>
        </w:tc>
        <w:tc>
          <w:tcPr>
            <w:tcW w:w="729" w:type="pct"/>
          </w:tcPr>
          <w:p w14:paraId="46812EA7" w14:textId="7AA5C696" w:rsidR="00AD5C51" w:rsidRPr="009E2C35" w:rsidRDefault="00130FCE" w:rsidP="00AD5C51">
            <w:pPr>
              <w:pStyle w:val="TableText0"/>
              <w:jc w:val="center"/>
              <w:rPr>
                <w:sz w:val="17"/>
                <w:szCs w:val="17"/>
                <w:highlight w:val="yellow"/>
              </w:rPr>
            </w:pPr>
            <w:r w:rsidRPr="009E2C35">
              <w:rPr>
                <w:sz w:val="17"/>
                <w:szCs w:val="17"/>
              </w:rPr>
              <w:t>NR</w:t>
            </w:r>
          </w:p>
        </w:tc>
        <w:tc>
          <w:tcPr>
            <w:tcW w:w="729" w:type="pct"/>
            <w:shd w:val="clear" w:color="auto" w:fill="auto"/>
            <w:vAlign w:val="center"/>
          </w:tcPr>
          <w:p w14:paraId="64E7A6B1" w14:textId="0228D534" w:rsidR="00AD5C51" w:rsidRPr="009E2C35" w:rsidRDefault="00130FCE" w:rsidP="00130FCE">
            <w:pPr>
              <w:pStyle w:val="TableText0"/>
              <w:jc w:val="center"/>
              <w:rPr>
                <w:rFonts w:cstheme="minorHAnsi"/>
                <w:b/>
                <w:iCs/>
                <w:sz w:val="17"/>
                <w:szCs w:val="17"/>
              </w:rPr>
            </w:pPr>
            <w:r w:rsidRPr="009E2C35">
              <w:rPr>
                <w:rFonts w:cstheme="minorHAnsi"/>
                <w:bCs w:val="0"/>
                <w:iCs/>
                <w:sz w:val="17"/>
                <w:szCs w:val="17"/>
              </w:rPr>
              <w:t>[S]</w:t>
            </w:r>
            <w:r w:rsidR="00B5425D" w:rsidRPr="009C5BA6">
              <w:rPr>
                <w:b/>
                <w:iCs/>
                <w:sz w:val="17"/>
                <w:szCs w:val="17"/>
              </w:rPr>
              <w:t xml:space="preserve"> 2.09 (1.12, 3.91)</w:t>
            </w:r>
          </w:p>
        </w:tc>
        <w:tc>
          <w:tcPr>
            <w:tcW w:w="729" w:type="pct"/>
            <w:vAlign w:val="center"/>
          </w:tcPr>
          <w:p w14:paraId="25F2AEF7" w14:textId="1C70CFEE" w:rsidR="00AD5C51" w:rsidRPr="009E2C35" w:rsidRDefault="00AD5C51" w:rsidP="00130FCE">
            <w:pPr>
              <w:pStyle w:val="TableText0"/>
              <w:jc w:val="center"/>
              <w:rPr>
                <w:rFonts w:cstheme="minorHAnsi"/>
                <w:b/>
                <w:iCs/>
                <w:sz w:val="17"/>
                <w:szCs w:val="17"/>
              </w:rPr>
            </w:pPr>
            <w:r w:rsidRPr="009E2C35">
              <w:rPr>
                <w:rFonts w:cstheme="minorHAnsi"/>
                <w:bCs w:val="0"/>
                <w:iCs/>
                <w:sz w:val="17"/>
                <w:szCs w:val="17"/>
              </w:rPr>
              <w:t>[S]</w:t>
            </w:r>
            <w:r w:rsidR="00116D79" w:rsidRPr="009C5BA6">
              <w:rPr>
                <w:b/>
                <w:iCs/>
                <w:sz w:val="17"/>
                <w:szCs w:val="17"/>
              </w:rPr>
              <w:t xml:space="preserve"> 1.26 (1.07, 1.48)</w:t>
            </w:r>
          </w:p>
        </w:tc>
        <w:tc>
          <w:tcPr>
            <w:tcW w:w="732" w:type="pct"/>
          </w:tcPr>
          <w:p w14:paraId="6A2F0B53" w14:textId="7F9B8662" w:rsidR="00AD5C51" w:rsidRPr="009E2C35" w:rsidRDefault="00130FCE" w:rsidP="00130FCE">
            <w:pPr>
              <w:pStyle w:val="TableText0"/>
              <w:jc w:val="center"/>
              <w:rPr>
                <w:rFonts w:cstheme="minorHAnsi"/>
                <w:b/>
                <w:iCs/>
                <w:sz w:val="17"/>
                <w:szCs w:val="17"/>
              </w:rPr>
            </w:pPr>
            <w:r w:rsidRPr="009E2C35">
              <w:rPr>
                <w:rFonts w:cstheme="minorHAnsi"/>
                <w:bCs w:val="0"/>
                <w:iCs/>
                <w:sz w:val="17"/>
                <w:szCs w:val="17"/>
              </w:rPr>
              <w:t>[S]</w:t>
            </w:r>
            <w:r w:rsidR="00116D79" w:rsidRPr="009E2C35">
              <w:rPr>
                <w:b/>
                <w:iCs/>
                <w:sz w:val="17"/>
                <w:szCs w:val="17"/>
              </w:rPr>
              <w:t xml:space="preserve"> 0.16 (0.05, </w:t>
            </w:r>
            <w:r w:rsidR="00116D79" w:rsidRPr="009C5BA6">
              <w:rPr>
                <w:b/>
                <w:iCs/>
                <w:sz w:val="17"/>
                <w:szCs w:val="17"/>
              </w:rPr>
              <w:t>0.27</w:t>
            </w:r>
            <w:r w:rsidR="00116D79" w:rsidRPr="009E2C35">
              <w:rPr>
                <w:b/>
                <w:iCs/>
                <w:sz w:val="17"/>
                <w:szCs w:val="17"/>
              </w:rPr>
              <w:t>)</w:t>
            </w:r>
          </w:p>
        </w:tc>
      </w:tr>
      <w:tr w:rsidR="006A2E6C" w:rsidRPr="005B6D7B" w14:paraId="1AC582E3" w14:textId="77777777" w:rsidTr="00AD5C51">
        <w:tc>
          <w:tcPr>
            <w:tcW w:w="623" w:type="pct"/>
            <w:vAlign w:val="center"/>
          </w:tcPr>
          <w:p w14:paraId="07EA348A" w14:textId="77777777" w:rsidR="00AD5C51" w:rsidRPr="005B6D7B" w:rsidRDefault="00AD5C51" w:rsidP="00AD5C51">
            <w:pPr>
              <w:pStyle w:val="TableText0"/>
              <w:rPr>
                <w:sz w:val="17"/>
                <w:szCs w:val="17"/>
                <w:vertAlign w:val="superscript"/>
              </w:rPr>
            </w:pPr>
            <w:r w:rsidRPr="005B6D7B">
              <w:rPr>
                <w:sz w:val="17"/>
                <w:szCs w:val="17"/>
              </w:rPr>
              <w:t>Ixekizumab</w:t>
            </w:r>
            <w:r w:rsidRPr="005B6D7B">
              <w:rPr>
                <w:sz w:val="17"/>
                <w:szCs w:val="17"/>
                <w:vertAlign w:val="superscript"/>
              </w:rPr>
              <w:t>2</w:t>
            </w:r>
          </w:p>
        </w:tc>
        <w:tc>
          <w:tcPr>
            <w:tcW w:w="729" w:type="pct"/>
            <w:vAlign w:val="center"/>
          </w:tcPr>
          <w:p w14:paraId="3EEE3726" w14:textId="51D5869A" w:rsidR="00AD5C51" w:rsidRPr="009E2C35" w:rsidRDefault="006A2E6C" w:rsidP="006A2E6C">
            <w:pPr>
              <w:pStyle w:val="TableText0"/>
              <w:jc w:val="center"/>
              <w:rPr>
                <w:sz w:val="17"/>
                <w:szCs w:val="17"/>
              </w:rPr>
            </w:pPr>
            <w:r w:rsidRPr="009E2C35">
              <w:rPr>
                <w:sz w:val="17"/>
                <w:szCs w:val="17"/>
              </w:rPr>
              <w:t>[U]</w:t>
            </w:r>
            <w:r w:rsidR="00085DD1" w:rsidRPr="009E2C35">
              <w:rPr>
                <w:sz w:val="17"/>
                <w:szCs w:val="17"/>
              </w:rPr>
              <w:t xml:space="preserve"> </w:t>
            </w:r>
            <w:r w:rsidRPr="009E2C35">
              <w:rPr>
                <w:sz w:val="17"/>
                <w:szCs w:val="17"/>
              </w:rPr>
              <w:t>1.67</w:t>
            </w:r>
            <w:r w:rsidR="00085DD1" w:rsidRPr="009E2C35">
              <w:rPr>
                <w:sz w:val="17"/>
                <w:szCs w:val="17"/>
              </w:rPr>
              <w:t xml:space="preserve"> </w:t>
            </w:r>
            <w:r w:rsidRPr="009E2C35">
              <w:rPr>
                <w:sz w:val="17"/>
                <w:szCs w:val="17"/>
              </w:rPr>
              <w:t>(0.78,</w:t>
            </w:r>
            <w:r w:rsidR="00085DD1" w:rsidRPr="009E2C35">
              <w:rPr>
                <w:sz w:val="17"/>
                <w:szCs w:val="17"/>
              </w:rPr>
              <w:t xml:space="preserve"> </w:t>
            </w:r>
            <w:r w:rsidRPr="009E2C35">
              <w:rPr>
                <w:sz w:val="17"/>
                <w:szCs w:val="17"/>
              </w:rPr>
              <w:t>3.58)</w:t>
            </w:r>
          </w:p>
        </w:tc>
        <w:tc>
          <w:tcPr>
            <w:tcW w:w="729" w:type="pct"/>
            <w:vAlign w:val="center"/>
          </w:tcPr>
          <w:p w14:paraId="53C67C4D" w14:textId="3851E498" w:rsidR="00AD5C51" w:rsidRPr="009E2C35" w:rsidRDefault="00AD5C51" w:rsidP="00AD5C51">
            <w:pPr>
              <w:pStyle w:val="TableText0"/>
              <w:jc w:val="center"/>
              <w:rPr>
                <w:sz w:val="17"/>
                <w:szCs w:val="17"/>
                <w:highlight w:val="yellow"/>
              </w:rPr>
            </w:pPr>
            <w:r w:rsidRPr="009E2C35">
              <w:rPr>
                <w:sz w:val="17"/>
                <w:szCs w:val="17"/>
              </w:rPr>
              <w:t>[U]</w:t>
            </w:r>
            <w:r w:rsidR="00085DD1" w:rsidRPr="009E2C35">
              <w:rPr>
                <w:sz w:val="17"/>
                <w:szCs w:val="17"/>
              </w:rPr>
              <w:t xml:space="preserve"> </w:t>
            </w:r>
            <w:r w:rsidRPr="009E2C35">
              <w:rPr>
                <w:sz w:val="17"/>
                <w:szCs w:val="17"/>
              </w:rPr>
              <w:t>1.08</w:t>
            </w:r>
            <w:r w:rsidR="00085DD1" w:rsidRPr="009E2C35">
              <w:rPr>
                <w:sz w:val="17"/>
                <w:szCs w:val="17"/>
              </w:rPr>
              <w:t xml:space="preserve"> </w:t>
            </w:r>
            <w:r w:rsidRPr="009E2C35">
              <w:rPr>
                <w:sz w:val="17"/>
                <w:szCs w:val="17"/>
              </w:rPr>
              <w:t>(0.94,</w:t>
            </w:r>
            <w:r w:rsidR="00085DD1" w:rsidRPr="009E2C35">
              <w:rPr>
                <w:sz w:val="17"/>
                <w:szCs w:val="17"/>
              </w:rPr>
              <w:t xml:space="preserve"> </w:t>
            </w:r>
            <w:r w:rsidRPr="009E2C35">
              <w:rPr>
                <w:sz w:val="17"/>
                <w:szCs w:val="17"/>
              </w:rPr>
              <w:t>1.23)</w:t>
            </w:r>
          </w:p>
        </w:tc>
        <w:tc>
          <w:tcPr>
            <w:tcW w:w="729" w:type="pct"/>
          </w:tcPr>
          <w:p w14:paraId="009B8B77" w14:textId="538C9A5A" w:rsidR="00AD5C51" w:rsidRPr="009E2C35" w:rsidRDefault="006A2E6C" w:rsidP="006A2E6C">
            <w:pPr>
              <w:pStyle w:val="TableText0"/>
              <w:jc w:val="center"/>
              <w:rPr>
                <w:sz w:val="17"/>
                <w:szCs w:val="17"/>
                <w:highlight w:val="yellow"/>
              </w:rPr>
            </w:pPr>
            <w:r w:rsidRPr="009E2C35">
              <w:rPr>
                <w:sz w:val="17"/>
                <w:szCs w:val="17"/>
              </w:rPr>
              <w:t>[U]</w:t>
            </w:r>
            <w:r w:rsidR="00085DD1" w:rsidRPr="009E2C35">
              <w:rPr>
                <w:sz w:val="17"/>
                <w:szCs w:val="17"/>
              </w:rPr>
              <w:t xml:space="preserve"> </w:t>
            </w:r>
            <w:r w:rsidRPr="009E2C35">
              <w:rPr>
                <w:sz w:val="17"/>
                <w:szCs w:val="17"/>
              </w:rPr>
              <w:t>0.06(-0.05,</w:t>
            </w:r>
            <w:r w:rsidR="00085DD1" w:rsidRPr="009E2C35">
              <w:rPr>
                <w:sz w:val="17"/>
                <w:szCs w:val="17"/>
              </w:rPr>
              <w:t xml:space="preserve"> </w:t>
            </w:r>
            <w:r w:rsidRPr="009C5BA6">
              <w:rPr>
                <w:sz w:val="17"/>
                <w:szCs w:val="17"/>
              </w:rPr>
              <w:t>0.1</w:t>
            </w:r>
            <w:r w:rsidR="00085DD1" w:rsidRPr="009C5BA6">
              <w:rPr>
                <w:sz w:val="17"/>
                <w:szCs w:val="17"/>
              </w:rPr>
              <w:t>7</w:t>
            </w:r>
            <w:r w:rsidRPr="009E2C35">
              <w:rPr>
                <w:sz w:val="17"/>
                <w:szCs w:val="17"/>
              </w:rPr>
              <w:t>)</w:t>
            </w:r>
          </w:p>
        </w:tc>
        <w:tc>
          <w:tcPr>
            <w:tcW w:w="729" w:type="pct"/>
            <w:shd w:val="clear" w:color="auto" w:fill="auto"/>
            <w:vAlign w:val="center"/>
          </w:tcPr>
          <w:p w14:paraId="6A420083" w14:textId="351CF329" w:rsidR="00AD5C51" w:rsidRPr="009E2C35" w:rsidRDefault="006A2E6C" w:rsidP="006A2E6C">
            <w:pPr>
              <w:pStyle w:val="TableText0"/>
              <w:jc w:val="center"/>
              <w:rPr>
                <w:b/>
                <w:bCs w:val="0"/>
                <w:iCs/>
                <w:sz w:val="17"/>
                <w:szCs w:val="17"/>
              </w:rPr>
            </w:pPr>
            <w:r w:rsidRPr="009E2C35">
              <w:rPr>
                <w:iCs/>
                <w:sz w:val="17"/>
                <w:szCs w:val="17"/>
              </w:rPr>
              <w:t>[U]</w:t>
            </w:r>
            <w:r w:rsidR="00116D79" w:rsidRPr="009C5BA6">
              <w:rPr>
                <w:b/>
                <w:iCs/>
                <w:sz w:val="17"/>
                <w:szCs w:val="17"/>
              </w:rPr>
              <w:t xml:space="preserve"> 2.14</w:t>
            </w:r>
            <w:r w:rsidR="00116D79" w:rsidRPr="009E2C35">
              <w:rPr>
                <w:b/>
                <w:iCs/>
                <w:sz w:val="17"/>
                <w:szCs w:val="17"/>
              </w:rPr>
              <w:t xml:space="preserve"> (</w:t>
            </w:r>
            <w:r w:rsidR="00116D79" w:rsidRPr="009C5BA6">
              <w:rPr>
                <w:b/>
                <w:iCs/>
                <w:sz w:val="17"/>
                <w:szCs w:val="17"/>
              </w:rPr>
              <w:t>1.16</w:t>
            </w:r>
            <w:r w:rsidR="00116D79" w:rsidRPr="009E2C35">
              <w:rPr>
                <w:b/>
                <w:iCs/>
                <w:sz w:val="17"/>
                <w:szCs w:val="17"/>
              </w:rPr>
              <w:t>, 3.95)</w:t>
            </w:r>
          </w:p>
        </w:tc>
        <w:tc>
          <w:tcPr>
            <w:tcW w:w="729" w:type="pct"/>
            <w:vAlign w:val="center"/>
          </w:tcPr>
          <w:p w14:paraId="011A88D9" w14:textId="1C3ABCA1" w:rsidR="00AD5C51" w:rsidRPr="009E2C35" w:rsidRDefault="00AD5C51" w:rsidP="006A2E6C">
            <w:pPr>
              <w:pStyle w:val="TableText0"/>
              <w:jc w:val="center"/>
              <w:rPr>
                <w:b/>
                <w:bCs w:val="0"/>
                <w:iCs/>
                <w:sz w:val="17"/>
                <w:szCs w:val="17"/>
              </w:rPr>
            </w:pPr>
            <w:r w:rsidRPr="009E2C35">
              <w:rPr>
                <w:iCs/>
                <w:sz w:val="17"/>
                <w:szCs w:val="17"/>
              </w:rPr>
              <w:t>[U]</w:t>
            </w:r>
            <w:r w:rsidR="00116D79" w:rsidRPr="009C5BA6">
              <w:rPr>
                <w:b/>
                <w:iCs/>
                <w:sz w:val="17"/>
                <w:szCs w:val="17"/>
              </w:rPr>
              <w:t xml:space="preserve"> 1.32 (1.06, 1.64)</w:t>
            </w:r>
          </w:p>
        </w:tc>
        <w:tc>
          <w:tcPr>
            <w:tcW w:w="732" w:type="pct"/>
          </w:tcPr>
          <w:p w14:paraId="720090F2" w14:textId="3CAE07ED" w:rsidR="00AD5C51" w:rsidRPr="009E2C35" w:rsidRDefault="006A2E6C" w:rsidP="006A2E6C">
            <w:pPr>
              <w:pStyle w:val="TableText0"/>
              <w:jc w:val="center"/>
              <w:rPr>
                <w:b/>
                <w:bCs w:val="0"/>
                <w:iCs/>
                <w:sz w:val="17"/>
                <w:szCs w:val="17"/>
              </w:rPr>
            </w:pPr>
            <w:r w:rsidRPr="009E2C35">
              <w:rPr>
                <w:iCs/>
                <w:sz w:val="17"/>
                <w:szCs w:val="17"/>
              </w:rPr>
              <w:t>[U]</w:t>
            </w:r>
            <w:r w:rsidR="00116D79" w:rsidRPr="009E2C35">
              <w:rPr>
                <w:b/>
                <w:iCs/>
                <w:sz w:val="17"/>
                <w:szCs w:val="17"/>
              </w:rPr>
              <w:t xml:space="preserve"> 0.17 (</w:t>
            </w:r>
            <w:r w:rsidR="00116D79" w:rsidRPr="009C5BA6">
              <w:rPr>
                <w:b/>
                <w:iCs/>
                <w:sz w:val="17"/>
                <w:szCs w:val="17"/>
              </w:rPr>
              <w:t>0.04</w:t>
            </w:r>
            <w:r w:rsidR="00116D79" w:rsidRPr="009E2C35">
              <w:rPr>
                <w:b/>
                <w:iCs/>
                <w:sz w:val="17"/>
                <w:szCs w:val="17"/>
              </w:rPr>
              <w:t>, 0.30)</w:t>
            </w:r>
          </w:p>
        </w:tc>
      </w:tr>
    </w:tbl>
    <w:p w14:paraId="4AAB7120" w14:textId="77777777" w:rsidR="0029213C" w:rsidRPr="005B6D7B" w:rsidRDefault="00B44171" w:rsidP="0029213C">
      <w:pPr>
        <w:pStyle w:val="FooterTableFigure"/>
      </w:pPr>
      <w:r w:rsidRPr="005B6D7B">
        <w:t>Source: Tabl</w:t>
      </w:r>
      <w:r w:rsidR="0029213C" w:rsidRPr="005B6D7B">
        <w:t>es 1-26 and 1-27</w:t>
      </w:r>
      <w:r w:rsidRPr="005B6D7B">
        <w:t>, p</w:t>
      </w:r>
      <w:r w:rsidR="0029213C" w:rsidRPr="005B6D7B">
        <w:t xml:space="preserve">p </w:t>
      </w:r>
      <w:r w:rsidRPr="005B6D7B">
        <w:t>1</w:t>
      </w:r>
      <w:r w:rsidR="0029213C" w:rsidRPr="005B6D7B">
        <w:t>19</w:t>
      </w:r>
      <w:r w:rsidRPr="005B6D7B">
        <w:t>-1</w:t>
      </w:r>
      <w:r w:rsidR="0029213C" w:rsidRPr="005B6D7B">
        <w:t>20</w:t>
      </w:r>
      <w:r w:rsidRPr="005B6D7B">
        <w:t xml:space="preserve"> of Appendix 1 and Attachment 5.2</w:t>
      </w:r>
      <w:r w:rsidR="0029213C" w:rsidRPr="005B6D7B">
        <w:t xml:space="preserve"> of the submission</w:t>
      </w:r>
    </w:p>
    <w:p w14:paraId="0C1EBEAE" w14:textId="77777777" w:rsidR="008A02DF" w:rsidRPr="008A02DF" w:rsidRDefault="004244D2" w:rsidP="0029213C">
      <w:pPr>
        <w:pStyle w:val="FooterTableFigure"/>
      </w:pPr>
      <w:r w:rsidRPr="005B6D7B">
        <w:rPr>
          <w:i/>
        </w:rPr>
        <w:t>.</w:t>
      </w:r>
      <w:r w:rsidRPr="005B6D7B">
        <w:t xml:space="preserve"> </w:t>
      </w:r>
      <w:r w:rsidRPr="005B6D7B">
        <w:rPr>
          <w:b/>
          <w:bCs/>
        </w:rPr>
        <w:t>Bold</w:t>
      </w:r>
      <w:r w:rsidRPr="005B6D7B">
        <w:t>=statistically significant.</w:t>
      </w:r>
    </w:p>
    <w:p w14:paraId="2978D010" w14:textId="79389E53" w:rsidR="00B44171" w:rsidRPr="005B6D7B" w:rsidRDefault="00B44171" w:rsidP="00B44171">
      <w:pPr>
        <w:pStyle w:val="FooterTableFigure"/>
      </w:pPr>
      <w:r w:rsidRPr="005B6D7B">
        <w:t>CI</w:t>
      </w:r>
      <w:r w:rsidR="00DF018C" w:rsidRPr="005B6D7B">
        <w:t>=</w:t>
      </w:r>
      <w:r w:rsidRPr="005B6D7B">
        <w:t>confidence intervals; NR</w:t>
      </w:r>
      <w:r w:rsidR="00DF018C" w:rsidRPr="005B6D7B">
        <w:t>=</w:t>
      </w:r>
      <w:r w:rsidRPr="005B6D7B">
        <w:t xml:space="preserve">not reported; </w:t>
      </w:r>
      <w:r w:rsidR="00847D64" w:rsidRPr="005B6D7B">
        <w:t xml:space="preserve">OR=odds ratio; </w:t>
      </w:r>
      <w:r w:rsidRPr="005B6D7B">
        <w:t>PASI</w:t>
      </w:r>
      <w:r w:rsidR="00DF018C" w:rsidRPr="005B6D7B">
        <w:t>=</w:t>
      </w:r>
      <w:r w:rsidRPr="005B6D7B">
        <w:t xml:space="preserve">Psoriasis Area Severity Index; </w:t>
      </w:r>
      <w:r w:rsidR="00847D64" w:rsidRPr="005B6D7B">
        <w:t>RD=risk difference;</w:t>
      </w:r>
      <w:r w:rsidR="00847D64" w:rsidRPr="005B6D7B" w:rsidDel="00847D64">
        <w:t xml:space="preserve"> </w:t>
      </w:r>
      <w:r w:rsidRPr="005B6D7B">
        <w:t>RR</w:t>
      </w:r>
      <w:r w:rsidR="00DF018C" w:rsidRPr="005B6D7B">
        <w:t>=</w:t>
      </w:r>
      <w:r w:rsidRPr="005B6D7B">
        <w:t xml:space="preserve">relative risk; </w:t>
      </w:r>
      <w:r w:rsidR="00847D64" w:rsidRPr="005B6D7B">
        <w:t>S=secukinumab; U=ustekinumab.</w:t>
      </w:r>
    </w:p>
    <w:p w14:paraId="1AD2BF65" w14:textId="77777777" w:rsidR="00B44171" w:rsidRPr="005B6D7B" w:rsidRDefault="00B44171" w:rsidP="00B44171">
      <w:pPr>
        <w:pStyle w:val="FooterTableFigure"/>
        <w:rPr>
          <w:iCs/>
        </w:rPr>
      </w:pPr>
      <w:r w:rsidRPr="005B6D7B">
        <w:rPr>
          <w:iCs/>
        </w:rPr>
        <w:t xml:space="preserve">Note: Meta-analyses were conducted using fixed effects in RevMan 5. </w:t>
      </w:r>
    </w:p>
    <w:p w14:paraId="22054768" w14:textId="5023496B" w:rsidR="00B44171" w:rsidRPr="005B6D7B" w:rsidRDefault="00B44171" w:rsidP="00BB5640">
      <w:pPr>
        <w:pStyle w:val="FooterTableFigure"/>
        <w:ind w:left="165" w:hanging="165"/>
      </w:pPr>
      <w:r w:rsidRPr="005B6D7B">
        <w:rPr>
          <w:vertAlign w:val="superscript"/>
        </w:rPr>
        <w:t>1</w:t>
      </w:r>
      <w:r w:rsidR="00063D81" w:rsidRPr="005B6D7B">
        <w:rPr>
          <w:vertAlign w:val="superscript"/>
        </w:rPr>
        <w:tab/>
      </w:r>
      <w:r w:rsidRPr="005B6D7B">
        <w:t xml:space="preserve">The submission made the clinical claim that risankizumab has superior efficacy to adalimumab, etanercept, secukinumab, tildrakizumab, secukinumab, and ustekinumab.  </w:t>
      </w:r>
    </w:p>
    <w:p w14:paraId="3F911FB9" w14:textId="10E66ACD" w:rsidR="00B44171" w:rsidRPr="005B6D7B" w:rsidRDefault="00B44171" w:rsidP="00B44171">
      <w:pPr>
        <w:pStyle w:val="FooterTableFigure"/>
      </w:pPr>
      <w:r w:rsidRPr="005B6D7B">
        <w:rPr>
          <w:vertAlign w:val="superscript"/>
        </w:rPr>
        <w:t xml:space="preserve">2 </w:t>
      </w:r>
      <w:r w:rsidR="00063D81" w:rsidRPr="005B6D7B">
        <w:rPr>
          <w:vertAlign w:val="superscript"/>
        </w:rPr>
        <w:tab/>
      </w:r>
      <w:r w:rsidRPr="005B6D7B">
        <w:t>The submission made the clinical claim that risankizumab has non-inferior efficacy to bimekizumab, guselkumab and ixekizumab.</w:t>
      </w:r>
    </w:p>
    <w:p w14:paraId="1452C351" w14:textId="0D19F1B0" w:rsidR="00B60939" w:rsidRPr="005B6D7B" w:rsidRDefault="00B60939" w:rsidP="00D86231">
      <w:pPr>
        <w:pStyle w:val="4-SubsectionHeading"/>
      </w:pPr>
      <w:bookmarkStart w:id="41" w:name="_Toc22897642"/>
      <w:bookmarkStart w:id="42" w:name="_Toc143506203"/>
      <w:r w:rsidRPr="005B6D7B">
        <w:t>Comparative harms</w:t>
      </w:r>
      <w:bookmarkEnd w:id="41"/>
      <w:bookmarkEnd w:id="42"/>
    </w:p>
    <w:p w14:paraId="63EDA0E2" w14:textId="0BE6D608" w:rsidR="0014549B" w:rsidRPr="009A24F9" w:rsidRDefault="00B87FF0" w:rsidP="00C450AD">
      <w:pPr>
        <w:pStyle w:val="3-BodyText"/>
      </w:pPr>
      <w:r w:rsidRPr="009A24F9">
        <w:rPr>
          <w:snapToGrid/>
        </w:rPr>
        <w:fldChar w:fldCharType="begin" w:fldLock="1"/>
      </w:r>
      <w:r w:rsidRPr="009A24F9">
        <w:rPr>
          <w:snapToGrid/>
        </w:rPr>
        <w:instrText xml:space="preserve"> REF _Ref141961009 \h </w:instrText>
      </w:r>
      <w:r w:rsidR="009A24F9" w:rsidRPr="009A24F9">
        <w:rPr>
          <w:snapToGrid/>
        </w:rPr>
        <w:instrText xml:space="preserve"> \* MERGEFORMAT </w:instrText>
      </w:r>
      <w:r w:rsidRPr="009A24F9">
        <w:rPr>
          <w:snapToGrid/>
        </w:rPr>
      </w:r>
      <w:r w:rsidRPr="009A24F9">
        <w:rPr>
          <w:snapToGrid/>
        </w:rPr>
        <w:fldChar w:fldCharType="separate"/>
      </w:r>
      <w:r w:rsidR="0014549B" w:rsidRPr="009A24F9">
        <w:t xml:space="preserve">Table </w:t>
      </w:r>
      <w:r w:rsidR="0014549B" w:rsidRPr="009A24F9">
        <w:rPr>
          <w:noProof/>
        </w:rPr>
        <w:t>7</w:t>
      </w:r>
      <w:r w:rsidRPr="009A24F9">
        <w:rPr>
          <w:snapToGrid/>
        </w:rPr>
        <w:fldChar w:fldCharType="end"/>
      </w:r>
      <w:r w:rsidRPr="009A24F9">
        <w:rPr>
          <w:snapToGrid/>
        </w:rPr>
        <w:t xml:space="preserve"> </w:t>
      </w:r>
      <w:r w:rsidR="0031061D" w:rsidRPr="009A24F9">
        <w:rPr>
          <w:snapToGrid/>
        </w:rPr>
        <w:t xml:space="preserve">summarises </w:t>
      </w:r>
      <w:r w:rsidR="00602116" w:rsidRPr="009A24F9">
        <w:rPr>
          <w:snapToGrid/>
        </w:rPr>
        <w:t xml:space="preserve">adverse events (AEs) </w:t>
      </w:r>
      <w:r w:rsidR="0031061D" w:rsidRPr="009A24F9">
        <w:rPr>
          <w:snapToGrid/>
        </w:rPr>
        <w:t>reported in the direct</w:t>
      </w:r>
      <w:r w:rsidR="00602116" w:rsidRPr="009A24F9">
        <w:rPr>
          <w:snapToGrid/>
        </w:rPr>
        <w:t xml:space="preserve"> risankizumab trials during the treatment period is presented. </w:t>
      </w:r>
      <w:r w:rsidR="0031061D" w:rsidRPr="009A24F9">
        <w:t>Overall rates of AEs were similar across active treatment, with low rates of serious AEs and AEs leading to treatment discontinuation.</w:t>
      </w:r>
      <w:r w:rsidR="0014549B" w:rsidRPr="009A24F9">
        <w:t xml:space="preserve"> The submission also presented a </w:t>
      </w:r>
      <w:r w:rsidR="00C450AD" w:rsidRPr="009A24F9">
        <w:t xml:space="preserve">side by side </w:t>
      </w:r>
      <w:r w:rsidR="0014549B" w:rsidRPr="009A24F9">
        <w:t>comparison of short-term safety outcomes across all included RCTs, which showed overall event rates were comparable across different biologic treatments. The safety profile of risankizumab is well established and the PBAC has previously accepted non-inferior safety between risankizumab and other biologics available for CPP (paragraphs 6.32 and 6.34, risankizumab PSD, July 2019).</w:t>
      </w:r>
      <w:r w:rsidR="0014549B" w:rsidRPr="009A24F9" w:rsidDel="00135418">
        <w:t xml:space="preserve"> </w:t>
      </w:r>
    </w:p>
    <w:p w14:paraId="2809C2EB" w14:textId="08733581" w:rsidR="00602116" w:rsidRPr="005B6D7B" w:rsidRDefault="00B87FF0" w:rsidP="0014549B">
      <w:pPr>
        <w:pStyle w:val="Caption"/>
      </w:pPr>
      <w:bookmarkStart w:id="43" w:name="_Ref141961009"/>
      <w:r w:rsidRPr="005B6D7B">
        <w:t xml:space="preserve">Table </w:t>
      </w:r>
      <w:r w:rsidR="004D70E1">
        <w:fldChar w:fldCharType="begin" w:fldLock="1"/>
      </w:r>
      <w:r w:rsidR="004D70E1">
        <w:instrText xml:space="preserve"> SEQ Table \* ARABIC </w:instrText>
      </w:r>
      <w:r w:rsidR="004D70E1">
        <w:fldChar w:fldCharType="separate"/>
      </w:r>
      <w:r w:rsidR="00435AF2">
        <w:rPr>
          <w:noProof/>
        </w:rPr>
        <w:t>7</w:t>
      </w:r>
      <w:r w:rsidR="004D70E1">
        <w:rPr>
          <w:noProof/>
        </w:rPr>
        <w:fldChar w:fldCharType="end"/>
      </w:r>
      <w:bookmarkEnd w:id="43"/>
      <w:r w:rsidR="00602116" w:rsidRPr="005B6D7B">
        <w:t xml:space="preserve">: Summary of key adverse events in the </w:t>
      </w:r>
      <w:r w:rsidR="0014549B" w:rsidRPr="005B6D7B">
        <w:t xml:space="preserve">active-controlled </w:t>
      </w:r>
      <w:r w:rsidR="00602116" w:rsidRPr="005B6D7B">
        <w:t>risankizumab trials (</w:t>
      </w:r>
      <w:r w:rsidR="0014549B" w:rsidRPr="005B6D7B">
        <w:t xml:space="preserve">double-blind </w:t>
      </w:r>
      <w:r w:rsidR="00602116" w:rsidRPr="005B6D7B">
        <w:t>phase)</w:t>
      </w:r>
    </w:p>
    <w:tbl>
      <w:tblPr>
        <w:tblW w:w="52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7: Summary of key adverse events in the active-controlled risankizumab trials (double-blind phase)"/>
      </w:tblPr>
      <w:tblGrid>
        <w:gridCol w:w="987"/>
        <w:gridCol w:w="571"/>
        <w:gridCol w:w="426"/>
        <w:gridCol w:w="1259"/>
        <w:gridCol w:w="1259"/>
        <w:gridCol w:w="1261"/>
        <w:gridCol w:w="1259"/>
        <w:gridCol w:w="1259"/>
        <w:gridCol w:w="1259"/>
      </w:tblGrid>
      <w:tr w:rsidR="00EB22B7" w:rsidRPr="005B6D7B" w14:paraId="6207026A" w14:textId="77777777" w:rsidTr="00EB22B7">
        <w:trPr>
          <w:trHeight w:val="20"/>
          <w:tblHeader/>
        </w:trPr>
        <w:tc>
          <w:tcPr>
            <w:tcW w:w="517" w:type="pct"/>
            <w:tcBorders>
              <w:bottom w:val="single" w:sz="4" w:space="0" w:color="auto"/>
            </w:tcBorders>
            <w:shd w:val="clear" w:color="auto" w:fill="auto"/>
            <w:noWrap/>
            <w:vAlign w:val="center"/>
          </w:tcPr>
          <w:p w14:paraId="07A36309" w14:textId="77777777" w:rsidR="00EB22B7" w:rsidRPr="005B6D7B" w:rsidRDefault="00EB22B7" w:rsidP="00C05EEF">
            <w:pPr>
              <w:pStyle w:val="Tabletext"/>
              <w:jc w:val="center"/>
              <w:rPr>
                <w:b/>
                <w:bCs/>
                <w:sz w:val="18"/>
                <w:szCs w:val="18"/>
              </w:rPr>
            </w:pPr>
            <w:r w:rsidRPr="005B6D7B">
              <w:rPr>
                <w:b/>
                <w:bCs/>
                <w:sz w:val="18"/>
                <w:szCs w:val="18"/>
              </w:rPr>
              <w:t>Trial ID</w:t>
            </w:r>
          </w:p>
        </w:tc>
        <w:tc>
          <w:tcPr>
            <w:tcW w:w="299" w:type="pct"/>
            <w:tcBorders>
              <w:bottom w:val="single" w:sz="4" w:space="0" w:color="auto"/>
            </w:tcBorders>
            <w:shd w:val="clear" w:color="auto" w:fill="auto"/>
            <w:vAlign w:val="center"/>
          </w:tcPr>
          <w:p w14:paraId="221AF31D" w14:textId="77777777" w:rsidR="00EB22B7" w:rsidRPr="005B6D7B" w:rsidRDefault="00EB22B7" w:rsidP="00C05EEF">
            <w:pPr>
              <w:pStyle w:val="Tabletext"/>
              <w:jc w:val="center"/>
              <w:rPr>
                <w:b/>
                <w:bCs/>
                <w:sz w:val="18"/>
                <w:szCs w:val="18"/>
              </w:rPr>
            </w:pPr>
            <w:r w:rsidRPr="005B6D7B">
              <w:rPr>
                <w:b/>
                <w:bCs/>
                <w:sz w:val="18"/>
                <w:szCs w:val="18"/>
              </w:rPr>
              <w:t>Txt</w:t>
            </w:r>
          </w:p>
        </w:tc>
        <w:tc>
          <w:tcPr>
            <w:tcW w:w="223" w:type="pct"/>
            <w:tcBorders>
              <w:bottom w:val="single" w:sz="4" w:space="0" w:color="auto"/>
            </w:tcBorders>
            <w:shd w:val="clear" w:color="auto" w:fill="auto"/>
            <w:vAlign w:val="center"/>
          </w:tcPr>
          <w:p w14:paraId="7EED64C4" w14:textId="77777777" w:rsidR="00EB22B7" w:rsidRPr="005B6D7B" w:rsidRDefault="00EB22B7" w:rsidP="00C05EEF">
            <w:pPr>
              <w:pStyle w:val="Tabletext"/>
              <w:jc w:val="center"/>
              <w:rPr>
                <w:b/>
                <w:bCs/>
                <w:sz w:val="18"/>
                <w:szCs w:val="18"/>
              </w:rPr>
            </w:pPr>
            <w:r w:rsidRPr="005B6D7B">
              <w:rPr>
                <w:b/>
                <w:bCs/>
                <w:sz w:val="18"/>
                <w:szCs w:val="18"/>
              </w:rPr>
              <w:t>N</w:t>
            </w:r>
          </w:p>
        </w:tc>
        <w:tc>
          <w:tcPr>
            <w:tcW w:w="660" w:type="pct"/>
            <w:tcBorders>
              <w:bottom w:val="single" w:sz="4" w:space="0" w:color="auto"/>
            </w:tcBorders>
            <w:shd w:val="clear" w:color="auto" w:fill="auto"/>
            <w:vAlign w:val="center"/>
          </w:tcPr>
          <w:p w14:paraId="743FAD1C" w14:textId="77777777" w:rsidR="00EB22B7" w:rsidRPr="005B6D7B" w:rsidRDefault="00EB22B7" w:rsidP="00C05EEF">
            <w:pPr>
              <w:pStyle w:val="Tabletext"/>
              <w:jc w:val="center"/>
              <w:rPr>
                <w:b/>
                <w:bCs/>
                <w:sz w:val="18"/>
                <w:szCs w:val="18"/>
              </w:rPr>
            </w:pPr>
            <w:r w:rsidRPr="005B6D7B">
              <w:rPr>
                <w:b/>
                <w:bCs/>
                <w:sz w:val="18"/>
                <w:szCs w:val="18"/>
              </w:rPr>
              <w:t>Any AE,</w:t>
            </w:r>
          </w:p>
          <w:p w14:paraId="49E0F964" w14:textId="77777777" w:rsidR="00EB22B7" w:rsidRPr="005B6D7B" w:rsidRDefault="00EB22B7" w:rsidP="00C05EEF">
            <w:pPr>
              <w:pStyle w:val="Tabletext"/>
              <w:jc w:val="center"/>
              <w:rPr>
                <w:b/>
                <w:bCs/>
                <w:sz w:val="18"/>
                <w:szCs w:val="18"/>
              </w:rPr>
            </w:pPr>
            <w:r w:rsidRPr="005B6D7B">
              <w:rPr>
                <w:b/>
                <w:bCs/>
                <w:sz w:val="18"/>
                <w:szCs w:val="18"/>
              </w:rPr>
              <w:t>n (%)</w:t>
            </w:r>
          </w:p>
        </w:tc>
        <w:tc>
          <w:tcPr>
            <w:tcW w:w="660" w:type="pct"/>
            <w:tcBorders>
              <w:bottom w:val="single" w:sz="4" w:space="0" w:color="auto"/>
            </w:tcBorders>
            <w:shd w:val="clear" w:color="auto" w:fill="auto"/>
            <w:vAlign w:val="center"/>
          </w:tcPr>
          <w:p w14:paraId="56CC52A9" w14:textId="77777777" w:rsidR="00EB22B7" w:rsidRPr="005B6D7B" w:rsidRDefault="00EB22B7" w:rsidP="00C05EEF">
            <w:pPr>
              <w:pStyle w:val="Tabletext"/>
              <w:jc w:val="center"/>
              <w:rPr>
                <w:b/>
                <w:bCs/>
                <w:sz w:val="18"/>
                <w:szCs w:val="18"/>
              </w:rPr>
            </w:pPr>
            <w:r w:rsidRPr="005B6D7B">
              <w:rPr>
                <w:b/>
                <w:bCs/>
                <w:sz w:val="18"/>
                <w:szCs w:val="18"/>
              </w:rPr>
              <w:t>Any serious AE,</w:t>
            </w:r>
          </w:p>
          <w:p w14:paraId="778BF55B" w14:textId="77777777" w:rsidR="00EB22B7" w:rsidRPr="005B6D7B" w:rsidRDefault="00EB22B7" w:rsidP="00C05EEF">
            <w:pPr>
              <w:pStyle w:val="Tabletext"/>
              <w:jc w:val="center"/>
              <w:rPr>
                <w:b/>
                <w:bCs/>
                <w:sz w:val="18"/>
                <w:szCs w:val="18"/>
              </w:rPr>
            </w:pPr>
            <w:r w:rsidRPr="005B6D7B">
              <w:rPr>
                <w:b/>
                <w:bCs/>
                <w:sz w:val="18"/>
                <w:szCs w:val="18"/>
              </w:rPr>
              <w:t>n (%)</w:t>
            </w:r>
          </w:p>
        </w:tc>
        <w:tc>
          <w:tcPr>
            <w:tcW w:w="661" w:type="pct"/>
            <w:tcBorders>
              <w:bottom w:val="single" w:sz="4" w:space="0" w:color="auto"/>
            </w:tcBorders>
            <w:shd w:val="clear" w:color="auto" w:fill="auto"/>
            <w:vAlign w:val="center"/>
          </w:tcPr>
          <w:p w14:paraId="4F50ADB4" w14:textId="77777777" w:rsidR="00EB22B7" w:rsidRPr="005B6D7B" w:rsidRDefault="00EB22B7" w:rsidP="00C05EEF">
            <w:pPr>
              <w:pStyle w:val="Tabletext"/>
              <w:jc w:val="center"/>
              <w:rPr>
                <w:b/>
                <w:bCs/>
                <w:sz w:val="18"/>
                <w:szCs w:val="18"/>
              </w:rPr>
            </w:pPr>
            <w:r w:rsidRPr="005B6D7B">
              <w:rPr>
                <w:b/>
                <w:bCs/>
                <w:sz w:val="18"/>
                <w:szCs w:val="18"/>
              </w:rPr>
              <w:t>Any AE leading to disc.,</w:t>
            </w:r>
          </w:p>
          <w:p w14:paraId="65249FCA" w14:textId="77777777" w:rsidR="00EB22B7" w:rsidRPr="005B6D7B" w:rsidRDefault="00EB22B7" w:rsidP="00C05EEF">
            <w:pPr>
              <w:pStyle w:val="Tabletext"/>
              <w:jc w:val="center"/>
              <w:rPr>
                <w:b/>
                <w:bCs/>
                <w:sz w:val="18"/>
                <w:szCs w:val="18"/>
              </w:rPr>
            </w:pPr>
            <w:r w:rsidRPr="005B6D7B">
              <w:rPr>
                <w:b/>
                <w:bCs/>
                <w:sz w:val="18"/>
                <w:szCs w:val="18"/>
              </w:rPr>
              <w:t>n (%)</w:t>
            </w:r>
          </w:p>
        </w:tc>
        <w:tc>
          <w:tcPr>
            <w:tcW w:w="660" w:type="pct"/>
            <w:tcBorders>
              <w:bottom w:val="single" w:sz="4" w:space="0" w:color="auto"/>
            </w:tcBorders>
            <w:shd w:val="clear" w:color="auto" w:fill="auto"/>
            <w:vAlign w:val="center"/>
          </w:tcPr>
          <w:p w14:paraId="4912FA93" w14:textId="77777777" w:rsidR="00EB22B7" w:rsidRPr="005B6D7B" w:rsidRDefault="00EB22B7" w:rsidP="00C05EEF">
            <w:pPr>
              <w:pStyle w:val="Tabletext"/>
              <w:jc w:val="center"/>
              <w:rPr>
                <w:b/>
                <w:bCs/>
                <w:sz w:val="18"/>
                <w:szCs w:val="18"/>
              </w:rPr>
            </w:pPr>
            <w:r w:rsidRPr="005B6D7B">
              <w:rPr>
                <w:b/>
                <w:bCs/>
                <w:sz w:val="18"/>
                <w:szCs w:val="18"/>
              </w:rPr>
              <w:t>Any AE related to txt,</w:t>
            </w:r>
          </w:p>
          <w:p w14:paraId="7823AC58" w14:textId="77777777" w:rsidR="00EB22B7" w:rsidRPr="005B6D7B" w:rsidRDefault="00EB22B7" w:rsidP="00C05EEF">
            <w:pPr>
              <w:pStyle w:val="Tabletext"/>
              <w:jc w:val="center"/>
              <w:rPr>
                <w:b/>
                <w:bCs/>
                <w:sz w:val="18"/>
                <w:szCs w:val="18"/>
              </w:rPr>
            </w:pPr>
            <w:r w:rsidRPr="005B6D7B">
              <w:rPr>
                <w:b/>
                <w:bCs/>
                <w:sz w:val="18"/>
                <w:szCs w:val="18"/>
              </w:rPr>
              <w:t>n (%)</w:t>
            </w:r>
          </w:p>
        </w:tc>
        <w:tc>
          <w:tcPr>
            <w:tcW w:w="660" w:type="pct"/>
            <w:tcBorders>
              <w:bottom w:val="single" w:sz="4" w:space="0" w:color="auto"/>
            </w:tcBorders>
            <w:shd w:val="clear" w:color="auto" w:fill="auto"/>
            <w:vAlign w:val="center"/>
          </w:tcPr>
          <w:p w14:paraId="0B97AF19" w14:textId="77777777" w:rsidR="00EB22B7" w:rsidRPr="005B6D7B" w:rsidRDefault="00EB22B7" w:rsidP="00C05EEF">
            <w:pPr>
              <w:pStyle w:val="Tabletext"/>
              <w:jc w:val="center"/>
              <w:rPr>
                <w:b/>
                <w:bCs/>
                <w:sz w:val="18"/>
                <w:szCs w:val="18"/>
              </w:rPr>
            </w:pPr>
            <w:r w:rsidRPr="005B6D7B">
              <w:rPr>
                <w:b/>
                <w:bCs/>
                <w:sz w:val="18"/>
                <w:szCs w:val="18"/>
              </w:rPr>
              <w:t>Any AE leading to death,</w:t>
            </w:r>
          </w:p>
          <w:p w14:paraId="552500C3" w14:textId="77777777" w:rsidR="00EB22B7" w:rsidRPr="005B6D7B" w:rsidRDefault="00EB22B7" w:rsidP="00C05EEF">
            <w:pPr>
              <w:pStyle w:val="Tabletext"/>
              <w:jc w:val="center"/>
              <w:rPr>
                <w:b/>
                <w:bCs/>
                <w:sz w:val="18"/>
                <w:szCs w:val="18"/>
              </w:rPr>
            </w:pPr>
            <w:r w:rsidRPr="005B6D7B">
              <w:rPr>
                <w:b/>
                <w:bCs/>
                <w:sz w:val="18"/>
                <w:szCs w:val="18"/>
              </w:rPr>
              <w:t>n (%)</w:t>
            </w:r>
          </w:p>
        </w:tc>
        <w:tc>
          <w:tcPr>
            <w:tcW w:w="660" w:type="pct"/>
            <w:tcBorders>
              <w:bottom w:val="single" w:sz="4" w:space="0" w:color="auto"/>
            </w:tcBorders>
            <w:shd w:val="clear" w:color="auto" w:fill="auto"/>
            <w:vAlign w:val="center"/>
          </w:tcPr>
          <w:p w14:paraId="079B18E7" w14:textId="77777777" w:rsidR="00EB22B7" w:rsidRPr="005B6D7B" w:rsidRDefault="00EB22B7" w:rsidP="00C05EEF">
            <w:pPr>
              <w:pStyle w:val="Tabletext"/>
              <w:jc w:val="center"/>
              <w:rPr>
                <w:b/>
                <w:bCs/>
                <w:sz w:val="18"/>
                <w:szCs w:val="18"/>
              </w:rPr>
            </w:pPr>
            <w:r w:rsidRPr="005B6D7B">
              <w:rPr>
                <w:b/>
                <w:bCs/>
                <w:sz w:val="18"/>
                <w:szCs w:val="18"/>
              </w:rPr>
              <w:t>Serious infections,</w:t>
            </w:r>
          </w:p>
          <w:p w14:paraId="64170426" w14:textId="77777777" w:rsidR="00EB22B7" w:rsidRPr="005B6D7B" w:rsidRDefault="00EB22B7" w:rsidP="00C05EEF">
            <w:pPr>
              <w:pStyle w:val="Tabletext"/>
              <w:jc w:val="center"/>
              <w:rPr>
                <w:b/>
                <w:bCs/>
                <w:sz w:val="18"/>
                <w:szCs w:val="18"/>
              </w:rPr>
            </w:pPr>
            <w:r w:rsidRPr="005B6D7B">
              <w:rPr>
                <w:b/>
                <w:bCs/>
                <w:sz w:val="18"/>
                <w:szCs w:val="18"/>
              </w:rPr>
              <w:t>n (%)</w:t>
            </w:r>
          </w:p>
        </w:tc>
      </w:tr>
      <w:tr w:rsidR="00EB22B7" w:rsidRPr="005B6D7B" w14:paraId="5D586461" w14:textId="77777777" w:rsidTr="00C05EEF">
        <w:trPr>
          <w:trHeight w:val="20"/>
        </w:trPr>
        <w:tc>
          <w:tcPr>
            <w:tcW w:w="5000" w:type="pct"/>
            <w:gridSpan w:val="9"/>
            <w:tcBorders>
              <w:right w:val="single" w:sz="4" w:space="0" w:color="auto"/>
            </w:tcBorders>
            <w:shd w:val="clear" w:color="auto" w:fill="auto"/>
            <w:noWrap/>
            <w:vAlign w:val="center"/>
          </w:tcPr>
          <w:p w14:paraId="41F489D4" w14:textId="77777777" w:rsidR="00EB22B7" w:rsidRPr="005B6D7B" w:rsidRDefault="00EB22B7" w:rsidP="00C05EEF">
            <w:pPr>
              <w:pStyle w:val="Tabletext"/>
              <w:rPr>
                <w:b/>
                <w:bCs/>
                <w:sz w:val="18"/>
                <w:szCs w:val="18"/>
              </w:rPr>
            </w:pPr>
            <w:r w:rsidRPr="005B6D7B">
              <w:rPr>
                <w:b/>
                <w:bCs/>
                <w:sz w:val="18"/>
                <w:szCs w:val="18"/>
              </w:rPr>
              <w:t>Short-term (16-weeks)</w:t>
            </w:r>
          </w:p>
        </w:tc>
      </w:tr>
      <w:tr w:rsidR="00EB22B7" w:rsidRPr="005B6D7B" w14:paraId="761C8FB3" w14:textId="77777777" w:rsidTr="00EB22B7">
        <w:trPr>
          <w:trHeight w:val="20"/>
        </w:trPr>
        <w:tc>
          <w:tcPr>
            <w:tcW w:w="517" w:type="pct"/>
            <w:vMerge w:val="restart"/>
            <w:shd w:val="clear" w:color="auto" w:fill="auto"/>
            <w:noWrap/>
            <w:vAlign w:val="center"/>
          </w:tcPr>
          <w:p w14:paraId="230FB954" w14:textId="77777777" w:rsidR="00EB22B7" w:rsidRPr="005B6D7B" w:rsidRDefault="00EB22B7" w:rsidP="00C05EEF">
            <w:pPr>
              <w:pStyle w:val="Tabletext"/>
              <w:rPr>
                <w:sz w:val="18"/>
                <w:szCs w:val="18"/>
              </w:rPr>
            </w:pPr>
            <w:r w:rsidRPr="005B6D7B">
              <w:rPr>
                <w:sz w:val="18"/>
                <w:szCs w:val="18"/>
              </w:rPr>
              <w:t>UltIMMa-1</w:t>
            </w:r>
          </w:p>
        </w:tc>
        <w:tc>
          <w:tcPr>
            <w:tcW w:w="299" w:type="pct"/>
            <w:tcBorders>
              <w:tl2br w:val="nil"/>
              <w:tr2bl w:val="nil"/>
            </w:tcBorders>
            <w:shd w:val="clear" w:color="auto" w:fill="auto"/>
            <w:vAlign w:val="center"/>
          </w:tcPr>
          <w:p w14:paraId="2D45880F" w14:textId="77777777" w:rsidR="00EB22B7" w:rsidRPr="005B6D7B" w:rsidRDefault="00EB22B7" w:rsidP="00C05EEF">
            <w:pPr>
              <w:pStyle w:val="Tabletext"/>
              <w:rPr>
                <w:sz w:val="18"/>
                <w:szCs w:val="18"/>
              </w:rPr>
            </w:pPr>
            <w:r w:rsidRPr="005B6D7B">
              <w:rPr>
                <w:sz w:val="18"/>
                <w:szCs w:val="18"/>
              </w:rPr>
              <w:t>UST</w:t>
            </w:r>
          </w:p>
        </w:tc>
        <w:tc>
          <w:tcPr>
            <w:tcW w:w="223" w:type="pct"/>
            <w:tcBorders>
              <w:tl2br w:val="nil"/>
              <w:tr2bl w:val="nil"/>
            </w:tcBorders>
            <w:shd w:val="clear" w:color="auto" w:fill="auto"/>
            <w:vAlign w:val="center"/>
          </w:tcPr>
          <w:p w14:paraId="5F81784C" w14:textId="77777777" w:rsidR="00EB22B7" w:rsidRPr="005B6D7B" w:rsidRDefault="00EB22B7" w:rsidP="00C05EEF">
            <w:pPr>
              <w:pStyle w:val="Tabletext"/>
              <w:rPr>
                <w:sz w:val="18"/>
                <w:szCs w:val="18"/>
              </w:rPr>
            </w:pPr>
            <w:r w:rsidRPr="005B6D7B">
              <w:rPr>
                <w:sz w:val="18"/>
                <w:szCs w:val="18"/>
              </w:rPr>
              <w:t>100</w:t>
            </w:r>
          </w:p>
        </w:tc>
        <w:tc>
          <w:tcPr>
            <w:tcW w:w="660"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4F0D514" w14:textId="77777777" w:rsidR="00EB22B7" w:rsidRPr="005B6D7B" w:rsidRDefault="00EB22B7" w:rsidP="00C05EEF">
            <w:pPr>
              <w:pStyle w:val="Tabletext"/>
              <w:jc w:val="center"/>
              <w:rPr>
                <w:sz w:val="18"/>
                <w:szCs w:val="18"/>
              </w:rPr>
            </w:pPr>
            <w:r w:rsidRPr="005B6D7B">
              <w:rPr>
                <w:sz w:val="18"/>
                <w:szCs w:val="18"/>
              </w:rPr>
              <w:t>50 (50.0)</w:t>
            </w:r>
          </w:p>
        </w:tc>
        <w:tc>
          <w:tcPr>
            <w:tcW w:w="660"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62B0F19" w14:textId="77777777" w:rsidR="00EB22B7" w:rsidRPr="005B6D7B" w:rsidRDefault="00EB22B7" w:rsidP="00C05EEF">
            <w:pPr>
              <w:pStyle w:val="Tabletext"/>
              <w:jc w:val="center"/>
              <w:rPr>
                <w:sz w:val="18"/>
                <w:szCs w:val="18"/>
              </w:rPr>
            </w:pPr>
            <w:r w:rsidRPr="005B6D7B">
              <w:rPr>
                <w:sz w:val="18"/>
                <w:szCs w:val="18"/>
              </w:rPr>
              <w:t>8 (8.0)</w:t>
            </w:r>
          </w:p>
        </w:tc>
        <w:tc>
          <w:tcPr>
            <w:tcW w:w="661"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CEEF9B6" w14:textId="77777777" w:rsidR="00EB22B7" w:rsidRPr="005B6D7B" w:rsidRDefault="00EB22B7" w:rsidP="00C05EEF">
            <w:pPr>
              <w:pStyle w:val="Tabletext"/>
              <w:jc w:val="center"/>
              <w:rPr>
                <w:sz w:val="18"/>
                <w:szCs w:val="18"/>
              </w:rPr>
            </w:pPr>
            <w:r w:rsidRPr="005B6D7B">
              <w:rPr>
                <w:sz w:val="18"/>
                <w:szCs w:val="18"/>
              </w:rPr>
              <w:t>2 (2.0)</w:t>
            </w:r>
          </w:p>
        </w:tc>
        <w:tc>
          <w:tcPr>
            <w:tcW w:w="660"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6EEADD5" w14:textId="77777777" w:rsidR="00EB22B7" w:rsidRPr="005B6D7B" w:rsidRDefault="00EB22B7" w:rsidP="00C05EEF">
            <w:pPr>
              <w:pStyle w:val="Tabletext"/>
              <w:jc w:val="center"/>
              <w:rPr>
                <w:sz w:val="18"/>
                <w:szCs w:val="18"/>
              </w:rPr>
            </w:pPr>
            <w:r w:rsidRPr="005B6D7B">
              <w:rPr>
                <w:sz w:val="18"/>
                <w:szCs w:val="18"/>
              </w:rPr>
              <w:t>11 (11.0)</w:t>
            </w:r>
          </w:p>
        </w:tc>
        <w:tc>
          <w:tcPr>
            <w:tcW w:w="660"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D8FA1BE" w14:textId="77777777" w:rsidR="00EB22B7" w:rsidRPr="005B6D7B" w:rsidRDefault="00EB22B7" w:rsidP="00C05EEF">
            <w:pPr>
              <w:pStyle w:val="Tabletext"/>
              <w:jc w:val="center"/>
              <w:rPr>
                <w:sz w:val="18"/>
                <w:szCs w:val="18"/>
              </w:rPr>
            </w:pPr>
            <w:r w:rsidRPr="005B6D7B">
              <w:rPr>
                <w:sz w:val="18"/>
                <w:szCs w:val="18"/>
              </w:rPr>
              <w:t>0 (0.0)</w:t>
            </w:r>
          </w:p>
        </w:tc>
        <w:tc>
          <w:tcPr>
            <w:tcW w:w="660" w:type="pct"/>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14:paraId="2A3CB5F0" w14:textId="77777777" w:rsidR="00EB22B7" w:rsidRPr="005B6D7B" w:rsidRDefault="00EB22B7" w:rsidP="00C05EEF">
            <w:pPr>
              <w:pStyle w:val="Tabletext"/>
              <w:jc w:val="center"/>
              <w:rPr>
                <w:sz w:val="18"/>
                <w:szCs w:val="18"/>
              </w:rPr>
            </w:pPr>
            <w:r w:rsidRPr="005B6D7B">
              <w:rPr>
                <w:sz w:val="18"/>
                <w:szCs w:val="18"/>
              </w:rPr>
              <w:t>3 (3.0)</w:t>
            </w:r>
          </w:p>
        </w:tc>
      </w:tr>
      <w:tr w:rsidR="00EB22B7" w:rsidRPr="005B6D7B" w14:paraId="6CD7AD8E" w14:textId="77777777" w:rsidTr="00EB22B7">
        <w:trPr>
          <w:trHeight w:val="20"/>
        </w:trPr>
        <w:tc>
          <w:tcPr>
            <w:tcW w:w="517" w:type="pct"/>
            <w:vMerge/>
            <w:shd w:val="clear" w:color="auto" w:fill="auto"/>
            <w:noWrap/>
            <w:vAlign w:val="center"/>
          </w:tcPr>
          <w:p w14:paraId="40C1CC39" w14:textId="77777777" w:rsidR="00EB22B7" w:rsidRPr="005B6D7B" w:rsidRDefault="00EB22B7" w:rsidP="00EB22B7">
            <w:pPr>
              <w:pStyle w:val="Tabletext"/>
              <w:rPr>
                <w:sz w:val="18"/>
                <w:szCs w:val="18"/>
              </w:rPr>
            </w:pPr>
          </w:p>
        </w:tc>
        <w:tc>
          <w:tcPr>
            <w:tcW w:w="299" w:type="pct"/>
            <w:tcBorders>
              <w:tl2br w:val="nil"/>
              <w:tr2bl w:val="nil"/>
            </w:tcBorders>
            <w:shd w:val="clear" w:color="auto" w:fill="auto"/>
            <w:vAlign w:val="center"/>
          </w:tcPr>
          <w:p w14:paraId="65C48CD5" w14:textId="47ACD076" w:rsidR="00EB22B7" w:rsidRPr="005B6D7B" w:rsidRDefault="00EB22B7" w:rsidP="00EB22B7">
            <w:pPr>
              <w:pStyle w:val="Tabletext"/>
              <w:rPr>
                <w:sz w:val="18"/>
                <w:szCs w:val="18"/>
              </w:rPr>
            </w:pPr>
            <w:r w:rsidRPr="005B6D7B">
              <w:rPr>
                <w:sz w:val="18"/>
                <w:szCs w:val="18"/>
              </w:rPr>
              <w:t>RIS</w:t>
            </w:r>
          </w:p>
        </w:tc>
        <w:tc>
          <w:tcPr>
            <w:tcW w:w="223" w:type="pct"/>
            <w:tcBorders>
              <w:tl2br w:val="nil"/>
              <w:tr2bl w:val="nil"/>
            </w:tcBorders>
            <w:shd w:val="clear" w:color="auto" w:fill="auto"/>
            <w:vAlign w:val="center"/>
          </w:tcPr>
          <w:p w14:paraId="405BB752" w14:textId="4BC61BB4" w:rsidR="00EB22B7" w:rsidRPr="005B6D7B" w:rsidRDefault="00EB22B7" w:rsidP="00EB22B7">
            <w:pPr>
              <w:pStyle w:val="Tabletext"/>
              <w:rPr>
                <w:sz w:val="18"/>
                <w:szCs w:val="18"/>
              </w:rPr>
            </w:pPr>
            <w:r w:rsidRPr="005B6D7B">
              <w:rPr>
                <w:sz w:val="18"/>
                <w:szCs w:val="18"/>
              </w:rPr>
              <w:t>304</w:t>
            </w:r>
          </w:p>
        </w:tc>
        <w:tc>
          <w:tcPr>
            <w:tcW w:w="660"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994ACDE" w14:textId="0A21A442" w:rsidR="00EB22B7" w:rsidRPr="005B6D7B" w:rsidRDefault="00EB22B7" w:rsidP="00EB22B7">
            <w:pPr>
              <w:pStyle w:val="Tabletext"/>
              <w:jc w:val="center"/>
              <w:rPr>
                <w:sz w:val="18"/>
                <w:szCs w:val="18"/>
              </w:rPr>
            </w:pPr>
            <w:r w:rsidRPr="005B6D7B">
              <w:rPr>
                <w:sz w:val="18"/>
                <w:szCs w:val="18"/>
              </w:rPr>
              <w:t>151 (49.7)</w:t>
            </w:r>
          </w:p>
        </w:tc>
        <w:tc>
          <w:tcPr>
            <w:tcW w:w="660"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7B87F96" w14:textId="47A71F9D" w:rsidR="00EB22B7" w:rsidRPr="005B6D7B" w:rsidRDefault="00EB22B7" w:rsidP="00EB22B7">
            <w:pPr>
              <w:pStyle w:val="Tabletext"/>
              <w:jc w:val="center"/>
              <w:rPr>
                <w:sz w:val="18"/>
                <w:szCs w:val="18"/>
              </w:rPr>
            </w:pPr>
            <w:r w:rsidRPr="005B6D7B">
              <w:rPr>
                <w:sz w:val="18"/>
                <w:szCs w:val="18"/>
              </w:rPr>
              <w:t>7 (2.3)</w:t>
            </w:r>
          </w:p>
        </w:tc>
        <w:tc>
          <w:tcPr>
            <w:tcW w:w="661"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C038D82" w14:textId="7174A73E" w:rsidR="00EB22B7" w:rsidRPr="005B6D7B" w:rsidRDefault="00EB22B7" w:rsidP="00EB22B7">
            <w:pPr>
              <w:pStyle w:val="Tabletext"/>
              <w:jc w:val="center"/>
              <w:rPr>
                <w:sz w:val="18"/>
                <w:szCs w:val="18"/>
              </w:rPr>
            </w:pPr>
            <w:r w:rsidRPr="005B6D7B">
              <w:rPr>
                <w:sz w:val="18"/>
                <w:szCs w:val="18"/>
              </w:rPr>
              <w:t>2 (0.7)</w:t>
            </w:r>
          </w:p>
        </w:tc>
        <w:tc>
          <w:tcPr>
            <w:tcW w:w="660"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F58A359" w14:textId="2340F43B" w:rsidR="00EB22B7" w:rsidRPr="005B6D7B" w:rsidRDefault="00EB22B7" w:rsidP="00EB22B7">
            <w:pPr>
              <w:pStyle w:val="Tabletext"/>
              <w:jc w:val="center"/>
              <w:rPr>
                <w:sz w:val="18"/>
                <w:szCs w:val="18"/>
              </w:rPr>
            </w:pPr>
            <w:r w:rsidRPr="005B6D7B">
              <w:rPr>
                <w:sz w:val="18"/>
                <w:szCs w:val="18"/>
              </w:rPr>
              <w:t>36 (11.8)</w:t>
            </w:r>
          </w:p>
        </w:tc>
        <w:tc>
          <w:tcPr>
            <w:tcW w:w="660"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67F4F31" w14:textId="0DE634E8" w:rsidR="00EB22B7" w:rsidRPr="005B6D7B" w:rsidRDefault="00EB22B7" w:rsidP="00EB22B7">
            <w:pPr>
              <w:pStyle w:val="Tabletext"/>
              <w:jc w:val="center"/>
              <w:rPr>
                <w:sz w:val="18"/>
                <w:szCs w:val="18"/>
              </w:rPr>
            </w:pPr>
            <w:r w:rsidRPr="005B6D7B">
              <w:rPr>
                <w:sz w:val="18"/>
                <w:szCs w:val="18"/>
              </w:rPr>
              <w:t>0 (0.0)</w:t>
            </w:r>
          </w:p>
        </w:tc>
        <w:tc>
          <w:tcPr>
            <w:tcW w:w="660" w:type="pct"/>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14:paraId="0D0DFE0B" w14:textId="538867F8" w:rsidR="00EB22B7" w:rsidRPr="005B6D7B" w:rsidRDefault="00EB22B7" w:rsidP="00EB22B7">
            <w:pPr>
              <w:pStyle w:val="Tabletext"/>
              <w:jc w:val="center"/>
              <w:rPr>
                <w:sz w:val="18"/>
                <w:szCs w:val="18"/>
              </w:rPr>
            </w:pPr>
            <w:r w:rsidRPr="005B6D7B">
              <w:rPr>
                <w:sz w:val="18"/>
                <w:szCs w:val="18"/>
              </w:rPr>
              <w:t>1 (0.3)</w:t>
            </w:r>
          </w:p>
        </w:tc>
      </w:tr>
      <w:tr w:rsidR="00EB22B7" w:rsidRPr="005B6D7B" w14:paraId="25C1D17E" w14:textId="77777777" w:rsidTr="00EB22B7">
        <w:trPr>
          <w:trHeight w:val="20"/>
        </w:trPr>
        <w:tc>
          <w:tcPr>
            <w:tcW w:w="517" w:type="pct"/>
            <w:vMerge w:val="restart"/>
            <w:shd w:val="clear" w:color="auto" w:fill="auto"/>
            <w:noWrap/>
            <w:vAlign w:val="center"/>
          </w:tcPr>
          <w:p w14:paraId="292A1E51" w14:textId="77777777" w:rsidR="00EB22B7" w:rsidRPr="005B6D7B" w:rsidRDefault="00EB22B7" w:rsidP="00EB22B7">
            <w:pPr>
              <w:pStyle w:val="Tabletext"/>
              <w:rPr>
                <w:sz w:val="18"/>
                <w:szCs w:val="18"/>
              </w:rPr>
            </w:pPr>
            <w:r w:rsidRPr="005B6D7B">
              <w:rPr>
                <w:sz w:val="18"/>
                <w:szCs w:val="18"/>
              </w:rPr>
              <w:t>UltIMMa-2</w:t>
            </w:r>
          </w:p>
        </w:tc>
        <w:tc>
          <w:tcPr>
            <w:tcW w:w="299" w:type="pct"/>
            <w:tcBorders>
              <w:tl2br w:val="nil"/>
              <w:tr2bl w:val="nil"/>
            </w:tcBorders>
            <w:shd w:val="clear" w:color="auto" w:fill="auto"/>
            <w:vAlign w:val="center"/>
          </w:tcPr>
          <w:p w14:paraId="4FD9DB79" w14:textId="77777777" w:rsidR="00EB22B7" w:rsidRPr="005B6D7B" w:rsidRDefault="00EB22B7" w:rsidP="00EB22B7">
            <w:pPr>
              <w:pStyle w:val="Tabletext"/>
              <w:rPr>
                <w:sz w:val="18"/>
                <w:szCs w:val="18"/>
              </w:rPr>
            </w:pPr>
            <w:r w:rsidRPr="005B6D7B">
              <w:rPr>
                <w:sz w:val="18"/>
                <w:szCs w:val="18"/>
              </w:rPr>
              <w:t>UST</w:t>
            </w:r>
          </w:p>
        </w:tc>
        <w:tc>
          <w:tcPr>
            <w:tcW w:w="223" w:type="pct"/>
            <w:tcBorders>
              <w:tl2br w:val="nil"/>
              <w:tr2bl w:val="nil"/>
            </w:tcBorders>
            <w:shd w:val="clear" w:color="auto" w:fill="auto"/>
            <w:vAlign w:val="center"/>
          </w:tcPr>
          <w:p w14:paraId="73C586D2" w14:textId="77777777" w:rsidR="00EB22B7" w:rsidRPr="005B6D7B" w:rsidRDefault="00EB22B7" w:rsidP="00EB22B7">
            <w:pPr>
              <w:pStyle w:val="Tabletext"/>
              <w:rPr>
                <w:sz w:val="18"/>
                <w:szCs w:val="18"/>
              </w:rPr>
            </w:pPr>
            <w:r w:rsidRPr="005B6D7B">
              <w:rPr>
                <w:sz w:val="18"/>
                <w:szCs w:val="18"/>
              </w:rPr>
              <w:t>99</w:t>
            </w:r>
          </w:p>
        </w:tc>
        <w:tc>
          <w:tcPr>
            <w:tcW w:w="660" w:type="pct"/>
            <w:tcBorders>
              <w:left w:val="single" w:sz="4" w:space="0" w:color="auto"/>
              <w:right w:val="single" w:sz="4" w:space="0" w:color="auto"/>
              <w:tl2br w:val="nil"/>
              <w:tr2bl w:val="nil"/>
            </w:tcBorders>
            <w:shd w:val="clear" w:color="auto" w:fill="auto"/>
            <w:vAlign w:val="center"/>
          </w:tcPr>
          <w:p w14:paraId="7BD22CA2" w14:textId="77777777" w:rsidR="00EB22B7" w:rsidRPr="005B6D7B" w:rsidRDefault="00EB22B7" w:rsidP="00EB22B7">
            <w:pPr>
              <w:pStyle w:val="Tabletext"/>
              <w:jc w:val="center"/>
              <w:rPr>
                <w:sz w:val="18"/>
                <w:szCs w:val="18"/>
              </w:rPr>
            </w:pPr>
            <w:r w:rsidRPr="005B6D7B">
              <w:rPr>
                <w:sz w:val="18"/>
                <w:szCs w:val="18"/>
              </w:rPr>
              <w:t>53 (53.5)</w:t>
            </w:r>
          </w:p>
        </w:tc>
        <w:tc>
          <w:tcPr>
            <w:tcW w:w="660" w:type="pct"/>
            <w:tcBorders>
              <w:left w:val="single" w:sz="4" w:space="0" w:color="auto"/>
              <w:right w:val="single" w:sz="4" w:space="0" w:color="auto"/>
              <w:tl2br w:val="nil"/>
              <w:tr2bl w:val="nil"/>
            </w:tcBorders>
            <w:shd w:val="clear" w:color="auto" w:fill="auto"/>
            <w:vAlign w:val="center"/>
          </w:tcPr>
          <w:p w14:paraId="490736EA" w14:textId="77777777" w:rsidR="00EB22B7" w:rsidRPr="005B6D7B" w:rsidRDefault="00EB22B7" w:rsidP="00EB22B7">
            <w:pPr>
              <w:pStyle w:val="Tabletext"/>
              <w:jc w:val="center"/>
              <w:rPr>
                <w:sz w:val="18"/>
                <w:szCs w:val="18"/>
              </w:rPr>
            </w:pPr>
            <w:r w:rsidRPr="005B6D7B">
              <w:rPr>
                <w:sz w:val="18"/>
                <w:szCs w:val="18"/>
              </w:rPr>
              <w:t>3 (3.0)</w:t>
            </w:r>
          </w:p>
        </w:tc>
        <w:tc>
          <w:tcPr>
            <w:tcW w:w="661" w:type="pct"/>
            <w:tcBorders>
              <w:top w:val="single" w:sz="4" w:space="0" w:color="auto"/>
              <w:left w:val="single" w:sz="4" w:space="0" w:color="auto"/>
              <w:right w:val="single" w:sz="4" w:space="0" w:color="auto"/>
              <w:tl2br w:val="nil"/>
              <w:tr2bl w:val="nil"/>
            </w:tcBorders>
            <w:shd w:val="clear" w:color="auto" w:fill="auto"/>
            <w:vAlign w:val="center"/>
          </w:tcPr>
          <w:p w14:paraId="34D296C9" w14:textId="77777777" w:rsidR="00EB22B7" w:rsidRPr="005B6D7B" w:rsidRDefault="00EB22B7" w:rsidP="00EB22B7">
            <w:pPr>
              <w:pStyle w:val="Tabletext"/>
              <w:jc w:val="center"/>
              <w:rPr>
                <w:sz w:val="18"/>
                <w:szCs w:val="18"/>
              </w:rPr>
            </w:pPr>
            <w:r w:rsidRPr="005B6D7B">
              <w:rPr>
                <w:sz w:val="18"/>
                <w:szCs w:val="18"/>
              </w:rPr>
              <w:t>0 (0.0)</w:t>
            </w:r>
          </w:p>
        </w:tc>
        <w:tc>
          <w:tcPr>
            <w:tcW w:w="660" w:type="pct"/>
            <w:tcBorders>
              <w:top w:val="single" w:sz="4" w:space="0" w:color="auto"/>
              <w:left w:val="single" w:sz="4" w:space="0" w:color="auto"/>
              <w:right w:val="single" w:sz="4" w:space="0" w:color="auto"/>
              <w:tl2br w:val="nil"/>
              <w:tr2bl w:val="nil"/>
            </w:tcBorders>
            <w:shd w:val="clear" w:color="auto" w:fill="auto"/>
            <w:vAlign w:val="center"/>
          </w:tcPr>
          <w:p w14:paraId="0DEF6674" w14:textId="77777777" w:rsidR="00EB22B7" w:rsidRPr="005B6D7B" w:rsidRDefault="00EB22B7" w:rsidP="00EB22B7">
            <w:pPr>
              <w:pStyle w:val="Tabletext"/>
              <w:jc w:val="center"/>
              <w:rPr>
                <w:sz w:val="18"/>
                <w:szCs w:val="18"/>
              </w:rPr>
            </w:pPr>
            <w:r w:rsidRPr="005B6D7B">
              <w:rPr>
                <w:sz w:val="18"/>
                <w:szCs w:val="18"/>
              </w:rPr>
              <w:t>18 (18.2)</w:t>
            </w:r>
          </w:p>
        </w:tc>
        <w:tc>
          <w:tcPr>
            <w:tcW w:w="660" w:type="pct"/>
            <w:tcBorders>
              <w:top w:val="single" w:sz="4" w:space="0" w:color="auto"/>
              <w:left w:val="single" w:sz="4" w:space="0" w:color="auto"/>
              <w:right w:val="single" w:sz="4" w:space="0" w:color="auto"/>
              <w:tl2br w:val="nil"/>
              <w:tr2bl w:val="nil"/>
            </w:tcBorders>
            <w:shd w:val="clear" w:color="auto" w:fill="auto"/>
            <w:vAlign w:val="center"/>
          </w:tcPr>
          <w:p w14:paraId="343A23EB" w14:textId="77777777" w:rsidR="00EB22B7" w:rsidRPr="005B6D7B" w:rsidRDefault="00EB22B7" w:rsidP="00EB22B7">
            <w:pPr>
              <w:pStyle w:val="Tabletext"/>
              <w:jc w:val="center"/>
              <w:rPr>
                <w:sz w:val="18"/>
                <w:szCs w:val="18"/>
              </w:rPr>
            </w:pPr>
            <w:r w:rsidRPr="005B6D7B">
              <w:rPr>
                <w:sz w:val="18"/>
                <w:szCs w:val="18"/>
              </w:rPr>
              <w:t>0 (0.0)</w:t>
            </w:r>
          </w:p>
        </w:tc>
        <w:tc>
          <w:tcPr>
            <w:tcW w:w="660" w:type="pct"/>
            <w:tcBorders>
              <w:top w:val="single" w:sz="4" w:space="0" w:color="auto"/>
              <w:left w:val="single" w:sz="4" w:space="0" w:color="auto"/>
              <w:right w:val="single" w:sz="4" w:space="0" w:color="auto"/>
              <w:tl2br w:val="nil"/>
              <w:tr2bl w:val="nil"/>
            </w:tcBorders>
            <w:shd w:val="clear" w:color="auto" w:fill="auto"/>
            <w:noWrap/>
            <w:vAlign w:val="center"/>
          </w:tcPr>
          <w:p w14:paraId="3580B58E" w14:textId="77777777" w:rsidR="00EB22B7" w:rsidRPr="005B6D7B" w:rsidRDefault="00EB22B7" w:rsidP="00EB22B7">
            <w:pPr>
              <w:pStyle w:val="Tabletext"/>
              <w:jc w:val="center"/>
              <w:rPr>
                <w:sz w:val="18"/>
                <w:szCs w:val="18"/>
              </w:rPr>
            </w:pPr>
            <w:r w:rsidRPr="005B6D7B">
              <w:rPr>
                <w:sz w:val="18"/>
                <w:szCs w:val="18"/>
              </w:rPr>
              <w:t>1 (0.3)</w:t>
            </w:r>
          </w:p>
        </w:tc>
      </w:tr>
      <w:tr w:rsidR="00EB22B7" w:rsidRPr="005B6D7B" w14:paraId="237A0D28" w14:textId="77777777" w:rsidTr="00EB22B7">
        <w:trPr>
          <w:trHeight w:val="20"/>
        </w:trPr>
        <w:tc>
          <w:tcPr>
            <w:tcW w:w="517" w:type="pct"/>
            <w:vMerge/>
            <w:shd w:val="clear" w:color="auto" w:fill="auto"/>
            <w:noWrap/>
            <w:vAlign w:val="center"/>
          </w:tcPr>
          <w:p w14:paraId="178E9E80" w14:textId="77777777" w:rsidR="00EB22B7" w:rsidRPr="005B6D7B" w:rsidRDefault="00EB22B7" w:rsidP="00EB22B7">
            <w:pPr>
              <w:pStyle w:val="Tabletext"/>
              <w:rPr>
                <w:sz w:val="18"/>
                <w:szCs w:val="18"/>
              </w:rPr>
            </w:pPr>
          </w:p>
        </w:tc>
        <w:tc>
          <w:tcPr>
            <w:tcW w:w="299" w:type="pct"/>
            <w:tcBorders>
              <w:tl2br w:val="nil"/>
              <w:tr2bl w:val="nil"/>
            </w:tcBorders>
            <w:shd w:val="clear" w:color="auto" w:fill="auto"/>
            <w:vAlign w:val="center"/>
          </w:tcPr>
          <w:p w14:paraId="5563522A" w14:textId="77777777" w:rsidR="00EB22B7" w:rsidRPr="005B6D7B" w:rsidRDefault="00EB22B7" w:rsidP="00EB22B7">
            <w:pPr>
              <w:pStyle w:val="Tabletext"/>
              <w:rPr>
                <w:sz w:val="18"/>
                <w:szCs w:val="18"/>
              </w:rPr>
            </w:pPr>
            <w:r w:rsidRPr="005B6D7B">
              <w:rPr>
                <w:sz w:val="18"/>
                <w:szCs w:val="18"/>
              </w:rPr>
              <w:t>RIS</w:t>
            </w:r>
          </w:p>
        </w:tc>
        <w:tc>
          <w:tcPr>
            <w:tcW w:w="223" w:type="pct"/>
            <w:tcBorders>
              <w:tl2br w:val="nil"/>
              <w:tr2bl w:val="nil"/>
            </w:tcBorders>
            <w:shd w:val="clear" w:color="auto" w:fill="auto"/>
            <w:vAlign w:val="center"/>
          </w:tcPr>
          <w:p w14:paraId="5E5401E7" w14:textId="77777777" w:rsidR="00EB22B7" w:rsidRPr="005B6D7B" w:rsidRDefault="00EB22B7" w:rsidP="00EB22B7">
            <w:pPr>
              <w:pStyle w:val="Tabletext"/>
              <w:rPr>
                <w:sz w:val="18"/>
                <w:szCs w:val="18"/>
              </w:rPr>
            </w:pPr>
            <w:r w:rsidRPr="005B6D7B">
              <w:rPr>
                <w:sz w:val="18"/>
                <w:szCs w:val="18"/>
              </w:rPr>
              <w:t>294</w:t>
            </w:r>
          </w:p>
        </w:tc>
        <w:tc>
          <w:tcPr>
            <w:tcW w:w="660" w:type="pct"/>
            <w:tcBorders>
              <w:left w:val="single" w:sz="4" w:space="0" w:color="auto"/>
              <w:bottom w:val="single" w:sz="4" w:space="0" w:color="auto"/>
              <w:right w:val="single" w:sz="4" w:space="0" w:color="auto"/>
              <w:tl2br w:val="nil"/>
              <w:tr2bl w:val="nil"/>
            </w:tcBorders>
            <w:shd w:val="clear" w:color="auto" w:fill="auto"/>
            <w:vAlign w:val="center"/>
          </w:tcPr>
          <w:p w14:paraId="57D9E34B" w14:textId="77777777" w:rsidR="00EB22B7" w:rsidRPr="005B6D7B" w:rsidRDefault="00EB22B7" w:rsidP="00EB22B7">
            <w:pPr>
              <w:pStyle w:val="Tabletext"/>
              <w:jc w:val="center"/>
              <w:rPr>
                <w:sz w:val="18"/>
                <w:szCs w:val="18"/>
              </w:rPr>
            </w:pPr>
            <w:r w:rsidRPr="005B6D7B">
              <w:rPr>
                <w:sz w:val="18"/>
                <w:szCs w:val="18"/>
              </w:rPr>
              <w:t>134 (45.6)</w:t>
            </w:r>
          </w:p>
        </w:tc>
        <w:tc>
          <w:tcPr>
            <w:tcW w:w="660" w:type="pct"/>
            <w:tcBorders>
              <w:left w:val="single" w:sz="4" w:space="0" w:color="auto"/>
              <w:bottom w:val="single" w:sz="4" w:space="0" w:color="auto"/>
              <w:right w:val="single" w:sz="4" w:space="0" w:color="auto"/>
              <w:tl2br w:val="nil"/>
              <w:tr2bl w:val="nil"/>
            </w:tcBorders>
            <w:shd w:val="clear" w:color="auto" w:fill="auto"/>
            <w:vAlign w:val="center"/>
          </w:tcPr>
          <w:p w14:paraId="5CF18F0F" w14:textId="77777777" w:rsidR="00EB22B7" w:rsidRPr="005B6D7B" w:rsidRDefault="00EB22B7" w:rsidP="00EB22B7">
            <w:pPr>
              <w:pStyle w:val="Tabletext"/>
              <w:jc w:val="center"/>
              <w:rPr>
                <w:sz w:val="18"/>
                <w:szCs w:val="18"/>
              </w:rPr>
            </w:pPr>
            <w:r w:rsidRPr="005B6D7B">
              <w:rPr>
                <w:sz w:val="18"/>
                <w:szCs w:val="18"/>
              </w:rPr>
              <w:t>6 (2.0)</w:t>
            </w:r>
          </w:p>
        </w:tc>
        <w:tc>
          <w:tcPr>
            <w:tcW w:w="661"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A0A11FC" w14:textId="77777777" w:rsidR="00EB22B7" w:rsidRPr="005B6D7B" w:rsidRDefault="00EB22B7" w:rsidP="00EB22B7">
            <w:pPr>
              <w:pStyle w:val="Tabletext"/>
              <w:jc w:val="center"/>
              <w:rPr>
                <w:sz w:val="18"/>
                <w:szCs w:val="18"/>
              </w:rPr>
            </w:pPr>
            <w:r w:rsidRPr="005B6D7B">
              <w:rPr>
                <w:sz w:val="18"/>
                <w:szCs w:val="18"/>
              </w:rPr>
              <w:t>1 (0.3)</w:t>
            </w:r>
          </w:p>
        </w:tc>
        <w:tc>
          <w:tcPr>
            <w:tcW w:w="660"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F60BABA" w14:textId="77777777" w:rsidR="00EB22B7" w:rsidRPr="005B6D7B" w:rsidRDefault="00EB22B7" w:rsidP="00EB22B7">
            <w:pPr>
              <w:pStyle w:val="Tabletext"/>
              <w:jc w:val="center"/>
              <w:rPr>
                <w:sz w:val="18"/>
                <w:szCs w:val="18"/>
              </w:rPr>
            </w:pPr>
            <w:r w:rsidRPr="005B6D7B">
              <w:rPr>
                <w:sz w:val="18"/>
                <w:szCs w:val="18"/>
              </w:rPr>
              <w:t>29 (9.9)</w:t>
            </w:r>
          </w:p>
        </w:tc>
        <w:tc>
          <w:tcPr>
            <w:tcW w:w="660"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CE844AB" w14:textId="77777777" w:rsidR="00EB22B7" w:rsidRPr="005B6D7B" w:rsidRDefault="00EB22B7" w:rsidP="00EB22B7">
            <w:pPr>
              <w:pStyle w:val="Tabletext"/>
              <w:jc w:val="center"/>
              <w:rPr>
                <w:sz w:val="18"/>
                <w:szCs w:val="18"/>
              </w:rPr>
            </w:pPr>
            <w:r w:rsidRPr="005B6D7B">
              <w:rPr>
                <w:sz w:val="18"/>
                <w:szCs w:val="18"/>
              </w:rPr>
              <w:t>0 (0.0)</w:t>
            </w:r>
          </w:p>
        </w:tc>
        <w:tc>
          <w:tcPr>
            <w:tcW w:w="660" w:type="pct"/>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14:paraId="659F1874" w14:textId="77777777" w:rsidR="00EB22B7" w:rsidRPr="005B6D7B" w:rsidRDefault="00EB22B7" w:rsidP="00EB22B7">
            <w:pPr>
              <w:pStyle w:val="Tabletext"/>
              <w:jc w:val="center"/>
              <w:rPr>
                <w:sz w:val="18"/>
                <w:szCs w:val="18"/>
              </w:rPr>
            </w:pPr>
            <w:r w:rsidRPr="005B6D7B">
              <w:rPr>
                <w:sz w:val="18"/>
                <w:szCs w:val="18"/>
              </w:rPr>
              <w:t>3 (1.0)</w:t>
            </w:r>
          </w:p>
        </w:tc>
      </w:tr>
      <w:tr w:rsidR="00EB22B7" w:rsidRPr="005B6D7B" w14:paraId="3212B2C2" w14:textId="77777777" w:rsidTr="00EB22B7">
        <w:trPr>
          <w:trHeight w:val="20"/>
        </w:trPr>
        <w:tc>
          <w:tcPr>
            <w:tcW w:w="517" w:type="pct"/>
            <w:vMerge w:val="restart"/>
            <w:shd w:val="clear" w:color="auto" w:fill="auto"/>
            <w:noWrap/>
            <w:vAlign w:val="center"/>
          </w:tcPr>
          <w:p w14:paraId="1C578A68" w14:textId="77777777" w:rsidR="00EB22B7" w:rsidRPr="005B6D7B" w:rsidRDefault="00EB22B7" w:rsidP="00EB22B7">
            <w:pPr>
              <w:pStyle w:val="Tabletext"/>
              <w:rPr>
                <w:sz w:val="18"/>
                <w:szCs w:val="18"/>
              </w:rPr>
            </w:pPr>
            <w:r w:rsidRPr="005B6D7B">
              <w:rPr>
                <w:sz w:val="18"/>
                <w:szCs w:val="18"/>
              </w:rPr>
              <w:t>IMMvent</w:t>
            </w:r>
          </w:p>
        </w:tc>
        <w:tc>
          <w:tcPr>
            <w:tcW w:w="299" w:type="pct"/>
            <w:tcBorders>
              <w:tl2br w:val="nil"/>
              <w:tr2bl w:val="nil"/>
            </w:tcBorders>
            <w:shd w:val="clear" w:color="auto" w:fill="auto"/>
            <w:vAlign w:val="center"/>
          </w:tcPr>
          <w:p w14:paraId="65656735" w14:textId="77777777" w:rsidR="00EB22B7" w:rsidRPr="005B6D7B" w:rsidRDefault="00EB22B7" w:rsidP="00EB22B7">
            <w:pPr>
              <w:pStyle w:val="Tabletext"/>
              <w:rPr>
                <w:sz w:val="18"/>
                <w:szCs w:val="18"/>
              </w:rPr>
            </w:pPr>
            <w:r w:rsidRPr="005B6D7B">
              <w:rPr>
                <w:sz w:val="18"/>
                <w:szCs w:val="18"/>
              </w:rPr>
              <w:t>ADA</w:t>
            </w:r>
          </w:p>
        </w:tc>
        <w:tc>
          <w:tcPr>
            <w:tcW w:w="223" w:type="pct"/>
            <w:tcBorders>
              <w:tl2br w:val="nil"/>
              <w:tr2bl w:val="nil"/>
            </w:tcBorders>
            <w:shd w:val="clear" w:color="auto" w:fill="auto"/>
            <w:vAlign w:val="center"/>
          </w:tcPr>
          <w:p w14:paraId="7E355BA1" w14:textId="77777777" w:rsidR="00EB22B7" w:rsidRPr="005B6D7B" w:rsidRDefault="00EB22B7" w:rsidP="00EB22B7">
            <w:pPr>
              <w:pStyle w:val="Tabletext"/>
              <w:rPr>
                <w:sz w:val="18"/>
                <w:szCs w:val="18"/>
              </w:rPr>
            </w:pPr>
            <w:r w:rsidRPr="005B6D7B">
              <w:rPr>
                <w:sz w:val="18"/>
                <w:szCs w:val="18"/>
              </w:rPr>
              <w:t>304</w:t>
            </w:r>
          </w:p>
        </w:tc>
        <w:tc>
          <w:tcPr>
            <w:tcW w:w="660" w:type="pct"/>
            <w:tcBorders>
              <w:left w:val="single" w:sz="4" w:space="0" w:color="auto"/>
              <w:bottom w:val="single" w:sz="4" w:space="0" w:color="auto"/>
              <w:right w:val="single" w:sz="4" w:space="0" w:color="auto"/>
              <w:tl2br w:val="nil"/>
              <w:tr2bl w:val="nil"/>
            </w:tcBorders>
            <w:shd w:val="clear" w:color="auto" w:fill="auto"/>
            <w:vAlign w:val="center"/>
          </w:tcPr>
          <w:p w14:paraId="60092799" w14:textId="77777777" w:rsidR="00EB22B7" w:rsidRPr="005B6D7B" w:rsidRDefault="00EB22B7" w:rsidP="00EB22B7">
            <w:pPr>
              <w:pStyle w:val="Tabletext"/>
              <w:jc w:val="center"/>
              <w:rPr>
                <w:sz w:val="18"/>
                <w:szCs w:val="18"/>
              </w:rPr>
            </w:pPr>
            <w:r w:rsidRPr="005B6D7B">
              <w:rPr>
                <w:sz w:val="18"/>
                <w:szCs w:val="18"/>
              </w:rPr>
              <w:t>173 (56.9)</w:t>
            </w:r>
          </w:p>
        </w:tc>
        <w:tc>
          <w:tcPr>
            <w:tcW w:w="660" w:type="pct"/>
            <w:tcBorders>
              <w:left w:val="single" w:sz="4" w:space="0" w:color="auto"/>
              <w:bottom w:val="single" w:sz="4" w:space="0" w:color="auto"/>
              <w:right w:val="single" w:sz="4" w:space="0" w:color="auto"/>
              <w:tl2br w:val="nil"/>
              <w:tr2bl w:val="nil"/>
            </w:tcBorders>
            <w:shd w:val="clear" w:color="auto" w:fill="auto"/>
            <w:vAlign w:val="center"/>
          </w:tcPr>
          <w:p w14:paraId="5A40F903" w14:textId="77777777" w:rsidR="00EB22B7" w:rsidRPr="005B6D7B" w:rsidRDefault="00EB22B7" w:rsidP="00EB22B7">
            <w:pPr>
              <w:pStyle w:val="Tabletext"/>
              <w:jc w:val="center"/>
              <w:rPr>
                <w:sz w:val="18"/>
                <w:szCs w:val="18"/>
              </w:rPr>
            </w:pPr>
            <w:r w:rsidRPr="005B6D7B">
              <w:rPr>
                <w:sz w:val="18"/>
                <w:szCs w:val="18"/>
              </w:rPr>
              <w:t>9 (3.0)</w:t>
            </w:r>
          </w:p>
        </w:tc>
        <w:tc>
          <w:tcPr>
            <w:tcW w:w="661"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99DDF87" w14:textId="77777777" w:rsidR="00EB22B7" w:rsidRPr="005B6D7B" w:rsidRDefault="00EB22B7" w:rsidP="00EB22B7">
            <w:pPr>
              <w:pStyle w:val="Tabletext"/>
              <w:jc w:val="center"/>
              <w:rPr>
                <w:sz w:val="18"/>
                <w:szCs w:val="18"/>
              </w:rPr>
            </w:pPr>
            <w:r w:rsidRPr="005B6D7B">
              <w:rPr>
                <w:sz w:val="18"/>
                <w:szCs w:val="18"/>
              </w:rPr>
              <w:t>6 (2.0)</w:t>
            </w:r>
          </w:p>
        </w:tc>
        <w:tc>
          <w:tcPr>
            <w:tcW w:w="660"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895060E" w14:textId="77777777" w:rsidR="00EB22B7" w:rsidRPr="005B6D7B" w:rsidRDefault="00EB22B7" w:rsidP="00EB22B7">
            <w:pPr>
              <w:pStyle w:val="Tabletext"/>
              <w:jc w:val="center"/>
              <w:rPr>
                <w:sz w:val="18"/>
                <w:szCs w:val="18"/>
              </w:rPr>
            </w:pPr>
            <w:r w:rsidRPr="005B6D7B">
              <w:rPr>
                <w:sz w:val="18"/>
                <w:szCs w:val="18"/>
              </w:rPr>
              <w:t>61 (20.1)</w:t>
            </w:r>
          </w:p>
        </w:tc>
        <w:tc>
          <w:tcPr>
            <w:tcW w:w="660"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815E98D" w14:textId="77777777" w:rsidR="00EB22B7" w:rsidRPr="005B6D7B" w:rsidRDefault="00EB22B7" w:rsidP="00EB22B7">
            <w:pPr>
              <w:pStyle w:val="Tabletext"/>
              <w:jc w:val="center"/>
              <w:rPr>
                <w:sz w:val="18"/>
                <w:szCs w:val="18"/>
              </w:rPr>
            </w:pPr>
            <w:r w:rsidRPr="005B6D7B">
              <w:rPr>
                <w:sz w:val="18"/>
                <w:szCs w:val="18"/>
              </w:rPr>
              <w:t>2 (0.7)</w:t>
            </w:r>
          </w:p>
        </w:tc>
        <w:tc>
          <w:tcPr>
            <w:tcW w:w="660" w:type="pct"/>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14:paraId="5BADB557" w14:textId="77777777" w:rsidR="00EB22B7" w:rsidRPr="005B6D7B" w:rsidRDefault="00EB22B7" w:rsidP="00EB22B7">
            <w:pPr>
              <w:pStyle w:val="Tabletext"/>
              <w:jc w:val="center"/>
              <w:rPr>
                <w:sz w:val="18"/>
                <w:szCs w:val="18"/>
              </w:rPr>
            </w:pPr>
            <w:r w:rsidRPr="005B6D7B">
              <w:rPr>
                <w:sz w:val="18"/>
                <w:szCs w:val="18"/>
              </w:rPr>
              <w:t>1 (0.3)</w:t>
            </w:r>
          </w:p>
        </w:tc>
      </w:tr>
      <w:tr w:rsidR="00EB22B7" w:rsidRPr="005B6D7B" w14:paraId="00013324" w14:textId="77777777" w:rsidTr="00EB22B7">
        <w:trPr>
          <w:trHeight w:val="20"/>
        </w:trPr>
        <w:tc>
          <w:tcPr>
            <w:tcW w:w="517" w:type="pct"/>
            <w:vMerge/>
            <w:shd w:val="clear" w:color="auto" w:fill="auto"/>
            <w:noWrap/>
            <w:vAlign w:val="center"/>
          </w:tcPr>
          <w:p w14:paraId="12608263" w14:textId="77777777" w:rsidR="00EB22B7" w:rsidRPr="005B6D7B" w:rsidRDefault="00EB22B7" w:rsidP="00EB22B7">
            <w:pPr>
              <w:pStyle w:val="Tabletext"/>
              <w:rPr>
                <w:sz w:val="18"/>
                <w:szCs w:val="18"/>
              </w:rPr>
            </w:pPr>
          </w:p>
        </w:tc>
        <w:tc>
          <w:tcPr>
            <w:tcW w:w="299" w:type="pct"/>
            <w:tcBorders>
              <w:tl2br w:val="nil"/>
              <w:tr2bl w:val="nil"/>
            </w:tcBorders>
            <w:shd w:val="clear" w:color="auto" w:fill="auto"/>
            <w:vAlign w:val="center"/>
          </w:tcPr>
          <w:p w14:paraId="1B76D580" w14:textId="77777777" w:rsidR="00EB22B7" w:rsidRPr="005B6D7B" w:rsidRDefault="00EB22B7" w:rsidP="00EB22B7">
            <w:pPr>
              <w:pStyle w:val="Tabletext"/>
              <w:rPr>
                <w:sz w:val="18"/>
                <w:szCs w:val="18"/>
              </w:rPr>
            </w:pPr>
            <w:r w:rsidRPr="005B6D7B">
              <w:rPr>
                <w:sz w:val="18"/>
                <w:szCs w:val="18"/>
              </w:rPr>
              <w:t>RIS</w:t>
            </w:r>
          </w:p>
        </w:tc>
        <w:tc>
          <w:tcPr>
            <w:tcW w:w="223" w:type="pct"/>
            <w:tcBorders>
              <w:tl2br w:val="nil"/>
              <w:tr2bl w:val="nil"/>
            </w:tcBorders>
            <w:shd w:val="clear" w:color="auto" w:fill="auto"/>
            <w:vAlign w:val="center"/>
          </w:tcPr>
          <w:p w14:paraId="38E9588E" w14:textId="77777777" w:rsidR="00EB22B7" w:rsidRPr="005B6D7B" w:rsidRDefault="00EB22B7" w:rsidP="00EB22B7">
            <w:pPr>
              <w:pStyle w:val="Tabletext"/>
              <w:rPr>
                <w:sz w:val="18"/>
                <w:szCs w:val="18"/>
              </w:rPr>
            </w:pPr>
            <w:r w:rsidRPr="005B6D7B">
              <w:rPr>
                <w:sz w:val="18"/>
                <w:szCs w:val="18"/>
              </w:rPr>
              <w:t>301</w:t>
            </w:r>
          </w:p>
        </w:tc>
        <w:tc>
          <w:tcPr>
            <w:tcW w:w="660" w:type="pct"/>
            <w:tcBorders>
              <w:left w:val="single" w:sz="4" w:space="0" w:color="auto"/>
              <w:bottom w:val="single" w:sz="4" w:space="0" w:color="auto"/>
              <w:right w:val="single" w:sz="4" w:space="0" w:color="auto"/>
              <w:tl2br w:val="nil"/>
              <w:tr2bl w:val="nil"/>
            </w:tcBorders>
            <w:shd w:val="clear" w:color="auto" w:fill="auto"/>
            <w:vAlign w:val="center"/>
          </w:tcPr>
          <w:p w14:paraId="6AF71D3E" w14:textId="77777777" w:rsidR="00EB22B7" w:rsidRPr="005B6D7B" w:rsidRDefault="00EB22B7" w:rsidP="00EB22B7">
            <w:pPr>
              <w:pStyle w:val="Tabletext"/>
              <w:jc w:val="center"/>
              <w:rPr>
                <w:sz w:val="18"/>
                <w:szCs w:val="18"/>
              </w:rPr>
            </w:pPr>
            <w:r w:rsidRPr="005B6D7B">
              <w:rPr>
                <w:sz w:val="18"/>
                <w:szCs w:val="18"/>
              </w:rPr>
              <w:t>168 (55.8)</w:t>
            </w:r>
          </w:p>
        </w:tc>
        <w:tc>
          <w:tcPr>
            <w:tcW w:w="660" w:type="pct"/>
            <w:tcBorders>
              <w:left w:val="single" w:sz="4" w:space="0" w:color="auto"/>
              <w:bottom w:val="single" w:sz="4" w:space="0" w:color="auto"/>
              <w:right w:val="single" w:sz="4" w:space="0" w:color="auto"/>
              <w:tl2br w:val="nil"/>
              <w:tr2bl w:val="nil"/>
            </w:tcBorders>
            <w:shd w:val="clear" w:color="auto" w:fill="auto"/>
            <w:vAlign w:val="center"/>
          </w:tcPr>
          <w:p w14:paraId="2529D5AD" w14:textId="77777777" w:rsidR="00EB22B7" w:rsidRPr="005B6D7B" w:rsidRDefault="00EB22B7" w:rsidP="00EB22B7">
            <w:pPr>
              <w:pStyle w:val="Tabletext"/>
              <w:jc w:val="center"/>
              <w:rPr>
                <w:sz w:val="18"/>
                <w:szCs w:val="18"/>
              </w:rPr>
            </w:pPr>
            <w:r w:rsidRPr="005B6D7B">
              <w:rPr>
                <w:sz w:val="18"/>
                <w:szCs w:val="18"/>
              </w:rPr>
              <w:t>10 (3.3)</w:t>
            </w:r>
          </w:p>
        </w:tc>
        <w:tc>
          <w:tcPr>
            <w:tcW w:w="661"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0F714F4" w14:textId="77777777" w:rsidR="00EB22B7" w:rsidRPr="005B6D7B" w:rsidRDefault="00EB22B7" w:rsidP="00EB22B7">
            <w:pPr>
              <w:pStyle w:val="Tabletext"/>
              <w:jc w:val="center"/>
              <w:rPr>
                <w:sz w:val="18"/>
                <w:szCs w:val="18"/>
              </w:rPr>
            </w:pPr>
            <w:r w:rsidRPr="005B6D7B">
              <w:rPr>
                <w:sz w:val="18"/>
                <w:szCs w:val="18"/>
              </w:rPr>
              <w:t>4 (1.3)</w:t>
            </w:r>
          </w:p>
        </w:tc>
        <w:tc>
          <w:tcPr>
            <w:tcW w:w="660"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1EBBCF1" w14:textId="77777777" w:rsidR="00EB22B7" w:rsidRPr="005B6D7B" w:rsidRDefault="00EB22B7" w:rsidP="00EB22B7">
            <w:pPr>
              <w:pStyle w:val="Tabletext"/>
              <w:jc w:val="center"/>
              <w:rPr>
                <w:sz w:val="18"/>
                <w:szCs w:val="18"/>
              </w:rPr>
            </w:pPr>
            <w:r w:rsidRPr="005B6D7B">
              <w:rPr>
                <w:sz w:val="18"/>
                <w:szCs w:val="18"/>
              </w:rPr>
              <w:t>55 (18.3)</w:t>
            </w:r>
          </w:p>
        </w:tc>
        <w:tc>
          <w:tcPr>
            <w:tcW w:w="660"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BBC3D65" w14:textId="77777777" w:rsidR="00EB22B7" w:rsidRPr="005B6D7B" w:rsidRDefault="00EB22B7" w:rsidP="00EB22B7">
            <w:pPr>
              <w:pStyle w:val="Tabletext"/>
              <w:jc w:val="center"/>
              <w:rPr>
                <w:sz w:val="18"/>
                <w:szCs w:val="18"/>
              </w:rPr>
            </w:pPr>
            <w:r w:rsidRPr="005B6D7B">
              <w:rPr>
                <w:sz w:val="18"/>
                <w:szCs w:val="18"/>
              </w:rPr>
              <w:t>1 (0.3)</w:t>
            </w:r>
          </w:p>
        </w:tc>
        <w:tc>
          <w:tcPr>
            <w:tcW w:w="660" w:type="pct"/>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14:paraId="3F8C2F59" w14:textId="77777777" w:rsidR="00EB22B7" w:rsidRPr="005B6D7B" w:rsidRDefault="00EB22B7" w:rsidP="00EB22B7">
            <w:pPr>
              <w:pStyle w:val="Tabletext"/>
              <w:jc w:val="center"/>
              <w:rPr>
                <w:sz w:val="18"/>
                <w:szCs w:val="18"/>
              </w:rPr>
            </w:pPr>
            <w:r w:rsidRPr="005B6D7B">
              <w:rPr>
                <w:sz w:val="18"/>
                <w:szCs w:val="18"/>
              </w:rPr>
              <w:t>1 (0.3)</w:t>
            </w:r>
          </w:p>
        </w:tc>
      </w:tr>
      <w:tr w:rsidR="00EB22B7" w:rsidRPr="005B6D7B" w14:paraId="106141D3" w14:textId="77777777" w:rsidTr="00C05EEF">
        <w:trPr>
          <w:trHeight w:val="20"/>
        </w:trPr>
        <w:tc>
          <w:tcPr>
            <w:tcW w:w="5000" w:type="pct"/>
            <w:gridSpan w:val="9"/>
            <w:tcBorders>
              <w:right w:val="single" w:sz="4" w:space="0" w:color="auto"/>
            </w:tcBorders>
            <w:shd w:val="clear" w:color="auto" w:fill="auto"/>
            <w:noWrap/>
            <w:vAlign w:val="center"/>
          </w:tcPr>
          <w:p w14:paraId="49139C55" w14:textId="77777777" w:rsidR="00EB22B7" w:rsidRPr="005B6D7B" w:rsidRDefault="00EB22B7" w:rsidP="00EB22B7">
            <w:pPr>
              <w:pStyle w:val="TableText0"/>
              <w:rPr>
                <w:b/>
                <w:bCs w:val="0"/>
                <w:sz w:val="18"/>
                <w:szCs w:val="18"/>
              </w:rPr>
            </w:pPr>
            <w:r w:rsidRPr="005B6D7B">
              <w:rPr>
                <w:b/>
                <w:bCs w:val="0"/>
                <w:sz w:val="18"/>
                <w:szCs w:val="18"/>
              </w:rPr>
              <w:t>Long-term (52 weeks)</w:t>
            </w:r>
          </w:p>
        </w:tc>
      </w:tr>
      <w:tr w:rsidR="00EB22B7" w:rsidRPr="005B6D7B" w14:paraId="35AA421B" w14:textId="77777777" w:rsidTr="00EB22B7">
        <w:trPr>
          <w:trHeight w:val="20"/>
        </w:trPr>
        <w:tc>
          <w:tcPr>
            <w:tcW w:w="517" w:type="pct"/>
            <w:vMerge w:val="restart"/>
            <w:shd w:val="clear" w:color="auto" w:fill="auto"/>
            <w:noWrap/>
            <w:vAlign w:val="center"/>
          </w:tcPr>
          <w:p w14:paraId="7E26EDED" w14:textId="77777777" w:rsidR="00EB22B7" w:rsidRPr="005B6D7B" w:rsidRDefault="00EB22B7" w:rsidP="00EB22B7">
            <w:pPr>
              <w:pStyle w:val="TableText0"/>
              <w:rPr>
                <w:sz w:val="18"/>
                <w:szCs w:val="18"/>
              </w:rPr>
            </w:pPr>
            <w:r w:rsidRPr="005B6D7B">
              <w:rPr>
                <w:sz w:val="18"/>
                <w:szCs w:val="18"/>
              </w:rPr>
              <w:t>UltIMMa-1</w:t>
            </w:r>
          </w:p>
        </w:tc>
        <w:tc>
          <w:tcPr>
            <w:tcW w:w="299" w:type="pct"/>
            <w:tcBorders>
              <w:tl2br w:val="nil"/>
              <w:tr2bl w:val="nil"/>
            </w:tcBorders>
            <w:shd w:val="clear" w:color="auto" w:fill="auto"/>
            <w:vAlign w:val="center"/>
          </w:tcPr>
          <w:p w14:paraId="368298BB" w14:textId="77777777" w:rsidR="00EB22B7" w:rsidRPr="005B6D7B" w:rsidRDefault="00EB22B7" w:rsidP="00EB22B7">
            <w:pPr>
              <w:pStyle w:val="TableText0"/>
              <w:rPr>
                <w:sz w:val="18"/>
                <w:szCs w:val="18"/>
              </w:rPr>
            </w:pPr>
            <w:r w:rsidRPr="005B6D7B">
              <w:rPr>
                <w:sz w:val="18"/>
                <w:szCs w:val="18"/>
              </w:rPr>
              <w:t>UST</w:t>
            </w:r>
          </w:p>
        </w:tc>
        <w:tc>
          <w:tcPr>
            <w:tcW w:w="223" w:type="pct"/>
            <w:tcBorders>
              <w:tl2br w:val="nil"/>
              <w:tr2bl w:val="nil"/>
            </w:tcBorders>
            <w:shd w:val="clear" w:color="auto" w:fill="auto"/>
            <w:vAlign w:val="center"/>
          </w:tcPr>
          <w:p w14:paraId="4B2A0CAF" w14:textId="77777777" w:rsidR="00EB22B7" w:rsidRPr="005B6D7B" w:rsidRDefault="00EB22B7" w:rsidP="00EB22B7">
            <w:pPr>
              <w:pStyle w:val="TableText0"/>
              <w:rPr>
                <w:sz w:val="18"/>
                <w:szCs w:val="18"/>
              </w:rPr>
            </w:pPr>
            <w:r w:rsidRPr="005B6D7B">
              <w:rPr>
                <w:sz w:val="18"/>
                <w:szCs w:val="18"/>
              </w:rPr>
              <w:t>100</w:t>
            </w:r>
          </w:p>
        </w:tc>
        <w:tc>
          <w:tcPr>
            <w:tcW w:w="660"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7356BBE" w14:textId="77777777" w:rsidR="00EB22B7" w:rsidRPr="005B6D7B" w:rsidRDefault="00EB22B7" w:rsidP="00EB22B7">
            <w:pPr>
              <w:pStyle w:val="TableText0"/>
              <w:jc w:val="center"/>
              <w:rPr>
                <w:sz w:val="18"/>
                <w:szCs w:val="18"/>
              </w:rPr>
            </w:pPr>
            <w:r w:rsidRPr="005B6D7B">
              <w:rPr>
                <w:sz w:val="18"/>
                <w:szCs w:val="18"/>
              </w:rPr>
              <w:t>77 (77.0)</w:t>
            </w:r>
          </w:p>
        </w:tc>
        <w:tc>
          <w:tcPr>
            <w:tcW w:w="660"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7732D84" w14:textId="77777777" w:rsidR="00EB22B7" w:rsidRPr="005B6D7B" w:rsidRDefault="00EB22B7" w:rsidP="00EB22B7">
            <w:pPr>
              <w:pStyle w:val="TableText0"/>
              <w:jc w:val="center"/>
              <w:rPr>
                <w:sz w:val="18"/>
                <w:szCs w:val="18"/>
              </w:rPr>
            </w:pPr>
            <w:r w:rsidRPr="005B6D7B">
              <w:rPr>
                <w:sz w:val="18"/>
                <w:szCs w:val="18"/>
              </w:rPr>
              <w:t>11 (11.0)</w:t>
            </w:r>
          </w:p>
        </w:tc>
        <w:tc>
          <w:tcPr>
            <w:tcW w:w="661"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8A60476" w14:textId="77777777" w:rsidR="00EB22B7" w:rsidRPr="005B6D7B" w:rsidRDefault="00EB22B7" w:rsidP="00EB22B7">
            <w:pPr>
              <w:pStyle w:val="TableText0"/>
              <w:jc w:val="center"/>
              <w:rPr>
                <w:sz w:val="18"/>
                <w:szCs w:val="18"/>
              </w:rPr>
            </w:pPr>
            <w:r w:rsidRPr="005B6D7B">
              <w:rPr>
                <w:sz w:val="18"/>
                <w:szCs w:val="18"/>
              </w:rPr>
              <w:t>2 (2.0)</w:t>
            </w:r>
          </w:p>
        </w:tc>
        <w:tc>
          <w:tcPr>
            <w:tcW w:w="660"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405DEBD" w14:textId="77777777" w:rsidR="00EB22B7" w:rsidRPr="005B6D7B" w:rsidRDefault="00EB22B7" w:rsidP="00EB22B7">
            <w:pPr>
              <w:pStyle w:val="TableText0"/>
              <w:jc w:val="center"/>
              <w:rPr>
                <w:sz w:val="18"/>
                <w:szCs w:val="18"/>
              </w:rPr>
            </w:pPr>
            <w:r w:rsidRPr="005B6D7B">
              <w:rPr>
                <w:sz w:val="18"/>
                <w:szCs w:val="18"/>
              </w:rPr>
              <w:t>23 (23.0)</w:t>
            </w:r>
          </w:p>
        </w:tc>
        <w:tc>
          <w:tcPr>
            <w:tcW w:w="660"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03EB127" w14:textId="77777777" w:rsidR="00EB22B7" w:rsidRPr="005B6D7B" w:rsidRDefault="00EB22B7" w:rsidP="00EB22B7">
            <w:pPr>
              <w:pStyle w:val="TableText0"/>
              <w:jc w:val="center"/>
              <w:rPr>
                <w:sz w:val="18"/>
                <w:szCs w:val="18"/>
              </w:rPr>
            </w:pPr>
            <w:r w:rsidRPr="005B6D7B">
              <w:rPr>
                <w:sz w:val="18"/>
                <w:szCs w:val="18"/>
              </w:rPr>
              <w:t>0 (0.0)</w:t>
            </w:r>
          </w:p>
        </w:tc>
        <w:tc>
          <w:tcPr>
            <w:tcW w:w="660" w:type="pct"/>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14:paraId="301F23B9" w14:textId="77777777" w:rsidR="00EB22B7" w:rsidRPr="005B6D7B" w:rsidRDefault="00EB22B7" w:rsidP="00EB22B7">
            <w:pPr>
              <w:pStyle w:val="TableText0"/>
              <w:jc w:val="center"/>
              <w:rPr>
                <w:sz w:val="18"/>
                <w:szCs w:val="18"/>
              </w:rPr>
            </w:pPr>
            <w:r w:rsidRPr="005B6D7B">
              <w:rPr>
                <w:sz w:val="18"/>
                <w:szCs w:val="18"/>
              </w:rPr>
              <w:t>3 (3.0)</w:t>
            </w:r>
          </w:p>
        </w:tc>
      </w:tr>
      <w:tr w:rsidR="00EB22B7" w:rsidRPr="005B6D7B" w14:paraId="5B13DA77" w14:textId="77777777" w:rsidTr="00EB22B7">
        <w:trPr>
          <w:trHeight w:val="20"/>
        </w:trPr>
        <w:tc>
          <w:tcPr>
            <w:tcW w:w="517" w:type="pct"/>
            <w:vMerge/>
            <w:shd w:val="clear" w:color="auto" w:fill="auto"/>
            <w:noWrap/>
            <w:vAlign w:val="center"/>
          </w:tcPr>
          <w:p w14:paraId="5FB6CDBD" w14:textId="77777777" w:rsidR="00EB22B7" w:rsidRPr="005B6D7B" w:rsidRDefault="00EB22B7" w:rsidP="00EB22B7">
            <w:pPr>
              <w:pStyle w:val="TableText0"/>
              <w:rPr>
                <w:sz w:val="18"/>
                <w:szCs w:val="18"/>
              </w:rPr>
            </w:pPr>
          </w:p>
        </w:tc>
        <w:tc>
          <w:tcPr>
            <w:tcW w:w="299" w:type="pct"/>
            <w:tcBorders>
              <w:tl2br w:val="nil"/>
              <w:tr2bl w:val="nil"/>
            </w:tcBorders>
            <w:shd w:val="clear" w:color="auto" w:fill="auto"/>
            <w:vAlign w:val="center"/>
          </w:tcPr>
          <w:p w14:paraId="02FFB3E4" w14:textId="77777777" w:rsidR="00EB22B7" w:rsidRPr="005B6D7B" w:rsidRDefault="00EB22B7" w:rsidP="00EB22B7">
            <w:pPr>
              <w:pStyle w:val="TableText0"/>
              <w:rPr>
                <w:sz w:val="18"/>
                <w:szCs w:val="18"/>
              </w:rPr>
            </w:pPr>
            <w:r w:rsidRPr="005B6D7B">
              <w:rPr>
                <w:sz w:val="18"/>
                <w:szCs w:val="18"/>
              </w:rPr>
              <w:t>RIS</w:t>
            </w:r>
          </w:p>
        </w:tc>
        <w:tc>
          <w:tcPr>
            <w:tcW w:w="223" w:type="pct"/>
            <w:tcBorders>
              <w:tl2br w:val="nil"/>
              <w:tr2bl w:val="nil"/>
            </w:tcBorders>
            <w:shd w:val="clear" w:color="auto" w:fill="auto"/>
            <w:vAlign w:val="center"/>
          </w:tcPr>
          <w:p w14:paraId="26A4D858" w14:textId="77777777" w:rsidR="00EB22B7" w:rsidRPr="005B6D7B" w:rsidRDefault="00EB22B7" w:rsidP="00EB22B7">
            <w:pPr>
              <w:pStyle w:val="TableText0"/>
              <w:rPr>
                <w:sz w:val="18"/>
                <w:szCs w:val="18"/>
              </w:rPr>
            </w:pPr>
            <w:r w:rsidRPr="005B6D7B">
              <w:rPr>
                <w:sz w:val="18"/>
                <w:szCs w:val="18"/>
              </w:rPr>
              <w:t>304</w:t>
            </w:r>
          </w:p>
        </w:tc>
        <w:tc>
          <w:tcPr>
            <w:tcW w:w="660"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D0C6963" w14:textId="77777777" w:rsidR="00EB22B7" w:rsidRPr="005B6D7B" w:rsidRDefault="00EB22B7" w:rsidP="00EB22B7">
            <w:pPr>
              <w:pStyle w:val="TableText0"/>
              <w:jc w:val="center"/>
              <w:rPr>
                <w:sz w:val="18"/>
                <w:szCs w:val="18"/>
              </w:rPr>
            </w:pPr>
            <w:r w:rsidRPr="005B6D7B">
              <w:rPr>
                <w:sz w:val="18"/>
                <w:szCs w:val="18"/>
              </w:rPr>
              <w:t>221 (72.7)</w:t>
            </w:r>
          </w:p>
        </w:tc>
        <w:tc>
          <w:tcPr>
            <w:tcW w:w="660"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033B50A" w14:textId="77777777" w:rsidR="00EB22B7" w:rsidRPr="005B6D7B" w:rsidRDefault="00EB22B7" w:rsidP="00EB22B7">
            <w:pPr>
              <w:pStyle w:val="TableText0"/>
              <w:jc w:val="center"/>
              <w:rPr>
                <w:sz w:val="18"/>
                <w:szCs w:val="18"/>
              </w:rPr>
            </w:pPr>
            <w:r w:rsidRPr="005B6D7B">
              <w:rPr>
                <w:sz w:val="18"/>
                <w:szCs w:val="18"/>
              </w:rPr>
              <w:t>23 (7.6)</w:t>
            </w:r>
          </w:p>
        </w:tc>
        <w:tc>
          <w:tcPr>
            <w:tcW w:w="661"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AB4EB57" w14:textId="77777777" w:rsidR="00EB22B7" w:rsidRPr="005B6D7B" w:rsidRDefault="00EB22B7" w:rsidP="00EB22B7">
            <w:pPr>
              <w:pStyle w:val="TableText0"/>
              <w:jc w:val="center"/>
              <w:rPr>
                <w:sz w:val="18"/>
                <w:szCs w:val="18"/>
              </w:rPr>
            </w:pPr>
            <w:r w:rsidRPr="005B6D7B">
              <w:rPr>
                <w:sz w:val="18"/>
                <w:szCs w:val="18"/>
              </w:rPr>
              <w:t>2 (0.7)</w:t>
            </w:r>
          </w:p>
        </w:tc>
        <w:tc>
          <w:tcPr>
            <w:tcW w:w="660"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9B556F9" w14:textId="77777777" w:rsidR="00EB22B7" w:rsidRPr="005B6D7B" w:rsidRDefault="00EB22B7" w:rsidP="00EB22B7">
            <w:pPr>
              <w:pStyle w:val="TableText0"/>
              <w:jc w:val="center"/>
              <w:rPr>
                <w:sz w:val="18"/>
                <w:szCs w:val="18"/>
              </w:rPr>
            </w:pPr>
            <w:r w:rsidRPr="005B6D7B">
              <w:rPr>
                <w:sz w:val="18"/>
                <w:szCs w:val="18"/>
              </w:rPr>
              <w:t>60 (19.7)</w:t>
            </w:r>
          </w:p>
        </w:tc>
        <w:tc>
          <w:tcPr>
            <w:tcW w:w="660"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CD68C09" w14:textId="77777777" w:rsidR="00EB22B7" w:rsidRPr="005B6D7B" w:rsidRDefault="00EB22B7" w:rsidP="00EB22B7">
            <w:pPr>
              <w:pStyle w:val="TableText0"/>
              <w:jc w:val="center"/>
              <w:rPr>
                <w:sz w:val="18"/>
                <w:szCs w:val="18"/>
              </w:rPr>
            </w:pPr>
            <w:r w:rsidRPr="005B6D7B">
              <w:rPr>
                <w:sz w:val="18"/>
                <w:szCs w:val="18"/>
              </w:rPr>
              <w:t>0 (0.0)</w:t>
            </w:r>
          </w:p>
        </w:tc>
        <w:tc>
          <w:tcPr>
            <w:tcW w:w="660" w:type="pct"/>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14:paraId="7DC71F97" w14:textId="77777777" w:rsidR="00EB22B7" w:rsidRPr="005B6D7B" w:rsidRDefault="00EB22B7" w:rsidP="00EB22B7">
            <w:pPr>
              <w:pStyle w:val="TableText0"/>
              <w:jc w:val="center"/>
              <w:rPr>
                <w:sz w:val="18"/>
                <w:szCs w:val="18"/>
              </w:rPr>
            </w:pPr>
            <w:r w:rsidRPr="005B6D7B">
              <w:rPr>
                <w:sz w:val="18"/>
                <w:szCs w:val="18"/>
              </w:rPr>
              <w:t>3 (1.0)</w:t>
            </w:r>
          </w:p>
        </w:tc>
      </w:tr>
      <w:tr w:rsidR="00EB22B7" w:rsidRPr="005B6D7B" w14:paraId="4BF5FE15" w14:textId="77777777" w:rsidTr="00EB22B7">
        <w:trPr>
          <w:trHeight w:val="20"/>
        </w:trPr>
        <w:tc>
          <w:tcPr>
            <w:tcW w:w="517" w:type="pct"/>
            <w:vMerge w:val="restart"/>
            <w:shd w:val="clear" w:color="auto" w:fill="auto"/>
            <w:noWrap/>
            <w:vAlign w:val="center"/>
          </w:tcPr>
          <w:p w14:paraId="23B0F5C0" w14:textId="77777777" w:rsidR="00EB22B7" w:rsidRPr="005B6D7B" w:rsidRDefault="00EB22B7" w:rsidP="00EB22B7">
            <w:pPr>
              <w:pStyle w:val="TableText0"/>
              <w:rPr>
                <w:sz w:val="18"/>
                <w:szCs w:val="18"/>
              </w:rPr>
            </w:pPr>
            <w:r w:rsidRPr="005B6D7B">
              <w:rPr>
                <w:sz w:val="18"/>
                <w:szCs w:val="18"/>
              </w:rPr>
              <w:t>UltIMMa-2</w:t>
            </w:r>
          </w:p>
        </w:tc>
        <w:tc>
          <w:tcPr>
            <w:tcW w:w="299" w:type="pct"/>
            <w:tcBorders>
              <w:tl2br w:val="nil"/>
              <w:tr2bl w:val="nil"/>
            </w:tcBorders>
            <w:shd w:val="clear" w:color="auto" w:fill="auto"/>
            <w:vAlign w:val="center"/>
          </w:tcPr>
          <w:p w14:paraId="56D09D84" w14:textId="77777777" w:rsidR="00EB22B7" w:rsidRPr="005B6D7B" w:rsidRDefault="00EB22B7" w:rsidP="00EB22B7">
            <w:pPr>
              <w:pStyle w:val="TableText0"/>
              <w:rPr>
                <w:sz w:val="18"/>
                <w:szCs w:val="18"/>
              </w:rPr>
            </w:pPr>
            <w:r w:rsidRPr="005B6D7B">
              <w:rPr>
                <w:sz w:val="18"/>
                <w:szCs w:val="18"/>
              </w:rPr>
              <w:t>UST</w:t>
            </w:r>
          </w:p>
        </w:tc>
        <w:tc>
          <w:tcPr>
            <w:tcW w:w="223" w:type="pct"/>
            <w:tcBorders>
              <w:tl2br w:val="nil"/>
              <w:tr2bl w:val="nil"/>
            </w:tcBorders>
            <w:shd w:val="clear" w:color="auto" w:fill="auto"/>
            <w:vAlign w:val="center"/>
          </w:tcPr>
          <w:p w14:paraId="1C37B7D5" w14:textId="77777777" w:rsidR="00EB22B7" w:rsidRPr="005B6D7B" w:rsidRDefault="00EB22B7" w:rsidP="00EB22B7">
            <w:pPr>
              <w:pStyle w:val="TableText0"/>
              <w:rPr>
                <w:sz w:val="18"/>
                <w:szCs w:val="18"/>
              </w:rPr>
            </w:pPr>
            <w:r w:rsidRPr="005B6D7B">
              <w:rPr>
                <w:sz w:val="18"/>
                <w:szCs w:val="18"/>
              </w:rPr>
              <w:t>99</w:t>
            </w:r>
          </w:p>
        </w:tc>
        <w:tc>
          <w:tcPr>
            <w:tcW w:w="660" w:type="pct"/>
            <w:tcBorders>
              <w:left w:val="single" w:sz="4" w:space="0" w:color="auto"/>
              <w:bottom w:val="single" w:sz="4" w:space="0" w:color="auto"/>
              <w:right w:val="single" w:sz="4" w:space="0" w:color="auto"/>
              <w:tl2br w:val="nil"/>
              <w:tr2bl w:val="nil"/>
            </w:tcBorders>
            <w:shd w:val="clear" w:color="auto" w:fill="auto"/>
            <w:vAlign w:val="center"/>
          </w:tcPr>
          <w:p w14:paraId="209428EB" w14:textId="77777777" w:rsidR="00EB22B7" w:rsidRPr="005B6D7B" w:rsidRDefault="00EB22B7" w:rsidP="00EB22B7">
            <w:pPr>
              <w:pStyle w:val="TableText0"/>
              <w:jc w:val="center"/>
              <w:rPr>
                <w:sz w:val="18"/>
                <w:szCs w:val="18"/>
              </w:rPr>
            </w:pPr>
            <w:r w:rsidRPr="005B6D7B">
              <w:rPr>
                <w:sz w:val="18"/>
                <w:szCs w:val="18"/>
              </w:rPr>
              <w:t>80 (80.8)</w:t>
            </w:r>
          </w:p>
        </w:tc>
        <w:tc>
          <w:tcPr>
            <w:tcW w:w="660" w:type="pct"/>
            <w:tcBorders>
              <w:left w:val="single" w:sz="4" w:space="0" w:color="auto"/>
              <w:bottom w:val="single" w:sz="4" w:space="0" w:color="auto"/>
              <w:right w:val="single" w:sz="4" w:space="0" w:color="auto"/>
              <w:tl2br w:val="nil"/>
              <w:tr2bl w:val="nil"/>
            </w:tcBorders>
            <w:shd w:val="clear" w:color="auto" w:fill="auto"/>
            <w:vAlign w:val="center"/>
          </w:tcPr>
          <w:p w14:paraId="6EF27E3C" w14:textId="77777777" w:rsidR="00EB22B7" w:rsidRPr="005B6D7B" w:rsidRDefault="00EB22B7" w:rsidP="00EB22B7">
            <w:pPr>
              <w:pStyle w:val="TableText0"/>
              <w:jc w:val="center"/>
              <w:rPr>
                <w:sz w:val="18"/>
                <w:szCs w:val="18"/>
              </w:rPr>
            </w:pPr>
            <w:r w:rsidRPr="005B6D7B">
              <w:rPr>
                <w:sz w:val="18"/>
                <w:szCs w:val="18"/>
              </w:rPr>
              <w:t>7 (7.1)</w:t>
            </w:r>
          </w:p>
        </w:tc>
        <w:tc>
          <w:tcPr>
            <w:tcW w:w="661"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7E1ACD8" w14:textId="77777777" w:rsidR="00EB22B7" w:rsidRPr="005B6D7B" w:rsidRDefault="00EB22B7" w:rsidP="00EB22B7">
            <w:pPr>
              <w:pStyle w:val="TableText0"/>
              <w:jc w:val="center"/>
              <w:rPr>
                <w:sz w:val="18"/>
                <w:szCs w:val="18"/>
              </w:rPr>
            </w:pPr>
            <w:r w:rsidRPr="005B6D7B">
              <w:rPr>
                <w:sz w:val="18"/>
                <w:szCs w:val="18"/>
              </w:rPr>
              <w:t>2 (2.0)</w:t>
            </w:r>
          </w:p>
        </w:tc>
        <w:tc>
          <w:tcPr>
            <w:tcW w:w="660"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7B0CDC8" w14:textId="77777777" w:rsidR="00EB22B7" w:rsidRPr="005B6D7B" w:rsidRDefault="00EB22B7" w:rsidP="00EB22B7">
            <w:pPr>
              <w:pStyle w:val="TableText0"/>
              <w:jc w:val="center"/>
              <w:rPr>
                <w:sz w:val="18"/>
                <w:szCs w:val="18"/>
              </w:rPr>
            </w:pPr>
            <w:r w:rsidRPr="005B6D7B">
              <w:rPr>
                <w:sz w:val="18"/>
                <w:szCs w:val="18"/>
              </w:rPr>
              <w:t>29 (29.3)</w:t>
            </w:r>
          </w:p>
        </w:tc>
        <w:tc>
          <w:tcPr>
            <w:tcW w:w="660"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4D36067" w14:textId="77777777" w:rsidR="00EB22B7" w:rsidRPr="005B6D7B" w:rsidRDefault="00EB22B7" w:rsidP="00EB22B7">
            <w:pPr>
              <w:pStyle w:val="TableText0"/>
              <w:jc w:val="center"/>
              <w:rPr>
                <w:sz w:val="18"/>
                <w:szCs w:val="18"/>
              </w:rPr>
            </w:pPr>
            <w:r w:rsidRPr="005B6D7B">
              <w:rPr>
                <w:sz w:val="18"/>
                <w:szCs w:val="18"/>
              </w:rPr>
              <w:t>0 (0.0)</w:t>
            </w:r>
          </w:p>
        </w:tc>
        <w:tc>
          <w:tcPr>
            <w:tcW w:w="660" w:type="pct"/>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14:paraId="2C2614BA" w14:textId="77777777" w:rsidR="00EB22B7" w:rsidRPr="005B6D7B" w:rsidRDefault="00EB22B7" w:rsidP="00EB22B7">
            <w:pPr>
              <w:pStyle w:val="TableText0"/>
              <w:jc w:val="center"/>
              <w:rPr>
                <w:sz w:val="18"/>
                <w:szCs w:val="18"/>
              </w:rPr>
            </w:pPr>
            <w:r w:rsidRPr="005B6D7B">
              <w:rPr>
                <w:sz w:val="18"/>
                <w:szCs w:val="18"/>
              </w:rPr>
              <w:t>1 (1.0)</w:t>
            </w:r>
          </w:p>
        </w:tc>
      </w:tr>
      <w:tr w:rsidR="00EB22B7" w:rsidRPr="005B6D7B" w14:paraId="6A390708" w14:textId="77777777" w:rsidTr="00EB22B7">
        <w:trPr>
          <w:trHeight w:val="20"/>
        </w:trPr>
        <w:tc>
          <w:tcPr>
            <w:tcW w:w="517" w:type="pct"/>
            <w:vMerge/>
            <w:shd w:val="clear" w:color="auto" w:fill="auto"/>
            <w:noWrap/>
            <w:vAlign w:val="center"/>
          </w:tcPr>
          <w:p w14:paraId="372155A7" w14:textId="77777777" w:rsidR="00EB22B7" w:rsidRPr="005B6D7B" w:rsidRDefault="00EB22B7" w:rsidP="00EB22B7">
            <w:pPr>
              <w:pStyle w:val="TableText0"/>
              <w:rPr>
                <w:sz w:val="18"/>
                <w:szCs w:val="18"/>
              </w:rPr>
            </w:pPr>
          </w:p>
        </w:tc>
        <w:tc>
          <w:tcPr>
            <w:tcW w:w="299" w:type="pct"/>
            <w:tcBorders>
              <w:tl2br w:val="nil"/>
              <w:tr2bl w:val="nil"/>
            </w:tcBorders>
            <w:shd w:val="clear" w:color="auto" w:fill="auto"/>
            <w:vAlign w:val="center"/>
          </w:tcPr>
          <w:p w14:paraId="14DFC256" w14:textId="77777777" w:rsidR="00EB22B7" w:rsidRPr="005B6D7B" w:rsidRDefault="00EB22B7" w:rsidP="00EB22B7">
            <w:pPr>
              <w:pStyle w:val="TableText0"/>
              <w:rPr>
                <w:sz w:val="18"/>
                <w:szCs w:val="18"/>
              </w:rPr>
            </w:pPr>
            <w:r w:rsidRPr="005B6D7B">
              <w:rPr>
                <w:sz w:val="18"/>
                <w:szCs w:val="18"/>
              </w:rPr>
              <w:t>RIS</w:t>
            </w:r>
          </w:p>
        </w:tc>
        <w:tc>
          <w:tcPr>
            <w:tcW w:w="223" w:type="pct"/>
            <w:tcBorders>
              <w:tl2br w:val="nil"/>
              <w:tr2bl w:val="nil"/>
            </w:tcBorders>
            <w:shd w:val="clear" w:color="auto" w:fill="auto"/>
            <w:vAlign w:val="center"/>
          </w:tcPr>
          <w:p w14:paraId="672F0879" w14:textId="77777777" w:rsidR="00EB22B7" w:rsidRPr="005B6D7B" w:rsidRDefault="00EB22B7" w:rsidP="00EB22B7">
            <w:pPr>
              <w:pStyle w:val="TableText0"/>
              <w:rPr>
                <w:sz w:val="18"/>
                <w:szCs w:val="18"/>
              </w:rPr>
            </w:pPr>
            <w:r w:rsidRPr="005B6D7B">
              <w:rPr>
                <w:sz w:val="18"/>
                <w:szCs w:val="18"/>
              </w:rPr>
              <w:t>294</w:t>
            </w:r>
          </w:p>
        </w:tc>
        <w:tc>
          <w:tcPr>
            <w:tcW w:w="660" w:type="pct"/>
            <w:tcBorders>
              <w:left w:val="single" w:sz="4" w:space="0" w:color="auto"/>
              <w:bottom w:val="single" w:sz="4" w:space="0" w:color="auto"/>
              <w:right w:val="single" w:sz="4" w:space="0" w:color="auto"/>
              <w:tl2br w:val="nil"/>
              <w:tr2bl w:val="nil"/>
            </w:tcBorders>
            <w:shd w:val="clear" w:color="auto" w:fill="auto"/>
            <w:vAlign w:val="center"/>
          </w:tcPr>
          <w:p w14:paraId="126502BF" w14:textId="77777777" w:rsidR="00EB22B7" w:rsidRPr="005B6D7B" w:rsidRDefault="00EB22B7" w:rsidP="00EB22B7">
            <w:pPr>
              <w:pStyle w:val="TableText0"/>
              <w:jc w:val="center"/>
              <w:rPr>
                <w:sz w:val="18"/>
                <w:szCs w:val="18"/>
              </w:rPr>
            </w:pPr>
            <w:r w:rsidRPr="005B6D7B">
              <w:rPr>
                <w:sz w:val="18"/>
                <w:szCs w:val="18"/>
              </w:rPr>
              <w:t>198 (67.3)</w:t>
            </w:r>
          </w:p>
        </w:tc>
        <w:tc>
          <w:tcPr>
            <w:tcW w:w="660" w:type="pct"/>
            <w:tcBorders>
              <w:left w:val="single" w:sz="4" w:space="0" w:color="auto"/>
              <w:bottom w:val="single" w:sz="4" w:space="0" w:color="auto"/>
              <w:right w:val="single" w:sz="4" w:space="0" w:color="auto"/>
              <w:tl2br w:val="nil"/>
              <w:tr2bl w:val="nil"/>
            </w:tcBorders>
            <w:shd w:val="clear" w:color="auto" w:fill="auto"/>
            <w:vAlign w:val="center"/>
          </w:tcPr>
          <w:p w14:paraId="4827055F" w14:textId="77777777" w:rsidR="00EB22B7" w:rsidRPr="005B6D7B" w:rsidRDefault="00EB22B7" w:rsidP="00EB22B7">
            <w:pPr>
              <w:pStyle w:val="TableText0"/>
              <w:jc w:val="center"/>
              <w:rPr>
                <w:sz w:val="18"/>
                <w:szCs w:val="18"/>
              </w:rPr>
            </w:pPr>
            <w:r w:rsidRPr="005B6D7B">
              <w:rPr>
                <w:sz w:val="18"/>
                <w:szCs w:val="18"/>
              </w:rPr>
              <w:t>19 (6.5)</w:t>
            </w:r>
          </w:p>
        </w:tc>
        <w:tc>
          <w:tcPr>
            <w:tcW w:w="661"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C05D8E4" w14:textId="77777777" w:rsidR="00EB22B7" w:rsidRPr="005B6D7B" w:rsidRDefault="00EB22B7" w:rsidP="00EB22B7">
            <w:pPr>
              <w:pStyle w:val="TableText0"/>
              <w:jc w:val="center"/>
              <w:rPr>
                <w:sz w:val="18"/>
                <w:szCs w:val="18"/>
              </w:rPr>
            </w:pPr>
            <w:r w:rsidRPr="005B6D7B">
              <w:rPr>
                <w:sz w:val="18"/>
                <w:szCs w:val="18"/>
              </w:rPr>
              <w:t>3 (1.0)</w:t>
            </w:r>
          </w:p>
        </w:tc>
        <w:tc>
          <w:tcPr>
            <w:tcW w:w="660"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75E7254" w14:textId="77777777" w:rsidR="00EB22B7" w:rsidRPr="005B6D7B" w:rsidRDefault="00EB22B7" w:rsidP="00EB22B7">
            <w:pPr>
              <w:pStyle w:val="TableText0"/>
              <w:jc w:val="center"/>
              <w:rPr>
                <w:sz w:val="18"/>
                <w:szCs w:val="18"/>
              </w:rPr>
            </w:pPr>
            <w:r w:rsidRPr="005B6D7B">
              <w:rPr>
                <w:sz w:val="18"/>
                <w:szCs w:val="18"/>
              </w:rPr>
              <w:t>59 (20.1)</w:t>
            </w:r>
          </w:p>
        </w:tc>
        <w:tc>
          <w:tcPr>
            <w:tcW w:w="660"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D54CFA3" w14:textId="77777777" w:rsidR="00EB22B7" w:rsidRPr="005B6D7B" w:rsidRDefault="00EB22B7" w:rsidP="00EB22B7">
            <w:pPr>
              <w:pStyle w:val="TableText0"/>
              <w:jc w:val="center"/>
              <w:rPr>
                <w:sz w:val="18"/>
                <w:szCs w:val="18"/>
              </w:rPr>
            </w:pPr>
            <w:r w:rsidRPr="005B6D7B">
              <w:rPr>
                <w:sz w:val="18"/>
                <w:szCs w:val="18"/>
              </w:rPr>
              <w:t>1 (0.3)</w:t>
            </w:r>
          </w:p>
        </w:tc>
        <w:tc>
          <w:tcPr>
            <w:tcW w:w="660" w:type="pct"/>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14:paraId="69AE9939" w14:textId="77777777" w:rsidR="00EB22B7" w:rsidRPr="005B6D7B" w:rsidRDefault="00EB22B7" w:rsidP="00EB22B7">
            <w:pPr>
              <w:pStyle w:val="TableText0"/>
              <w:jc w:val="center"/>
              <w:rPr>
                <w:sz w:val="18"/>
                <w:szCs w:val="18"/>
              </w:rPr>
            </w:pPr>
            <w:r w:rsidRPr="005B6D7B">
              <w:rPr>
                <w:sz w:val="18"/>
                <w:szCs w:val="18"/>
              </w:rPr>
              <w:t>5 (1.7)</w:t>
            </w:r>
          </w:p>
        </w:tc>
      </w:tr>
      <w:tr w:rsidR="00EB22B7" w:rsidRPr="005B6D7B" w14:paraId="1A826146" w14:textId="77777777" w:rsidTr="00EB22B7">
        <w:trPr>
          <w:trHeight w:val="20"/>
        </w:trPr>
        <w:tc>
          <w:tcPr>
            <w:tcW w:w="517" w:type="pct"/>
            <w:vMerge w:val="restart"/>
            <w:shd w:val="clear" w:color="auto" w:fill="auto"/>
            <w:noWrap/>
            <w:vAlign w:val="center"/>
          </w:tcPr>
          <w:p w14:paraId="28CFAA41" w14:textId="77777777" w:rsidR="00EB22B7" w:rsidRPr="005B6D7B" w:rsidRDefault="00EB22B7" w:rsidP="00EB22B7">
            <w:pPr>
              <w:pStyle w:val="TableText0"/>
              <w:rPr>
                <w:sz w:val="18"/>
                <w:szCs w:val="18"/>
                <w:vertAlign w:val="superscript"/>
              </w:rPr>
            </w:pPr>
            <w:r w:rsidRPr="005B6D7B">
              <w:rPr>
                <w:sz w:val="18"/>
                <w:szCs w:val="18"/>
              </w:rPr>
              <w:t>IMMerge</w:t>
            </w:r>
            <w:r w:rsidRPr="005B6D7B">
              <w:rPr>
                <w:sz w:val="18"/>
                <w:szCs w:val="18"/>
                <w:vertAlign w:val="superscript"/>
              </w:rPr>
              <w:t>a</w:t>
            </w:r>
          </w:p>
        </w:tc>
        <w:tc>
          <w:tcPr>
            <w:tcW w:w="299" w:type="pct"/>
            <w:tcBorders>
              <w:tl2br w:val="nil"/>
              <w:tr2bl w:val="nil"/>
            </w:tcBorders>
            <w:shd w:val="clear" w:color="auto" w:fill="auto"/>
            <w:vAlign w:val="center"/>
          </w:tcPr>
          <w:p w14:paraId="41C34C1E" w14:textId="77777777" w:rsidR="00EB22B7" w:rsidRPr="005B6D7B" w:rsidRDefault="00EB22B7" w:rsidP="00EB22B7">
            <w:pPr>
              <w:pStyle w:val="TableText0"/>
              <w:rPr>
                <w:sz w:val="18"/>
                <w:szCs w:val="18"/>
              </w:rPr>
            </w:pPr>
            <w:r w:rsidRPr="005B6D7B">
              <w:rPr>
                <w:sz w:val="18"/>
                <w:szCs w:val="18"/>
              </w:rPr>
              <w:t>SEC</w:t>
            </w:r>
          </w:p>
        </w:tc>
        <w:tc>
          <w:tcPr>
            <w:tcW w:w="223" w:type="pct"/>
            <w:tcBorders>
              <w:tl2br w:val="nil"/>
              <w:tr2bl w:val="nil"/>
            </w:tcBorders>
            <w:shd w:val="clear" w:color="auto" w:fill="auto"/>
            <w:vAlign w:val="center"/>
          </w:tcPr>
          <w:p w14:paraId="7C4BDFD4" w14:textId="77777777" w:rsidR="00EB22B7" w:rsidRPr="005B6D7B" w:rsidRDefault="00EB22B7" w:rsidP="00EB22B7">
            <w:pPr>
              <w:pStyle w:val="TableText0"/>
              <w:rPr>
                <w:sz w:val="18"/>
                <w:szCs w:val="18"/>
              </w:rPr>
            </w:pPr>
            <w:r w:rsidRPr="005B6D7B">
              <w:rPr>
                <w:sz w:val="18"/>
                <w:szCs w:val="18"/>
              </w:rPr>
              <w:t>163</w:t>
            </w:r>
          </w:p>
        </w:tc>
        <w:tc>
          <w:tcPr>
            <w:tcW w:w="660" w:type="pct"/>
            <w:tcBorders>
              <w:left w:val="single" w:sz="4" w:space="0" w:color="auto"/>
              <w:bottom w:val="single" w:sz="4" w:space="0" w:color="auto"/>
              <w:right w:val="single" w:sz="4" w:space="0" w:color="auto"/>
              <w:tl2br w:val="nil"/>
              <w:tr2bl w:val="nil"/>
            </w:tcBorders>
            <w:shd w:val="clear" w:color="auto" w:fill="auto"/>
            <w:vAlign w:val="center"/>
          </w:tcPr>
          <w:p w14:paraId="05D6CC6B" w14:textId="77777777" w:rsidR="00EB22B7" w:rsidRPr="005B6D7B" w:rsidRDefault="00EB22B7" w:rsidP="00EB22B7">
            <w:pPr>
              <w:pStyle w:val="TableText0"/>
              <w:jc w:val="center"/>
              <w:rPr>
                <w:sz w:val="18"/>
                <w:szCs w:val="18"/>
              </w:rPr>
            </w:pPr>
            <w:r w:rsidRPr="005B6D7B">
              <w:rPr>
                <w:sz w:val="18"/>
                <w:szCs w:val="18"/>
              </w:rPr>
              <w:t>116 (71.2)</w:t>
            </w:r>
          </w:p>
        </w:tc>
        <w:tc>
          <w:tcPr>
            <w:tcW w:w="660" w:type="pct"/>
            <w:tcBorders>
              <w:left w:val="single" w:sz="4" w:space="0" w:color="auto"/>
              <w:bottom w:val="single" w:sz="4" w:space="0" w:color="auto"/>
              <w:right w:val="single" w:sz="4" w:space="0" w:color="auto"/>
              <w:tl2br w:val="nil"/>
              <w:tr2bl w:val="nil"/>
            </w:tcBorders>
            <w:shd w:val="clear" w:color="auto" w:fill="auto"/>
            <w:vAlign w:val="center"/>
          </w:tcPr>
          <w:p w14:paraId="1C6CD6DA" w14:textId="77777777" w:rsidR="00EB22B7" w:rsidRPr="005B6D7B" w:rsidRDefault="00EB22B7" w:rsidP="00EB22B7">
            <w:pPr>
              <w:pStyle w:val="TableText0"/>
              <w:jc w:val="center"/>
              <w:rPr>
                <w:sz w:val="18"/>
                <w:szCs w:val="18"/>
              </w:rPr>
            </w:pPr>
            <w:r w:rsidRPr="005B6D7B">
              <w:rPr>
                <w:sz w:val="18"/>
                <w:szCs w:val="18"/>
              </w:rPr>
              <w:t>6 (3.7)</w:t>
            </w:r>
          </w:p>
        </w:tc>
        <w:tc>
          <w:tcPr>
            <w:tcW w:w="661"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67B2298" w14:textId="77777777" w:rsidR="00EB22B7" w:rsidRPr="005B6D7B" w:rsidRDefault="00EB22B7" w:rsidP="00EB22B7">
            <w:pPr>
              <w:pStyle w:val="TableText0"/>
              <w:jc w:val="center"/>
              <w:rPr>
                <w:sz w:val="18"/>
                <w:szCs w:val="18"/>
              </w:rPr>
            </w:pPr>
            <w:r w:rsidRPr="005B6D7B">
              <w:rPr>
                <w:sz w:val="18"/>
                <w:szCs w:val="18"/>
              </w:rPr>
              <w:t>8 (4.9)</w:t>
            </w:r>
          </w:p>
        </w:tc>
        <w:tc>
          <w:tcPr>
            <w:tcW w:w="660"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CEAD9F1" w14:textId="77777777" w:rsidR="00EB22B7" w:rsidRPr="005B6D7B" w:rsidRDefault="00EB22B7" w:rsidP="00EB22B7">
            <w:pPr>
              <w:pStyle w:val="TableText0"/>
              <w:jc w:val="center"/>
              <w:rPr>
                <w:sz w:val="18"/>
                <w:szCs w:val="18"/>
              </w:rPr>
            </w:pPr>
            <w:r w:rsidRPr="005B6D7B">
              <w:rPr>
                <w:sz w:val="18"/>
                <w:szCs w:val="18"/>
              </w:rPr>
              <w:t>46 (28.2)</w:t>
            </w:r>
          </w:p>
        </w:tc>
        <w:tc>
          <w:tcPr>
            <w:tcW w:w="660"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8B7B949" w14:textId="77777777" w:rsidR="00EB22B7" w:rsidRPr="005B6D7B" w:rsidRDefault="00EB22B7" w:rsidP="00EB22B7">
            <w:pPr>
              <w:pStyle w:val="TableText0"/>
              <w:jc w:val="center"/>
              <w:rPr>
                <w:sz w:val="18"/>
                <w:szCs w:val="18"/>
              </w:rPr>
            </w:pPr>
            <w:r w:rsidRPr="005B6D7B">
              <w:rPr>
                <w:sz w:val="18"/>
                <w:szCs w:val="18"/>
              </w:rPr>
              <w:t>0 (0.0)</w:t>
            </w:r>
          </w:p>
        </w:tc>
        <w:tc>
          <w:tcPr>
            <w:tcW w:w="660" w:type="pct"/>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14:paraId="2B4BEAFB" w14:textId="77777777" w:rsidR="00EB22B7" w:rsidRPr="005B6D7B" w:rsidRDefault="00EB22B7" w:rsidP="00EB22B7">
            <w:pPr>
              <w:pStyle w:val="TableText0"/>
              <w:jc w:val="center"/>
              <w:rPr>
                <w:sz w:val="18"/>
                <w:szCs w:val="18"/>
              </w:rPr>
            </w:pPr>
            <w:r w:rsidRPr="005B6D7B">
              <w:rPr>
                <w:sz w:val="18"/>
                <w:szCs w:val="18"/>
              </w:rPr>
              <w:t>3 (1.8)</w:t>
            </w:r>
          </w:p>
        </w:tc>
      </w:tr>
      <w:tr w:rsidR="00EB22B7" w:rsidRPr="005B6D7B" w14:paraId="3002695A" w14:textId="77777777" w:rsidTr="00EB22B7">
        <w:trPr>
          <w:trHeight w:val="20"/>
        </w:trPr>
        <w:tc>
          <w:tcPr>
            <w:tcW w:w="517" w:type="pct"/>
            <w:vMerge/>
            <w:shd w:val="clear" w:color="auto" w:fill="auto"/>
            <w:noWrap/>
            <w:vAlign w:val="center"/>
          </w:tcPr>
          <w:p w14:paraId="16DA75DA" w14:textId="77777777" w:rsidR="00EB22B7" w:rsidRPr="005B6D7B" w:rsidRDefault="00EB22B7" w:rsidP="00EB22B7">
            <w:pPr>
              <w:pStyle w:val="TableText0"/>
              <w:rPr>
                <w:sz w:val="18"/>
                <w:szCs w:val="18"/>
              </w:rPr>
            </w:pPr>
          </w:p>
        </w:tc>
        <w:tc>
          <w:tcPr>
            <w:tcW w:w="299" w:type="pct"/>
            <w:tcBorders>
              <w:tl2br w:val="nil"/>
              <w:tr2bl w:val="nil"/>
            </w:tcBorders>
            <w:shd w:val="clear" w:color="auto" w:fill="auto"/>
            <w:vAlign w:val="center"/>
          </w:tcPr>
          <w:p w14:paraId="55E7E13E" w14:textId="77777777" w:rsidR="00EB22B7" w:rsidRPr="005B6D7B" w:rsidRDefault="00EB22B7" w:rsidP="00EB22B7">
            <w:pPr>
              <w:pStyle w:val="TableText0"/>
              <w:rPr>
                <w:sz w:val="18"/>
                <w:szCs w:val="18"/>
              </w:rPr>
            </w:pPr>
            <w:r w:rsidRPr="005B6D7B">
              <w:rPr>
                <w:sz w:val="18"/>
                <w:szCs w:val="18"/>
              </w:rPr>
              <w:t>RIS</w:t>
            </w:r>
          </w:p>
        </w:tc>
        <w:tc>
          <w:tcPr>
            <w:tcW w:w="223" w:type="pct"/>
            <w:tcBorders>
              <w:tl2br w:val="nil"/>
              <w:tr2bl w:val="nil"/>
            </w:tcBorders>
            <w:shd w:val="clear" w:color="auto" w:fill="auto"/>
            <w:vAlign w:val="center"/>
          </w:tcPr>
          <w:p w14:paraId="3BB8F871" w14:textId="77777777" w:rsidR="00EB22B7" w:rsidRPr="005B6D7B" w:rsidRDefault="00EB22B7" w:rsidP="00EB22B7">
            <w:pPr>
              <w:pStyle w:val="TableText0"/>
              <w:rPr>
                <w:sz w:val="18"/>
                <w:szCs w:val="18"/>
              </w:rPr>
            </w:pPr>
            <w:r w:rsidRPr="005B6D7B">
              <w:rPr>
                <w:sz w:val="18"/>
                <w:szCs w:val="18"/>
              </w:rPr>
              <w:t>164</w:t>
            </w:r>
          </w:p>
        </w:tc>
        <w:tc>
          <w:tcPr>
            <w:tcW w:w="660" w:type="pct"/>
            <w:tcBorders>
              <w:left w:val="single" w:sz="4" w:space="0" w:color="auto"/>
              <w:bottom w:val="single" w:sz="4" w:space="0" w:color="auto"/>
              <w:right w:val="single" w:sz="4" w:space="0" w:color="auto"/>
              <w:tl2br w:val="nil"/>
              <w:tr2bl w:val="nil"/>
            </w:tcBorders>
            <w:shd w:val="clear" w:color="auto" w:fill="auto"/>
            <w:vAlign w:val="center"/>
          </w:tcPr>
          <w:p w14:paraId="421FD6A0" w14:textId="77777777" w:rsidR="00EB22B7" w:rsidRPr="005B6D7B" w:rsidRDefault="00EB22B7" w:rsidP="00EB22B7">
            <w:pPr>
              <w:pStyle w:val="TableText0"/>
              <w:jc w:val="center"/>
              <w:rPr>
                <w:sz w:val="18"/>
                <w:szCs w:val="18"/>
              </w:rPr>
            </w:pPr>
            <w:r w:rsidRPr="005B6D7B">
              <w:rPr>
                <w:sz w:val="18"/>
                <w:szCs w:val="18"/>
              </w:rPr>
              <w:t>117 (71.3)</w:t>
            </w:r>
          </w:p>
        </w:tc>
        <w:tc>
          <w:tcPr>
            <w:tcW w:w="660" w:type="pct"/>
            <w:tcBorders>
              <w:left w:val="single" w:sz="4" w:space="0" w:color="auto"/>
              <w:bottom w:val="single" w:sz="4" w:space="0" w:color="auto"/>
              <w:right w:val="single" w:sz="4" w:space="0" w:color="auto"/>
              <w:tl2br w:val="nil"/>
              <w:tr2bl w:val="nil"/>
            </w:tcBorders>
            <w:shd w:val="clear" w:color="auto" w:fill="auto"/>
            <w:vAlign w:val="center"/>
          </w:tcPr>
          <w:p w14:paraId="5A798E37" w14:textId="77777777" w:rsidR="00EB22B7" w:rsidRPr="005B6D7B" w:rsidRDefault="00EB22B7" w:rsidP="00EB22B7">
            <w:pPr>
              <w:pStyle w:val="TableText0"/>
              <w:jc w:val="center"/>
              <w:rPr>
                <w:sz w:val="18"/>
                <w:szCs w:val="18"/>
              </w:rPr>
            </w:pPr>
            <w:r w:rsidRPr="005B6D7B">
              <w:rPr>
                <w:sz w:val="18"/>
                <w:szCs w:val="18"/>
              </w:rPr>
              <w:t>9 (5.5)</w:t>
            </w:r>
          </w:p>
        </w:tc>
        <w:tc>
          <w:tcPr>
            <w:tcW w:w="661"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451C8DF" w14:textId="77777777" w:rsidR="00EB22B7" w:rsidRPr="005B6D7B" w:rsidRDefault="00EB22B7" w:rsidP="00EB22B7">
            <w:pPr>
              <w:pStyle w:val="TableText0"/>
              <w:jc w:val="center"/>
              <w:rPr>
                <w:sz w:val="18"/>
                <w:szCs w:val="18"/>
              </w:rPr>
            </w:pPr>
            <w:r w:rsidRPr="005B6D7B">
              <w:rPr>
                <w:sz w:val="18"/>
                <w:szCs w:val="18"/>
              </w:rPr>
              <w:t>2 (1.2)</w:t>
            </w:r>
          </w:p>
        </w:tc>
        <w:tc>
          <w:tcPr>
            <w:tcW w:w="660"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093D446" w14:textId="77777777" w:rsidR="00EB22B7" w:rsidRPr="005B6D7B" w:rsidRDefault="00EB22B7" w:rsidP="00EB22B7">
            <w:pPr>
              <w:pStyle w:val="TableText0"/>
              <w:jc w:val="center"/>
              <w:rPr>
                <w:sz w:val="18"/>
                <w:szCs w:val="18"/>
              </w:rPr>
            </w:pPr>
            <w:r w:rsidRPr="005B6D7B">
              <w:rPr>
                <w:sz w:val="18"/>
                <w:szCs w:val="18"/>
              </w:rPr>
              <w:t>49 (29.9)</w:t>
            </w:r>
          </w:p>
        </w:tc>
        <w:tc>
          <w:tcPr>
            <w:tcW w:w="660"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2436349" w14:textId="77777777" w:rsidR="00EB22B7" w:rsidRPr="005B6D7B" w:rsidRDefault="00EB22B7" w:rsidP="00EB22B7">
            <w:pPr>
              <w:pStyle w:val="TableText0"/>
              <w:jc w:val="center"/>
              <w:rPr>
                <w:sz w:val="18"/>
                <w:szCs w:val="18"/>
              </w:rPr>
            </w:pPr>
            <w:r w:rsidRPr="005B6D7B">
              <w:rPr>
                <w:sz w:val="18"/>
                <w:szCs w:val="18"/>
              </w:rPr>
              <w:t>0 (0.0)</w:t>
            </w:r>
          </w:p>
        </w:tc>
        <w:tc>
          <w:tcPr>
            <w:tcW w:w="660" w:type="pct"/>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14:paraId="7E44C9E6" w14:textId="77777777" w:rsidR="00EB22B7" w:rsidRPr="005B6D7B" w:rsidRDefault="00EB22B7" w:rsidP="00EB22B7">
            <w:pPr>
              <w:pStyle w:val="TableText0"/>
              <w:jc w:val="center"/>
              <w:rPr>
                <w:sz w:val="18"/>
                <w:szCs w:val="18"/>
              </w:rPr>
            </w:pPr>
            <w:r w:rsidRPr="005B6D7B">
              <w:rPr>
                <w:sz w:val="18"/>
                <w:szCs w:val="18"/>
              </w:rPr>
              <w:t>0 (0.0)</w:t>
            </w:r>
          </w:p>
        </w:tc>
      </w:tr>
    </w:tbl>
    <w:p w14:paraId="201BF8FE" w14:textId="77777777" w:rsidR="00602116" w:rsidRPr="005B6D7B" w:rsidRDefault="00602116" w:rsidP="00602116">
      <w:pPr>
        <w:pStyle w:val="TableFigureFooter"/>
      </w:pPr>
      <w:r w:rsidRPr="005B6D7B">
        <w:t>Source: Table 2-24 and Table 2-25, 100 of the submission</w:t>
      </w:r>
    </w:p>
    <w:p w14:paraId="6C2BDC0C" w14:textId="7C41B1E5" w:rsidR="00602116" w:rsidRPr="005B6D7B" w:rsidRDefault="00602116" w:rsidP="00602116">
      <w:pPr>
        <w:pStyle w:val="TableFigureFooter"/>
      </w:pPr>
      <w:r w:rsidRPr="005B6D7B">
        <w:t>ADA</w:t>
      </w:r>
      <w:r w:rsidR="00DF018C" w:rsidRPr="005B6D7B">
        <w:t>=</w:t>
      </w:r>
      <w:r w:rsidRPr="005B6D7B">
        <w:t>adalimumab; AE</w:t>
      </w:r>
      <w:r w:rsidR="00DF018C" w:rsidRPr="005B6D7B">
        <w:t>=</w:t>
      </w:r>
      <w:r w:rsidRPr="005B6D7B">
        <w:t>Adverse Event; CSR</w:t>
      </w:r>
      <w:r w:rsidR="00DF018C" w:rsidRPr="005B6D7B">
        <w:t>=</w:t>
      </w:r>
      <w:r w:rsidRPr="005B6D7B">
        <w:t>Clinical Study Report; PBO</w:t>
      </w:r>
      <w:r w:rsidR="00DF018C" w:rsidRPr="005B6D7B">
        <w:t>=</w:t>
      </w:r>
      <w:r w:rsidRPr="005B6D7B">
        <w:t>placebo; RIS</w:t>
      </w:r>
      <w:r w:rsidR="00DF018C" w:rsidRPr="005B6D7B">
        <w:t>=</w:t>
      </w:r>
      <w:r w:rsidRPr="005B6D7B">
        <w:t>risankizumab; Txt</w:t>
      </w:r>
      <w:r w:rsidR="00DF018C" w:rsidRPr="005B6D7B">
        <w:t>=</w:t>
      </w:r>
      <w:r w:rsidRPr="005B6D7B">
        <w:t>treatment; SEC</w:t>
      </w:r>
      <w:r w:rsidR="00DF018C" w:rsidRPr="005B6D7B">
        <w:t>=</w:t>
      </w:r>
      <w:r w:rsidRPr="005B6D7B">
        <w:t>secukinumab; UST</w:t>
      </w:r>
      <w:r w:rsidR="00DF018C" w:rsidRPr="005B6D7B">
        <w:t>=</w:t>
      </w:r>
      <w:r w:rsidRPr="005B6D7B">
        <w:t>ustekinumab</w:t>
      </w:r>
    </w:p>
    <w:p w14:paraId="12DA7E57" w14:textId="0C706996" w:rsidR="00602116" w:rsidRPr="005B6D7B" w:rsidRDefault="00602116" w:rsidP="00602116">
      <w:pPr>
        <w:pStyle w:val="TableFigureFooter"/>
      </w:pPr>
      <w:r w:rsidRPr="005B6D7B">
        <w:rPr>
          <w:vertAlign w:val="superscript"/>
        </w:rPr>
        <w:t>a</w:t>
      </w:r>
      <w:r w:rsidR="00F3031B" w:rsidRPr="005B6D7B">
        <w:rPr>
          <w:vertAlign w:val="superscript"/>
        </w:rPr>
        <w:tab/>
      </w:r>
      <w:r w:rsidRPr="005B6D7B">
        <w:t>Safety events for IMMerge were reported at 52 weeks only. Therefore, only the long-term effects are presented (Appendix 1)</w:t>
      </w:r>
    </w:p>
    <w:p w14:paraId="04908C7F" w14:textId="415B9B7D" w:rsidR="007F1017" w:rsidRPr="005B6D7B" w:rsidRDefault="007F1017" w:rsidP="00D86231">
      <w:pPr>
        <w:pStyle w:val="4-SubsectionHeading"/>
      </w:pPr>
      <w:bookmarkStart w:id="44" w:name="_Toc22897643"/>
      <w:bookmarkStart w:id="45" w:name="_Toc143506204"/>
      <w:r w:rsidRPr="005B6D7B">
        <w:lastRenderedPageBreak/>
        <w:t>Benefits/harms</w:t>
      </w:r>
      <w:bookmarkEnd w:id="44"/>
      <w:bookmarkEnd w:id="45"/>
    </w:p>
    <w:p w14:paraId="215BE284" w14:textId="46F0A57E" w:rsidR="00B427FD" w:rsidRPr="005B6D7B" w:rsidRDefault="00BC6824" w:rsidP="00BC6824">
      <w:pPr>
        <w:pStyle w:val="3-BodyText"/>
        <w:rPr>
          <w:rStyle w:val="CommentReference"/>
        </w:rPr>
      </w:pPr>
      <w:r w:rsidRPr="005B6D7B">
        <w:fldChar w:fldCharType="begin" w:fldLock="1"/>
      </w:r>
      <w:r w:rsidRPr="005B6D7B">
        <w:instrText xml:space="preserve"> REF _Ref92363924 \h </w:instrText>
      </w:r>
      <w:r w:rsidRPr="005B6D7B">
        <w:fldChar w:fldCharType="separate"/>
      </w:r>
      <w:r w:rsidRPr="005B6D7B">
        <w:t xml:space="preserve">Table </w:t>
      </w:r>
      <w:r w:rsidRPr="005B6D7B">
        <w:rPr>
          <w:noProof/>
        </w:rPr>
        <w:t>8</w:t>
      </w:r>
      <w:r w:rsidRPr="005B6D7B">
        <w:fldChar w:fldCharType="end"/>
      </w:r>
      <w:r w:rsidRPr="005B6D7B">
        <w:t xml:space="preserve"> </w:t>
      </w:r>
      <w:r w:rsidR="00B427FD" w:rsidRPr="005B6D7B">
        <w:t xml:space="preserve">presents a summary of the </w:t>
      </w:r>
      <w:r w:rsidR="009E2890">
        <w:t xml:space="preserve">short-term </w:t>
      </w:r>
      <w:r w:rsidR="00B427FD" w:rsidRPr="005B6D7B">
        <w:t xml:space="preserve">comparative benefits for risankizumab versus adalimumab, ustekinumab and secukinumab, based on direct evidence presented in the submission. The table does not include comparative benefits based on indirect evidence, given variation </w:t>
      </w:r>
      <w:r w:rsidR="00E00DF0" w:rsidRPr="005B6D7B">
        <w:t>in</w:t>
      </w:r>
      <w:r w:rsidR="00B427FD" w:rsidRPr="005B6D7B">
        <w:t xml:space="preserve"> the interpretation of results depending on the outcome, the common reference and the risk statistic. The table does not include comparative harms </w:t>
      </w:r>
      <w:r w:rsidRPr="005B6D7B">
        <w:t xml:space="preserve">given the results support the </w:t>
      </w:r>
      <w:r w:rsidR="00E00DF0" w:rsidRPr="005B6D7B">
        <w:t xml:space="preserve">claim of non-inferior safety versus </w:t>
      </w:r>
      <w:r w:rsidRPr="005B6D7B">
        <w:t>the nominated comparators</w:t>
      </w:r>
      <w:r w:rsidR="00E00DF0" w:rsidRPr="005B6D7B">
        <w:t>.</w:t>
      </w:r>
    </w:p>
    <w:p w14:paraId="3474129D" w14:textId="6DA1A4F0" w:rsidR="00E00DF0" w:rsidRPr="005B6D7B" w:rsidRDefault="00E00DF0" w:rsidP="00E00DF0">
      <w:pPr>
        <w:pStyle w:val="TableFigureHeading"/>
      </w:pPr>
      <w:bookmarkStart w:id="46" w:name="_Ref92363924"/>
      <w:r w:rsidRPr="005B6D7B">
        <w:t xml:space="preserve">Table </w:t>
      </w:r>
      <w:r w:rsidR="004D70E1">
        <w:fldChar w:fldCharType="begin" w:fldLock="1"/>
      </w:r>
      <w:r w:rsidR="004D70E1">
        <w:instrText xml:space="preserve"> SEQ Table \* ARABIC </w:instrText>
      </w:r>
      <w:r w:rsidR="004D70E1">
        <w:fldChar w:fldCharType="separate"/>
      </w:r>
      <w:r w:rsidR="00435AF2">
        <w:rPr>
          <w:noProof/>
        </w:rPr>
        <w:t>8</w:t>
      </w:r>
      <w:r w:rsidR="004D70E1">
        <w:rPr>
          <w:noProof/>
        </w:rPr>
        <w:fldChar w:fldCharType="end"/>
      </w:r>
      <w:bookmarkEnd w:id="46"/>
      <w:r w:rsidRPr="005B6D7B">
        <w:t xml:space="preserve">: Summary of comparative benefits (PASI 75, PASI 90) for risankizumab versus adalimumab, </w:t>
      </w:r>
      <w:r w:rsidR="00EA7456" w:rsidRPr="005B6D7B">
        <w:t xml:space="preserve">secukinumab </w:t>
      </w:r>
      <w:r w:rsidRPr="005B6D7B">
        <w:t>and</w:t>
      </w:r>
      <w:r w:rsidR="00EA7456" w:rsidRPr="005B6D7B">
        <w:t xml:space="preserve"> ustekinumab</w:t>
      </w:r>
    </w:p>
    <w:tbl>
      <w:tblPr>
        <w:tblW w:w="5029" w:type="pct"/>
        <w:tblLayout w:type="fixed"/>
        <w:tblCellMar>
          <w:left w:w="28" w:type="dxa"/>
          <w:right w:w="28" w:type="dxa"/>
        </w:tblCellMar>
        <w:tblLook w:val="04A0" w:firstRow="1" w:lastRow="0" w:firstColumn="1" w:lastColumn="0" w:noHBand="0" w:noVBand="1"/>
        <w:tblCaption w:val="Table 8: Summary of comparative benefits (PASI 75, PASI 90) for risankizumab versus adalimumab, secukinumab and ustekinumab"/>
      </w:tblPr>
      <w:tblGrid>
        <w:gridCol w:w="2121"/>
        <w:gridCol w:w="994"/>
        <w:gridCol w:w="994"/>
        <w:gridCol w:w="1563"/>
        <w:gridCol w:w="974"/>
        <w:gridCol w:w="18"/>
        <w:gridCol w:w="956"/>
        <w:gridCol w:w="36"/>
        <w:gridCol w:w="1413"/>
      </w:tblGrid>
      <w:tr w:rsidR="00E00DF0" w:rsidRPr="005B6D7B" w14:paraId="75CE0BD1" w14:textId="77777777" w:rsidTr="00285386">
        <w:trPr>
          <w:trHeight w:val="150"/>
          <w:tblHeader/>
        </w:trPr>
        <w:tc>
          <w:tcPr>
            <w:tcW w:w="116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3FAD8E4" w14:textId="4B3D9DDC" w:rsidR="00E00DF0" w:rsidRPr="005B6D7B" w:rsidRDefault="00E00DF0" w:rsidP="00C05EEF">
            <w:pPr>
              <w:pStyle w:val="In-tableHeading"/>
              <w:rPr>
                <w:szCs w:val="20"/>
                <w:lang w:val="en-AU"/>
              </w:rPr>
            </w:pPr>
            <w:r w:rsidRPr="005B6D7B">
              <w:rPr>
                <w:szCs w:val="20"/>
                <w:lang w:val="en-AU"/>
              </w:rPr>
              <w:t xml:space="preserve">Comparison </w:t>
            </w:r>
          </w:p>
        </w:tc>
        <w:tc>
          <w:tcPr>
            <w:tcW w:w="548" w:type="pct"/>
            <w:vMerge w:val="restart"/>
            <w:tcBorders>
              <w:top w:val="single" w:sz="4" w:space="0" w:color="auto"/>
              <w:left w:val="single" w:sz="4" w:space="0" w:color="auto"/>
              <w:bottom w:val="single" w:sz="4" w:space="0" w:color="auto"/>
              <w:right w:val="single" w:sz="4" w:space="0" w:color="auto"/>
            </w:tcBorders>
            <w:vAlign w:val="center"/>
          </w:tcPr>
          <w:p w14:paraId="295F8416" w14:textId="77777777" w:rsidR="00E00DF0" w:rsidRPr="005B6D7B" w:rsidRDefault="00E00DF0" w:rsidP="00C05EEF">
            <w:pPr>
              <w:pStyle w:val="In-tableHeading"/>
              <w:jc w:val="center"/>
              <w:rPr>
                <w:szCs w:val="20"/>
                <w:lang w:val="en-AU"/>
              </w:rPr>
            </w:pPr>
            <w:r w:rsidRPr="005B6D7B">
              <w:rPr>
                <w:szCs w:val="20"/>
                <w:lang w:val="en-AU"/>
              </w:rPr>
              <w:t>RIS</w:t>
            </w:r>
          </w:p>
          <w:p w14:paraId="505B10FD" w14:textId="77777777" w:rsidR="00E00DF0" w:rsidRPr="005B6D7B" w:rsidRDefault="00E00DF0" w:rsidP="00C05EEF">
            <w:pPr>
              <w:pStyle w:val="In-tableHeading"/>
              <w:jc w:val="center"/>
              <w:rPr>
                <w:szCs w:val="20"/>
                <w:lang w:val="en-AU"/>
              </w:rPr>
            </w:pPr>
            <w:r w:rsidRPr="005B6D7B">
              <w:rPr>
                <w:szCs w:val="20"/>
                <w:lang w:val="en-AU"/>
              </w:rPr>
              <w:t>n/N</w:t>
            </w:r>
          </w:p>
        </w:tc>
        <w:tc>
          <w:tcPr>
            <w:tcW w:w="548" w:type="pct"/>
            <w:vMerge w:val="restart"/>
            <w:tcBorders>
              <w:top w:val="single" w:sz="4" w:space="0" w:color="auto"/>
              <w:left w:val="single" w:sz="4" w:space="0" w:color="auto"/>
              <w:bottom w:val="single" w:sz="4" w:space="0" w:color="auto"/>
              <w:right w:val="single" w:sz="4" w:space="0" w:color="auto"/>
            </w:tcBorders>
            <w:vAlign w:val="center"/>
          </w:tcPr>
          <w:p w14:paraId="50A7A14F" w14:textId="77777777" w:rsidR="00E00DF0" w:rsidRPr="005B6D7B" w:rsidRDefault="00E00DF0" w:rsidP="00C05EEF">
            <w:pPr>
              <w:pStyle w:val="In-tableHeading"/>
              <w:jc w:val="center"/>
              <w:rPr>
                <w:szCs w:val="20"/>
                <w:lang w:val="en-AU"/>
              </w:rPr>
            </w:pPr>
            <w:r w:rsidRPr="005B6D7B">
              <w:rPr>
                <w:szCs w:val="20"/>
                <w:lang w:val="en-AU"/>
              </w:rPr>
              <w:t xml:space="preserve">Comparator </w:t>
            </w:r>
          </w:p>
          <w:p w14:paraId="49E44703" w14:textId="77777777" w:rsidR="00E00DF0" w:rsidRPr="005B6D7B" w:rsidRDefault="00E00DF0" w:rsidP="00C05EEF">
            <w:pPr>
              <w:pStyle w:val="In-tableHeading"/>
              <w:jc w:val="center"/>
              <w:rPr>
                <w:szCs w:val="20"/>
                <w:lang w:val="en-AU"/>
              </w:rPr>
            </w:pPr>
            <w:r w:rsidRPr="005B6D7B">
              <w:rPr>
                <w:szCs w:val="20"/>
                <w:lang w:val="en-AU"/>
              </w:rPr>
              <w:t>n/N</w:t>
            </w:r>
          </w:p>
        </w:tc>
        <w:tc>
          <w:tcPr>
            <w:tcW w:w="862" w:type="pct"/>
            <w:vMerge w:val="restart"/>
            <w:tcBorders>
              <w:top w:val="single" w:sz="4" w:space="0" w:color="auto"/>
              <w:left w:val="single" w:sz="4" w:space="0" w:color="auto"/>
              <w:bottom w:val="single" w:sz="4" w:space="0" w:color="auto"/>
              <w:right w:val="single" w:sz="4" w:space="0" w:color="auto"/>
            </w:tcBorders>
            <w:vAlign w:val="center"/>
          </w:tcPr>
          <w:p w14:paraId="55852CD5" w14:textId="77777777" w:rsidR="00E00DF0" w:rsidRPr="005B6D7B" w:rsidRDefault="00E00DF0" w:rsidP="00C05EEF">
            <w:pPr>
              <w:pStyle w:val="In-tableHeading"/>
              <w:jc w:val="center"/>
              <w:rPr>
                <w:szCs w:val="20"/>
                <w:lang w:val="en-AU"/>
              </w:rPr>
            </w:pPr>
            <w:r w:rsidRPr="005B6D7B">
              <w:rPr>
                <w:szCs w:val="20"/>
                <w:lang w:val="en-AU"/>
              </w:rPr>
              <w:t>OR (95% CI)</w:t>
            </w:r>
          </w:p>
        </w:tc>
        <w:tc>
          <w:tcPr>
            <w:tcW w:w="1094" w:type="pct"/>
            <w:gridSpan w:val="4"/>
            <w:tcBorders>
              <w:top w:val="single" w:sz="4" w:space="0" w:color="auto"/>
              <w:left w:val="single" w:sz="4" w:space="0" w:color="auto"/>
              <w:bottom w:val="single" w:sz="4" w:space="0" w:color="auto"/>
              <w:right w:val="single" w:sz="4" w:space="0" w:color="auto"/>
            </w:tcBorders>
            <w:vAlign w:val="center"/>
          </w:tcPr>
          <w:p w14:paraId="7115D30C" w14:textId="77777777" w:rsidR="00E00DF0" w:rsidRPr="005B6D7B" w:rsidRDefault="00E00DF0" w:rsidP="00C05EEF">
            <w:pPr>
              <w:pStyle w:val="In-tableHeading"/>
              <w:jc w:val="center"/>
              <w:rPr>
                <w:szCs w:val="20"/>
                <w:lang w:val="en-AU"/>
              </w:rPr>
            </w:pPr>
            <w:r w:rsidRPr="005B6D7B">
              <w:rPr>
                <w:szCs w:val="20"/>
                <w:lang w:val="en-AU"/>
              </w:rPr>
              <w:t>Event rate/100 patients</w:t>
            </w:r>
          </w:p>
        </w:tc>
        <w:tc>
          <w:tcPr>
            <w:tcW w:w="779" w:type="pct"/>
            <w:vMerge w:val="restart"/>
            <w:tcBorders>
              <w:top w:val="single" w:sz="4" w:space="0" w:color="auto"/>
              <w:left w:val="single" w:sz="4" w:space="0" w:color="auto"/>
              <w:right w:val="single" w:sz="4" w:space="0" w:color="auto"/>
            </w:tcBorders>
            <w:vAlign w:val="center"/>
          </w:tcPr>
          <w:p w14:paraId="6D4E743C" w14:textId="77777777" w:rsidR="00E00DF0" w:rsidRPr="005B6D7B" w:rsidRDefault="00E00DF0" w:rsidP="00C05EEF">
            <w:pPr>
              <w:pStyle w:val="In-tableHeading"/>
              <w:jc w:val="center"/>
              <w:rPr>
                <w:szCs w:val="20"/>
                <w:lang w:val="en-AU"/>
              </w:rPr>
            </w:pPr>
            <w:r w:rsidRPr="005B6D7B">
              <w:rPr>
                <w:szCs w:val="20"/>
                <w:lang w:val="en-AU"/>
              </w:rPr>
              <w:t>RD (95% CI)</w:t>
            </w:r>
          </w:p>
        </w:tc>
      </w:tr>
      <w:tr w:rsidR="00E00DF0" w:rsidRPr="005B6D7B" w14:paraId="267F2241" w14:textId="77777777" w:rsidTr="00285386">
        <w:trPr>
          <w:trHeight w:val="315"/>
        </w:trPr>
        <w:tc>
          <w:tcPr>
            <w:tcW w:w="116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CA85206" w14:textId="77777777" w:rsidR="00E00DF0" w:rsidRPr="005B6D7B" w:rsidRDefault="00E00DF0" w:rsidP="00C05EEF">
            <w:pPr>
              <w:pStyle w:val="In-tableHeading"/>
              <w:jc w:val="center"/>
              <w:rPr>
                <w:szCs w:val="20"/>
                <w:lang w:val="en-AU"/>
              </w:rPr>
            </w:pPr>
          </w:p>
        </w:tc>
        <w:tc>
          <w:tcPr>
            <w:tcW w:w="548" w:type="pct"/>
            <w:vMerge/>
            <w:tcBorders>
              <w:top w:val="single" w:sz="4" w:space="0" w:color="auto"/>
              <w:left w:val="single" w:sz="4" w:space="0" w:color="auto"/>
              <w:bottom w:val="single" w:sz="4" w:space="0" w:color="auto"/>
              <w:right w:val="single" w:sz="4" w:space="0" w:color="auto"/>
            </w:tcBorders>
            <w:vAlign w:val="center"/>
          </w:tcPr>
          <w:p w14:paraId="605FAF2E" w14:textId="77777777" w:rsidR="00E00DF0" w:rsidRPr="005B6D7B" w:rsidRDefault="00E00DF0" w:rsidP="00C05EEF">
            <w:pPr>
              <w:pStyle w:val="In-tableHeading"/>
              <w:jc w:val="center"/>
              <w:rPr>
                <w:szCs w:val="20"/>
                <w:lang w:val="en-AU"/>
              </w:rPr>
            </w:pPr>
          </w:p>
        </w:tc>
        <w:tc>
          <w:tcPr>
            <w:tcW w:w="548" w:type="pct"/>
            <w:vMerge/>
            <w:tcBorders>
              <w:top w:val="single" w:sz="4" w:space="0" w:color="auto"/>
              <w:left w:val="single" w:sz="4" w:space="0" w:color="auto"/>
              <w:bottom w:val="single" w:sz="4" w:space="0" w:color="auto"/>
              <w:right w:val="single" w:sz="4" w:space="0" w:color="auto"/>
            </w:tcBorders>
            <w:vAlign w:val="center"/>
          </w:tcPr>
          <w:p w14:paraId="51D0736B" w14:textId="77777777" w:rsidR="00E00DF0" w:rsidRPr="005B6D7B" w:rsidRDefault="00E00DF0" w:rsidP="00C05EEF">
            <w:pPr>
              <w:pStyle w:val="In-tableHeading"/>
              <w:jc w:val="center"/>
              <w:rPr>
                <w:szCs w:val="20"/>
                <w:lang w:val="en-AU"/>
              </w:rPr>
            </w:pPr>
          </w:p>
        </w:tc>
        <w:tc>
          <w:tcPr>
            <w:tcW w:w="862" w:type="pct"/>
            <w:vMerge/>
            <w:tcBorders>
              <w:top w:val="single" w:sz="4" w:space="0" w:color="auto"/>
              <w:left w:val="single" w:sz="4" w:space="0" w:color="auto"/>
              <w:bottom w:val="single" w:sz="4" w:space="0" w:color="auto"/>
              <w:right w:val="single" w:sz="4" w:space="0" w:color="auto"/>
            </w:tcBorders>
            <w:vAlign w:val="center"/>
          </w:tcPr>
          <w:p w14:paraId="44E8A570" w14:textId="77777777" w:rsidR="00E00DF0" w:rsidRPr="005B6D7B" w:rsidRDefault="00E00DF0" w:rsidP="00C05EEF">
            <w:pPr>
              <w:pStyle w:val="In-tableHeading"/>
              <w:jc w:val="center"/>
              <w:rPr>
                <w:szCs w:val="20"/>
                <w:lang w:val="en-AU"/>
              </w:rPr>
            </w:pPr>
          </w:p>
        </w:tc>
        <w:tc>
          <w:tcPr>
            <w:tcW w:w="547" w:type="pct"/>
            <w:gridSpan w:val="2"/>
            <w:tcBorders>
              <w:top w:val="single" w:sz="4" w:space="0" w:color="auto"/>
              <w:left w:val="single" w:sz="4" w:space="0" w:color="auto"/>
              <w:bottom w:val="single" w:sz="4" w:space="0" w:color="auto"/>
              <w:right w:val="single" w:sz="4" w:space="0" w:color="auto"/>
            </w:tcBorders>
            <w:vAlign w:val="center"/>
          </w:tcPr>
          <w:p w14:paraId="2C1FA42A" w14:textId="77777777" w:rsidR="00E00DF0" w:rsidRPr="005B6D7B" w:rsidRDefault="00E00DF0" w:rsidP="00C05EEF">
            <w:pPr>
              <w:pStyle w:val="In-tableHeading"/>
              <w:jc w:val="center"/>
              <w:rPr>
                <w:szCs w:val="20"/>
                <w:lang w:val="en-AU"/>
              </w:rPr>
            </w:pPr>
            <w:r w:rsidRPr="005B6D7B">
              <w:rPr>
                <w:szCs w:val="20"/>
                <w:lang w:val="en-AU"/>
              </w:rPr>
              <w:t>RIS</w:t>
            </w:r>
          </w:p>
        </w:tc>
        <w:tc>
          <w:tcPr>
            <w:tcW w:w="547" w:type="pct"/>
            <w:gridSpan w:val="2"/>
            <w:tcBorders>
              <w:top w:val="single" w:sz="4" w:space="0" w:color="auto"/>
              <w:left w:val="single" w:sz="4" w:space="0" w:color="auto"/>
              <w:bottom w:val="single" w:sz="4" w:space="0" w:color="auto"/>
              <w:right w:val="single" w:sz="4" w:space="0" w:color="auto"/>
            </w:tcBorders>
            <w:vAlign w:val="center"/>
          </w:tcPr>
          <w:p w14:paraId="54E99701" w14:textId="77777777" w:rsidR="00E00DF0" w:rsidRPr="005B6D7B" w:rsidRDefault="00E00DF0" w:rsidP="00C05EEF">
            <w:pPr>
              <w:pStyle w:val="In-tableHeading"/>
              <w:jc w:val="center"/>
              <w:rPr>
                <w:szCs w:val="20"/>
                <w:lang w:val="en-AU"/>
              </w:rPr>
            </w:pPr>
            <w:r w:rsidRPr="005B6D7B">
              <w:rPr>
                <w:szCs w:val="20"/>
                <w:lang w:val="en-AU"/>
              </w:rPr>
              <w:t>Comparator</w:t>
            </w:r>
          </w:p>
        </w:tc>
        <w:tc>
          <w:tcPr>
            <w:tcW w:w="779" w:type="pct"/>
            <w:vMerge/>
            <w:tcBorders>
              <w:left w:val="single" w:sz="4" w:space="0" w:color="auto"/>
              <w:bottom w:val="single" w:sz="4" w:space="0" w:color="auto"/>
              <w:right w:val="single" w:sz="4" w:space="0" w:color="auto"/>
            </w:tcBorders>
            <w:vAlign w:val="center"/>
          </w:tcPr>
          <w:p w14:paraId="2052E099" w14:textId="77777777" w:rsidR="00E00DF0" w:rsidRPr="005B6D7B" w:rsidRDefault="00E00DF0" w:rsidP="00C05EEF">
            <w:pPr>
              <w:pStyle w:val="In-tableHeading"/>
              <w:jc w:val="center"/>
              <w:rPr>
                <w:szCs w:val="20"/>
                <w:lang w:val="en-AU"/>
              </w:rPr>
            </w:pPr>
          </w:p>
        </w:tc>
      </w:tr>
      <w:tr w:rsidR="00E00DF0" w:rsidRPr="005B6D7B" w14:paraId="3C5EB237" w14:textId="77777777" w:rsidTr="00285386">
        <w:tc>
          <w:tcPr>
            <w:tcW w:w="5000" w:type="pct"/>
            <w:gridSpan w:val="9"/>
            <w:tcBorders>
              <w:top w:val="double" w:sz="4" w:space="0" w:color="auto"/>
              <w:left w:val="single" w:sz="4" w:space="0" w:color="auto"/>
              <w:bottom w:val="single" w:sz="4" w:space="0" w:color="auto"/>
              <w:right w:val="single" w:sz="4" w:space="0" w:color="auto"/>
            </w:tcBorders>
            <w:shd w:val="clear" w:color="auto" w:fill="auto"/>
            <w:vAlign w:val="center"/>
          </w:tcPr>
          <w:p w14:paraId="7651D4D4" w14:textId="77777777" w:rsidR="00E00DF0" w:rsidRPr="005B6D7B" w:rsidRDefault="00E00DF0" w:rsidP="00C05EEF">
            <w:pPr>
              <w:pStyle w:val="In-tableHeading"/>
              <w:rPr>
                <w:szCs w:val="20"/>
                <w:lang w:val="en-AU"/>
              </w:rPr>
            </w:pPr>
            <w:r w:rsidRPr="005B6D7B">
              <w:rPr>
                <w:szCs w:val="20"/>
                <w:lang w:val="en-AU"/>
              </w:rPr>
              <w:t>PASI 75 at 16 weeks – direct comparisons</w:t>
            </w:r>
          </w:p>
        </w:tc>
      </w:tr>
      <w:tr w:rsidR="00E00DF0" w:rsidRPr="005B6D7B" w14:paraId="647EFCB5" w14:textId="77777777" w:rsidTr="00285386">
        <w:tc>
          <w:tcPr>
            <w:tcW w:w="1169" w:type="pct"/>
            <w:tcBorders>
              <w:top w:val="single" w:sz="4" w:space="0" w:color="auto"/>
              <w:left w:val="single" w:sz="4" w:space="0" w:color="auto"/>
              <w:bottom w:val="single" w:sz="4" w:space="0" w:color="auto"/>
              <w:right w:val="single" w:sz="4" w:space="0" w:color="auto"/>
            </w:tcBorders>
            <w:shd w:val="clear" w:color="auto" w:fill="auto"/>
            <w:vAlign w:val="center"/>
          </w:tcPr>
          <w:p w14:paraId="17E7C2B9" w14:textId="77777777" w:rsidR="00E00DF0" w:rsidRPr="005B6D7B" w:rsidRDefault="00E00DF0" w:rsidP="00C05EEF">
            <w:pPr>
              <w:pStyle w:val="TableText0"/>
              <w:rPr>
                <w:szCs w:val="20"/>
              </w:rPr>
            </w:pPr>
            <w:r w:rsidRPr="005B6D7B">
              <w:rPr>
                <w:szCs w:val="20"/>
              </w:rPr>
              <w:t>RIS vs ADA</w:t>
            </w:r>
          </w:p>
        </w:tc>
        <w:tc>
          <w:tcPr>
            <w:tcW w:w="548" w:type="pct"/>
            <w:tcBorders>
              <w:top w:val="single" w:sz="4" w:space="0" w:color="auto"/>
              <w:left w:val="single" w:sz="4" w:space="0" w:color="auto"/>
              <w:bottom w:val="single" w:sz="4" w:space="0" w:color="auto"/>
              <w:right w:val="single" w:sz="4" w:space="0" w:color="auto"/>
            </w:tcBorders>
          </w:tcPr>
          <w:p w14:paraId="3125E569" w14:textId="77777777" w:rsidR="00E00DF0" w:rsidRPr="005B6D7B" w:rsidRDefault="00E00DF0" w:rsidP="00C05EEF">
            <w:pPr>
              <w:pStyle w:val="TableText0"/>
              <w:jc w:val="center"/>
              <w:rPr>
                <w:szCs w:val="20"/>
              </w:rPr>
            </w:pPr>
            <w:r w:rsidRPr="005B6D7B">
              <w:rPr>
                <w:szCs w:val="20"/>
              </w:rPr>
              <w:t>273/301</w:t>
            </w:r>
          </w:p>
        </w:tc>
        <w:tc>
          <w:tcPr>
            <w:tcW w:w="548" w:type="pct"/>
            <w:tcBorders>
              <w:top w:val="single" w:sz="4" w:space="0" w:color="auto"/>
              <w:left w:val="single" w:sz="4" w:space="0" w:color="auto"/>
              <w:bottom w:val="single" w:sz="4" w:space="0" w:color="auto"/>
              <w:right w:val="single" w:sz="4" w:space="0" w:color="auto"/>
            </w:tcBorders>
          </w:tcPr>
          <w:p w14:paraId="15DEBB73" w14:textId="77777777" w:rsidR="00E00DF0" w:rsidRPr="005B6D7B" w:rsidRDefault="00E00DF0" w:rsidP="00C05EEF">
            <w:pPr>
              <w:pStyle w:val="TableText0"/>
              <w:jc w:val="center"/>
              <w:rPr>
                <w:szCs w:val="20"/>
              </w:rPr>
            </w:pPr>
            <w:r w:rsidRPr="005B6D7B">
              <w:rPr>
                <w:szCs w:val="20"/>
              </w:rPr>
              <w:t xml:space="preserve">218/304 </w:t>
            </w:r>
          </w:p>
        </w:tc>
        <w:tc>
          <w:tcPr>
            <w:tcW w:w="862" w:type="pct"/>
            <w:tcBorders>
              <w:top w:val="single" w:sz="4" w:space="0" w:color="auto"/>
              <w:left w:val="single" w:sz="4" w:space="0" w:color="auto"/>
              <w:bottom w:val="single" w:sz="4" w:space="0" w:color="auto"/>
              <w:right w:val="single" w:sz="4" w:space="0" w:color="auto"/>
            </w:tcBorders>
            <w:vAlign w:val="center"/>
          </w:tcPr>
          <w:p w14:paraId="1CC9D723" w14:textId="77777777" w:rsidR="00E00DF0" w:rsidRPr="005B6D7B" w:rsidRDefault="00E00DF0" w:rsidP="00C05EEF">
            <w:pPr>
              <w:pStyle w:val="TableText0"/>
              <w:jc w:val="center"/>
              <w:rPr>
                <w:b/>
                <w:bCs w:val="0"/>
                <w:szCs w:val="20"/>
              </w:rPr>
            </w:pPr>
            <w:r w:rsidRPr="005B6D7B">
              <w:rPr>
                <w:b/>
                <w:bCs w:val="0"/>
                <w:szCs w:val="20"/>
              </w:rPr>
              <w:t>3.85 (2.42, 6.11)</w:t>
            </w:r>
          </w:p>
        </w:tc>
        <w:tc>
          <w:tcPr>
            <w:tcW w:w="547" w:type="pct"/>
            <w:gridSpan w:val="2"/>
            <w:tcBorders>
              <w:top w:val="single" w:sz="4" w:space="0" w:color="auto"/>
              <w:left w:val="single" w:sz="4" w:space="0" w:color="auto"/>
              <w:bottom w:val="single" w:sz="4" w:space="0" w:color="auto"/>
              <w:right w:val="single" w:sz="4" w:space="0" w:color="auto"/>
            </w:tcBorders>
            <w:vAlign w:val="center"/>
          </w:tcPr>
          <w:p w14:paraId="064F2193" w14:textId="77777777" w:rsidR="00E00DF0" w:rsidRPr="005B6D7B" w:rsidRDefault="00E00DF0" w:rsidP="00C05EEF">
            <w:pPr>
              <w:pStyle w:val="TableText0"/>
              <w:jc w:val="center"/>
              <w:rPr>
                <w:i/>
                <w:szCs w:val="20"/>
              </w:rPr>
            </w:pPr>
            <w:r w:rsidRPr="005B6D7B">
              <w:rPr>
                <w:i/>
                <w:szCs w:val="20"/>
              </w:rPr>
              <w:t>90.7</w:t>
            </w:r>
          </w:p>
        </w:tc>
        <w:tc>
          <w:tcPr>
            <w:tcW w:w="547" w:type="pct"/>
            <w:gridSpan w:val="2"/>
            <w:tcBorders>
              <w:top w:val="single" w:sz="4" w:space="0" w:color="auto"/>
              <w:left w:val="single" w:sz="4" w:space="0" w:color="auto"/>
              <w:bottom w:val="single" w:sz="4" w:space="0" w:color="auto"/>
              <w:right w:val="single" w:sz="4" w:space="0" w:color="auto"/>
            </w:tcBorders>
            <w:vAlign w:val="center"/>
          </w:tcPr>
          <w:p w14:paraId="24C7BF4C" w14:textId="77777777" w:rsidR="00E00DF0" w:rsidRPr="00DF49E7" w:rsidRDefault="00E00DF0" w:rsidP="00C05EEF">
            <w:pPr>
              <w:pStyle w:val="TableText0"/>
              <w:jc w:val="center"/>
              <w:rPr>
                <w:iCs/>
                <w:szCs w:val="20"/>
              </w:rPr>
            </w:pPr>
            <w:r w:rsidRPr="00DF49E7">
              <w:rPr>
                <w:iCs/>
                <w:szCs w:val="20"/>
              </w:rPr>
              <w:t>71.7</w:t>
            </w:r>
          </w:p>
        </w:tc>
        <w:tc>
          <w:tcPr>
            <w:tcW w:w="779" w:type="pct"/>
            <w:tcBorders>
              <w:top w:val="single" w:sz="4" w:space="0" w:color="auto"/>
              <w:left w:val="single" w:sz="4" w:space="0" w:color="auto"/>
              <w:bottom w:val="single" w:sz="4" w:space="0" w:color="auto"/>
              <w:right w:val="single" w:sz="4" w:space="0" w:color="auto"/>
            </w:tcBorders>
            <w:vAlign w:val="center"/>
          </w:tcPr>
          <w:p w14:paraId="1E02979C" w14:textId="77777777" w:rsidR="00E00DF0" w:rsidRPr="005B6D7B" w:rsidRDefault="00E00DF0" w:rsidP="00C05EEF">
            <w:pPr>
              <w:pStyle w:val="TableText0"/>
              <w:jc w:val="center"/>
              <w:rPr>
                <w:b/>
                <w:bCs w:val="0"/>
                <w:szCs w:val="20"/>
              </w:rPr>
            </w:pPr>
            <w:r w:rsidRPr="005B6D7B">
              <w:rPr>
                <w:b/>
                <w:bCs w:val="0"/>
                <w:szCs w:val="20"/>
              </w:rPr>
              <w:t>0.19 (0.13, 0.25)</w:t>
            </w:r>
          </w:p>
        </w:tc>
      </w:tr>
      <w:tr w:rsidR="00E00DF0" w:rsidRPr="005B6D7B" w14:paraId="329EA46F" w14:textId="77777777" w:rsidTr="00285386">
        <w:tc>
          <w:tcPr>
            <w:tcW w:w="1169" w:type="pct"/>
            <w:tcBorders>
              <w:top w:val="single" w:sz="4" w:space="0" w:color="auto"/>
              <w:left w:val="single" w:sz="4" w:space="0" w:color="auto"/>
              <w:bottom w:val="single" w:sz="4" w:space="0" w:color="auto"/>
              <w:right w:val="single" w:sz="4" w:space="0" w:color="auto"/>
            </w:tcBorders>
            <w:shd w:val="clear" w:color="auto" w:fill="auto"/>
            <w:vAlign w:val="center"/>
          </w:tcPr>
          <w:p w14:paraId="76B19F11" w14:textId="77777777" w:rsidR="00E00DF0" w:rsidRPr="005B6D7B" w:rsidRDefault="00E00DF0" w:rsidP="00C05EEF">
            <w:pPr>
              <w:pStyle w:val="TableText0"/>
              <w:rPr>
                <w:szCs w:val="20"/>
              </w:rPr>
            </w:pPr>
            <w:r w:rsidRPr="005B6D7B">
              <w:rPr>
                <w:szCs w:val="20"/>
              </w:rPr>
              <w:t>RIS vs SEC</w:t>
            </w:r>
          </w:p>
        </w:tc>
        <w:tc>
          <w:tcPr>
            <w:tcW w:w="548" w:type="pct"/>
            <w:tcBorders>
              <w:top w:val="single" w:sz="4" w:space="0" w:color="auto"/>
              <w:left w:val="single" w:sz="4" w:space="0" w:color="auto"/>
              <w:bottom w:val="single" w:sz="4" w:space="0" w:color="auto"/>
              <w:right w:val="single" w:sz="4" w:space="0" w:color="auto"/>
            </w:tcBorders>
          </w:tcPr>
          <w:p w14:paraId="17303DEC" w14:textId="01818BBD" w:rsidR="00E00DF0" w:rsidRPr="009E2C35" w:rsidRDefault="00B36563" w:rsidP="00C05EEF">
            <w:pPr>
              <w:pStyle w:val="TableText0"/>
              <w:jc w:val="center"/>
              <w:rPr>
                <w:iCs/>
                <w:szCs w:val="20"/>
              </w:rPr>
            </w:pPr>
            <w:r w:rsidRPr="009C5BA6">
              <w:rPr>
                <w:iCs/>
                <w:szCs w:val="20"/>
              </w:rPr>
              <w:t>150</w:t>
            </w:r>
            <w:r w:rsidRPr="009C5BA6">
              <w:rPr>
                <w:iCs/>
                <w:szCs w:val="20"/>
                <w:vertAlign w:val="superscript"/>
              </w:rPr>
              <w:t>a</w:t>
            </w:r>
            <w:r w:rsidR="00E00DF0" w:rsidRPr="009E2C35">
              <w:rPr>
                <w:iCs/>
                <w:szCs w:val="20"/>
              </w:rPr>
              <w:t xml:space="preserve">/164 </w:t>
            </w:r>
          </w:p>
        </w:tc>
        <w:tc>
          <w:tcPr>
            <w:tcW w:w="548" w:type="pct"/>
            <w:tcBorders>
              <w:top w:val="single" w:sz="4" w:space="0" w:color="auto"/>
              <w:left w:val="single" w:sz="4" w:space="0" w:color="auto"/>
              <w:bottom w:val="single" w:sz="4" w:space="0" w:color="auto"/>
              <w:right w:val="single" w:sz="4" w:space="0" w:color="auto"/>
            </w:tcBorders>
          </w:tcPr>
          <w:p w14:paraId="30C44C32" w14:textId="56B7ED17" w:rsidR="00E00DF0" w:rsidRPr="009E2C35" w:rsidRDefault="00B36563" w:rsidP="00C05EEF">
            <w:pPr>
              <w:pStyle w:val="TableText0"/>
              <w:jc w:val="center"/>
              <w:rPr>
                <w:iCs/>
                <w:szCs w:val="20"/>
              </w:rPr>
            </w:pPr>
            <w:r w:rsidRPr="009C5BA6">
              <w:rPr>
                <w:iCs/>
                <w:szCs w:val="20"/>
              </w:rPr>
              <w:t>130</w:t>
            </w:r>
            <w:r w:rsidRPr="009C5BA6">
              <w:rPr>
                <w:iCs/>
                <w:szCs w:val="20"/>
                <w:vertAlign w:val="superscript"/>
              </w:rPr>
              <w:t>a</w:t>
            </w:r>
            <w:r w:rsidR="00E00DF0" w:rsidRPr="009E2C35">
              <w:rPr>
                <w:iCs/>
                <w:szCs w:val="20"/>
              </w:rPr>
              <w:t xml:space="preserve">/163 </w:t>
            </w:r>
          </w:p>
        </w:tc>
        <w:tc>
          <w:tcPr>
            <w:tcW w:w="862" w:type="pct"/>
            <w:tcBorders>
              <w:top w:val="single" w:sz="4" w:space="0" w:color="auto"/>
              <w:left w:val="single" w:sz="4" w:space="0" w:color="auto"/>
              <w:bottom w:val="single" w:sz="4" w:space="0" w:color="auto"/>
              <w:right w:val="single" w:sz="4" w:space="0" w:color="auto"/>
            </w:tcBorders>
            <w:vAlign w:val="center"/>
          </w:tcPr>
          <w:p w14:paraId="75ABDC3F" w14:textId="4683CF81" w:rsidR="00E00DF0" w:rsidRPr="009E2C35" w:rsidRDefault="00B36563" w:rsidP="00C05EEF">
            <w:pPr>
              <w:pStyle w:val="TableText0"/>
              <w:jc w:val="center"/>
              <w:rPr>
                <w:b/>
                <w:bCs w:val="0"/>
                <w:iCs/>
                <w:szCs w:val="20"/>
              </w:rPr>
            </w:pPr>
            <w:r w:rsidRPr="009C5BA6">
              <w:rPr>
                <w:b/>
                <w:bCs w:val="0"/>
                <w:iCs/>
                <w:szCs w:val="20"/>
              </w:rPr>
              <w:t>2.72 (1.39, 5.30)</w:t>
            </w:r>
            <w:r w:rsidRPr="009E2C35">
              <w:rPr>
                <w:b/>
                <w:bCs w:val="0"/>
                <w:iCs/>
                <w:szCs w:val="20"/>
              </w:rPr>
              <w:t xml:space="preserve"> </w:t>
            </w:r>
          </w:p>
        </w:tc>
        <w:tc>
          <w:tcPr>
            <w:tcW w:w="547" w:type="pct"/>
            <w:gridSpan w:val="2"/>
            <w:tcBorders>
              <w:top w:val="single" w:sz="4" w:space="0" w:color="auto"/>
              <w:left w:val="single" w:sz="4" w:space="0" w:color="auto"/>
              <w:bottom w:val="single" w:sz="4" w:space="0" w:color="auto"/>
              <w:right w:val="single" w:sz="4" w:space="0" w:color="auto"/>
            </w:tcBorders>
            <w:vAlign w:val="center"/>
          </w:tcPr>
          <w:p w14:paraId="5D2D6508" w14:textId="0C80FF8E" w:rsidR="00E00DF0" w:rsidRPr="009C5BA6" w:rsidRDefault="00B36563" w:rsidP="00C05EEF">
            <w:pPr>
              <w:pStyle w:val="TableText0"/>
              <w:jc w:val="center"/>
              <w:rPr>
                <w:iCs/>
                <w:szCs w:val="20"/>
              </w:rPr>
            </w:pPr>
            <w:r w:rsidRPr="009C5BA6">
              <w:rPr>
                <w:iCs/>
                <w:szCs w:val="20"/>
              </w:rPr>
              <w:t>91.5</w:t>
            </w:r>
          </w:p>
        </w:tc>
        <w:tc>
          <w:tcPr>
            <w:tcW w:w="547" w:type="pct"/>
            <w:gridSpan w:val="2"/>
            <w:tcBorders>
              <w:top w:val="single" w:sz="4" w:space="0" w:color="auto"/>
              <w:left w:val="single" w:sz="4" w:space="0" w:color="auto"/>
              <w:bottom w:val="single" w:sz="4" w:space="0" w:color="auto"/>
              <w:right w:val="single" w:sz="4" w:space="0" w:color="auto"/>
            </w:tcBorders>
            <w:vAlign w:val="center"/>
          </w:tcPr>
          <w:p w14:paraId="3189BF65" w14:textId="51F00722" w:rsidR="00E00DF0" w:rsidRPr="00B907BB" w:rsidRDefault="004D7BF5" w:rsidP="00C05EEF">
            <w:pPr>
              <w:pStyle w:val="TableText0"/>
              <w:jc w:val="center"/>
              <w:rPr>
                <w:iCs/>
                <w:szCs w:val="20"/>
              </w:rPr>
            </w:pPr>
            <w:r w:rsidRPr="00B907BB">
              <w:rPr>
                <w:iCs/>
                <w:szCs w:val="20"/>
              </w:rPr>
              <w:t>79.8</w:t>
            </w:r>
          </w:p>
        </w:tc>
        <w:tc>
          <w:tcPr>
            <w:tcW w:w="779" w:type="pct"/>
            <w:tcBorders>
              <w:top w:val="single" w:sz="4" w:space="0" w:color="auto"/>
              <w:left w:val="single" w:sz="4" w:space="0" w:color="auto"/>
              <w:bottom w:val="single" w:sz="4" w:space="0" w:color="auto"/>
              <w:right w:val="single" w:sz="4" w:space="0" w:color="auto"/>
            </w:tcBorders>
            <w:vAlign w:val="center"/>
          </w:tcPr>
          <w:p w14:paraId="0C805738" w14:textId="02660AA4" w:rsidR="00E00DF0" w:rsidRPr="00F21B0F" w:rsidRDefault="00B36563" w:rsidP="00C05EEF">
            <w:pPr>
              <w:pStyle w:val="TableText0"/>
              <w:jc w:val="center"/>
              <w:rPr>
                <w:b/>
                <w:bCs w:val="0"/>
                <w:iCs/>
                <w:szCs w:val="20"/>
              </w:rPr>
            </w:pPr>
            <w:r w:rsidRPr="00F21B0F">
              <w:rPr>
                <w:b/>
                <w:bCs w:val="0"/>
                <w:iCs/>
                <w:szCs w:val="20"/>
              </w:rPr>
              <w:t xml:space="preserve">0.12 (0.04, 0.19) </w:t>
            </w:r>
          </w:p>
        </w:tc>
      </w:tr>
      <w:tr w:rsidR="00E00DF0" w:rsidRPr="005B6D7B" w14:paraId="7E10114F" w14:textId="77777777" w:rsidTr="00285386">
        <w:tc>
          <w:tcPr>
            <w:tcW w:w="1169" w:type="pct"/>
            <w:tcBorders>
              <w:top w:val="single" w:sz="4" w:space="0" w:color="auto"/>
              <w:left w:val="single" w:sz="4" w:space="0" w:color="auto"/>
              <w:bottom w:val="double" w:sz="4" w:space="0" w:color="auto"/>
              <w:right w:val="single" w:sz="4" w:space="0" w:color="auto"/>
            </w:tcBorders>
            <w:shd w:val="clear" w:color="auto" w:fill="auto"/>
            <w:vAlign w:val="center"/>
          </w:tcPr>
          <w:p w14:paraId="0B170CCC" w14:textId="38D1089F" w:rsidR="00E00DF0" w:rsidRPr="005B6D7B" w:rsidRDefault="00E00DF0" w:rsidP="00C05EEF">
            <w:pPr>
              <w:pStyle w:val="TableText0"/>
              <w:rPr>
                <w:szCs w:val="20"/>
                <w:vertAlign w:val="superscript"/>
              </w:rPr>
            </w:pPr>
            <w:r w:rsidRPr="005B6D7B">
              <w:rPr>
                <w:szCs w:val="20"/>
              </w:rPr>
              <w:t>RIS vs UST</w:t>
            </w:r>
          </w:p>
        </w:tc>
        <w:tc>
          <w:tcPr>
            <w:tcW w:w="548" w:type="pct"/>
            <w:tcBorders>
              <w:top w:val="single" w:sz="4" w:space="0" w:color="auto"/>
              <w:left w:val="single" w:sz="4" w:space="0" w:color="auto"/>
              <w:bottom w:val="double" w:sz="4" w:space="0" w:color="auto"/>
              <w:right w:val="single" w:sz="4" w:space="0" w:color="auto"/>
            </w:tcBorders>
          </w:tcPr>
          <w:p w14:paraId="0E5292C1" w14:textId="77777777" w:rsidR="00E00DF0" w:rsidRPr="009E2C35" w:rsidRDefault="00E00DF0" w:rsidP="00C05EEF">
            <w:pPr>
              <w:pStyle w:val="TableText0"/>
              <w:jc w:val="center"/>
              <w:rPr>
                <w:iCs/>
                <w:szCs w:val="20"/>
              </w:rPr>
            </w:pPr>
            <w:r w:rsidRPr="009E2C35">
              <w:rPr>
                <w:iCs/>
                <w:szCs w:val="20"/>
              </w:rPr>
              <w:t xml:space="preserve">538/598 </w:t>
            </w:r>
          </w:p>
        </w:tc>
        <w:tc>
          <w:tcPr>
            <w:tcW w:w="548" w:type="pct"/>
            <w:tcBorders>
              <w:top w:val="single" w:sz="4" w:space="0" w:color="auto"/>
              <w:left w:val="single" w:sz="4" w:space="0" w:color="auto"/>
              <w:bottom w:val="double" w:sz="4" w:space="0" w:color="auto"/>
              <w:right w:val="single" w:sz="4" w:space="0" w:color="auto"/>
            </w:tcBorders>
          </w:tcPr>
          <w:p w14:paraId="10D4A2C6" w14:textId="77777777" w:rsidR="00E00DF0" w:rsidRPr="009E2C35" w:rsidRDefault="00E00DF0" w:rsidP="00C05EEF">
            <w:pPr>
              <w:pStyle w:val="TableText0"/>
              <w:jc w:val="center"/>
              <w:rPr>
                <w:iCs/>
                <w:szCs w:val="20"/>
              </w:rPr>
            </w:pPr>
            <w:r w:rsidRPr="009E2C35">
              <w:rPr>
                <w:iCs/>
                <w:szCs w:val="20"/>
              </w:rPr>
              <w:t>145/199</w:t>
            </w:r>
          </w:p>
        </w:tc>
        <w:tc>
          <w:tcPr>
            <w:tcW w:w="862" w:type="pct"/>
            <w:tcBorders>
              <w:top w:val="single" w:sz="4" w:space="0" w:color="auto"/>
              <w:left w:val="single" w:sz="4" w:space="0" w:color="auto"/>
              <w:bottom w:val="double" w:sz="4" w:space="0" w:color="auto"/>
              <w:right w:val="single" w:sz="4" w:space="0" w:color="auto"/>
            </w:tcBorders>
          </w:tcPr>
          <w:p w14:paraId="4875434C" w14:textId="77777777" w:rsidR="00E00DF0" w:rsidRPr="009E2C35" w:rsidRDefault="00E00DF0" w:rsidP="00C05EEF">
            <w:pPr>
              <w:pStyle w:val="TableText0"/>
              <w:jc w:val="center"/>
              <w:rPr>
                <w:b/>
                <w:bCs w:val="0"/>
                <w:iCs/>
                <w:szCs w:val="20"/>
              </w:rPr>
            </w:pPr>
            <w:r w:rsidRPr="009E2C35">
              <w:rPr>
                <w:b/>
                <w:bCs w:val="0"/>
                <w:iCs/>
                <w:szCs w:val="20"/>
              </w:rPr>
              <w:t>3.33 (2.21, 5.02)</w:t>
            </w:r>
          </w:p>
        </w:tc>
        <w:tc>
          <w:tcPr>
            <w:tcW w:w="547" w:type="pct"/>
            <w:gridSpan w:val="2"/>
            <w:tcBorders>
              <w:top w:val="single" w:sz="4" w:space="0" w:color="auto"/>
              <w:left w:val="single" w:sz="4" w:space="0" w:color="auto"/>
              <w:bottom w:val="double" w:sz="4" w:space="0" w:color="auto"/>
              <w:right w:val="single" w:sz="4" w:space="0" w:color="auto"/>
            </w:tcBorders>
            <w:vAlign w:val="center"/>
          </w:tcPr>
          <w:p w14:paraId="55A38B62" w14:textId="77777777" w:rsidR="00E00DF0" w:rsidRPr="009C5BA6" w:rsidRDefault="00E00DF0" w:rsidP="00C05EEF">
            <w:pPr>
              <w:pStyle w:val="TableText0"/>
              <w:jc w:val="center"/>
              <w:rPr>
                <w:iCs/>
                <w:szCs w:val="20"/>
              </w:rPr>
            </w:pPr>
            <w:r w:rsidRPr="009C5BA6">
              <w:rPr>
                <w:iCs/>
                <w:szCs w:val="20"/>
              </w:rPr>
              <w:t>90.0</w:t>
            </w:r>
          </w:p>
        </w:tc>
        <w:tc>
          <w:tcPr>
            <w:tcW w:w="547" w:type="pct"/>
            <w:gridSpan w:val="2"/>
            <w:tcBorders>
              <w:top w:val="single" w:sz="4" w:space="0" w:color="auto"/>
              <w:left w:val="single" w:sz="4" w:space="0" w:color="auto"/>
              <w:bottom w:val="double" w:sz="4" w:space="0" w:color="auto"/>
              <w:right w:val="single" w:sz="4" w:space="0" w:color="auto"/>
            </w:tcBorders>
            <w:vAlign w:val="center"/>
          </w:tcPr>
          <w:p w14:paraId="7E270118" w14:textId="77777777" w:rsidR="00E00DF0" w:rsidRPr="009C5BA6" w:rsidRDefault="00E00DF0" w:rsidP="00C05EEF">
            <w:pPr>
              <w:pStyle w:val="TableText0"/>
              <w:jc w:val="center"/>
              <w:rPr>
                <w:iCs/>
                <w:szCs w:val="20"/>
              </w:rPr>
            </w:pPr>
            <w:r w:rsidRPr="009C5BA6">
              <w:rPr>
                <w:iCs/>
                <w:szCs w:val="20"/>
              </w:rPr>
              <w:t>72.9</w:t>
            </w:r>
          </w:p>
        </w:tc>
        <w:tc>
          <w:tcPr>
            <w:tcW w:w="779" w:type="pct"/>
            <w:tcBorders>
              <w:top w:val="single" w:sz="4" w:space="0" w:color="auto"/>
              <w:left w:val="single" w:sz="4" w:space="0" w:color="auto"/>
              <w:bottom w:val="double" w:sz="4" w:space="0" w:color="auto"/>
              <w:right w:val="single" w:sz="4" w:space="0" w:color="auto"/>
            </w:tcBorders>
            <w:vAlign w:val="center"/>
          </w:tcPr>
          <w:p w14:paraId="3961F566" w14:textId="693A9B7B" w:rsidR="00E00DF0" w:rsidRPr="005B6D7B" w:rsidRDefault="00E00DF0" w:rsidP="00C05EEF">
            <w:pPr>
              <w:pStyle w:val="TableText0"/>
              <w:jc w:val="center"/>
              <w:rPr>
                <w:szCs w:val="20"/>
              </w:rPr>
            </w:pPr>
            <w:r w:rsidRPr="005B6D7B">
              <w:rPr>
                <w:b/>
                <w:bCs w:val="0"/>
                <w:szCs w:val="20"/>
              </w:rPr>
              <w:t xml:space="preserve">0.17 (0.10, </w:t>
            </w:r>
            <w:r w:rsidRPr="005B6D7B">
              <w:rPr>
                <w:b/>
                <w:bCs w:val="0"/>
                <w:i/>
                <w:szCs w:val="20"/>
              </w:rPr>
              <w:t>0.</w:t>
            </w:r>
            <w:r w:rsidR="004D7BF5" w:rsidRPr="005B6D7B">
              <w:rPr>
                <w:b/>
                <w:bCs w:val="0"/>
                <w:i/>
                <w:szCs w:val="20"/>
              </w:rPr>
              <w:t>24</w:t>
            </w:r>
            <w:r w:rsidRPr="005B6D7B">
              <w:rPr>
                <w:b/>
                <w:bCs w:val="0"/>
                <w:szCs w:val="20"/>
              </w:rPr>
              <w:t>)</w:t>
            </w:r>
          </w:p>
        </w:tc>
      </w:tr>
      <w:tr w:rsidR="00E00DF0" w:rsidRPr="005B6D7B" w14:paraId="5EAF6C97" w14:textId="77777777" w:rsidTr="00285386">
        <w:tc>
          <w:tcPr>
            <w:tcW w:w="5000" w:type="pct"/>
            <w:gridSpan w:val="9"/>
            <w:tcBorders>
              <w:top w:val="double" w:sz="4" w:space="0" w:color="auto"/>
              <w:left w:val="single" w:sz="4" w:space="0" w:color="auto"/>
              <w:right w:val="single" w:sz="4" w:space="0" w:color="auto"/>
            </w:tcBorders>
            <w:shd w:val="clear" w:color="auto" w:fill="auto"/>
          </w:tcPr>
          <w:p w14:paraId="4969109E" w14:textId="77777777" w:rsidR="00E00DF0" w:rsidRPr="009E2C35" w:rsidRDefault="00E00DF0" w:rsidP="00C05EEF">
            <w:pPr>
              <w:pStyle w:val="TableText0"/>
              <w:rPr>
                <w:b/>
                <w:bCs w:val="0"/>
                <w:iCs/>
                <w:szCs w:val="20"/>
              </w:rPr>
            </w:pPr>
            <w:r w:rsidRPr="009E2C35">
              <w:rPr>
                <w:b/>
                <w:bCs w:val="0"/>
                <w:iCs/>
                <w:szCs w:val="20"/>
              </w:rPr>
              <w:t>PASI 90 at 16 weeks – direct comparisons</w:t>
            </w:r>
          </w:p>
        </w:tc>
      </w:tr>
      <w:tr w:rsidR="00E00DF0" w:rsidRPr="005B6D7B" w14:paraId="3399C8F4" w14:textId="77777777" w:rsidTr="00285386">
        <w:tc>
          <w:tcPr>
            <w:tcW w:w="1169" w:type="pct"/>
            <w:tcBorders>
              <w:top w:val="single" w:sz="4" w:space="0" w:color="auto"/>
              <w:left w:val="single" w:sz="4" w:space="0" w:color="auto"/>
              <w:bottom w:val="single" w:sz="4" w:space="0" w:color="auto"/>
              <w:right w:val="single" w:sz="4" w:space="0" w:color="auto"/>
            </w:tcBorders>
            <w:shd w:val="clear" w:color="auto" w:fill="auto"/>
            <w:vAlign w:val="center"/>
          </w:tcPr>
          <w:p w14:paraId="0AE5CBFA" w14:textId="77777777" w:rsidR="00E00DF0" w:rsidRPr="005B6D7B" w:rsidRDefault="00E00DF0" w:rsidP="00C05EEF">
            <w:pPr>
              <w:pStyle w:val="TableText0"/>
              <w:rPr>
                <w:szCs w:val="20"/>
              </w:rPr>
            </w:pPr>
            <w:r w:rsidRPr="005B6D7B">
              <w:rPr>
                <w:szCs w:val="20"/>
              </w:rPr>
              <w:t>RIS vs ADA</w:t>
            </w:r>
          </w:p>
        </w:tc>
        <w:tc>
          <w:tcPr>
            <w:tcW w:w="548" w:type="pct"/>
            <w:tcBorders>
              <w:top w:val="single" w:sz="4" w:space="0" w:color="auto"/>
              <w:left w:val="single" w:sz="4" w:space="0" w:color="auto"/>
              <w:bottom w:val="single" w:sz="4" w:space="0" w:color="auto"/>
              <w:right w:val="single" w:sz="4" w:space="0" w:color="auto"/>
            </w:tcBorders>
          </w:tcPr>
          <w:p w14:paraId="2CCEF79C" w14:textId="157D08FD" w:rsidR="00E00DF0" w:rsidRPr="009E2C35" w:rsidRDefault="004D7BF5" w:rsidP="00C05EEF">
            <w:pPr>
              <w:pStyle w:val="TableText0"/>
              <w:jc w:val="center"/>
              <w:rPr>
                <w:iCs/>
                <w:szCs w:val="20"/>
              </w:rPr>
            </w:pPr>
            <w:r w:rsidRPr="009E2C35">
              <w:rPr>
                <w:iCs/>
                <w:szCs w:val="20"/>
              </w:rPr>
              <w:t>218</w:t>
            </w:r>
            <w:r w:rsidR="00E00DF0" w:rsidRPr="009E2C35">
              <w:rPr>
                <w:iCs/>
                <w:szCs w:val="20"/>
              </w:rPr>
              <w:t>/301</w:t>
            </w:r>
          </w:p>
        </w:tc>
        <w:tc>
          <w:tcPr>
            <w:tcW w:w="548" w:type="pct"/>
            <w:tcBorders>
              <w:top w:val="single" w:sz="4" w:space="0" w:color="auto"/>
              <w:left w:val="single" w:sz="4" w:space="0" w:color="auto"/>
              <w:bottom w:val="single" w:sz="4" w:space="0" w:color="auto"/>
              <w:right w:val="single" w:sz="4" w:space="0" w:color="auto"/>
            </w:tcBorders>
          </w:tcPr>
          <w:p w14:paraId="1AFDE195" w14:textId="38B7AC5A" w:rsidR="00E00DF0" w:rsidRPr="009E2C35" w:rsidRDefault="004D7BF5" w:rsidP="00C05EEF">
            <w:pPr>
              <w:pStyle w:val="TableText0"/>
              <w:jc w:val="center"/>
              <w:rPr>
                <w:iCs/>
                <w:szCs w:val="20"/>
              </w:rPr>
            </w:pPr>
            <w:r w:rsidRPr="009E2C35">
              <w:rPr>
                <w:iCs/>
                <w:szCs w:val="20"/>
              </w:rPr>
              <w:t>144</w:t>
            </w:r>
            <w:r w:rsidR="00E00DF0" w:rsidRPr="009E2C35">
              <w:rPr>
                <w:iCs/>
                <w:szCs w:val="20"/>
              </w:rPr>
              <w:t xml:space="preserve">/304 </w:t>
            </w:r>
          </w:p>
        </w:tc>
        <w:tc>
          <w:tcPr>
            <w:tcW w:w="862" w:type="pct"/>
            <w:tcBorders>
              <w:top w:val="single" w:sz="4" w:space="0" w:color="auto"/>
              <w:left w:val="single" w:sz="4" w:space="0" w:color="auto"/>
              <w:bottom w:val="single" w:sz="4" w:space="0" w:color="auto"/>
              <w:right w:val="single" w:sz="4" w:space="0" w:color="auto"/>
            </w:tcBorders>
            <w:vAlign w:val="center"/>
          </w:tcPr>
          <w:p w14:paraId="18C3D6AA" w14:textId="02580282" w:rsidR="00E00DF0" w:rsidRPr="009E2C35" w:rsidRDefault="004D7BF5" w:rsidP="00C05EEF">
            <w:pPr>
              <w:pStyle w:val="TableText0"/>
              <w:jc w:val="center"/>
              <w:rPr>
                <w:b/>
                <w:bCs w:val="0"/>
                <w:iCs/>
                <w:szCs w:val="20"/>
              </w:rPr>
            </w:pPr>
            <w:r w:rsidRPr="009E2C35">
              <w:rPr>
                <w:b/>
                <w:bCs w:val="0"/>
                <w:iCs/>
                <w:szCs w:val="20"/>
              </w:rPr>
              <w:t xml:space="preserve">2.92 (2.08, 4.09) </w:t>
            </w:r>
          </w:p>
        </w:tc>
        <w:tc>
          <w:tcPr>
            <w:tcW w:w="537" w:type="pct"/>
            <w:tcBorders>
              <w:top w:val="single" w:sz="4" w:space="0" w:color="auto"/>
              <w:left w:val="single" w:sz="4" w:space="0" w:color="auto"/>
              <w:bottom w:val="single" w:sz="4" w:space="0" w:color="auto"/>
              <w:right w:val="single" w:sz="4" w:space="0" w:color="auto"/>
            </w:tcBorders>
            <w:vAlign w:val="center"/>
          </w:tcPr>
          <w:p w14:paraId="2C0F00D0" w14:textId="74AECA04" w:rsidR="00E00DF0" w:rsidRPr="009C5BA6" w:rsidRDefault="004D7BF5" w:rsidP="00C05EEF">
            <w:pPr>
              <w:pStyle w:val="TableText0"/>
              <w:jc w:val="center"/>
              <w:rPr>
                <w:iCs/>
                <w:szCs w:val="20"/>
              </w:rPr>
            </w:pPr>
            <w:r w:rsidRPr="009C5BA6">
              <w:rPr>
                <w:iCs/>
                <w:szCs w:val="20"/>
              </w:rPr>
              <w:t>72.4</w:t>
            </w:r>
          </w:p>
        </w:tc>
        <w:tc>
          <w:tcPr>
            <w:tcW w:w="537" w:type="pct"/>
            <w:gridSpan w:val="2"/>
            <w:tcBorders>
              <w:top w:val="single" w:sz="4" w:space="0" w:color="auto"/>
              <w:left w:val="single" w:sz="4" w:space="0" w:color="auto"/>
              <w:bottom w:val="single" w:sz="4" w:space="0" w:color="auto"/>
              <w:right w:val="single" w:sz="4" w:space="0" w:color="auto"/>
            </w:tcBorders>
            <w:vAlign w:val="center"/>
          </w:tcPr>
          <w:p w14:paraId="569F0939" w14:textId="0D9A0A20" w:rsidR="00E00DF0" w:rsidRPr="009C5BA6" w:rsidRDefault="004D7BF5" w:rsidP="00C05EEF">
            <w:pPr>
              <w:pStyle w:val="TableText0"/>
              <w:jc w:val="center"/>
              <w:rPr>
                <w:iCs/>
                <w:szCs w:val="20"/>
              </w:rPr>
            </w:pPr>
            <w:r w:rsidRPr="009C5BA6">
              <w:rPr>
                <w:iCs/>
                <w:szCs w:val="20"/>
              </w:rPr>
              <w:t>47.4</w:t>
            </w:r>
          </w:p>
        </w:tc>
        <w:tc>
          <w:tcPr>
            <w:tcW w:w="799" w:type="pct"/>
            <w:gridSpan w:val="2"/>
            <w:tcBorders>
              <w:top w:val="single" w:sz="4" w:space="0" w:color="auto"/>
              <w:left w:val="single" w:sz="4" w:space="0" w:color="auto"/>
              <w:bottom w:val="single" w:sz="4" w:space="0" w:color="auto"/>
              <w:right w:val="single" w:sz="4" w:space="0" w:color="auto"/>
            </w:tcBorders>
            <w:vAlign w:val="center"/>
          </w:tcPr>
          <w:p w14:paraId="2E31AB7F" w14:textId="125FE184" w:rsidR="00E00DF0" w:rsidRPr="005B6D7B" w:rsidRDefault="004D7BF5" w:rsidP="00C05EEF">
            <w:pPr>
              <w:pStyle w:val="TableText0"/>
              <w:jc w:val="center"/>
              <w:rPr>
                <w:b/>
                <w:bCs w:val="0"/>
                <w:szCs w:val="20"/>
              </w:rPr>
            </w:pPr>
            <w:r w:rsidRPr="005B6D7B">
              <w:rPr>
                <w:b/>
                <w:bCs w:val="0"/>
                <w:szCs w:val="20"/>
              </w:rPr>
              <w:t xml:space="preserve">0.25 (0.18, 0.33) </w:t>
            </w:r>
          </w:p>
        </w:tc>
      </w:tr>
      <w:tr w:rsidR="00E00DF0" w:rsidRPr="005B6D7B" w14:paraId="2D48C36B" w14:textId="77777777" w:rsidTr="00285386">
        <w:tc>
          <w:tcPr>
            <w:tcW w:w="1169" w:type="pct"/>
            <w:tcBorders>
              <w:top w:val="single" w:sz="4" w:space="0" w:color="auto"/>
              <w:left w:val="single" w:sz="4" w:space="0" w:color="auto"/>
              <w:bottom w:val="single" w:sz="4" w:space="0" w:color="auto"/>
              <w:right w:val="single" w:sz="4" w:space="0" w:color="auto"/>
            </w:tcBorders>
            <w:shd w:val="clear" w:color="auto" w:fill="auto"/>
            <w:vAlign w:val="center"/>
          </w:tcPr>
          <w:p w14:paraId="2DBF109C" w14:textId="77777777" w:rsidR="00E00DF0" w:rsidRPr="005B6D7B" w:rsidRDefault="00E00DF0" w:rsidP="00C05EEF">
            <w:pPr>
              <w:pStyle w:val="TableText0"/>
              <w:rPr>
                <w:szCs w:val="20"/>
              </w:rPr>
            </w:pPr>
            <w:r w:rsidRPr="005B6D7B">
              <w:rPr>
                <w:szCs w:val="20"/>
              </w:rPr>
              <w:t>RIS vs SEC</w:t>
            </w:r>
          </w:p>
        </w:tc>
        <w:tc>
          <w:tcPr>
            <w:tcW w:w="548" w:type="pct"/>
            <w:tcBorders>
              <w:top w:val="single" w:sz="4" w:space="0" w:color="auto"/>
              <w:left w:val="single" w:sz="4" w:space="0" w:color="auto"/>
              <w:bottom w:val="single" w:sz="4" w:space="0" w:color="auto"/>
              <w:right w:val="single" w:sz="4" w:space="0" w:color="auto"/>
            </w:tcBorders>
          </w:tcPr>
          <w:p w14:paraId="15ECED97" w14:textId="30D486AB" w:rsidR="00E00DF0" w:rsidRPr="009E2C35" w:rsidRDefault="004D7BF5" w:rsidP="00C05EEF">
            <w:pPr>
              <w:pStyle w:val="TableText0"/>
              <w:jc w:val="center"/>
              <w:rPr>
                <w:iCs/>
                <w:szCs w:val="20"/>
              </w:rPr>
            </w:pPr>
            <w:r w:rsidRPr="009E2C35">
              <w:rPr>
                <w:iCs/>
                <w:szCs w:val="20"/>
              </w:rPr>
              <w:t>121</w:t>
            </w:r>
            <w:r w:rsidR="00E00DF0" w:rsidRPr="009E2C35">
              <w:rPr>
                <w:iCs/>
                <w:szCs w:val="20"/>
              </w:rPr>
              <w:t xml:space="preserve">/164 </w:t>
            </w:r>
          </w:p>
        </w:tc>
        <w:tc>
          <w:tcPr>
            <w:tcW w:w="548" w:type="pct"/>
            <w:tcBorders>
              <w:top w:val="single" w:sz="4" w:space="0" w:color="auto"/>
              <w:left w:val="single" w:sz="4" w:space="0" w:color="auto"/>
              <w:bottom w:val="single" w:sz="4" w:space="0" w:color="auto"/>
              <w:right w:val="single" w:sz="4" w:space="0" w:color="auto"/>
            </w:tcBorders>
          </w:tcPr>
          <w:p w14:paraId="3D63872F" w14:textId="5A58BB43" w:rsidR="00E00DF0" w:rsidRPr="009E2C35" w:rsidRDefault="004D7BF5" w:rsidP="00C05EEF">
            <w:pPr>
              <w:pStyle w:val="TableText0"/>
              <w:jc w:val="center"/>
              <w:rPr>
                <w:iCs/>
                <w:szCs w:val="20"/>
              </w:rPr>
            </w:pPr>
            <w:r w:rsidRPr="009E2C35">
              <w:rPr>
                <w:iCs/>
                <w:szCs w:val="20"/>
              </w:rPr>
              <w:t>107</w:t>
            </w:r>
            <w:r w:rsidR="00E00DF0" w:rsidRPr="009E2C35">
              <w:rPr>
                <w:iCs/>
                <w:szCs w:val="20"/>
              </w:rPr>
              <w:t xml:space="preserve">/163 </w:t>
            </w:r>
          </w:p>
        </w:tc>
        <w:tc>
          <w:tcPr>
            <w:tcW w:w="862" w:type="pct"/>
            <w:tcBorders>
              <w:top w:val="single" w:sz="4" w:space="0" w:color="auto"/>
              <w:left w:val="single" w:sz="4" w:space="0" w:color="auto"/>
              <w:bottom w:val="single" w:sz="4" w:space="0" w:color="auto"/>
              <w:right w:val="single" w:sz="4" w:space="0" w:color="auto"/>
            </w:tcBorders>
          </w:tcPr>
          <w:p w14:paraId="2E45DAEF" w14:textId="59C15260" w:rsidR="00E00DF0" w:rsidRPr="009E2C35" w:rsidRDefault="004D7BF5" w:rsidP="00C05EEF">
            <w:pPr>
              <w:pStyle w:val="TableText0"/>
              <w:jc w:val="center"/>
              <w:rPr>
                <w:b/>
                <w:bCs w:val="0"/>
                <w:iCs/>
                <w:szCs w:val="20"/>
              </w:rPr>
            </w:pPr>
            <w:r w:rsidRPr="009E2C35">
              <w:rPr>
                <w:iCs/>
                <w:szCs w:val="20"/>
              </w:rPr>
              <w:t xml:space="preserve">1.47 (0.92, 2.37) </w:t>
            </w:r>
          </w:p>
        </w:tc>
        <w:tc>
          <w:tcPr>
            <w:tcW w:w="537" w:type="pct"/>
            <w:tcBorders>
              <w:top w:val="single" w:sz="4" w:space="0" w:color="auto"/>
              <w:left w:val="single" w:sz="4" w:space="0" w:color="auto"/>
              <w:bottom w:val="single" w:sz="4" w:space="0" w:color="auto"/>
              <w:right w:val="single" w:sz="4" w:space="0" w:color="auto"/>
            </w:tcBorders>
            <w:vAlign w:val="center"/>
          </w:tcPr>
          <w:p w14:paraId="48ECD9E4" w14:textId="078248B7" w:rsidR="00E00DF0" w:rsidRPr="009C5BA6" w:rsidRDefault="004D7BF5" w:rsidP="00C05EEF">
            <w:pPr>
              <w:pStyle w:val="TableText0"/>
              <w:jc w:val="center"/>
              <w:rPr>
                <w:iCs/>
                <w:szCs w:val="20"/>
              </w:rPr>
            </w:pPr>
            <w:r w:rsidRPr="009C5BA6">
              <w:rPr>
                <w:iCs/>
                <w:szCs w:val="20"/>
              </w:rPr>
              <w:t>73.8</w:t>
            </w:r>
          </w:p>
        </w:tc>
        <w:tc>
          <w:tcPr>
            <w:tcW w:w="537" w:type="pct"/>
            <w:gridSpan w:val="2"/>
            <w:tcBorders>
              <w:top w:val="single" w:sz="4" w:space="0" w:color="auto"/>
              <w:left w:val="single" w:sz="4" w:space="0" w:color="auto"/>
              <w:bottom w:val="single" w:sz="4" w:space="0" w:color="auto"/>
              <w:right w:val="single" w:sz="4" w:space="0" w:color="auto"/>
            </w:tcBorders>
            <w:vAlign w:val="center"/>
          </w:tcPr>
          <w:p w14:paraId="416FDC37" w14:textId="3C6BA4AD" w:rsidR="00E00DF0" w:rsidRPr="009C5BA6" w:rsidRDefault="004D7BF5" w:rsidP="00C05EEF">
            <w:pPr>
              <w:pStyle w:val="TableText0"/>
              <w:jc w:val="center"/>
              <w:rPr>
                <w:iCs/>
                <w:szCs w:val="20"/>
              </w:rPr>
            </w:pPr>
            <w:r w:rsidRPr="009C5BA6">
              <w:rPr>
                <w:iCs/>
                <w:szCs w:val="20"/>
              </w:rPr>
              <w:t>65.6</w:t>
            </w:r>
          </w:p>
        </w:tc>
        <w:tc>
          <w:tcPr>
            <w:tcW w:w="799" w:type="pct"/>
            <w:gridSpan w:val="2"/>
            <w:tcBorders>
              <w:top w:val="single" w:sz="4" w:space="0" w:color="auto"/>
              <w:left w:val="single" w:sz="4" w:space="0" w:color="auto"/>
              <w:bottom w:val="single" w:sz="4" w:space="0" w:color="auto"/>
              <w:right w:val="single" w:sz="4" w:space="0" w:color="auto"/>
            </w:tcBorders>
            <w:vAlign w:val="center"/>
          </w:tcPr>
          <w:p w14:paraId="7B600264" w14:textId="6125E0BD" w:rsidR="00E00DF0" w:rsidRPr="005B6D7B" w:rsidRDefault="004D7BF5" w:rsidP="00C05EEF">
            <w:pPr>
              <w:pStyle w:val="TableText0"/>
              <w:jc w:val="center"/>
              <w:rPr>
                <w:b/>
                <w:bCs w:val="0"/>
                <w:szCs w:val="20"/>
              </w:rPr>
            </w:pPr>
            <w:r w:rsidRPr="005B6D7B">
              <w:rPr>
                <w:szCs w:val="20"/>
              </w:rPr>
              <w:t xml:space="preserve">0.08 (-0.02, 0.18) </w:t>
            </w:r>
          </w:p>
        </w:tc>
      </w:tr>
      <w:tr w:rsidR="00E00DF0" w:rsidRPr="005B6D7B" w14:paraId="5572A155" w14:textId="77777777" w:rsidTr="00285386">
        <w:tc>
          <w:tcPr>
            <w:tcW w:w="1169" w:type="pct"/>
            <w:tcBorders>
              <w:top w:val="single" w:sz="4" w:space="0" w:color="auto"/>
              <w:left w:val="single" w:sz="4" w:space="0" w:color="auto"/>
              <w:bottom w:val="double" w:sz="4" w:space="0" w:color="auto"/>
              <w:right w:val="single" w:sz="4" w:space="0" w:color="auto"/>
            </w:tcBorders>
            <w:shd w:val="clear" w:color="auto" w:fill="auto"/>
            <w:vAlign w:val="center"/>
          </w:tcPr>
          <w:p w14:paraId="5B7DBAE8" w14:textId="77777777" w:rsidR="00E00DF0" w:rsidRPr="005B6D7B" w:rsidRDefault="00E00DF0" w:rsidP="00C05EEF">
            <w:pPr>
              <w:pStyle w:val="TableText0"/>
              <w:rPr>
                <w:szCs w:val="20"/>
              </w:rPr>
            </w:pPr>
            <w:r w:rsidRPr="005B6D7B">
              <w:rPr>
                <w:szCs w:val="20"/>
              </w:rPr>
              <w:t>RIS vs UST</w:t>
            </w:r>
          </w:p>
        </w:tc>
        <w:tc>
          <w:tcPr>
            <w:tcW w:w="548" w:type="pct"/>
            <w:tcBorders>
              <w:top w:val="single" w:sz="4" w:space="0" w:color="auto"/>
              <w:left w:val="single" w:sz="4" w:space="0" w:color="auto"/>
              <w:bottom w:val="double" w:sz="4" w:space="0" w:color="auto"/>
              <w:right w:val="single" w:sz="4" w:space="0" w:color="auto"/>
            </w:tcBorders>
          </w:tcPr>
          <w:p w14:paraId="01784AB9" w14:textId="1EEA0EE3" w:rsidR="00E00DF0" w:rsidRPr="009E2C35" w:rsidRDefault="004D7BF5" w:rsidP="00C05EEF">
            <w:pPr>
              <w:pStyle w:val="TableText0"/>
              <w:jc w:val="center"/>
              <w:rPr>
                <w:iCs/>
                <w:szCs w:val="20"/>
              </w:rPr>
            </w:pPr>
            <w:r w:rsidRPr="009E2C35">
              <w:rPr>
                <w:iCs/>
                <w:szCs w:val="20"/>
              </w:rPr>
              <w:t>449</w:t>
            </w:r>
            <w:r w:rsidR="00E00DF0" w:rsidRPr="009E2C35">
              <w:rPr>
                <w:iCs/>
                <w:szCs w:val="20"/>
              </w:rPr>
              <w:t xml:space="preserve">/598 </w:t>
            </w:r>
          </w:p>
        </w:tc>
        <w:tc>
          <w:tcPr>
            <w:tcW w:w="548" w:type="pct"/>
            <w:tcBorders>
              <w:top w:val="single" w:sz="4" w:space="0" w:color="auto"/>
              <w:left w:val="single" w:sz="4" w:space="0" w:color="auto"/>
              <w:bottom w:val="double" w:sz="4" w:space="0" w:color="auto"/>
              <w:right w:val="single" w:sz="4" w:space="0" w:color="auto"/>
            </w:tcBorders>
          </w:tcPr>
          <w:p w14:paraId="7ED75905" w14:textId="3FD53863" w:rsidR="00E00DF0" w:rsidRPr="009E2C35" w:rsidRDefault="004D7BF5" w:rsidP="00C05EEF">
            <w:pPr>
              <w:pStyle w:val="TableText0"/>
              <w:jc w:val="center"/>
              <w:rPr>
                <w:iCs/>
                <w:szCs w:val="20"/>
              </w:rPr>
            </w:pPr>
            <w:r w:rsidRPr="009E2C35">
              <w:rPr>
                <w:iCs/>
                <w:szCs w:val="20"/>
              </w:rPr>
              <w:t>89</w:t>
            </w:r>
            <w:r w:rsidR="00E00DF0" w:rsidRPr="009E2C35">
              <w:rPr>
                <w:iCs/>
                <w:szCs w:val="20"/>
              </w:rPr>
              <w:t xml:space="preserve">/199 </w:t>
            </w:r>
          </w:p>
        </w:tc>
        <w:tc>
          <w:tcPr>
            <w:tcW w:w="862" w:type="pct"/>
            <w:tcBorders>
              <w:top w:val="single" w:sz="4" w:space="0" w:color="auto"/>
              <w:left w:val="single" w:sz="4" w:space="0" w:color="auto"/>
              <w:bottom w:val="double" w:sz="4" w:space="0" w:color="auto"/>
              <w:right w:val="single" w:sz="4" w:space="0" w:color="auto"/>
            </w:tcBorders>
            <w:vAlign w:val="center"/>
          </w:tcPr>
          <w:p w14:paraId="267F0F67" w14:textId="1AEF4232" w:rsidR="00E00DF0" w:rsidRPr="009E2C35" w:rsidRDefault="004D7BF5" w:rsidP="00C05EEF">
            <w:pPr>
              <w:pStyle w:val="TableText0"/>
              <w:jc w:val="center"/>
              <w:rPr>
                <w:b/>
                <w:bCs w:val="0"/>
                <w:iCs/>
                <w:szCs w:val="20"/>
              </w:rPr>
            </w:pPr>
            <w:r w:rsidRPr="009E2C35">
              <w:rPr>
                <w:b/>
                <w:bCs w:val="0"/>
                <w:iCs/>
                <w:szCs w:val="20"/>
              </w:rPr>
              <w:t xml:space="preserve">3.72 (2.66, 5.21) </w:t>
            </w:r>
          </w:p>
        </w:tc>
        <w:tc>
          <w:tcPr>
            <w:tcW w:w="537" w:type="pct"/>
            <w:tcBorders>
              <w:top w:val="single" w:sz="4" w:space="0" w:color="auto"/>
              <w:left w:val="single" w:sz="4" w:space="0" w:color="auto"/>
              <w:bottom w:val="double" w:sz="4" w:space="0" w:color="auto"/>
              <w:right w:val="single" w:sz="4" w:space="0" w:color="auto"/>
            </w:tcBorders>
            <w:vAlign w:val="center"/>
          </w:tcPr>
          <w:p w14:paraId="737EA7B9" w14:textId="3C41430A" w:rsidR="00E00DF0" w:rsidRPr="009C5BA6" w:rsidRDefault="004D7BF5" w:rsidP="00C05EEF">
            <w:pPr>
              <w:pStyle w:val="TableText0"/>
              <w:jc w:val="center"/>
              <w:rPr>
                <w:iCs/>
                <w:szCs w:val="20"/>
              </w:rPr>
            </w:pPr>
            <w:r w:rsidRPr="009C5BA6">
              <w:rPr>
                <w:iCs/>
                <w:szCs w:val="20"/>
              </w:rPr>
              <w:t>75.1</w:t>
            </w:r>
          </w:p>
        </w:tc>
        <w:tc>
          <w:tcPr>
            <w:tcW w:w="537" w:type="pct"/>
            <w:gridSpan w:val="2"/>
            <w:tcBorders>
              <w:top w:val="single" w:sz="4" w:space="0" w:color="auto"/>
              <w:left w:val="single" w:sz="4" w:space="0" w:color="auto"/>
              <w:bottom w:val="double" w:sz="4" w:space="0" w:color="auto"/>
              <w:right w:val="single" w:sz="4" w:space="0" w:color="auto"/>
            </w:tcBorders>
            <w:vAlign w:val="center"/>
          </w:tcPr>
          <w:p w14:paraId="5CF56515" w14:textId="6408E146" w:rsidR="00E00DF0" w:rsidRPr="009C5BA6" w:rsidRDefault="004D7BF5" w:rsidP="00C05EEF">
            <w:pPr>
              <w:pStyle w:val="TableText0"/>
              <w:jc w:val="center"/>
              <w:rPr>
                <w:iCs/>
                <w:szCs w:val="20"/>
              </w:rPr>
            </w:pPr>
            <w:r w:rsidRPr="009C5BA6">
              <w:rPr>
                <w:iCs/>
                <w:szCs w:val="20"/>
              </w:rPr>
              <w:t>44.7</w:t>
            </w:r>
          </w:p>
        </w:tc>
        <w:tc>
          <w:tcPr>
            <w:tcW w:w="799" w:type="pct"/>
            <w:gridSpan w:val="2"/>
            <w:tcBorders>
              <w:top w:val="single" w:sz="4" w:space="0" w:color="auto"/>
              <w:left w:val="single" w:sz="4" w:space="0" w:color="auto"/>
              <w:bottom w:val="double" w:sz="4" w:space="0" w:color="auto"/>
              <w:right w:val="single" w:sz="4" w:space="0" w:color="auto"/>
            </w:tcBorders>
            <w:vAlign w:val="center"/>
          </w:tcPr>
          <w:p w14:paraId="4D33C0A7" w14:textId="18030B63" w:rsidR="00E00DF0" w:rsidRPr="005B6D7B" w:rsidRDefault="004D7BF5" w:rsidP="00C05EEF">
            <w:pPr>
              <w:pStyle w:val="TableText0"/>
              <w:jc w:val="center"/>
              <w:rPr>
                <w:b/>
                <w:bCs w:val="0"/>
                <w:szCs w:val="20"/>
              </w:rPr>
            </w:pPr>
            <w:r w:rsidRPr="005B6D7B">
              <w:rPr>
                <w:b/>
                <w:bCs w:val="0"/>
                <w:szCs w:val="20"/>
              </w:rPr>
              <w:t xml:space="preserve">0.30 (0.23, 0.38) </w:t>
            </w:r>
          </w:p>
        </w:tc>
      </w:tr>
    </w:tbl>
    <w:p w14:paraId="08149E91" w14:textId="26685FE7" w:rsidR="00E00DF0" w:rsidRPr="005B6D7B" w:rsidRDefault="00E00DF0" w:rsidP="00E00DF0">
      <w:pPr>
        <w:pStyle w:val="TableFigureFooter"/>
        <w:rPr>
          <w:rStyle w:val="CommentReference"/>
          <w:b w:val="0"/>
          <w:sz w:val="18"/>
          <w:szCs w:val="22"/>
        </w:rPr>
      </w:pPr>
      <w:r w:rsidRPr="005B6D7B">
        <w:rPr>
          <w:rStyle w:val="CommentReference"/>
          <w:bCs/>
          <w:sz w:val="18"/>
          <w:szCs w:val="22"/>
        </w:rPr>
        <w:t>Bold</w:t>
      </w:r>
      <w:r w:rsidRPr="005B6D7B">
        <w:rPr>
          <w:rStyle w:val="CommentReference"/>
          <w:b w:val="0"/>
          <w:sz w:val="18"/>
          <w:szCs w:val="22"/>
        </w:rPr>
        <w:t>=statistically significant.</w:t>
      </w:r>
    </w:p>
    <w:p w14:paraId="07EF34A0" w14:textId="2F3373F6" w:rsidR="00E00DF0" w:rsidRPr="005B6D7B" w:rsidRDefault="00E00DF0" w:rsidP="00E00DF0">
      <w:pPr>
        <w:pStyle w:val="TableFigureFooter"/>
      </w:pPr>
      <w:r w:rsidRPr="005B6D7B">
        <w:t>Source: Table</w:t>
      </w:r>
      <w:r w:rsidR="004D4C8E" w:rsidRPr="005B6D7B">
        <w:t>s</w:t>
      </w:r>
      <w:r w:rsidRPr="005B6D7B">
        <w:t xml:space="preserve"> 1-22 </w:t>
      </w:r>
      <w:r w:rsidR="004D4C8E" w:rsidRPr="005B6D7B">
        <w:t>and</w:t>
      </w:r>
      <w:r w:rsidRPr="005B6D7B">
        <w:t xml:space="preserve"> 1-23, p</w:t>
      </w:r>
      <w:r w:rsidR="004D4C8E" w:rsidRPr="005B6D7B">
        <w:t>p</w:t>
      </w:r>
      <w:r w:rsidRPr="005B6D7B">
        <w:t xml:space="preserve"> 107-11</w:t>
      </w:r>
      <w:r w:rsidR="004D4C8E" w:rsidRPr="005B6D7B">
        <w:t>2</w:t>
      </w:r>
      <w:r w:rsidRPr="005B6D7B">
        <w:t xml:space="preserve"> of Appendix 1 and Attachment 5.2</w:t>
      </w:r>
      <w:r w:rsidR="004D4C8E" w:rsidRPr="005B6D7B">
        <w:t xml:space="preserve"> </w:t>
      </w:r>
      <w:r w:rsidRPr="005B6D7B">
        <w:t>of the submission</w:t>
      </w:r>
    </w:p>
    <w:p w14:paraId="7EC2932C" w14:textId="1899CB1B" w:rsidR="00E00DF0" w:rsidRPr="005B6D7B" w:rsidRDefault="00E00DF0" w:rsidP="00E00DF0">
      <w:pPr>
        <w:pStyle w:val="TableFigureFooter"/>
      </w:pPr>
      <w:r w:rsidRPr="005B6D7B">
        <w:t>ADA=adalimumab</w:t>
      </w:r>
      <w:r w:rsidR="004B25C8" w:rsidRPr="005B6D7B">
        <w:t xml:space="preserve">; </w:t>
      </w:r>
      <w:r w:rsidRPr="005B6D7B">
        <w:t>BKZ=bimekizumab</w:t>
      </w:r>
      <w:r w:rsidR="004B25C8" w:rsidRPr="005B6D7B">
        <w:t xml:space="preserve">; </w:t>
      </w:r>
      <w:r w:rsidRPr="005B6D7B">
        <w:t>CI=confidence interval</w:t>
      </w:r>
      <w:r w:rsidR="004B25C8" w:rsidRPr="005B6D7B">
        <w:t xml:space="preserve">; </w:t>
      </w:r>
      <w:r w:rsidRPr="005B6D7B">
        <w:t>OR=odds ratio</w:t>
      </w:r>
      <w:r w:rsidR="004B25C8" w:rsidRPr="005B6D7B">
        <w:t xml:space="preserve">; </w:t>
      </w:r>
      <w:r w:rsidRPr="005B6D7B">
        <w:t>PASI=psoriasis area and severity index</w:t>
      </w:r>
      <w:r w:rsidR="004B25C8" w:rsidRPr="005B6D7B">
        <w:t xml:space="preserve">; </w:t>
      </w:r>
      <w:r w:rsidRPr="005B6D7B">
        <w:t>PBO=placebo; RD=risk difference; RIS=risanki</w:t>
      </w:r>
      <w:r w:rsidR="00CD03F8">
        <w:t>z</w:t>
      </w:r>
      <w:r w:rsidRPr="005B6D7B">
        <w:t>umab</w:t>
      </w:r>
      <w:r w:rsidR="004B25C8" w:rsidRPr="005B6D7B">
        <w:t xml:space="preserve">; </w:t>
      </w:r>
      <w:r w:rsidRPr="005B6D7B">
        <w:t>SEC=secukinumab</w:t>
      </w:r>
      <w:r w:rsidR="004B25C8" w:rsidRPr="005B6D7B">
        <w:t xml:space="preserve">; </w:t>
      </w:r>
      <w:r w:rsidRPr="005B6D7B">
        <w:t>UST=ustekinumab.</w:t>
      </w:r>
    </w:p>
    <w:p w14:paraId="726539BE" w14:textId="753C6BDB" w:rsidR="00B36563" w:rsidRPr="005B6D7B" w:rsidRDefault="00B36563" w:rsidP="00085C65">
      <w:pPr>
        <w:pStyle w:val="TableFigureFooter"/>
        <w:ind w:left="165" w:hanging="165"/>
      </w:pPr>
      <w:r w:rsidRPr="005B6D7B">
        <w:rPr>
          <w:vertAlign w:val="superscript"/>
        </w:rPr>
        <w:t>a</w:t>
      </w:r>
      <w:r w:rsidRPr="005B6D7B">
        <w:t xml:space="preserve"> </w:t>
      </w:r>
      <w:r w:rsidR="00085C65" w:rsidRPr="005B6D7B">
        <w:tab/>
      </w:r>
      <w:r w:rsidRPr="005B6D7B">
        <w:t xml:space="preserve">Submission reported 151/164 for intervention and 132/163 for comparator. Publication (M16-766 IMMerge CSR Table 14.2_1.4.1, p 385) reported 150/164 for intervention and 130/163 for comparator. </w:t>
      </w:r>
    </w:p>
    <w:p w14:paraId="14C84FC8" w14:textId="77777777" w:rsidR="00E00DF0" w:rsidRPr="005B6D7B" w:rsidRDefault="00E00DF0" w:rsidP="00E00DF0">
      <w:pPr>
        <w:pStyle w:val="3-BodyText"/>
      </w:pPr>
      <w:r w:rsidRPr="005B6D7B">
        <w:t>On the basis of direct evidence presented by the submission, for every 100 patients treated with risankizumab over the initial 16 weeks of treatment in comparison with:</w:t>
      </w:r>
    </w:p>
    <w:p w14:paraId="63A963ED" w14:textId="23813A78" w:rsidR="00E00DF0" w:rsidRPr="005B6D7B" w:rsidRDefault="00E00DF0" w:rsidP="0055090C">
      <w:pPr>
        <w:pStyle w:val="ListParagraph"/>
        <w:numPr>
          <w:ilvl w:val="0"/>
          <w:numId w:val="54"/>
        </w:numPr>
        <w:ind w:left="1134"/>
      </w:pPr>
      <w:r w:rsidRPr="005B6D7B">
        <w:t xml:space="preserve">Adalimumab – Approximately 19 additional patients would achieve PASI 75, and </w:t>
      </w:r>
      <w:r w:rsidR="008F3E10" w:rsidRPr="005B6D7B">
        <w:t xml:space="preserve">25 </w:t>
      </w:r>
      <w:r w:rsidRPr="005B6D7B">
        <w:t>additional patients would achieve PASI 90.</w:t>
      </w:r>
    </w:p>
    <w:p w14:paraId="746B64BE" w14:textId="5691CBED" w:rsidR="00E00DF0" w:rsidRPr="005B6D7B" w:rsidRDefault="00E00DF0" w:rsidP="0055090C">
      <w:pPr>
        <w:pStyle w:val="ListParagraph"/>
        <w:numPr>
          <w:ilvl w:val="0"/>
          <w:numId w:val="54"/>
        </w:numPr>
        <w:ind w:left="1134"/>
      </w:pPr>
      <w:r w:rsidRPr="005B6D7B">
        <w:t xml:space="preserve">Secukinumab – Approximately </w:t>
      </w:r>
      <w:r w:rsidR="003C795F" w:rsidRPr="005B6D7B">
        <w:t xml:space="preserve">12 </w:t>
      </w:r>
      <w:r w:rsidRPr="005B6D7B">
        <w:t>additional patients would achieve PASI 75 and no significant differences in the number of patients achieving PASI 90.</w:t>
      </w:r>
    </w:p>
    <w:p w14:paraId="5704D192" w14:textId="41AFE4D1" w:rsidR="00E00DF0" w:rsidRPr="005B6D7B" w:rsidRDefault="00E00DF0" w:rsidP="0055090C">
      <w:pPr>
        <w:pStyle w:val="ListParagraph"/>
        <w:numPr>
          <w:ilvl w:val="0"/>
          <w:numId w:val="54"/>
        </w:numPr>
        <w:ind w:left="1134"/>
      </w:pPr>
      <w:r w:rsidRPr="005B6D7B">
        <w:t xml:space="preserve">Ustekinumab – Approximately 17 additional patients would achieve PASI 75, and </w:t>
      </w:r>
      <w:r w:rsidR="00EE037C" w:rsidRPr="005B6D7B">
        <w:t xml:space="preserve">30 </w:t>
      </w:r>
      <w:r w:rsidRPr="005B6D7B">
        <w:t>additional patients would achieve PASI 90.</w:t>
      </w:r>
    </w:p>
    <w:p w14:paraId="7A1772B6" w14:textId="23BB3145" w:rsidR="00B60939" w:rsidRPr="005B6D7B" w:rsidRDefault="00B60939" w:rsidP="00E9094A">
      <w:pPr>
        <w:pStyle w:val="4-SubsectionHeading"/>
      </w:pPr>
      <w:bookmarkStart w:id="47" w:name="_Toc22897644"/>
      <w:bookmarkStart w:id="48" w:name="_Toc143506205"/>
      <w:r w:rsidRPr="005B6D7B">
        <w:t>Clinical claim</w:t>
      </w:r>
      <w:bookmarkEnd w:id="47"/>
      <w:bookmarkEnd w:id="48"/>
    </w:p>
    <w:p w14:paraId="778FDA6C" w14:textId="362AB6A1" w:rsidR="007A4CA9" w:rsidRPr="009A24F9" w:rsidRDefault="0096674B" w:rsidP="0096674B">
      <w:pPr>
        <w:pStyle w:val="3-BodyText"/>
        <w:rPr>
          <w:rFonts w:eastAsia="Calibri"/>
        </w:rPr>
      </w:pPr>
      <w:r w:rsidRPr="009A24F9">
        <w:rPr>
          <w:rFonts w:eastAsia="Calibri"/>
        </w:rPr>
        <w:t>The submission described risankizumab as</w:t>
      </w:r>
      <w:r w:rsidR="007A4CA9" w:rsidRPr="009A24F9">
        <w:rPr>
          <w:rFonts w:eastAsia="Calibri"/>
        </w:rPr>
        <w:t>:</w:t>
      </w:r>
    </w:p>
    <w:p w14:paraId="57637E65" w14:textId="7C7AF52C" w:rsidR="007A4CA9" w:rsidRPr="009A24F9" w:rsidRDefault="0096674B" w:rsidP="0055090C">
      <w:pPr>
        <w:pStyle w:val="3-BodyText"/>
        <w:numPr>
          <w:ilvl w:val="0"/>
          <w:numId w:val="34"/>
        </w:numPr>
        <w:ind w:left="1134"/>
        <w:rPr>
          <w:rFonts w:eastAsia="Calibri"/>
        </w:rPr>
      </w:pPr>
      <w:r w:rsidRPr="009A24F9">
        <w:rPr>
          <w:rFonts w:eastAsia="Calibri"/>
        </w:rPr>
        <w:t xml:space="preserve">superior in terms of </w:t>
      </w:r>
      <w:r w:rsidR="00AE7385" w:rsidRPr="009A24F9">
        <w:rPr>
          <w:rFonts w:eastAsia="Calibri"/>
        </w:rPr>
        <w:t>effectiveness</w:t>
      </w:r>
      <w:r w:rsidRPr="009A24F9">
        <w:rPr>
          <w:rFonts w:eastAsia="Calibri"/>
        </w:rPr>
        <w:t xml:space="preserve"> </w:t>
      </w:r>
      <w:r w:rsidR="007A4CA9" w:rsidRPr="009A24F9">
        <w:rPr>
          <w:rFonts w:eastAsia="Calibri"/>
        </w:rPr>
        <w:t xml:space="preserve">and non-inferior in terms of safety </w:t>
      </w:r>
      <w:r w:rsidRPr="009A24F9">
        <w:rPr>
          <w:rFonts w:eastAsia="Calibri"/>
        </w:rPr>
        <w:t>to adalimumab, etanercept, secukinumab, tildrakizumab, and ustekinumab</w:t>
      </w:r>
      <w:r w:rsidR="007A4CA9" w:rsidRPr="009A24F9">
        <w:rPr>
          <w:rFonts w:eastAsia="Calibri"/>
        </w:rPr>
        <w:t>;</w:t>
      </w:r>
    </w:p>
    <w:p w14:paraId="08EEB4EF" w14:textId="3BC0B090" w:rsidR="0096674B" w:rsidRPr="009A24F9" w:rsidRDefault="0096674B" w:rsidP="0055090C">
      <w:pPr>
        <w:pStyle w:val="3-BodyText"/>
        <w:numPr>
          <w:ilvl w:val="0"/>
          <w:numId w:val="34"/>
        </w:numPr>
        <w:ind w:left="1134"/>
        <w:rPr>
          <w:rFonts w:eastAsia="Calibri"/>
        </w:rPr>
      </w:pPr>
      <w:r w:rsidRPr="009A24F9">
        <w:rPr>
          <w:rFonts w:eastAsia="Calibri"/>
        </w:rPr>
        <w:t>non-inferior in terms of eff</w:t>
      </w:r>
      <w:r w:rsidR="00AE7385" w:rsidRPr="009A24F9">
        <w:rPr>
          <w:rFonts w:eastAsia="Calibri"/>
        </w:rPr>
        <w:t>ectiveness</w:t>
      </w:r>
      <w:r w:rsidRPr="009A24F9">
        <w:rPr>
          <w:rFonts w:eastAsia="Calibri"/>
        </w:rPr>
        <w:t xml:space="preserve"> </w:t>
      </w:r>
      <w:r w:rsidR="007A4CA9" w:rsidRPr="009A24F9">
        <w:rPr>
          <w:rFonts w:eastAsia="Calibri"/>
        </w:rPr>
        <w:t xml:space="preserve">and safety </w:t>
      </w:r>
      <w:r w:rsidRPr="009A24F9">
        <w:rPr>
          <w:rFonts w:eastAsia="Calibri"/>
        </w:rPr>
        <w:t>to bimekizumab, guselkumab, and ixekizumab.</w:t>
      </w:r>
    </w:p>
    <w:p w14:paraId="08F52A73" w14:textId="1F973064" w:rsidR="00052E07" w:rsidRPr="005D1E8B" w:rsidRDefault="00950243" w:rsidP="00052E07">
      <w:pPr>
        <w:pStyle w:val="3-BodyText"/>
        <w:rPr>
          <w:rFonts w:eastAsia="Calibri"/>
        </w:rPr>
      </w:pPr>
      <w:r w:rsidRPr="005D1E8B">
        <w:rPr>
          <w:rFonts w:eastAsia="Calibri"/>
        </w:rPr>
        <w:t>Th</w:t>
      </w:r>
      <w:r w:rsidR="007B01AF" w:rsidRPr="005D1E8B">
        <w:rPr>
          <w:rFonts w:eastAsia="Calibri"/>
        </w:rPr>
        <w:t>e evaluation considered the</w:t>
      </w:r>
      <w:r w:rsidRPr="005D1E8B">
        <w:rPr>
          <w:rFonts w:eastAsia="Calibri"/>
        </w:rPr>
        <w:t xml:space="preserve"> claim was </w:t>
      </w:r>
      <w:r w:rsidR="00B14630" w:rsidRPr="005D1E8B">
        <w:rPr>
          <w:rFonts w:eastAsia="Calibri"/>
        </w:rPr>
        <w:t>generally reasonable</w:t>
      </w:r>
      <w:r w:rsidR="00052E07" w:rsidRPr="005D1E8B">
        <w:rPr>
          <w:rFonts w:eastAsia="Calibri"/>
        </w:rPr>
        <w:t xml:space="preserve"> (though the submission made no claim versus infliximab)</w:t>
      </w:r>
      <w:r w:rsidRPr="005D1E8B">
        <w:rPr>
          <w:rFonts w:eastAsia="Calibri"/>
        </w:rPr>
        <w:t>.</w:t>
      </w:r>
      <w:r w:rsidR="00B14630" w:rsidRPr="005D1E8B">
        <w:rPr>
          <w:rFonts w:eastAsia="Calibri"/>
        </w:rPr>
        <w:t xml:space="preserve"> </w:t>
      </w:r>
      <w:r w:rsidR="007E1EC7" w:rsidRPr="005D1E8B">
        <w:rPr>
          <w:rFonts w:eastAsia="Calibri"/>
        </w:rPr>
        <w:t xml:space="preserve">The direct evidence presented in the submission </w:t>
      </w:r>
      <w:r w:rsidR="007E1EC7" w:rsidRPr="005D1E8B">
        <w:rPr>
          <w:rFonts w:eastAsia="Calibri"/>
        </w:rPr>
        <w:lastRenderedPageBreak/>
        <w:t xml:space="preserve">reasonably supported the claim of superior effectiveness for risankizumab compared to adalimumab, secukinumab and ustekinumab; and the indirect evidence </w:t>
      </w:r>
      <w:r w:rsidR="00F51DDC" w:rsidRPr="005D1E8B">
        <w:rPr>
          <w:rFonts w:eastAsia="Calibri"/>
        </w:rPr>
        <w:t>reasonably supported the claim of non-inferior effectiveness versus bimekizumab, guselkumab and ixekizumab</w:t>
      </w:r>
      <w:r w:rsidR="007E1EC7" w:rsidRPr="005D1E8B">
        <w:rPr>
          <w:rFonts w:eastAsia="Calibri"/>
        </w:rPr>
        <w:t>.</w:t>
      </w:r>
      <w:r w:rsidR="00F51DDC" w:rsidRPr="005D1E8B">
        <w:rPr>
          <w:rFonts w:eastAsia="Calibri"/>
        </w:rPr>
        <w:t xml:space="preserve"> </w:t>
      </w:r>
      <w:r w:rsidR="007D6CCD" w:rsidRPr="005D1E8B">
        <w:rPr>
          <w:rFonts w:eastAsia="Calibri"/>
        </w:rPr>
        <w:t>T</w:t>
      </w:r>
      <w:r w:rsidR="00AE7385" w:rsidRPr="005D1E8B">
        <w:rPr>
          <w:rFonts w:eastAsia="Calibri"/>
        </w:rPr>
        <w:t>he</w:t>
      </w:r>
      <w:r w:rsidR="007B01AF" w:rsidRPr="005D1E8B">
        <w:rPr>
          <w:rFonts w:eastAsia="Calibri"/>
        </w:rPr>
        <w:t xml:space="preserve"> evaluation considered the</w:t>
      </w:r>
      <w:r w:rsidR="00AE7385" w:rsidRPr="005D1E8B">
        <w:rPr>
          <w:rFonts w:eastAsia="Calibri"/>
        </w:rPr>
        <w:t xml:space="preserve"> claim of superior effectiveness </w:t>
      </w:r>
      <w:r w:rsidR="00F6088A" w:rsidRPr="005D1E8B">
        <w:rPr>
          <w:rFonts w:eastAsia="Calibri"/>
        </w:rPr>
        <w:t xml:space="preserve">compared to etanercept and tildrakizumab may also be reasonable on the totality of the </w:t>
      </w:r>
      <w:r w:rsidR="007E1EC7" w:rsidRPr="005D1E8B">
        <w:rPr>
          <w:rFonts w:eastAsia="Calibri"/>
        </w:rPr>
        <w:t xml:space="preserve">indirect </w:t>
      </w:r>
      <w:r w:rsidR="00F6088A" w:rsidRPr="005D1E8B">
        <w:rPr>
          <w:rFonts w:eastAsia="Calibri"/>
        </w:rPr>
        <w:t>evidence</w:t>
      </w:r>
      <w:r w:rsidR="00D272C3" w:rsidRPr="005D1E8B">
        <w:rPr>
          <w:rFonts w:eastAsia="Calibri"/>
        </w:rPr>
        <w:t xml:space="preserve"> given t</w:t>
      </w:r>
      <w:r w:rsidR="00F6088A" w:rsidRPr="005D1E8B">
        <w:rPr>
          <w:rFonts w:eastAsia="Calibri"/>
        </w:rPr>
        <w:t>he indirect treatment comparison</w:t>
      </w:r>
      <w:r w:rsidR="007D6CCD" w:rsidRPr="005D1E8B">
        <w:rPr>
          <w:rFonts w:eastAsia="Calibri"/>
        </w:rPr>
        <w:t>s</w:t>
      </w:r>
      <w:r w:rsidR="00F6088A" w:rsidRPr="005D1E8B">
        <w:rPr>
          <w:rFonts w:eastAsia="Calibri"/>
        </w:rPr>
        <w:t xml:space="preserve"> </w:t>
      </w:r>
      <w:r w:rsidR="007D6CCD" w:rsidRPr="005D1E8B">
        <w:rPr>
          <w:rFonts w:eastAsia="Calibri"/>
        </w:rPr>
        <w:t xml:space="preserve">generally favoured </w:t>
      </w:r>
      <w:r w:rsidR="00F6088A" w:rsidRPr="005D1E8B">
        <w:rPr>
          <w:rFonts w:eastAsia="Calibri"/>
        </w:rPr>
        <w:t xml:space="preserve">risankizumab versus etanercept </w:t>
      </w:r>
      <w:r w:rsidR="007D6CCD" w:rsidRPr="005D1E8B">
        <w:rPr>
          <w:rFonts w:eastAsia="Calibri"/>
        </w:rPr>
        <w:t>and</w:t>
      </w:r>
      <w:r w:rsidR="00F6088A" w:rsidRPr="005D1E8B">
        <w:rPr>
          <w:rFonts w:eastAsia="Calibri"/>
        </w:rPr>
        <w:t xml:space="preserve"> tildrakizumab</w:t>
      </w:r>
      <w:r w:rsidR="007D6CCD" w:rsidRPr="005D1E8B">
        <w:rPr>
          <w:rFonts w:eastAsia="Calibri"/>
        </w:rPr>
        <w:t xml:space="preserve"> (using the odds ratio and risk difference statistics) and the published NMAs also found risankizumab was a more effective treatment.</w:t>
      </w:r>
      <w:r w:rsidR="007B01AF" w:rsidRPr="005D1E8B">
        <w:rPr>
          <w:rFonts w:eastAsia="Calibri"/>
        </w:rPr>
        <w:t xml:space="preserve"> </w:t>
      </w:r>
    </w:p>
    <w:p w14:paraId="740F9C97" w14:textId="7201D94D" w:rsidR="00AE7385" w:rsidRPr="005D1E8B" w:rsidRDefault="008F3A6C" w:rsidP="00AE77D1">
      <w:pPr>
        <w:pStyle w:val="3-BodyText"/>
        <w:rPr>
          <w:rFonts w:eastAsia="Calibri"/>
        </w:rPr>
      </w:pPr>
      <w:r w:rsidRPr="005D1E8B">
        <w:rPr>
          <w:rFonts w:eastAsia="Calibri"/>
        </w:rPr>
        <w:t>The PBAC ha</w:t>
      </w:r>
      <w:r w:rsidR="00F3031B" w:rsidRPr="005D1E8B">
        <w:rPr>
          <w:rFonts w:eastAsia="Calibri"/>
        </w:rPr>
        <w:t>d</w:t>
      </w:r>
      <w:r w:rsidRPr="005D1E8B">
        <w:rPr>
          <w:rFonts w:eastAsia="Calibri"/>
        </w:rPr>
        <w:t xml:space="preserve"> previously accepted non-inferior safety between all available biologics for CPP (paragraph 7.11, bimekizumab PSD, March 2023), </w:t>
      </w:r>
      <w:r w:rsidR="00AB2054" w:rsidRPr="005D1E8B">
        <w:rPr>
          <w:rFonts w:eastAsia="Calibri"/>
        </w:rPr>
        <w:t>but its’</w:t>
      </w:r>
      <w:r w:rsidRPr="005D1E8B">
        <w:rPr>
          <w:rFonts w:eastAsia="Calibri"/>
        </w:rPr>
        <w:t xml:space="preserve"> interpretation o</w:t>
      </w:r>
      <w:r w:rsidR="00AB2054" w:rsidRPr="005D1E8B">
        <w:rPr>
          <w:rFonts w:eastAsia="Calibri"/>
        </w:rPr>
        <w:t xml:space="preserve">f the clinical evidence </w:t>
      </w:r>
      <w:r w:rsidR="00AE77D1" w:rsidRPr="005D1E8B">
        <w:rPr>
          <w:rFonts w:eastAsia="Calibri"/>
        </w:rPr>
        <w:t>in terms of</w:t>
      </w:r>
      <w:r w:rsidR="00AB2054" w:rsidRPr="005D1E8B">
        <w:rPr>
          <w:rFonts w:eastAsia="Calibri"/>
        </w:rPr>
        <w:t xml:space="preserve"> effectiveness </w:t>
      </w:r>
      <w:r w:rsidR="00AE77D1" w:rsidRPr="005D1E8B">
        <w:rPr>
          <w:rFonts w:eastAsia="Calibri"/>
        </w:rPr>
        <w:t xml:space="preserve">(and corresponding pricing considerations) </w:t>
      </w:r>
      <w:r w:rsidR="00AB2054" w:rsidRPr="005D1E8B">
        <w:rPr>
          <w:rFonts w:eastAsia="Calibri"/>
        </w:rPr>
        <w:t>ha</w:t>
      </w:r>
      <w:r w:rsidR="006F5917" w:rsidRPr="005D1E8B">
        <w:rPr>
          <w:rFonts w:eastAsia="Calibri"/>
        </w:rPr>
        <w:t>d</w:t>
      </w:r>
      <w:r w:rsidR="00AB2054" w:rsidRPr="005D1E8B">
        <w:rPr>
          <w:rFonts w:eastAsia="Calibri"/>
        </w:rPr>
        <w:t xml:space="preserve"> varied</w:t>
      </w:r>
      <w:r w:rsidR="00AE77D1" w:rsidRPr="005D1E8B">
        <w:rPr>
          <w:rFonts w:eastAsia="Calibri"/>
        </w:rPr>
        <w:t xml:space="preserve"> over time</w:t>
      </w:r>
      <w:r w:rsidR="00605CA2" w:rsidRPr="005D1E8B">
        <w:rPr>
          <w:rFonts w:eastAsia="Calibri"/>
        </w:rPr>
        <w:t>:</w:t>
      </w:r>
    </w:p>
    <w:p w14:paraId="7B740BC6" w14:textId="03202741" w:rsidR="00687033" w:rsidRPr="005D1E8B" w:rsidRDefault="00635254" w:rsidP="00705C96">
      <w:pPr>
        <w:pStyle w:val="3-BodyText"/>
        <w:numPr>
          <w:ilvl w:val="0"/>
          <w:numId w:val="35"/>
        </w:numPr>
        <w:ind w:left="1134"/>
        <w:rPr>
          <w:rFonts w:eastAsia="Calibri"/>
        </w:rPr>
      </w:pPr>
      <w:r w:rsidRPr="005D1E8B">
        <w:rPr>
          <w:rFonts w:eastAsia="Calibri"/>
        </w:rPr>
        <w:t>Th</w:t>
      </w:r>
      <w:r w:rsidR="00BE2990" w:rsidRPr="005D1E8B">
        <w:rPr>
          <w:rFonts w:eastAsia="Calibri"/>
        </w:rPr>
        <w:t>e clinical cla</w:t>
      </w:r>
      <w:r w:rsidR="007E1EC7" w:rsidRPr="005D1E8B">
        <w:rPr>
          <w:rFonts w:eastAsia="Calibri"/>
        </w:rPr>
        <w:t>im presented in the submission wa</w:t>
      </w:r>
      <w:r w:rsidR="00BE2990" w:rsidRPr="005D1E8B">
        <w:rPr>
          <w:rFonts w:eastAsia="Calibri"/>
        </w:rPr>
        <w:t>s consistent with the risankizumab July 2019 submission</w:t>
      </w:r>
      <w:r w:rsidR="00D272C3" w:rsidRPr="005D1E8B">
        <w:rPr>
          <w:rFonts w:eastAsia="Calibri"/>
        </w:rPr>
        <w:t xml:space="preserve">. Based on the evidence </w:t>
      </w:r>
      <w:r w:rsidR="007E1EC7" w:rsidRPr="005D1E8B">
        <w:rPr>
          <w:rFonts w:eastAsia="Calibri"/>
        </w:rPr>
        <w:t>presented in July 2019</w:t>
      </w:r>
      <w:r w:rsidR="00D272C3" w:rsidRPr="005D1E8B">
        <w:rPr>
          <w:rFonts w:eastAsia="Calibri"/>
        </w:rPr>
        <w:t xml:space="preserve">, </w:t>
      </w:r>
      <w:r w:rsidRPr="005D1E8B">
        <w:rPr>
          <w:rFonts w:eastAsia="Calibri"/>
        </w:rPr>
        <w:t xml:space="preserve">the PBAC considered a claim of superior effectiveness </w:t>
      </w:r>
      <w:r w:rsidR="00E60627" w:rsidRPr="005D1E8B">
        <w:rPr>
          <w:rFonts w:eastAsia="Calibri"/>
        </w:rPr>
        <w:t>‘</w:t>
      </w:r>
      <w:r w:rsidR="00D272C3" w:rsidRPr="005D1E8B">
        <w:rPr>
          <w:rFonts w:eastAsia="Calibri"/>
        </w:rPr>
        <w:t>was reasonable</w:t>
      </w:r>
      <w:r w:rsidR="00E60627" w:rsidRPr="005D1E8B">
        <w:rPr>
          <w:rFonts w:eastAsia="Calibri"/>
        </w:rPr>
        <w:t>’</w:t>
      </w:r>
      <w:r w:rsidR="00D272C3" w:rsidRPr="005D1E8B">
        <w:rPr>
          <w:rFonts w:eastAsia="Calibri"/>
        </w:rPr>
        <w:t xml:space="preserve"> </w:t>
      </w:r>
      <w:r w:rsidRPr="005D1E8B">
        <w:rPr>
          <w:rFonts w:eastAsia="Calibri"/>
        </w:rPr>
        <w:t xml:space="preserve">versus ustekinumab </w:t>
      </w:r>
      <w:r w:rsidR="00D272C3" w:rsidRPr="005D1E8B">
        <w:rPr>
          <w:rFonts w:eastAsia="Calibri"/>
        </w:rPr>
        <w:t xml:space="preserve">and ‘may be supported’ versus </w:t>
      </w:r>
      <w:r w:rsidRPr="005D1E8B">
        <w:rPr>
          <w:rFonts w:eastAsia="Calibri"/>
        </w:rPr>
        <w:t>adalimumab, secukinumab, etanercept, infliximab, and tildrakizumab</w:t>
      </w:r>
      <w:r w:rsidR="00D272C3" w:rsidRPr="005D1E8B">
        <w:rPr>
          <w:rFonts w:eastAsia="Calibri"/>
        </w:rPr>
        <w:t xml:space="preserve">. </w:t>
      </w:r>
      <w:r w:rsidR="00687033" w:rsidRPr="005D1E8B">
        <w:rPr>
          <w:rFonts w:eastAsia="Calibri"/>
        </w:rPr>
        <w:t>However, the PBAC also considered that, based on extensive experience with biologics in clinical practice, there was unlikely to be any clinically significant difference in long-term outcomes between any of the biologic medicines. The PBAC subsequently recommended listing of risankizumab on a cost-minimisation basis to the least costly biologic</w:t>
      </w:r>
      <w:r w:rsidR="00E46CE2" w:rsidRPr="005D1E8B">
        <w:rPr>
          <w:rFonts w:eastAsia="Calibri"/>
        </w:rPr>
        <w:t xml:space="preserve"> (paragraphs 6.32 and 6.34, risankizumab PSD, July 2019)</w:t>
      </w:r>
      <w:r w:rsidR="00687033" w:rsidRPr="005D1E8B">
        <w:rPr>
          <w:rFonts w:eastAsia="Calibri"/>
        </w:rPr>
        <w:t>.</w:t>
      </w:r>
    </w:p>
    <w:p w14:paraId="3E0D9458" w14:textId="0C06B554" w:rsidR="007B01AF" w:rsidRPr="005D1E8B" w:rsidRDefault="007B01AF" w:rsidP="0055090C">
      <w:pPr>
        <w:pStyle w:val="ListParagraph"/>
        <w:numPr>
          <w:ilvl w:val="0"/>
          <w:numId w:val="35"/>
        </w:numPr>
        <w:ind w:left="1134"/>
        <w:rPr>
          <w:rFonts w:eastAsia="Calibri"/>
        </w:rPr>
      </w:pPr>
      <w:r w:rsidRPr="005D1E8B">
        <w:rPr>
          <w:rFonts w:eastAsia="Calibri"/>
        </w:rPr>
        <w:t xml:space="preserve">Based on similar evidence for bimekizumab considered at its March 2023 meeting, however, the PBAC only accepted superior effectiveness for bimekizumab versus adalimumab, etanercept and ustekinumab. The submission presented direct evidence comparing bimekizumab versus adalimumab, ustekinumab and secukinumab, and indirect evidence including published NMAs for other comparators. The PBAC noted there was no direct evidence comparing bimekizumab versus etanercept, but accepted the claim of superiority based on previous consideration of the efficacy of etanercept and the conclusion in the published NMAs. For other comparators, the PBAC noted that the interpretation of the results from indirect treatment comparisons and published NMAs was inconsistent and varied based on the risk statistic. The PBAC subsequently recommended listing of bimekizumab on a cost-minimisation basis to the least costly biologic excluding adalimumab, etanercept and ustekinumab (paragraphs 7.1, 7.9, and 7.10, bimekizumab PSD, March 2023). </w:t>
      </w:r>
    </w:p>
    <w:p w14:paraId="3444EFA9" w14:textId="4EDE5B28" w:rsidR="003728C4" w:rsidRPr="005D1E8B" w:rsidRDefault="003728C4" w:rsidP="003728C4">
      <w:pPr>
        <w:pStyle w:val="3-BodyText"/>
        <w:rPr>
          <w:rFonts w:eastAsia="Calibri"/>
        </w:rPr>
      </w:pPr>
      <w:bookmarkStart w:id="49" w:name="_Ref151450103"/>
      <w:r w:rsidRPr="005D1E8B">
        <w:rPr>
          <w:rFonts w:eastAsia="Calibri"/>
        </w:rPr>
        <w:t>The ESC noted additional information was available to assist with considering the clinical claim in the current submission</w:t>
      </w:r>
      <w:r w:rsidR="007C6E35" w:rsidRPr="005D1E8B">
        <w:rPr>
          <w:rFonts w:eastAsia="Calibri"/>
        </w:rPr>
        <w:t xml:space="preserve"> (compared to prior risankizumab submissions for CPP)</w:t>
      </w:r>
      <w:r w:rsidRPr="005D1E8B">
        <w:rPr>
          <w:rFonts w:eastAsia="Calibri"/>
        </w:rPr>
        <w:t xml:space="preserve">, including NMAs, which it considered were informative. The ESC considered the head to head evidence presented supported a claim that risankizumab is likely to </w:t>
      </w:r>
      <w:r w:rsidRPr="005D1E8B">
        <w:rPr>
          <w:rFonts w:eastAsia="Calibri"/>
        </w:rPr>
        <w:lastRenderedPageBreak/>
        <w:t xml:space="preserve">be of superior comparative effectiveness to adalimumab and ustekinumab, and the indirect evidence supported a claim that risankizumab is likely to be superior to etanercept also. With regards to the claims versus other PBS listed therapies for severe chronic plaque psoriasis, the ESC </w:t>
      </w:r>
      <w:r w:rsidR="00496B23" w:rsidRPr="005D1E8B">
        <w:rPr>
          <w:rFonts w:eastAsia="Calibri"/>
        </w:rPr>
        <w:t xml:space="preserve">noted </w:t>
      </w:r>
      <w:r w:rsidRPr="005D1E8B">
        <w:rPr>
          <w:rFonts w:eastAsia="Calibri"/>
        </w:rPr>
        <w:t>that:</w:t>
      </w:r>
      <w:bookmarkEnd w:id="49"/>
    </w:p>
    <w:p w14:paraId="53AAEA94" w14:textId="1A620446" w:rsidR="003728C4" w:rsidRPr="005D1E8B" w:rsidRDefault="003728C4" w:rsidP="0055090C">
      <w:pPr>
        <w:pStyle w:val="3-BodyText"/>
        <w:numPr>
          <w:ilvl w:val="0"/>
          <w:numId w:val="37"/>
        </w:numPr>
        <w:ind w:left="1134"/>
        <w:rPr>
          <w:rFonts w:eastAsia="Calibri"/>
        </w:rPr>
      </w:pPr>
      <w:r w:rsidRPr="005D1E8B">
        <w:rPr>
          <w:rFonts w:eastAsia="Calibri"/>
        </w:rPr>
        <w:t>For secukinumab, the direct evidence indicated no statistically significant difference for the outcome of PASI90, and the results of the NMAs were mixed, with the frequentist NMA (Sbidian 2022) not finding a statistically significant difference between risankizumab and secukinumab for PASI75</w:t>
      </w:r>
      <w:r w:rsidR="00A462B0" w:rsidRPr="005D1E8B">
        <w:rPr>
          <w:rFonts w:eastAsia="Calibri"/>
        </w:rPr>
        <w:t>. Overall, the ESC considered the claim of superior comparative effectiveness over secukinumab to be uncertain and that a claim of non-inferiority may be more appropriate.</w:t>
      </w:r>
      <w:r w:rsidR="00BB6891" w:rsidRPr="005D1E8B">
        <w:rPr>
          <w:rFonts w:eastAsia="Calibri"/>
        </w:rPr>
        <w:t xml:space="preserve"> </w:t>
      </w:r>
      <w:r w:rsidR="00D73286">
        <w:rPr>
          <w:rFonts w:eastAsia="Calibri"/>
        </w:rPr>
        <w:t xml:space="preserve">The Pre-PBAC Response </w:t>
      </w:r>
      <w:r w:rsidR="00EC54B8">
        <w:rPr>
          <w:rFonts w:eastAsia="Calibri"/>
        </w:rPr>
        <w:t>argued the Bayesian NMA (Armstrong 2022) provide</w:t>
      </w:r>
      <w:r w:rsidR="004A5F3D">
        <w:rPr>
          <w:rFonts w:eastAsia="Calibri"/>
        </w:rPr>
        <w:t>s</w:t>
      </w:r>
      <w:r w:rsidR="00EC54B8">
        <w:rPr>
          <w:rFonts w:eastAsia="Calibri"/>
        </w:rPr>
        <w:t xml:space="preserve"> a more accurate representation of the relative efficacy of each treatment </w:t>
      </w:r>
      <w:r w:rsidR="004A5F3D">
        <w:rPr>
          <w:rFonts w:eastAsia="Calibri"/>
        </w:rPr>
        <w:t>as</w:t>
      </w:r>
      <w:r w:rsidR="00EC54B8">
        <w:rPr>
          <w:rFonts w:eastAsia="Calibri"/>
        </w:rPr>
        <w:t xml:space="preserve"> unapproved doses were excluded from the base case analysis, whereas the </w:t>
      </w:r>
      <w:r w:rsidR="009E2C35">
        <w:rPr>
          <w:rFonts w:eastAsia="Calibri"/>
        </w:rPr>
        <w:t>f</w:t>
      </w:r>
      <w:r w:rsidR="00EC54B8">
        <w:rPr>
          <w:rFonts w:eastAsia="Calibri"/>
        </w:rPr>
        <w:t>requentist NMA (Sbidian 2022) included those trials in their analyses. The Response noted the results of the Bayesian NMA found a statistically significant difference in favour of risankizumab over secukinumab for PASI 75 and PASI 90 (see Table 5) and argued the importance of PASI 90 and PASI 100 as attainable treatment goals in current clinical practice emphasis</w:t>
      </w:r>
      <w:r w:rsidR="00FD6FE9">
        <w:rPr>
          <w:rFonts w:eastAsia="Calibri"/>
        </w:rPr>
        <w:t>e</w:t>
      </w:r>
      <w:r w:rsidR="00EC54B8">
        <w:rPr>
          <w:rFonts w:eastAsia="Calibri"/>
        </w:rPr>
        <w:t xml:space="preserve"> the importance of these outcomes. </w:t>
      </w:r>
    </w:p>
    <w:p w14:paraId="5EF614D8" w14:textId="3D4AA19C" w:rsidR="003728C4" w:rsidRPr="005D1E8B" w:rsidRDefault="003728C4" w:rsidP="0055090C">
      <w:pPr>
        <w:pStyle w:val="3-BodyText"/>
        <w:numPr>
          <w:ilvl w:val="0"/>
          <w:numId w:val="37"/>
        </w:numPr>
        <w:ind w:left="1134"/>
        <w:rPr>
          <w:rFonts w:eastAsia="Calibri"/>
        </w:rPr>
      </w:pPr>
      <w:bookmarkStart w:id="50" w:name="_Hlk151120457"/>
      <w:r w:rsidRPr="005D1E8B">
        <w:rPr>
          <w:rFonts w:eastAsia="Calibri"/>
        </w:rPr>
        <w:t>For tildrakizumab, while the NMA results generally found statistically significant results favouring risankizumab for PASI75 and PASI90, the results of the short-term ITCs generally did not find a statistically significant difference between risankizumab and tildrakizumab. Based on the available analyses, which were short-term only, the ESC considered the claim of superior comparative effectiveness over tildrakizumab to be uncertain and that a claim of non-inferiority may be more appropriate.</w:t>
      </w:r>
      <w:r w:rsidR="00EC54B8">
        <w:rPr>
          <w:rFonts w:eastAsia="Calibri"/>
        </w:rPr>
        <w:t xml:space="preserve"> The Pre-PBAC Response </w:t>
      </w:r>
      <w:r w:rsidR="00D57BA0">
        <w:rPr>
          <w:rFonts w:eastAsia="Calibri"/>
        </w:rPr>
        <w:t xml:space="preserve"> argued the results of the short-term ITCs demonstrated a statistically significant difference favouring risankizumab across PASI 75, PASI 90 and PASI 100 for the odds ratio and risk difference statistics, which supports the claim of superiority made in the submission. </w:t>
      </w:r>
    </w:p>
    <w:p w14:paraId="218A7D95" w14:textId="0E28CDD7" w:rsidR="003728C4" w:rsidRPr="005D1E8B" w:rsidRDefault="003728C4" w:rsidP="0055090C">
      <w:pPr>
        <w:pStyle w:val="3-BodyText"/>
        <w:numPr>
          <w:ilvl w:val="0"/>
          <w:numId w:val="37"/>
        </w:numPr>
        <w:ind w:left="1134"/>
        <w:rPr>
          <w:rFonts w:eastAsia="Calibri"/>
        </w:rPr>
      </w:pPr>
      <w:r w:rsidRPr="005D1E8B">
        <w:rPr>
          <w:rFonts w:eastAsia="Calibri"/>
        </w:rPr>
        <w:t>For bimekizumab,</w:t>
      </w:r>
      <w:r w:rsidR="00C7610F" w:rsidRPr="005D1E8B">
        <w:rPr>
          <w:rFonts w:eastAsia="Calibri"/>
        </w:rPr>
        <w:t xml:space="preserve"> ixekizumab and guselkumab,</w:t>
      </w:r>
      <w:r w:rsidRPr="005D1E8B">
        <w:rPr>
          <w:rFonts w:eastAsia="Calibri"/>
        </w:rPr>
        <w:t xml:space="preserve"> the majority of the ITC and NMA results did not find a statistically significant difference for PASI75 or PASI90. Overall, the ESC considered the claim of non-inferior comparative effectiveness was likely to be reasonable. </w:t>
      </w:r>
    </w:p>
    <w:bookmarkEnd w:id="50"/>
    <w:p w14:paraId="00435363" w14:textId="37F318C6" w:rsidR="003728C4" w:rsidRPr="005D1E8B" w:rsidRDefault="003728C4" w:rsidP="0055090C">
      <w:pPr>
        <w:pStyle w:val="3-BodyText"/>
        <w:numPr>
          <w:ilvl w:val="0"/>
          <w:numId w:val="37"/>
        </w:numPr>
        <w:ind w:left="1134"/>
        <w:rPr>
          <w:rFonts w:eastAsia="Calibri"/>
        </w:rPr>
      </w:pPr>
      <w:r w:rsidRPr="005D1E8B">
        <w:rPr>
          <w:rFonts w:eastAsia="Calibri"/>
        </w:rPr>
        <w:t xml:space="preserve">For infliximab, the ESC noted the majority of the NMA results were mixed, with the frequentist NMA (Sbidian 2022) not finding a statistically significant difference between risankizumab for either PASI75 or PASI90. </w:t>
      </w:r>
    </w:p>
    <w:p w14:paraId="6BE12E9D" w14:textId="139251C3" w:rsidR="00825B9D" w:rsidRDefault="00825B9D" w:rsidP="00825B9D">
      <w:pPr>
        <w:pStyle w:val="3-BodyText"/>
        <w:rPr>
          <w:rFonts w:eastAsia="Calibri"/>
        </w:rPr>
      </w:pPr>
      <w:r w:rsidRPr="005D1E8B">
        <w:rPr>
          <w:rFonts w:eastAsia="Calibri"/>
        </w:rPr>
        <w:t xml:space="preserve">The ESC considered the claim of non-inferior comparative safety to </w:t>
      </w:r>
      <w:r w:rsidR="004E2E35" w:rsidRPr="005D1E8B">
        <w:rPr>
          <w:rFonts w:eastAsia="Calibri"/>
        </w:rPr>
        <w:t>adalimumab, etanercept, secukinumab, tildrakizumab, ustekinumab, bimekizumab, guselkumab, and ixekizumab</w:t>
      </w:r>
      <w:r w:rsidR="00321B6E" w:rsidRPr="005D1E8B">
        <w:rPr>
          <w:rFonts w:eastAsia="Calibri"/>
        </w:rPr>
        <w:t xml:space="preserve"> was adequately supported.</w:t>
      </w:r>
      <w:r w:rsidR="004A6927">
        <w:rPr>
          <w:rFonts w:eastAsia="Calibri"/>
        </w:rPr>
        <w:t xml:space="preserve"> </w:t>
      </w:r>
    </w:p>
    <w:p w14:paraId="05B3E279" w14:textId="2E3B4DF7" w:rsidR="004A6927" w:rsidRPr="00AD27C0" w:rsidRDefault="004A6927" w:rsidP="004A6927">
      <w:pPr>
        <w:widowControl w:val="0"/>
        <w:numPr>
          <w:ilvl w:val="1"/>
          <w:numId w:val="1"/>
        </w:numPr>
        <w:spacing w:after="120"/>
        <w:rPr>
          <w:rFonts w:asciiTheme="minorHAnsi" w:hAnsiTheme="minorHAnsi"/>
          <w:snapToGrid w:val="0"/>
          <w:szCs w:val="20"/>
        </w:rPr>
      </w:pPr>
      <w:bookmarkStart w:id="51" w:name="_Ref151450153"/>
      <w:bookmarkStart w:id="52" w:name="_Hlk76376200"/>
      <w:r w:rsidRPr="00D1335A">
        <w:rPr>
          <w:rFonts w:asciiTheme="minorHAnsi" w:hAnsiTheme="minorHAnsi"/>
          <w:iCs/>
          <w:snapToGrid w:val="0"/>
        </w:rPr>
        <w:t>The</w:t>
      </w:r>
      <w:r w:rsidRPr="00D1335A">
        <w:rPr>
          <w:rFonts w:asciiTheme="minorHAnsi" w:hAnsiTheme="minorHAnsi"/>
          <w:snapToGrid w:val="0"/>
          <w:szCs w:val="20"/>
        </w:rPr>
        <w:t xml:space="preserve"> PBAC considered that the claim of superior comparative effectiveness</w:t>
      </w:r>
      <w:r w:rsidR="00D1335A" w:rsidRPr="00D1335A">
        <w:rPr>
          <w:rFonts w:asciiTheme="minorHAnsi" w:hAnsiTheme="minorHAnsi"/>
          <w:snapToGrid w:val="0"/>
          <w:szCs w:val="20"/>
        </w:rPr>
        <w:t xml:space="preserve"> to adalimumab, etanercept and ustekinumab was adequately supported by the data; </w:t>
      </w:r>
      <w:r w:rsidR="00D1335A" w:rsidRPr="00D1335A">
        <w:rPr>
          <w:rFonts w:asciiTheme="minorHAnsi" w:hAnsiTheme="minorHAnsi"/>
          <w:snapToGrid w:val="0"/>
          <w:szCs w:val="20"/>
        </w:rPr>
        <w:lastRenderedPageBreak/>
        <w:t>however, the PBAC considered the claim of superior comparative effectiveness to secukinumab and tildrakizumab was not adequately supported, and a claim of non-inferiority was more reasonable. The PBAC considered the claim of non-inferior comparative effectiveness to bimekizumab, guselkumab and ixekizumab was reasonable.</w:t>
      </w:r>
      <w:r w:rsidRPr="00D1335A">
        <w:rPr>
          <w:rFonts w:asciiTheme="minorHAnsi" w:hAnsiTheme="minorHAnsi"/>
          <w:snapToGrid w:val="0"/>
          <w:szCs w:val="20"/>
        </w:rPr>
        <w:t xml:space="preserve"> </w:t>
      </w:r>
      <w:r w:rsidR="00D1335A" w:rsidRPr="00AD27C0">
        <w:rPr>
          <w:rFonts w:asciiTheme="minorHAnsi" w:hAnsiTheme="minorHAnsi"/>
          <w:snapToGrid w:val="0"/>
          <w:szCs w:val="20"/>
        </w:rPr>
        <w:t xml:space="preserve">The PBAC provided additional advice regarding its view on infliximab, </w:t>
      </w:r>
      <w:r w:rsidR="000C0F98">
        <w:rPr>
          <w:rFonts w:asciiTheme="minorHAnsi" w:hAnsiTheme="minorHAnsi"/>
          <w:snapToGrid w:val="0"/>
          <w:szCs w:val="20"/>
        </w:rPr>
        <w:t>this</w:t>
      </w:r>
      <w:r w:rsidR="000C0F98" w:rsidRPr="00AD27C0">
        <w:rPr>
          <w:rFonts w:asciiTheme="minorHAnsi" w:hAnsiTheme="minorHAnsi"/>
          <w:snapToGrid w:val="0"/>
          <w:szCs w:val="20"/>
        </w:rPr>
        <w:t xml:space="preserve"> </w:t>
      </w:r>
      <w:r w:rsidR="00D1335A" w:rsidRPr="00AD27C0">
        <w:rPr>
          <w:rFonts w:asciiTheme="minorHAnsi" w:hAnsiTheme="minorHAnsi"/>
          <w:snapToGrid w:val="0"/>
          <w:szCs w:val="20"/>
        </w:rPr>
        <w:t>is discussed further in Section 7 (PBAC Outcome).</w:t>
      </w:r>
      <w:bookmarkEnd w:id="51"/>
    </w:p>
    <w:p w14:paraId="6F575DBC" w14:textId="03BB9F4D" w:rsidR="004A6927" w:rsidRPr="003A682F" w:rsidRDefault="004A6927" w:rsidP="004A6927">
      <w:pPr>
        <w:widowControl w:val="0"/>
        <w:numPr>
          <w:ilvl w:val="1"/>
          <w:numId w:val="1"/>
        </w:numPr>
        <w:spacing w:after="120"/>
        <w:rPr>
          <w:rFonts w:asciiTheme="minorHAnsi" w:hAnsiTheme="minorHAnsi"/>
          <w:snapToGrid w:val="0"/>
          <w:szCs w:val="20"/>
        </w:rPr>
      </w:pPr>
      <w:r w:rsidRPr="003A682F">
        <w:rPr>
          <w:rFonts w:asciiTheme="minorHAnsi" w:hAnsiTheme="minorHAnsi"/>
          <w:snapToGrid w:val="0"/>
          <w:szCs w:val="20"/>
        </w:rPr>
        <w:t xml:space="preserve">The PBAC considered that the claim of </w:t>
      </w:r>
      <w:r w:rsidR="003A682F" w:rsidRPr="003A682F">
        <w:rPr>
          <w:rFonts w:asciiTheme="minorHAnsi" w:hAnsiTheme="minorHAnsi"/>
          <w:snapToGrid w:val="0"/>
          <w:szCs w:val="20"/>
        </w:rPr>
        <w:t>non-inferior</w:t>
      </w:r>
      <w:r w:rsidRPr="003A682F">
        <w:rPr>
          <w:rFonts w:asciiTheme="minorHAnsi" w:hAnsiTheme="minorHAnsi"/>
          <w:snapToGrid w:val="0"/>
          <w:szCs w:val="20"/>
        </w:rPr>
        <w:t xml:space="preserve"> comparative safety </w:t>
      </w:r>
      <w:bookmarkEnd w:id="52"/>
      <w:r w:rsidR="003A682F" w:rsidRPr="003A682F">
        <w:rPr>
          <w:rFonts w:asciiTheme="minorHAnsi" w:hAnsiTheme="minorHAnsi"/>
          <w:snapToGrid w:val="0"/>
          <w:szCs w:val="20"/>
        </w:rPr>
        <w:t xml:space="preserve">to other bDMARDs </w:t>
      </w:r>
      <w:r w:rsidR="009E2890">
        <w:rPr>
          <w:rFonts w:asciiTheme="minorHAnsi" w:hAnsiTheme="minorHAnsi"/>
          <w:snapToGrid w:val="0"/>
          <w:lang w:val="en-GB"/>
        </w:rPr>
        <w:t>(excluding IFX)</w:t>
      </w:r>
      <w:r w:rsidR="009E2890" w:rsidRPr="003A682F">
        <w:rPr>
          <w:rFonts w:asciiTheme="minorHAnsi" w:hAnsiTheme="minorHAnsi"/>
          <w:snapToGrid w:val="0"/>
          <w:szCs w:val="20"/>
        </w:rPr>
        <w:t xml:space="preserve"> </w:t>
      </w:r>
      <w:r w:rsidR="003A682F" w:rsidRPr="003A682F">
        <w:rPr>
          <w:rFonts w:asciiTheme="minorHAnsi" w:hAnsiTheme="minorHAnsi"/>
          <w:snapToGrid w:val="0"/>
          <w:szCs w:val="20"/>
        </w:rPr>
        <w:t>for CPP was adequately supported.</w:t>
      </w:r>
    </w:p>
    <w:p w14:paraId="74A1172E" w14:textId="128C170E" w:rsidR="00B60939" w:rsidRPr="005B6D7B" w:rsidRDefault="00B60939" w:rsidP="00E9094A">
      <w:pPr>
        <w:pStyle w:val="4-SubsectionHeading"/>
      </w:pPr>
      <w:bookmarkStart w:id="53" w:name="_Toc22897645"/>
      <w:bookmarkStart w:id="54" w:name="_Toc143506206"/>
      <w:r w:rsidRPr="005B6D7B">
        <w:t>Economic analysis</w:t>
      </w:r>
      <w:bookmarkEnd w:id="53"/>
      <w:bookmarkEnd w:id="54"/>
      <w:r w:rsidR="00491B3A" w:rsidRPr="005B6D7B">
        <w:t xml:space="preserve"> </w:t>
      </w:r>
    </w:p>
    <w:p w14:paraId="2E7BFA5B" w14:textId="4BCD021D" w:rsidR="00CE2C69" w:rsidRPr="009A24F9" w:rsidRDefault="002C5E2C" w:rsidP="002C5E2C">
      <w:pPr>
        <w:pStyle w:val="3-BodyText"/>
        <w:rPr>
          <w:rFonts w:cstheme="minorHAnsi"/>
          <w:bCs/>
        </w:rPr>
      </w:pPr>
      <w:bookmarkStart w:id="55" w:name="_Toc22897646"/>
      <w:r w:rsidRPr="009A24F9">
        <w:rPr>
          <w:rFonts w:cs="Calibri"/>
          <w:snapToGrid/>
        </w:rPr>
        <w:t>Consistent with the November 2021 submission, t</w:t>
      </w:r>
      <w:r w:rsidRPr="009A24F9">
        <w:rPr>
          <w:rFonts w:cstheme="minorHAnsi"/>
          <w:bCs/>
        </w:rPr>
        <w:t>he sponsor requested the same published and effective prices for the 150 mg PFP and 150 mg PFS as the PBS-listed 75</w:t>
      </w:r>
      <w:r w:rsidR="002F5D6F">
        <w:rPr>
          <w:rFonts w:cstheme="minorHAnsi"/>
          <w:bCs/>
        </w:rPr>
        <w:t> </w:t>
      </w:r>
      <w:r w:rsidRPr="009A24F9">
        <w:rPr>
          <w:rFonts w:cstheme="minorHAnsi"/>
          <w:bCs/>
        </w:rPr>
        <w:t>mg PFS (two pack). T</w:t>
      </w:r>
      <w:r w:rsidR="00CE2C69" w:rsidRPr="009A24F9">
        <w:rPr>
          <w:rFonts w:cs="Calibri"/>
          <w:snapToGrid/>
        </w:rPr>
        <w:t xml:space="preserve">he submission presented a cost-minimisation approach comparing risankizumab </w:t>
      </w:r>
      <w:r w:rsidR="00CE2C69" w:rsidRPr="009A24F9">
        <w:t>150 mg PFP and 150 mg PFS</w:t>
      </w:r>
      <w:r w:rsidR="00CE2C69" w:rsidRPr="009A24F9">
        <w:rPr>
          <w:rFonts w:cs="Calibri"/>
          <w:snapToGrid/>
        </w:rPr>
        <w:t xml:space="preserve"> with risankizumab 75 mg PFS, assuming the 150 mg </w:t>
      </w:r>
      <w:r w:rsidR="0049287C" w:rsidRPr="009A24F9">
        <w:rPr>
          <w:rFonts w:cs="Calibri"/>
          <w:snapToGrid/>
        </w:rPr>
        <w:t>presentations</w:t>
      </w:r>
      <w:r w:rsidR="00CE2C69" w:rsidRPr="009A24F9">
        <w:rPr>
          <w:rFonts w:cs="Calibri"/>
          <w:snapToGrid/>
        </w:rPr>
        <w:t xml:space="preserve"> are equi-effective with two doses of the 75 mg </w:t>
      </w:r>
      <w:r w:rsidR="0049287C" w:rsidRPr="009A24F9">
        <w:rPr>
          <w:rFonts w:cs="Calibri"/>
          <w:snapToGrid/>
        </w:rPr>
        <w:t>PFS</w:t>
      </w:r>
      <w:r w:rsidR="00CE2C69" w:rsidRPr="009A24F9">
        <w:rPr>
          <w:rFonts w:cs="Calibri"/>
          <w:snapToGrid/>
        </w:rPr>
        <w:t xml:space="preserve"> at the same recommended dosing schedule. </w:t>
      </w:r>
      <w:r w:rsidR="00CE2C69" w:rsidRPr="009A24F9">
        <w:rPr>
          <w:rFonts w:cstheme="minorHAnsi"/>
          <w:bCs/>
        </w:rPr>
        <w:t>The submission requested no changes to the existing Special Pricing Arrangement for risankizumab in severe CPP.</w:t>
      </w:r>
    </w:p>
    <w:p w14:paraId="1D186A7D" w14:textId="4BD7B49B" w:rsidR="0049287C" w:rsidRPr="009A24F9" w:rsidRDefault="00CE2C69" w:rsidP="00144F20">
      <w:pPr>
        <w:pStyle w:val="3-BodyText"/>
        <w:rPr>
          <w:rFonts w:cs="Calibri"/>
          <w:snapToGrid/>
        </w:rPr>
      </w:pPr>
      <w:r w:rsidRPr="009A24F9">
        <w:rPr>
          <w:rFonts w:cs="Calibri"/>
          <w:snapToGrid/>
        </w:rPr>
        <w:t xml:space="preserve">At its November 2021 meeting, the PBAC considered that risankizumab 150 mg PFP and 150 mg PFS </w:t>
      </w:r>
      <w:r w:rsidR="0049287C" w:rsidRPr="009A24F9">
        <w:rPr>
          <w:rFonts w:cs="Calibri"/>
          <w:snapToGrid/>
        </w:rPr>
        <w:t>are</w:t>
      </w:r>
      <w:r w:rsidRPr="009A24F9">
        <w:rPr>
          <w:rFonts w:cs="Calibri"/>
          <w:snapToGrid/>
        </w:rPr>
        <w:t xml:space="preserve"> equivalent in efficacy and safety to two doses of risankizumab 75</w:t>
      </w:r>
      <w:r w:rsidR="006F5917" w:rsidRPr="009A24F9">
        <w:rPr>
          <w:rFonts w:cs="Calibri"/>
          <w:snapToGrid/>
        </w:rPr>
        <w:t> </w:t>
      </w:r>
      <w:r w:rsidRPr="009A24F9">
        <w:rPr>
          <w:rFonts w:cs="Calibri"/>
          <w:snapToGrid/>
        </w:rPr>
        <w:t>mg PFS</w:t>
      </w:r>
      <w:r w:rsidR="0049287C" w:rsidRPr="009A24F9">
        <w:rPr>
          <w:rFonts w:cs="Calibri"/>
          <w:snapToGrid/>
        </w:rPr>
        <w:t xml:space="preserve">, but recommended listing on a cost-minimisation basis </w:t>
      </w:r>
      <w:r w:rsidRPr="009A24F9">
        <w:rPr>
          <w:rFonts w:cs="Calibri"/>
          <w:snapToGrid/>
        </w:rPr>
        <w:t xml:space="preserve">to the lowest cost biologic agent available for severe CPP under Section 101(3B) of the Act (paragraphs 6.2 and 6.3, </w:t>
      </w:r>
      <w:r w:rsidR="002F5D6F" w:rsidRPr="009A24F9">
        <w:rPr>
          <w:rFonts w:cs="Calibri"/>
          <w:snapToGrid/>
        </w:rPr>
        <w:t>risankizumab</w:t>
      </w:r>
      <w:r w:rsidR="002F5D6F" w:rsidRPr="009A24F9" w:rsidDel="002F5D6F">
        <w:rPr>
          <w:rFonts w:cs="Calibri"/>
          <w:snapToGrid/>
        </w:rPr>
        <w:t xml:space="preserve"> </w:t>
      </w:r>
      <w:r w:rsidRPr="009A24F9">
        <w:rPr>
          <w:rFonts w:cs="Calibri"/>
          <w:snapToGrid/>
        </w:rPr>
        <w:t>PSD, November 2021).</w:t>
      </w:r>
      <w:r w:rsidR="00C7610F">
        <w:rPr>
          <w:rFonts w:cs="Calibri"/>
          <w:snapToGrid/>
        </w:rPr>
        <w:t xml:space="preserve"> </w:t>
      </w:r>
    </w:p>
    <w:p w14:paraId="09AAD435" w14:textId="1BA0992B" w:rsidR="00FA09CE" w:rsidRPr="009A24F9" w:rsidRDefault="00CE2C69" w:rsidP="002C5E2C">
      <w:pPr>
        <w:pStyle w:val="3-BodyText"/>
        <w:rPr>
          <w:rFonts w:cs="Calibri"/>
          <w:snapToGrid/>
        </w:rPr>
      </w:pPr>
      <w:r w:rsidRPr="009A24F9">
        <w:rPr>
          <w:rFonts w:cs="Calibri"/>
          <w:snapToGrid/>
        </w:rPr>
        <w:t xml:space="preserve">The submission </w:t>
      </w:r>
      <w:r w:rsidR="0049287C" w:rsidRPr="009A24F9">
        <w:rPr>
          <w:rFonts w:cs="Calibri"/>
          <w:snapToGrid/>
        </w:rPr>
        <w:t xml:space="preserve">requested that the PBAC reconsider </w:t>
      </w:r>
      <w:r w:rsidR="002C5E2C" w:rsidRPr="009A24F9">
        <w:rPr>
          <w:rFonts w:cs="Calibri"/>
          <w:snapToGrid/>
        </w:rPr>
        <w:t>this</w:t>
      </w:r>
      <w:r w:rsidR="00FA09CE" w:rsidRPr="009A24F9">
        <w:rPr>
          <w:rFonts w:cs="Calibri"/>
          <w:snapToGrid/>
        </w:rPr>
        <w:t xml:space="preserve"> </w:t>
      </w:r>
      <w:r w:rsidR="002C5E2C" w:rsidRPr="009A24F9">
        <w:rPr>
          <w:rFonts w:cs="Calibri"/>
          <w:snapToGrid/>
        </w:rPr>
        <w:t xml:space="preserve">prior </w:t>
      </w:r>
      <w:r w:rsidR="00C16135" w:rsidRPr="009A24F9">
        <w:rPr>
          <w:rFonts w:cs="Calibri"/>
          <w:snapToGrid/>
        </w:rPr>
        <w:t>advice</w:t>
      </w:r>
      <w:r w:rsidR="0049287C" w:rsidRPr="009A24F9">
        <w:rPr>
          <w:rFonts w:cs="Calibri"/>
          <w:snapToGrid/>
        </w:rPr>
        <w:t xml:space="preserve">, </w:t>
      </w:r>
      <w:r w:rsidR="00C16135" w:rsidRPr="009A24F9">
        <w:rPr>
          <w:rFonts w:cs="Calibri"/>
          <w:snapToGrid/>
        </w:rPr>
        <w:t>and argued a</w:t>
      </w:r>
      <w:r w:rsidRPr="009A24F9">
        <w:rPr>
          <w:rFonts w:cs="Calibri"/>
          <w:snapToGrid/>
        </w:rPr>
        <w:t xml:space="preserve"> new presentation of the same medicine should be </w:t>
      </w:r>
      <w:r w:rsidR="00FA09CE" w:rsidRPr="009A24F9">
        <w:rPr>
          <w:rFonts w:cs="Calibri"/>
          <w:snapToGrid/>
        </w:rPr>
        <w:t xml:space="preserve">listed on a cost-minimisation basis to the existing presentation </w:t>
      </w:r>
      <w:r w:rsidRPr="009A24F9">
        <w:rPr>
          <w:rFonts w:cs="Calibri"/>
          <w:snapToGrid/>
        </w:rPr>
        <w:t xml:space="preserve">of that medicine, </w:t>
      </w:r>
      <w:r w:rsidRPr="009A24F9">
        <w:t xml:space="preserve">rather than the lowest cost </w:t>
      </w:r>
      <w:r w:rsidR="00DB6CCC" w:rsidRPr="009A24F9">
        <w:t xml:space="preserve">alternative </w:t>
      </w:r>
      <w:r w:rsidRPr="009A24F9">
        <w:t>of different medicines</w:t>
      </w:r>
      <w:r w:rsidRPr="009A24F9">
        <w:rPr>
          <w:rFonts w:cs="Calibri"/>
          <w:snapToGrid/>
        </w:rPr>
        <w:t>. In addition, the submission argued that inferior treatments should be excluded as relevant comparators</w:t>
      </w:r>
      <w:r w:rsidR="00C16135" w:rsidRPr="009A24F9">
        <w:rPr>
          <w:rFonts w:cs="Calibri"/>
          <w:snapToGrid/>
        </w:rPr>
        <w:t xml:space="preserve"> </w:t>
      </w:r>
      <w:r w:rsidRPr="009A24F9">
        <w:rPr>
          <w:rFonts w:cs="Calibri"/>
          <w:snapToGrid/>
        </w:rPr>
        <w:t>un</w:t>
      </w:r>
      <w:r w:rsidR="0049287C" w:rsidRPr="009A24F9">
        <w:rPr>
          <w:rFonts w:cs="Calibri"/>
          <w:snapToGrid/>
        </w:rPr>
        <w:t>der Section 101(3B) of the Act</w:t>
      </w:r>
      <w:r w:rsidR="00C16135" w:rsidRPr="009A24F9">
        <w:rPr>
          <w:rFonts w:cs="Calibri"/>
          <w:snapToGrid/>
        </w:rPr>
        <w:t xml:space="preserve"> (described as ‘the alternative therapy or therapies’ in the Act)</w:t>
      </w:r>
      <w:r w:rsidR="0049287C" w:rsidRPr="009A24F9">
        <w:rPr>
          <w:rFonts w:cs="Calibri"/>
          <w:snapToGrid/>
        </w:rPr>
        <w:t xml:space="preserve">. </w:t>
      </w:r>
      <w:r w:rsidRPr="009A24F9">
        <w:rPr>
          <w:rFonts w:cs="Calibri"/>
          <w:snapToGrid/>
        </w:rPr>
        <w:t>Hence, should the PBAC reject the request to list the new presentations of risankizumab on a cost-minimisation basis to the existing presentation of risankizumab, then the submission alternatively requested listing on a cost-minimisation basis versus bimekizumab (if PBS listed), guselkumab and ixekizumab.</w:t>
      </w:r>
    </w:p>
    <w:p w14:paraId="275B3C24" w14:textId="692BB538" w:rsidR="0054254E" w:rsidRPr="009A24F9" w:rsidRDefault="00FA09CE" w:rsidP="00C3461A">
      <w:pPr>
        <w:pStyle w:val="3-BodyText"/>
        <w:rPr>
          <w:rFonts w:cs="Calibri"/>
          <w:snapToGrid/>
        </w:rPr>
      </w:pPr>
      <w:bookmarkStart w:id="56" w:name="_Ref150764583"/>
      <w:r w:rsidRPr="009A24F9">
        <w:rPr>
          <w:rFonts w:cs="Calibri"/>
          <w:snapToGrid/>
        </w:rPr>
        <w:t xml:space="preserve">From an economic perspective, </w:t>
      </w:r>
      <w:r w:rsidR="00DF3A39" w:rsidRPr="009A24F9">
        <w:t>the new presentations of risankizumab are likely ‘perfect’ substitutes for the current presentation</w:t>
      </w:r>
      <w:r w:rsidR="00284778" w:rsidRPr="009A24F9">
        <w:t xml:space="preserve">, and </w:t>
      </w:r>
      <w:r w:rsidR="00C3461A" w:rsidRPr="009A24F9">
        <w:t xml:space="preserve">the submission’s request </w:t>
      </w:r>
      <w:r w:rsidR="00C3461A" w:rsidRPr="009A24F9">
        <w:rPr>
          <w:rFonts w:cs="Calibri"/>
          <w:snapToGrid/>
        </w:rPr>
        <w:t xml:space="preserve">to list the 150 mg presentations at the same published and effective price as the 75 mg PFS (two pack) </w:t>
      </w:r>
      <w:r w:rsidR="00C3461A" w:rsidRPr="009A24F9">
        <w:t>was unlikely to influence the propensity of doctors to prescribe risankizumab compared to an alternative biologic.</w:t>
      </w:r>
      <w:r w:rsidR="00C3461A" w:rsidRPr="009A24F9" w:rsidDel="004B0A1D">
        <w:rPr>
          <w:rFonts w:cs="Calibri"/>
          <w:snapToGrid/>
        </w:rPr>
        <w:t xml:space="preserve"> </w:t>
      </w:r>
      <w:r w:rsidR="008A0BE7" w:rsidRPr="009A24F9">
        <w:rPr>
          <w:rFonts w:cs="Calibri"/>
          <w:snapToGrid/>
        </w:rPr>
        <w:t xml:space="preserve">The </w:t>
      </w:r>
      <w:r w:rsidR="00284778" w:rsidRPr="009A24F9">
        <w:rPr>
          <w:rFonts w:cs="Calibri"/>
          <w:snapToGrid/>
        </w:rPr>
        <w:t xml:space="preserve">expected economic outcomes (e.g., </w:t>
      </w:r>
      <w:r w:rsidR="008A0BE7" w:rsidRPr="009A24F9">
        <w:rPr>
          <w:rFonts w:cs="Calibri"/>
          <w:snapToGrid/>
        </w:rPr>
        <w:t xml:space="preserve">quality adjusted life years </w:t>
      </w:r>
      <w:r w:rsidR="00284778" w:rsidRPr="009A24F9">
        <w:rPr>
          <w:rFonts w:cs="Calibri"/>
          <w:snapToGrid/>
        </w:rPr>
        <w:t>and costs) are</w:t>
      </w:r>
      <w:r w:rsidR="008A0BE7" w:rsidRPr="009A24F9">
        <w:rPr>
          <w:rFonts w:cs="Calibri"/>
          <w:snapToGrid/>
        </w:rPr>
        <w:t xml:space="preserve"> therefore</w:t>
      </w:r>
      <w:r w:rsidR="00284778" w:rsidRPr="009A24F9">
        <w:rPr>
          <w:rFonts w:cs="Calibri"/>
          <w:snapToGrid/>
        </w:rPr>
        <w:t xml:space="preserve"> unlikely to change. </w:t>
      </w:r>
      <w:r w:rsidR="007B01AF" w:rsidRPr="005D1E8B">
        <w:rPr>
          <w:rFonts w:cs="Calibri"/>
          <w:snapToGrid/>
        </w:rPr>
        <w:t>The PSCR argued</w:t>
      </w:r>
      <w:r w:rsidR="007C6E35" w:rsidRPr="005D1E8B">
        <w:rPr>
          <w:rFonts w:cs="Calibri"/>
          <w:snapToGrid/>
        </w:rPr>
        <w:t xml:space="preserve"> that</w:t>
      </w:r>
      <w:r w:rsidR="000F6558" w:rsidRPr="005D1E8B">
        <w:rPr>
          <w:rFonts w:cs="Calibri"/>
          <w:snapToGrid/>
        </w:rPr>
        <w:t xml:space="preserve"> recommendations for new presentations should be on a cost minimisation basis with existing presentations, and other approaches are misaligned with policy intent to encourage innovative, user-friendly presentations that provide benefit, with the ultimate outcome being lack of access for Australian patients</w:t>
      </w:r>
      <w:r w:rsidR="007B01AF" w:rsidRPr="005D1E8B">
        <w:rPr>
          <w:rFonts w:cs="Calibri"/>
          <w:snapToGrid/>
        </w:rPr>
        <w:t xml:space="preserve">. The ESC considered </w:t>
      </w:r>
      <w:r w:rsidR="007B01AF" w:rsidRPr="005D1E8B">
        <w:rPr>
          <w:rFonts w:cs="Calibri"/>
          <w:snapToGrid/>
        </w:rPr>
        <w:lastRenderedPageBreak/>
        <w:t>the issue of whether it was reasonable for risankizumab 150 mg PFS to be listed at the same price as the 2 x 75 mg PFS pack was a policy matter for the PBAC to consider.</w:t>
      </w:r>
      <w:bookmarkEnd w:id="56"/>
      <w:r w:rsidR="007B01AF">
        <w:rPr>
          <w:rFonts w:cs="Calibri"/>
          <w:i/>
          <w:iCs/>
          <w:snapToGrid/>
        </w:rPr>
        <w:t xml:space="preserve"> </w:t>
      </w:r>
    </w:p>
    <w:p w14:paraId="5AF1D931" w14:textId="4CD412D0" w:rsidR="00CE2C69" w:rsidRPr="009A24F9" w:rsidRDefault="002C5E2C" w:rsidP="00362021">
      <w:pPr>
        <w:pStyle w:val="3-BodyText"/>
        <w:rPr>
          <w:snapToGrid/>
        </w:rPr>
      </w:pPr>
      <w:r w:rsidRPr="009A24F9">
        <w:t xml:space="preserve">For completeness, </w:t>
      </w:r>
      <w:r w:rsidR="00CE2C69" w:rsidRPr="009A24F9">
        <w:fldChar w:fldCharType="begin" w:fldLock="1"/>
      </w:r>
      <w:r w:rsidR="00CE2C69" w:rsidRPr="009A24F9">
        <w:instrText xml:space="preserve"> REF _Ref123810025 \h  \* MERGEFORMAT </w:instrText>
      </w:r>
      <w:r w:rsidR="00CE2C69" w:rsidRPr="009A24F9">
        <w:fldChar w:fldCharType="separate"/>
      </w:r>
      <w:r w:rsidR="00CD03F8" w:rsidRPr="009A24F9">
        <w:t xml:space="preserve">Table </w:t>
      </w:r>
      <w:r w:rsidR="00CD03F8" w:rsidRPr="009A24F9">
        <w:rPr>
          <w:noProof/>
        </w:rPr>
        <w:t>9</w:t>
      </w:r>
      <w:r w:rsidR="00CE2C69" w:rsidRPr="009A24F9">
        <w:fldChar w:fldCharType="end"/>
      </w:r>
      <w:r w:rsidR="00CE2C69" w:rsidRPr="009A24F9">
        <w:t xml:space="preserve"> summarises the drug costs over the first two years for all current PBS-listed treatments based on the published AEMP, and the corresponding AEMP for risankizumab 150 mg (PFP and PFS) assuming a cost minimisation approach to each treatment. The calculations are based on a similar table considered by the PBAC for bimekizumab, which included drug costs only for subcutaneous treatments as well as administration costs (</w:t>
      </w:r>
      <w:r w:rsidR="00CE2C69" w:rsidRPr="009A24F9">
        <w:rPr>
          <w:szCs w:val="18"/>
        </w:rPr>
        <w:t>MBS item 14245, $107.30 fee</w:t>
      </w:r>
      <w:r w:rsidR="00CE2C69" w:rsidRPr="009A24F9">
        <w:t xml:space="preserve">) for intravenous treatments (Table 2, </w:t>
      </w:r>
      <w:r w:rsidR="001823A7" w:rsidRPr="009A24F9">
        <w:t>bimekizumab</w:t>
      </w:r>
      <w:r w:rsidR="001823A7" w:rsidRPr="009A24F9" w:rsidDel="001823A7">
        <w:t xml:space="preserve"> </w:t>
      </w:r>
      <w:r w:rsidR="00CE2C69" w:rsidRPr="009A24F9">
        <w:t>PSD, March 2023).</w:t>
      </w:r>
      <w:r w:rsidR="0016219D" w:rsidRPr="009A24F9">
        <w:t xml:space="preserve"> It </w:t>
      </w:r>
      <w:r w:rsidR="006F5917" w:rsidRPr="009A24F9">
        <w:t>wa</w:t>
      </w:r>
      <w:r w:rsidR="0016219D" w:rsidRPr="009A24F9">
        <w:t xml:space="preserve">s </w:t>
      </w:r>
      <w:r w:rsidR="00362021" w:rsidRPr="009A24F9">
        <w:t>noted</w:t>
      </w:r>
      <w:r w:rsidR="0016219D" w:rsidRPr="009A24F9">
        <w:t xml:space="preserve"> that the parameters assumed in this table may differ to those used for the purposes of pric</w:t>
      </w:r>
      <w:r w:rsidR="006F5917" w:rsidRPr="009A24F9">
        <w:t>ing determination</w:t>
      </w:r>
      <w:r w:rsidR="0016219D" w:rsidRPr="009A24F9">
        <w:t xml:space="preserve">. </w:t>
      </w:r>
    </w:p>
    <w:p w14:paraId="74F2509A" w14:textId="5ED09132" w:rsidR="00285386" w:rsidRPr="00285386" w:rsidRDefault="00CE2C69" w:rsidP="00285386">
      <w:pPr>
        <w:pStyle w:val="TableFigureHeading"/>
        <w:rPr>
          <w:szCs w:val="16"/>
        </w:rPr>
      </w:pPr>
      <w:bookmarkStart w:id="57" w:name="_Ref123810025"/>
      <w:r w:rsidRPr="009A24F9">
        <w:t xml:space="preserve">Table </w:t>
      </w:r>
      <w:r w:rsidR="004D70E1">
        <w:fldChar w:fldCharType="begin" w:fldLock="1"/>
      </w:r>
      <w:r w:rsidR="004D70E1">
        <w:instrText xml:space="preserve"> SEQ Table \* ARABIC </w:instrText>
      </w:r>
      <w:r w:rsidR="004D70E1">
        <w:fldChar w:fldCharType="separate"/>
      </w:r>
      <w:r w:rsidR="00435AF2" w:rsidRPr="009A24F9">
        <w:rPr>
          <w:noProof/>
        </w:rPr>
        <w:t>9</w:t>
      </w:r>
      <w:r w:rsidR="004D70E1">
        <w:rPr>
          <w:noProof/>
        </w:rPr>
        <w:fldChar w:fldCharType="end"/>
      </w:r>
      <w:bookmarkEnd w:id="57"/>
      <w:r w:rsidRPr="009A24F9">
        <w:rPr>
          <w:rStyle w:val="CommentReference"/>
          <w:b/>
        </w:rPr>
        <w:t xml:space="preserve">: Comparison of treatment costs over the first two years for PBS-listed biologics for severe CPP using the published AEMP, and the corresponding AEMP for </w:t>
      </w:r>
      <w:r w:rsidR="00DB6CCC" w:rsidRPr="009A24F9">
        <w:rPr>
          <w:rStyle w:val="CommentReference"/>
          <w:b/>
        </w:rPr>
        <w:t>risankizumab</w:t>
      </w:r>
      <w:r w:rsidRPr="009A24F9">
        <w:rPr>
          <w:rStyle w:val="CommentReference"/>
          <w:b/>
        </w:rPr>
        <w:t xml:space="preserve"> from a cost-minimisation approach to each</w:t>
      </w:r>
      <w:r w:rsidR="00285386">
        <w:rPr>
          <w:rStyle w:val="CommentReference"/>
          <w:b/>
        </w:rPr>
        <w:t xml:space="preserve"> treatment.</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9: Comparison of treatment costs over the first two years for PBS-listed biologics for severe CPP using the published AEMP, and the corresponding AEMP for risankizumab from a cost-minimisation approach to each treatment."/>
      </w:tblPr>
      <w:tblGrid>
        <w:gridCol w:w="693"/>
        <w:gridCol w:w="3874"/>
        <w:gridCol w:w="1111"/>
        <w:gridCol w:w="1244"/>
        <w:gridCol w:w="968"/>
        <w:gridCol w:w="1037"/>
      </w:tblGrid>
      <w:tr w:rsidR="006F5917" w:rsidRPr="009A24F9" w14:paraId="070BDA67" w14:textId="77777777" w:rsidTr="00D0222D">
        <w:trPr>
          <w:trHeight w:val="469"/>
        </w:trPr>
        <w:tc>
          <w:tcPr>
            <w:tcW w:w="388" w:type="pct"/>
            <w:shd w:val="clear" w:color="auto" w:fill="auto"/>
            <w:tcMar>
              <w:left w:w="28" w:type="dxa"/>
              <w:right w:w="28" w:type="dxa"/>
            </w:tcMar>
            <w:vAlign w:val="center"/>
          </w:tcPr>
          <w:p w14:paraId="4DF066B4" w14:textId="77777777" w:rsidR="00CE2C69" w:rsidRPr="009A24F9" w:rsidRDefault="00CE2C69" w:rsidP="007A4A2F">
            <w:pPr>
              <w:pStyle w:val="In-tableHeading"/>
              <w:rPr>
                <w:bCs/>
                <w:sz w:val="18"/>
                <w:szCs w:val="18"/>
                <w:lang w:val="en-AU"/>
              </w:rPr>
            </w:pPr>
            <w:r w:rsidRPr="009A24F9">
              <w:rPr>
                <w:bCs/>
                <w:sz w:val="18"/>
                <w:szCs w:val="18"/>
                <w:lang w:val="en-AU"/>
              </w:rPr>
              <w:t>Drug</w:t>
            </w:r>
          </w:p>
        </w:tc>
        <w:tc>
          <w:tcPr>
            <w:tcW w:w="2170" w:type="pct"/>
            <w:shd w:val="clear" w:color="auto" w:fill="auto"/>
            <w:tcMar>
              <w:left w:w="28" w:type="dxa"/>
              <w:right w:w="28" w:type="dxa"/>
            </w:tcMar>
            <w:vAlign w:val="center"/>
          </w:tcPr>
          <w:p w14:paraId="1AA0F709" w14:textId="77777777" w:rsidR="00CE2C69" w:rsidRPr="009A24F9" w:rsidRDefault="00CE2C69" w:rsidP="007A4A2F">
            <w:pPr>
              <w:pStyle w:val="In-tableHeading"/>
              <w:rPr>
                <w:bCs/>
                <w:sz w:val="18"/>
                <w:szCs w:val="18"/>
                <w:lang w:val="en-AU"/>
              </w:rPr>
            </w:pPr>
            <w:r w:rsidRPr="009A24F9">
              <w:rPr>
                <w:bCs/>
                <w:sz w:val="18"/>
                <w:szCs w:val="18"/>
                <w:lang w:val="en-AU"/>
              </w:rPr>
              <w:t>Dosing Regimen</w:t>
            </w:r>
          </w:p>
        </w:tc>
        <w:tc>
          <w:tcPr>
            <w:tcW w:w="622" w:type="pct"/>
            <w:shd w:val="clear" w:color="auto" w:fill="auto"/>
            <w:vAlign w:val="center"/>
          </w:tcPr>
          <w:p w14:paraId="2C31E079" w14:textId="77777777" w:rsidR="00CE2C69" w:rsidRPr="009A24F9" w:rsidRDefault="00CE2C69" w:rsidP="007A4A2F">
            <w:pPr>
              <w:pStyle w:val="In-tableHeading"/>
              <w:jc w:val="center"/>
              <w:rPr>
                <w:bCs/>
                <w:sz w:val="18"/>
                <w:szCs w:val="18"/>
                <w:lang w:val="en-AU"/>
              </w:rPr>
            </w:pPr>
            <w:r w:rsidRPr="009A24F9">
              <w:rPr>
                <w:bCs/>
                <w:sz w:val="18"/>
                <w:szCs w:val="18"/>
                <w:lang w:val="en-AU"/>
              </w:rPr>
              <w:t>Published AEMP</w:t>
            </w:r>
          </w:p>
        </w:tc>
        <w:tc>
          <w:tcPr>
            <w:tcW w:w="697" w:type="pct"/>
            <w:vAlign w:val="center"/>
          </w:tcPr>
          <w:p w14:paraId="107D5162" w14:textId="77777777" w:rsidR="00CE2C69" w:rsidRPr="009A24F9" w:rsidRDefault="00CE2C69" w:rsidP="007A4A2F">
            <w:pPr>
              <w:pStyle w:val="In-tableHeading"/>
              <w:jc w:val="center"/>
              <w:rPr>
                <w:bCs/>
                <w:sz w:val="18"/>
                <w:szCs w:val="18"/>
                <w:lang w:val="en-AU"/>
              </w:rPr>
            </w:pPr>
            <w:r w:rsidRPr="009A24F9">
              <w:rPr>
                <w:bCs/>
                <w:sz w:val="18"/>
                <w:szCs w:val="18"/>
                <w:lang w:val="en-AU"/>
              </w:rPr>
              <w:t>Doses over two years</w:t>
            </w:r>
          </w:p>
        </w:tc>
        <w:tc>
          <w:tcPr>
            <w:tcW w:w="542" w:type="pct"/>
            <w:shd w:val="clear" w:color="auto" w:fill="auto"/>
            <w:tcMar>
              <w:left w:w="28" w:type="dxa"/>
              <w:right w:w="28" w:type="dxa"/>
            </w:tcMar>
            <w:vAlign w:val="center"/>
          </w:tcPr>
          <w:p w14:paraId="32A7E4C2" w14:textId="77777777" w:rsidR="00CE2C69" w:rsidRPr="009A24F9" w:rsidRDefault="00CE2C69" w:rsidP="007A4A2F">
            <w:pPr>
              <w:pStyle w:val="In-tableHeading"/>
              <w:jc w:val="center"/>
              <w:rPr>
                <w:bCs/>
                <w:sz w:val="18"/>
                <w:szCs w:val="18"/>
                <w:lang w:val="en-AU"/>
              </w:rPr>
            </w:pPr>
            <w:r w:rsidRPr="009A24F9">
              <w:rPr>
                <w:bCs/>
                <w:sz w:val="18"/>
                <w:szCs w:val="18"/>
                <w:lang w:val="en-AU"/>
              </w:rPr>
              <w:t>Cost over two years</w:t>
            </w:r>
          </w:p>
        </w:tc>
        <w:tc>
          <w:tcPr>
            <w:tcW w:w="581" w:type="pct"/>
            <w:shd w:val="clear" w:color="auto" w:fill="auto"/>
            <w:vAlign w:val="center"/>
          </w:tcPr>
          <w:p w14:paraId="6DFFBD3E" w14:textId="77777777" w:rsidR="00CE2C69" w:rsidRPr="009A24F9" w:rsidRDefault="00CE2C69" w:rsidP="007A4A2F">
            <w:pPr>
              <w:pStyle w:val="In-tableHeading"/>
              <w:jc w:val="center"/>
              <w:rPr>
                <w:bCs/>
                <w:sz w:val="18"/>
                <w:szCs w:val="18"/>
                <w:lang w:val="en-AU"/>
              </w:rPr>
            </w:pPr>
            <w:r w:rsidRPr="009A24F9">
              <w:rPr>
                <w:bCs/>
                <w:sz w:val="18"/>
                <w:szCs w:val="18"/>
                <w:lang w:val="en-AU"/>
              </w:rPr>
              <w:t>RIS 150 mg AEMP (CMA)</w:t>
            </w:r>
          </w:p>
        </w:tc>
      </w:tr>
      <w:tr w:rsidR="006F5917" w:rsidRPr="009A24F9" w14:paraId="5AE4A1CE" w14:textId="77777777" w:rsidTr="00D0222D">
        <w:tc>
          <w:tcPr>
            <w:tcW w:w="388" w:type="pct"/>
            <w:shd w:val="clear" w:color="auto" w:fill="auto"/>
            <w:tcMar>
              <w:left w:w="28" w:type="dxa"/>
              <w:right w:w="28" w:type="dxa"/>
            </w:tcMar>
            <w:vAlign w:val="center"/>
          </w:tcPr>
          <w:p w14:paraId="6CC66407" w14:textId="77777777" w:rsidR="00CE2C69" w:rsidRPr="009A24F9" w:rsidRDefault="00CE2C69" w:rsidP="007A4A2F">
            <w:pPr>
              <w:pStyle w:val="TableText0"/>
              <w:rPr>
                <w:sz w:val="18"/>
                <w:szCs w:val="18"/>
              </w:rPr>
            </w:pPr>
            <w:r w:rsidRPr="009A24F9">
              <w:rPr>
                <w:sz w:val="18"/>
                <w:szCs w:val="18"/>
              </w:rPr>
              <w:t xml:space="preserve">RIS </w:t>
            </w:r>
          </w:p>
          <w:p w14:paraId="11F84CBE" w14:textId="77777777" w:rsidR="00CE2C69" w:rsidRPr="009A24F9" w:rsidRDefault="00CE2C69" w:rsidP="007A4A2F">
            <w:pPr>
              <w:pStyle w:val="TableText0"/>
              <w:rPr>
                <w:sz w:val="18"/>
                <w:szCs w:val="18"/>
              </w:rPr>
            </w:pPr>
            <w:r w:rsidRPr="009A24F9">
              <w:rPr>
                <w:sz w:val="18"/>
                <w:szCs w:val="18"/>
              </w:rPr>
              <w:t>(150 mg)</w:t>
            </w:r>
          </w:p>
        </w:tc>
        <w:tc>
          <w:tcPr>
            <w:tcW w:w="2170" w:type="pct"/>
            <w:shd w:val="clear" w:color="auto" w:fill="auto"/>
            <w:tcMar>
              <w:left w:w="28" w:type="dxa"/>
              <w:right w:w="28" w:type="dxa"/>
            </w:tcMar>
            <w:vAlign w:val="center"/>
          </w:tcPr>
          <w:p w14:paraId="7DA4D396" w14:textId="77777777" w:rsidR="00CE2C69" w:rsidRPr="009A24F9" w:rsidRDefault="00CE2C69" w:rsidP="007A4A2F">
            <w:pPr>
              <w:pStyle w:val="TableText0"/>
              <w:rPr>
                <w:sz w:val="18"/>
                <w:szCs w:val="18"/>
              </w:rPr>
            </w:pPr>
            <w:r w:rsidRPr="009A24F9">
              <w:rPr>
                <w:sz w:val="18"/>
                <w:szCs w:val="18"/>
              </w:rPr>
              <w:t>150 mg SC injection (1 injection of 150 mg) at Weeks 0, 4 and Q12W thereafter</w:t>
            </w:r>
          </w:p>
        </w:tc>
        <w:tc>
          <w:tcPr>
            <w:tcW w:w="622" w:type="pct"/>
            <w:shd w:val="clear" w:color="auto" w:fill="auto"/>
            <w:vAlign w:val="center"/>
          </w:tcPr>
          <w:p w14:paraId="37561508" w14:textId="6DBC966D" w:rsidR="00CE2C69" w:rsidRPr="009A24F9" w:rsidRDefault="00CE2C69" w:rsidP="002D727B">
            <w:pPr>
              <w:pStyle w:val="TableText0"/>
              <w:jc w:val="center"/>
              <w:rPr>
                <w:sz w:val="18"/>
                <w:szCs w:val="18"/>
              </w:rPr>
            </w:pPr>
            <w:r w:rsidRPr="009A24F9">
              <w:rPr>
                <w:sz w:val="18"/>
                <w:szCs w:val="18"/>
              </w:rPr>
              <w:t>$5,239.29</w:t>
            </w:r>
          </w:p>
        </w:tc>
        <w:tc>
          <w:tcPr>
            <w:tcW w:w="697" w:type="pct"/>
            <w:vAlign w:val="center"/>
          </w:tcPr>
          <w:p w14:paraId="7C71B157" w14:textId="77777777" w:rsidR="00CE2C69" w:rsidRPr="00CD410A" w:rsidRDefault="00CE2C69" w:rsidP="007A4A2F">
            <w:pPr>
              <w:pStyle w:val="TableText0"/>
              <w:jc w:val="center"/>
              <w:rPr>
                <w:sz w:val="18"/>
                <w:szCs w:val="18"/>
              </w:rPr>
            </w:pPr>
            <w:r w:rsidRPr="00CD410A">
              <w:rPr>
                <w:sz w:val="18"/>
                <w:szCs w:val="18"/>
              </w:rPr>
              <w:t>9.33</w:t>
            </w:r>
          </w:p>
        </w:tc>
        <w:tc>
          <w:tcPr>
            <w:tcW w:w="542" w:type="pct"/>
            <w:shd w:val="clear" w:color="auto" w:fill="auto"/>
            <w:tcMar>
              <w:left w:w="28" w:type="dxa"/>
              <w:right w:w="28" w:type="dxa"/>
            </w:tcMar>
            <w:vAlign w:val="center"/>
          </w:tcPr>
          <w:p w14:paraId="30AD43DA" w14:textId="77777777" w:rsidR="00CE2C69" w:rsidRPr="00CD410A" w:rsidRDefault="00CE2C69" w:rsidP="007A4A2F">
            <w:pPr>
              <w:pStyle w:val="TableText0"/>
              <w:jc w:val="center"/>
              <w:rPr>
                <w:sz w:val="18"/>
                <w:szCs w:val="18"/>
              </w:rPr>
            </w:pPr>
            <w:r w:rsidRPr="00CD410A">
              <w:rPr>
                <w:sz w:val="18"/>
                <w:szCs w:val="18"/>
              </w:rPr>
              <w:t>$48,882.58</w:t>
            </w:r>
          </w:p>
        </w:tc>
        <w:tc>
          <w:tcPr>
            <w:tcW w:w="581" w:type="pct"/>
            <w:shd w:val="clear" w:color="auto" w:fill="auto"/>
            <w:vAlign w:val="center"/>
          </w:tcPr>
          <w:p w14:paraId="0210D5BF" w14:textId="77777777" w:rsidR="00CE2C69" w:rsidRPr="00CD410A" w:rsidRDefault="00CE2C69" w:rsidP="007A4A2F">
            <w:pPr>
              <w:pStyle w:val="TableText0"/>
              <w:jc w:val="center"/>
              <w:rPr>
                <w:sz w:val="18"/>
                <w:szCs w:val="18"/>
              </w:rPr>
            </w:pPr>
            <w:r w:rsidRPr="00CD410A">
              <w:rPr>
                <w:sz w:val="18"/>
                <w:szCs w:val="18"/>
              </w:rPr>
              <w:t>$5,239.29</w:t>
            </w:r>
          </w:p>
        </w:tc>
      </w:tr>
      <w:tr w:rsidR="006F5917" w:rsidRPr="009A24F9" w14:paraId="3EC955BF" w14:textId="77777777" w:rsidTr="00D0222D">
        <w:tc>
          <w:tcPr>
            <w:tcW w:w="5000" w:type="pct"/>
            <w:gridSpan w:val="6"/>
            <w:shd w:val="clear" w:color="auto" w:fill="auto"/>
            <w:tcMar>
              <w:left w:w="28" w:type="dxa"/>
              <w:right w:w="28" w:type="dxa"/>
            </w:tcMar>
            <w:vAlign w:val="center"/>
          </w:tcPr>
          <w:p w14:paraId="10203621" w14:textId="77777777" w:rsidR="00CE2C69" w:rsidRPr="00CD410A" w:rsidRDefault="00CE2C69" w:rsidP="007A4A2F">
            <w:pPr>
              <w:pStyle w:val="TableText0"/>
              <w:rPr>
                <w:b/>
                <w:bCs w:val="0"/>
                <w:sz w:val="18"/>
                <w:szCs w:val="18"/>
              </w:rPr>
            </w:pPr>
            <w:r w:rsidRPr="00CD410A">
              <w:rPr>
                <w:b/>
                <w:bCs w:val="0"/>
                <w:sz w:val="18"/>
                <w:szCs w:val="18"/>
              </w:rPr>
              <w:t>Other biologics</w:t>
            </w:r>
          </w:p>
        </w:tc>
      </w:tr>
      <w:tr w:rsidR="006F5917" w:rsidRPr="009A24F9" w14:paraId="71B54BDE" w14:textId="77777777" w:rsidTr="00D0222D">
        <w:tc>
          <w:tcPr>
            <w:tcW w:w="388" w:type="pct"/>
            <w:shd w:val="clear" w:color="auto" w:fill="auto"/>
            <w:tcMar>
              <w:left w:w="28" w:type="dxa"/>
              <w:right w:w="28" w:type="dxa"/>
            </w:tcMar>
            <w:vAlign w:val="center"/>
          </w:tcPr>
          <w:p w14:paraId="4CEB5E59" w14:textId="77777777" w:rsidR="00CE2C69" w:rsidRPr="009A24F9" w:rsidRDefault="00CE2C69" w:rsidP="007A4A2F">
            <w:pPr>
              <w:pStyle w:val="TableText0"/>
              <w:rPr>
                <w:sz w:val="18"/>
                <w:szCs w:val="18"/>
              </w:rPr>
            </w:pPr>
            <w:r w:rsidRPr="009A24F9">
              <w:rPr>
                <w:sz w:val="18"/>
                <w:szCs w:val="18"/>
              </w:rPr>
              <w:t>GUS</w:t>
            </w:r>
          </w:p>
        </w:tc>
        <w:tc>
          <w:tcPr>
            <w:tcW w:w="2170" w:type="pct"/>
            <w:shd w:val="clear" w:color="auto" w:fill="auto"/>
            <w:tcMar>
              <w:left w:w="28" w:type="dxa"/>
              <w:right w:w="28" w:type="dxa"/>
            </w:tcMar>
            <w:vAlign w:val="center"/>
          </w:tcPr>
          <w:p w14:paraId="7C8F4DA0" w14:textId="77777777" w:rsidR="00CE2C69" w:rsidRPr="009A24F9" w:rsidRDefault="00CE2C69" w:rsidP="007A4A2F">
            <w:pPr>
              <w:pStyle w:val="TableText0"/>
              <w:rPr>
                <w:sz w:val="18"/>
                <w:szCs w:val="18"/>
              </w:rPr>
            </w:pPr>
            <w:r w:rsidRPr="009A24F9">
              <w:rPr>
                <w:sz w:val="18"/>
                <w:szCs w:val="18"/>
              </w:rPr>
              <w:t>100 mg SC injection at Weeks 0, 4 and Q8W thereafter</w:t>
            </w:r>
          </w:p>
        </w:tc>
        <w:tc>
          <w:tcPr>
            <w:tcW w:w="622" w:type="pct"/>
            <w:shd w:val="clear" w:color="auto" w:fill="auto"/>
            <w:vAlign w:val="center"/>
          </w:tcPr>
          <w:p w14:paraId="20A1F667" w14:textId="365D38AA" w:rsidR="00CE2C69" w:rsidRPr="009A24F9" w:rsidRDefault="00CE2C69" w:rsidP="002D727B">
            <w:pPr>
              <w:pStyle w:val="TableText0"/>
              <w:jc w:val="center"/>
              <w:rPr>
                <w:sz w:val="18"/>
                <w:szCs w:val="18"/>
              </w:rPr>
            </w:pPr>
            <w:r w:rsidRPr="009A24F9">
              <w:rPr>
                <w:sz w:val="18"/>
                <w:szCs w:val="18"/>
              </w:rPr>
              <w:t>$3,634.62</w:t>
            </w:r>
          </w:p>
        </w:tc>
        <w:tc>
          <w:tcPr>
            <w:tcW w:w="697" w:type="pct"/>
            <w:vAlign w:val="center"/>
          </w:tcPr>
          <w:p w14:paraId="007689E4" w14:textId="77777777" w:rsidR="00CE2C69" w:rsidRPr="00CD410A" w:rsidRDefault="00CE2C69" w:rsidP="007A4A2F">
            <w:pPr>
              <w:pStyle w:val="TableText0"/>
              <w:jc w:val="center"/>
              <w:rPr>
                <w:sz w:val="18"/>
                <w:szCs w:val="18"/>
              </w:rPr>
            </w:pPr>
            <w:r w:rsidRPr="00CD410A">
              <w:rPr>
                <w:sz w:val="18"/>
                <w:szCs w:val="18"/>
              </w:rPr>
              <w:t>13.5</w:t>
            </w:r>
          </w:p>
        </w:tc>
        <w:tc>
          <w:tcPr>
            <w:tcW w:w="542" w:type="pct"/>
            <w:shd w:val="clear" w:color="auto" w:fill="auto"/>
            <w:tcMar>
              <w:left w:w="28" w:type="dxa"/>
              <w:right w:w="28" w:type="dxa"/>
            </w:tcMar>
            <w:vAlign w:val="center"/>
          </w:tcPr>
          <w:p w14:paraId="5E949358" w14:textId="77777777" w:rsidR="00CE2C69" w:rsidRPr="00CD410A" w:rsidRDefault="00CE2C69" w:rsidP="007A4A2F">
            <w:pPr>
              <w:pStyle w:val="TableText0"/>
              <w:jc w:val="center"/>
              <w:rPr>
                <w:sz w:val="18"/>
                <w:szCs w:val="18"/>
              </w:rPr>
            </w:pPr>
            <w:r w:rsidRPr="00CD410A">
              <w:rPr>
                <w:sz w:val="18"/>
                <w:szCs w:val="18"/>
              </w:rPr>
              <w:t>$49,067.37</w:t>
            </w:r>
          </w:p>
        </w:tc>
        <w:tc>
          <w:tcPr>
            <w:tcW w:w="581" w:type="pct"/>
            <w:shd w:val="clear" w:color="auto" w:fill="auto"/>
            <w:vAlign w:val="center"/>
          </w:tcPr>
          <w:p w14:paraId="04E5748F" w14:textId="11887774" w:rsidR="00CE2C69" w:rsidRPr="00CD410A" w:rsidRDefault="005D4A48" w:rsidP="005D4A48">
            <w:pPr>
              <w:pStyle w:val="TableText0"/>
              <w:jc w:val="center"/>
              <w:rPr>
                <w:sz w:val="18"/>
                <w:szCs w:val="18"/>
              </w:rPr>
            </w:pPr>
            <w:r w:rsidRPr="00CD410A">
              <w:rPr>
                <w:sz w:val="18"/>
                <w:szCs w:val="18"/>
              </w:rPr>
              <w:t>$5</w:t>
            </w:r>
            <w:r w:rsidR="00226D2A" w:rsidRPr="00CD410A">
              <w:rPr>
                <w:sz w:val="18"/>
                <w:szCs w:val="18"/>
              </w:rPr>
              <w:t>,</w:t>
            </w:r>
            <w:r w:rsidRPr="00CD410A">
              <w:rPr>
                <w:sz w:val="18"/>
                <w:szCs w:val="18"/>
              </w:rPr>
              <w:t>259.10</w:t>
            </w:r>
          </w:p>
        </w:tc>
      </w:tr>
      <w:tr w:rsidR="006F5917" w:rsidRPr="009A24F9" w14:paraId="68BC7875" w14:textId="77777777" w:rsidTr="00D0222D">
        <w:tc>
          <w:tcPr>
            <w:tcW w:w="388" w:type="pct"/>
            <w:shd w:val="clear" w:color="auto" w:fill="auto"/>
            <w:tcMar>
              <w:left w:w="28" w:type="dxa"/>
              <w:right w:w="28" w:type="dxa"/>
            </w:tcMar>
            <w:vAlign w:val="center"/>
          </w:tcPr>
          <w:p w14:paraId="532C6D26" w14:textId="77777777" w:rsidR="005D4A48" w:rsidRPr="009A24F9" w:rsidRDefault="005D4A48" w:rsidP="005D4A48">
            <w:pPr>
              <w:pStyle w:val="TableText0"/>
              <w:rPr>
                <w:sz w:val="18"/>
                <w:szCs w:val="18"/>
              </w:rPr>
            </w:pPr>
            <w:r w:rsidRPr="009A24F9">
              <w:rPr>
                <w:sz w:val="18"/>
                <w:szCs w:val="18"/>
              </w:rPr>
              <w:t xml:space="preserve">RIS </w:t>
            </w:r>
          </w:p>
          <w:p w14:paraId="6A641B0D" w14:textId="77777777" w:rsidR="005D4A48" w:rsidRPr="009A24F9" w:rsidRDefault="005D4A48" w:rsidP="005D4A48">
            <w:pPr>
              <w:pStyle w:val="TableText0"/>
              <w:rPr>
                <w:sz w:val="18"/>
                <w:szCs w:val="18"/>
              </w:rPr>
            </w:pPr>
            <w:r w:rsidRPr="009A24F9">
              <w:rPr>
                <w:sz w:val="18"/>
                <w:szCs w:val="18"/>
              </w:rPr>
              <w:t>(75 mg)</w:t>
            </w:r>
          </w:p>
        </w:tc>
        <w:tc>
          <w:tcPr>
            <w:tcW w:w="2170" w:type="pct"/>
            <w:shd w:val="clear" w:color="auto" w:fill="auto"/>
            <w:tcMar>
              <w:left w:w="28" w:type="dxa"/>
              <w:right w:w="28" w:type="dxa"/>
            </w:tcMar>
            <w:vAlign w:val="center"/>
          </w:tcPr>
          <w:p w14:paraId="1D6EB02B" w14:textId="77777777" w:rsidR="005D4A48" w:rsidRPr="009A24F9" w:rsidRDefault="005D4A48" w:rsidP="005D4A48">
            <w:pPr>
              <w:pStyle w:val="TableText0"/>
              <w:rPr>
                <w:sz w:val="18"/>
                <w:szCs w:val="18"/>
              </w:rPr>
            </w:pPr>
            <w:r w:rsidRPr="009A24F9">
              <w:rPr>
                <w:sz w:val="18"/>
                <w:szCs w:val="18"/>
              </w:rPr>
              <w:t>150 mg SC injection (2 injections of 75 mg) at Weeks 0, 4 and Q12W thereafter</w:t>
            </w:r>
          </w:p>
        </w:tc>
        <w:tc>
          <w:tcPr>
            <w:tcW w:w="622" w:type="pct"/>
            <w:shd w:val="clear" w:color="auto" w:fill="auto"/>
            <w:vAlign w:val="center"/>
          </w:tcPr>
          <w:p w14:paraId="3A69316C" w14:textId="582E0924" w:rsidR="005D4A48" w:rsidRPr="009A24F9" w:rsidRDefault="005D4A48" w:rsidP="002D727B">
            <w:pPr>
              <w:pStyle w:val="TableText0"/>
              <w:jc w:val="center"/>
              <w:rPr>
                <w:sz w:val="18"/>
                <w:szCs w:val="18"/>
              </w:rPr>
            </w:pPr>
            <w:r w:rsidRPr="009A24F9">
              <w:rPr>
                <w:sz w:val="18"/>
                <w:szCs w:val="18"/>
              </w:rPr>
              <w:t>$5,239.29</w:t>
            </w:r>
          </w:p>
        </w:tc>
        <w:tc>
          <w:tcPr>
            <w:tcW w:w="697" w:type="pct"/>
            <w:vAlign w:val="center"/>
          </w:tcPr>
          <w:p w14:paraId="7099C0DE" w14:textId="77777777" w:rsidR="005D4A48" w:rsidRPr="00CD410A" w:rsidRDefault="005D4A48" w:rsidP="005D4A48">
            <w:pPr>
              <w:pStyle w:val="TableText0"/>
              <w:jc w:val="center"/>
              <w:rPr>
                <w:sz w:val="18"/>
                <w:szCs w:val="18"/>
              </w:rPr>
            </w:pPr>
            <w:r w:rsidRPr="00CD410A">
              <w:rPr>
                <w:sz w:val="18"/>
                <w:szCs w:val="18"/>
              </w:rPr>
              <w:t>9.33</w:t>
            </w:r>
          </w:p>
        </w:tc>
        <w:tc>
          <w:tcPr>
            <w:tcW w:w="542" w:type="pct"/>
            <w:shd w:val="clear" w:color="auto" w:fill="auto"/>
            <w:tcMar>
              <w:left w:w="28" w:type="dxa"/>
              <w:right w:w="28" w:type="dxa"/>
            </w:tcMar>
            <w:vAlign w:val="center"/>
          </w:tcPr>
          <w:p w14:paraId="5588ED2C" w14:textId="77777777" w:rsidR="005D4A48" w:rsidRPr="00CD410A" w:rsidRDefault="005D4A48" w:rsidP="005D4A48">
            <w:pPr>
              <w:pStyle w:val="TableText0"/>
              <w:jc w:val="center"/>
              <w:rPr>
                <w:sz w:val="18"/>
                <w:szCs w:val="18"/>
              </w:rPr>
            </w:pPr>
            <w:r w:rsidRPr="00CD410A">
              <w:rPr>
                <w:sz w:val="18"/>
                <w:szCs w:val="18"/>
              </w:rPr>
              <w:t>$48,882.58</w:t>
            </w:r>
          </w:p>
        </w:tc>
        <w:tc>
          <w:tcPr>
            <w:tcW w:w="581" w:type="pct"/>
            <w:shd w:val="clear" w:color="auto" w:fill="auto"/>
            <w:vAlign w:val="center"/>
          </w:tcPr>
          <w:p w14:paraId="00FF99D0" w14:textId="44C3DD63" w:rsidR="005D4A48" w:rsidRPr="00CD410A" w:rsidRDefault="005D4A48" w:rsidP="005D4A48">
            <w:pPr>
              <w:pStyle w:val="TableText0"/>
              <w:jc w:val="center"/>
              <w:rPr>
                <w:sz w:val="18"/>
                <w:szCs w:val="18"/>
              </w:rPr>
            </w:pPr>
            <w:r w:rsidRPr="00CD410A">
              <w:rPr>
                <w:sz w:val="18"/>
                <w:szCs w:val="18"/>
              </w:rPr>
              <w:t>$5,239.29</w:t>
            </w:r>
          </w:p>
        </w:tc>
      </w:tr>
      <w:tr w:rsidR="006F5917" w:rsidRPr="009A24F9" w14:paraId="38360944" w14:textId="77777777" w:rsidTr="00D0222D">
        <w:tc>
          <w:tcPr>
            <w:tcW w:w="388" w:type="pct"/>
            <w:shd w:val="clear" w:color="auto" w:fill="auto"/>
            <w:tcMar>
              <w:left w:w="28" w:type="dxa"/>
              <w:right w:w="28" w:type="dxa"/>
            </w:tcMar>
            <w:vAlign w:val="center"/>
          </w:tcPr>
          <w:p w14:paraId="21660DAE" w14:textId="77777777" w:rsidR="005D4A48" w:rsidRPr="009A24F9" w:rsidRDefault="005D4A48" w:rsidP="005D4A48">
            <w:pPr>
              <w:pStyle w:val="TableText0"/>
              <w:rPr>
                <w:sz w:val="18"/>
                <w:szCs w:val="18"/>
              </w:rPr>
            </w:pPr>
            <w:r w:rsidRPr="009A24F9">
              <w:rPr>
                <w:sz w:val="18"/>
                <w:szCs w:val="18"/>
              </w:rPr>
              <w:t>IXE</w:t>
            </w:r>
          </w:p>
        </w:tc>
        <w:tc>
          <w:tcPr>
            <w:tcW w:w="2170" w:type="pct"/>
            <w:shd w:val="clear" w:color="auto" w:fill="auto"/>
            <w:tcMar>
              <w:left w:w="28" w:type="dxa"/>
              <w:right w:w="28" w:type="dxa"/>
            </w:tcMar>
            <w:vAlign w:val="center"/>
          </w:tcPr>
          <w:p w14:paraId="63277DBD" w14:textId="77777777" w:rsidR="005D4A48" w:rsidRPr="009A24F9" w:rsidRDefault="005D4A48" w:rsidP="005D4A48">
            <w:pPr>
              <w:pStyle w:val="TableText0"/>
              <w:rPr>
                <w:sz w:val="18"/>
                <w:szCs w:val="18"/>
              </w:rPr>
            </w:pPr>
            <w:r w:rsidRPr="009A24F9">
              <w:rPr>
                <w:sz w:val="18"/>
                <w:szCs w:val="18"/>
              </w:rPr>
              <w:t>160 mg SC injection (2 injections of 80 mg) at Week 0, 80 mg Q2W from Weeks 2 to 12 and Q4W thereafter</w:t>
            </w:r>
          </w:p>
        </w:tc>
        <w:tc>
          <w:tcPr>
            <w:tcW w:w="622" w:type="pct"/>
            <w:shd w:val="clear" w:color="auto" w:fill="auto"/>
            <w:vAlign w:val="center"/>
          </w:tcPr>
          <w:p w14:paraId="35D102BE" w14:textId="7236342F" w:rsidR="002D727B" w:rsidRPr="009A24F9" w:rsidRDefault="005D4A48" w:rsidP="002D727B">
            <w:pPr>
              <w:pStyle w:val="TableText0"/>
              <w:jc w:val="center"/>
              <w:rPr>
                <w:sz w:val="18"/>
                <w:szCs w:val="18"/>
              </w:rPr>
            </w:pPr>
            <w:r w:rsidRPr="009A24F9">
              <w:rPr>
                <w:sz w:val="18"/>
                <w:szCs w:val="18"/>
              </w:rPr>
              <w:t>$3097.00</w:t>
            </w:r>
          </w:p>
          <w:p w14:paraId="7D0F97F8" w14:textId="33C2089B" w:rsidR="005D4A48" w:rsidRPr="009A24F9" w:rsidRDefault="005D4A48" w:rsidP="005D4A48">
            <w:pPr>
              <w:pStyle w:val="TableText0"/>
              <w:jc w:val="center"/>
              <w:rPr>
                <w:sz w:val="18"/>
                <w:szCs w:val="18"/>
              </w:rPr>
            </w:pPr>
            <w:r w:rsidRPr="009A24F9">
              <w:rPr>
                <w:sz w:val="18"/>
                <w:szCs w:val="18"/>
              </w:rPr>
              <w:t>(2</w:t>
            </w:r>
            <w:r w:rsidR="002D727B" w:rsidRPr="009A24F9">
              <w:rPr>
                <w:sz w:val="18"/>
                <w:szCs w:val="18"/>
              </w:rPr>
              <w:t xml:space="preserve"> doses</w:t>
            </w:r>
            <w:r w:rsidRPr="009A24F9">
              <w:rPr>
                <w:sz w:val="18"/>
                <w:szCs w:val="18"/>
              </w:rPr>
              <w:t>)</w:t>
            </w:r>
          </w:p>
        </w:tc>
        <w:tc>
          <w:tcPr>
            <w:tcW w:w="697" w:type="pct"/>
            <w:vAlign w:val="center"/>
          </w:tcPr>
          <w:p w14:paraId="5A45FCE7" w14:textId="77777777" w:rsidR="005D4A48" w:rsidRPr="00CD410A" w:rsidRDefault="005D4A48" w:rsidP="005D4A48">
            <w:pPr>
              <w:pStyle w:val="TableText0"/>
              <w:jc w:val="center"/>
              <w:rPr>
                <w:sz w:val="18"/>
                <w:szCs w:val="18"/>
              </w:rPr>
            </w:pPr>
            <w:r w:rsidRPr="00CD410A">
              <w:rPr>
                <w:sz w:val="18"/>
                <w:szCs w:val="18"/>
              </w:rPr>
              <w:t>30</w:t>
            </w:r>
          </w:p>
        </w:tc>
        <w:tc>
          <w:tcPr>
            <w:tcW w:w="542" w:type="pct"/>
            <w:shd w:val="clear" w:color="auto" w:fill="auto"/>
            <w:tcMar>
              <w:left w:w="28" w:type="dxa"/>
              <w:right w:w="28" w:type="dxa"/>
            </w:tcMar>
            <w:vAlign w:val="center"/>
          </w:tcPr>
          <w:p w14:paraId="4A0414D7" w14:textId="77777777" w:rsidR="005D4A48" w:rsidRPr="00CD410A" w:rsidRDefault="005D4A48" w:rsidP="005D4A48">
            <w:pPr>
              <w:pStyle w:val="TableText0"/>
              <w:jc w:val="center"/>
              <w:rPr>
                <w:sz w:val="18"/>
                <w:szCs w:val="18"/>
              </w:rPr>
            </w:pPr>
            <w:r w:rsidRPr="00CD410A">
              <w:rPr>
                <w:sz w:val="18"/>
                <w:szCs w:val="18"/>
              </w:rPr>
              <w:t>$46,455.00</w:t>
            </w:r>
          </w:p>
        </w:tc>
        <w:tc>
          <w:tcPr>
            <w:tcW w:w="581" w:type="pct"/>
            <w:shd w:val="clear" w:color="auto" w:fill="auto"/>
            <w:vAlign w:val="center"/>
          </w:tcPr>
          <w:p w14:paraId="19A05DAA" w14:textId="345D4AC9" w:rsidR="005D4A48" w:rsidRPr="00CD410A" w:rsidRDefault="005D4A48" w:rsidP="005D4A48">
            <w:pPr>
              <w:pStyle w:val="TableText0"/>
              <w:jc w:val="center"/>
              <w:rPr>
                <w:sz w:val="18"/>
                <w:szCs w:val="18"/>
              </w:rPr>
            </w:pPr>
            <w:r w:rsidRPr="00CD410A">
              <w:rPr>
                <w:sz w:val="18"/>
                <w:szCs w:val="18"/>
              </w:rPr>
              <w:t>$4</w:t>
            </w:r>
            <w:r w:rsidR="00085C65" w:rsidRPr="00CD410A">
              <w:rPr>
                <w:sz w:val="18"/>
                <w:szCs w:val="18"/>
              </w:rPr>
              <w:t>,</w:t>
            </w:r>
            <w:r w:rsidRPr="00CD410A">
              <w:rPr>
                <w:sz w:val="18"/>
                <w:szCs w:val="18"/>
              </w:rPr>
              <w:t>979.10</w:t>
            </w:r>
          </w:p>
        </w:tc>
      </w:tr>
      <w:tr w:rsidR="006F5917" w:rsidRPr="009A24F9" w14:paraId="50E776DF" w14:textId="77777777" w:rsidTr="00D0222D">
        <w:tc>
          <w:tcPr>
            <w:tcW w:w="388" w:type="pct"/>
            <w:shd w:val="clear" w:color="auto" w:fill="auto"/>
            <w:tcMar>
              <w:left w:w="28" w:type="dxa"/>
              <w:right w:w="28" w:type="dxa"/>
            </w:tcMar>
            <w:vAlign w:val="center"/>
          </w:tcPr>
          <w:p w14:paraId="0C0E4CA0" w14:textId="77777777" w:rsidR="005D4A48" w:rsidRPr="009A24F9" w:rsidRDefault="005D4A48" w:rsidP="005D4A48">
            <w:pPr>
              <w:pStyle w:val="TableText0"/>
              <w:rPr>
                <w:sz w:val="18"/>
                <w:szCs w:val="18"/>
              </w:rPr>
            </w:pPr>
            <w:r w:rsidRPr="009A24F9">
              <w:rPr>
                <w:sz w:val="18"/>
                <w:szCs w:val="18"/>
              </w:rPr>
              <w:t>UST</w:t>
            </w:r>
            <w:r w:rsidRPr="009A24F9">
              <w:rPr>
                <w:sz w:val="18"/>
                <w:szCs w:val="18"/>
                <w:vertAlign w:val="superscript"/>
              </w:rPr>
              <w:t>#</w:t>
            </w:r>
          </w:p>
        </w:tc>
        <w:tc>
          <w:tcPr>
            <w:tcW w:w="2170" w:type="pct"/>
            <w:shd w:val="clear" w:color="auto" w:fill="auto"/>
            <w:tcMar>
              <w:left w:w="28" w:type="dxa"/>
              <w:right w:w="28" w:type="dxa"/>
            </w:tcMar>
            <w:vAlign w:val="center"/>
          </w:tcPr>
          <w:p w14:paraId="1B9E3E37" w14:textId="77777777" w:rsidR="005D4A48" w:rsidRPr="009A24F9" w:rsidRDefault="005D4A48" w:rsidP="005D4A48">
            <w:pPr>
              <w:pStyle w:val="TableText0"/>
              <w:rPr>
                <w:sz w:val="18"/>
                <w:szCs w:val="18"/>
              </w:rPr>
            </w:pPr>
            <w:r w:rsidRPr="009A24F9">
              <w:rPr>
                <w:sz w:val="18"/>
                <w:szCs w:val="18"/>
              </w:rPr>
              <w:t xml:space="preserve">45 mg (weight </w:t>
            </w:r>
            <w:r w:rsidRPr="009A24F9">
              <w:rPr>
                <w:sz w:val="18"/>
                <w:szCs w:val="18"/>
                <w:u w:val="single"/>
              </w:rPr>
              <w:t>≤</w:t>
            </w:r>
            <w:r w:rsidRPr="009A24F9">
              <w:rPr>
                <w:sz w:val="18"/>
                <w:szCs w:val="18"/>
              </w:rPr>
              <w:t xml:space="preserve"> 100 kg) or 90 mg (weight &gt; 100 kg) SC injection at Weeks 0, 4 and Q12W thereafter</w:t>
            </w:r>
          </w:p>
        </w:tc>
        <w:tc>
          <w:tcPr>
            <w:tcW w:w="622" w:type="pct"/>
            <w:shd w:val="clear" w:color="auto" w:fill="auto"/>
            <w:vAlign w:val="center"/>
          </w:tcPr>
          <w:p w14:paraId="20C57E47" w14:textId="0CEAA1B8" w:rsidR="005D4A48" w:rsidRPr="009A24F9" w:rsidRDefault="005D4A48" w:rsidP="002D727B">
            <w:pPr>
              <w:pStyle w:val="TableText0"/>
              <w:jc w:val="center"/>
              <w:rPr>
                <w:sz w:val="18"/>
                <w:szCs w:val="18"/>
              </w:rPr>
            </w:pPr>
            <w:r w:rsidRPr="009A24F9">
              <w:rPr>
                <w:sz w:val="18"/>
                <w:szCs w:val="18"/>
              </w:rPr>
              <w:t>$3809.09</w:t>
            </w:r>
          </w:p>
        </w:tc>
        <w:tc>
          <w:tcPr>
            <w:tcW w:w="697" w:type="pct"/>
            <w:vAlign w:val="center"/>
          </w:tcPr>
          <w:p w14:paraId="538A2968" w14:textId="77777777" w:rsidR="005D4A48" w:rsidRPr="00CD410A" w:rsidRDefault="005D4A48" w:rsidP="005D4A48">
            <w:pPr>
              <w:pStyle w:val="TableText0"/>
              <w:jc w:val="center"/>
              <w:rPr>
                <w:sz w:val="18"/>
                <w:szCs w:val="18"/>
              </w:rPr>
            </w:pPr>
            <w:r w:rsidRPr="00CD410A">
              <w:rPr>
                <w:sz w:val="18"/>
                <w:szCs w:val="18"/>
              </w:rPr>
              <w:t>9.33</w:t>
            </w:r>
          </w:p>
        </w:tc>
        <w:tc>
          <w:tcPr>
            <w:tcW w:w="542" w:type="pct"/>
            <w:shd w:val="clear" w:color="auto" w:fill="auto"/>
            <w:tcMar>
              <w:left w:w="28" w:type="dxa"/>
              <w:right w:w="28" w:type="dxa"/>
            </w:tcMar>
            <w:vAlign w:val="center"/>
          </w:tcPr>
          <w:p w14:paraId="76635CC9" w14:textId="77777777" w:rsidR="005D4A48" w:rsidRPr="00CD410A" w:rsidRDefault="005D4A48" w:rsidP="005D4A48">
            <w:pPr>
              <w:pStyle w:val="TableText0"/>
              <w:jc w:val="center"/>
              <w:rPr>
                <w:sz w:val="18"/>
                <w:szCs w:val="18"/>
              </w:rPr>
            </w:pPr>
            <w:r w:rsidRPr="00CD410A">
              <w:rPr>
                <w:sz w:val="18"/>
                <w:szCs w:val="18"/>
              </w:rPr>
              <w:t>$35,538.72</w:t>
            </w:r>
          </w:p>
        </w:tc>
        <w:tc>
          <w:tcPr>
            <w:tcW w:w="581" w:type="pct"/>
            <w:shd w:val="clear" w:color="auto" w:fill="auto"/>
            <w:vAlign w:val="center"/>
          </w:tcPr>
          <w:p w14:paraId="5CEB7B56" w14:textId="08DEEEC4" w:rsidR="005D4A48" w:rsidRPr="00CD410A" w:rsidRDefault="005D4A48" w:rsidP="005D4A48">
            <w:pPr>
              <w:pStyle w:val="TableText0"/>
              <w:jc w:val="center"/>
              <w:rPr>
                <w:sz w:val="18"/>
                <w:szCs w:val="18"/>
              </w:rPr>
            </w:pPr>
            <w:r w:rsidRPr="00CD410A">
              <w:rPr>
                <w:sz w:val="18"/>
                <w:szCs w:val="18"/>
              </w:rPr>
              <w:t>$3</w:t>
            </w:r>
            <w:r w:rsidR="00085C65" w:rsidRPr="00CD410A">
              <w:rPr>
                <w:sz w:val="18"/>
                <w:szCs w:val="18"/>
              </w:rPr>
              <w:t>,</w:t>
            </w:r>
            <w:r w:rsidRPr="00CD410A">
              <w:rPr>
                <w:sz w:val="18"/>
                <w:szCs w:val="18"/>
              </w:rPr>
              <w:t>809.08</w:t>
            </w:r>
            <w:r w:rsidR="00972CB5" w:rsidRPr="00CD410A">
              <w:rPr>
                <w:sz w:val="18"/>
                <w:szCs w:val="18"/>
                <w:vertAlign w:val="superscript"/>
              </w:rPr>
              <w:t>#</w:t>
            </w:r>
          </w:p>
        </w:tc>
      </w:tr>
      <w:tr w:rsidR="006F5917" w:rsidRPr="009A24F9" w14:paraId="0797CB0F" w14:textId="77777777" w:rsidTr="00D0222D">
        <w:tc>
          <w:tcPr>
            <w:tcW w:w="388" w:type="pct"/>
            <w:shd w:val="clear" w:color="auto" w:fill="auto"/>
            <w:tcMar>
              <w:left w:w="28" w:type="dxa"/>
              <w:right w:w="28" w:type="dxa"/>
            </w:tcMar>
            <w:vAlign w:val="center"/>
          </w:tcPr>
          <w:p w14:paraId="5AC820AD" w14:textId="77777777" w:rsidR="005D4A48" w:rsidRPr="009A24F9" w:rsidRDefault="005D4A48" w:rsidP="005D4A48">
            <w:pPr>
              <w:pStyle w:val="TableText0"/>
              <w:rPr>
                <w:sz w:val="18"/>
                <w:szCs w:val="18"/>
              </w:rPr>
            </w:pPr>
            <w:r w:rsidRPr="009A24F9">
              <w:rPr>
                <w:sz w:val="18"/>
                <w:szCs w:val="18"/>
              </w:rPr>
              <w:t>TIL</w:t>
            </w:r>
          </w:p>
        </w:tc>
        <w:tc>
          <w:tcPr>
            <w:tcW w:w="2170" w:type="pct"/>
            <w:shd w:val="clear" w:color="auto" w:fill="auto"/>
            <w:tcMar>
              <w:left w:w="28" w:type="dxa"/>
              <w:right w:w="28" w:type="dxa"/>
            </w:tcMar>
            <w:vAlign w:val="center"/>
          </w:tcPr>
          <w:p w14:paraId="4A9A7A9E" w14:textId="77777777" w:rsidR="005D4A48" w:rsidRPr="009A24F9" w:rsidRDefault="005D4A48" w:rsidP="005D4A48">
            <w:pPr>
              <w:pStyle w:val="TableText0"/>
              <w:rPr>
                <w:sz w:val="18"/>
                <w:szCs w:val="18"/>
              </w:rPr>
            </w:pPr>
            <w:r w:rsidRPr="009A24F9">
              <w:rPr>
                <w:sz w:val="18"/>
                <w:szCs w:val="18"/>
              </w:rPr>
              <w:t xml:space="preserve">100 mg SC injection at Weeks 0, 4 and Q12W thereafter </w:t>
            </w:r>
            <w:r w:rsidRPr="009A24F9">
              <w:rPr>
                <w:sz w:val="18"/>
                <w:szCs w:val="18"/>
                <w:vertAlign w:val="superscript"/>
              </w:rPr>
              <w:t>|</w:t>
            </w:r>
          </w:p>
        </w:tc>
        <w:tc>
          <w:tcPr>
            <w:tcW w:w="622" w:type="pct"/>
            <w:shd w:val="clear" w:color="auto" w:fill="auto"/>
            <w:vAlign w:val="center"/>
          </w:tcPr>
          <w:p w14:paraId="235EDD36" w14:textId="3E636A78" w:rsidR="005D4A48" w:rsidRPr="009A24F9" w:rsidRDefault="005D4A48" w:rsidP="002D727B">
            <w:pPr>
              <w:pStyle w:val="TableText0"/>
              <w:jc w:val="center"/>
              <w:rPr>
                <w:sz w:val="18"/>
                <w:szCs w:val="18"/>
              </w:rPr>
            </w:pPr>
            <w:r w:rsidRPr="009A24F9">
              <w:rPr>
                <w:sz w:val="18"/>
                <w:szCs w:val="18"/>
              </w:rPr>
              <w:t>$3,110.05</w:t>
            </w:r>
          </w:p>
        </w:tc>
        <w:tc>
          <w:tcPr>
            <w:tcW w:w="697" w:type="pct"/>
            <w:vAlign w:val="center"/>
          </w:tcPr>
          <w:p w14:paraId="095923FB" w14:textId="77777777" w:rsidR="005D4A48" w:rsidRPr="00CD410A" w:rsidRDefault="005D4A48" w:rsidP="005D4A48">
            <w:pPr>
              <w:pStyle w:val="TableText0"/>
              <w:jc w:val="center"/>
              <w:rPr>
                <w:sz w:val="18"/>
                <w:szCs w:val="18"/>
              </w:rPr>
            </w:pPr>
            <w:r w:rsidRPr="00CD410A">
              <w:rPr>
                <w:sz w:val="18"/>
                <w:szCs w:val="18"/>
              </w:rPr>
              <w:t>9.33</w:t>
            </w:r>
          </w:p>
        </w:tc>
        <w:tc>
          <w:tcPr>
            <w:tcW w:w="542" w:type="pct"/>
            <w:shd w:val="clear" w:color="auto" w:fill="auto"/>
            <w:tcMar>
              <w:left w:w="28" w:type="dxa"/>
              <w:right w:w="28" w:type="dxa"/>
            </w:tcMar>
            <w:vAlign w:val="center"/>
          </w:tcPr>
          <w:p w14:paraId="3BC612F9" w14:textId="77777777" w:rsidR="005D4A48" w:rsidRPr="00CD410A" w:rsidRDefault="005D4A48" w:rsidP="005D4A48">
            <w:pPr>
              <w:pStyle w:val="TableText0"/>
              <w:jc w:val="center"/>
              <w:rPr>
                <w:sz w:val="18"/>
                <w:szCs w:val="18"/>
              </w:rPr>
            </w:pPr>
            <w:r w:rsidRPr="00CD410A">
              <w:rPr>
                <w:sz w:val="18"/>
                <w:szCs w:val="18"/>
              </w:rPr>
              <w:t>$29,016.77</w:t>
            </w:r>
          </w:p>
        </w:tc>
        <w:tc>
          <w:tcPr>
            <w:tcW w:w="581" w:type="pct"/>
            <w:shd w:val="clear" w:color="auto" w:fill="auto"/>
            <w:vAlign w:val="center"/>
          </w:tcPr>
          <w:p w14:paraId="38D2BC8A" w14:textId="7109D082" w:rsidR="005D4A48" w:rsidRPr="00CD410A" w:rsidRDefault="005D4A48" w:rsidP="005D4A48">
            <w:pPr>
              <w:pStyle w:val="TableText0"/>
              <w:jc w:val="center"/>
              <w:rPr>
                <w:sz w:val="18"/>
                <w:szCs w:val="18"/>
              </w:rPr>
            </w:pPr>
            <w:r w:rsidRPr="00CD410A">
              <w:rPr>
                <w:sz w:val="18"/>
                <w:szCs w:val="18"/>
              </w:rPr>
              <w:t>$3</w:t>
            </w:r>
            <w:r w:rsidR="00085C65" w:rsidRPr="00CD410A">
              <w:rPr>
                <w:sz w:val="18"/>
                <w:szCs w:val="18"/>
              </w:rPr>
              <w:t>,</w:t>
            </w:r>
            <w:r w:rsidRPr="00CD410A">
              <w:rPr>
                <w:sz w:val="18"/>
                <w:szCs w:val="18"/>
              </w:rPr>
              <w:t>110.05</w:t>
            </w:r>
          </w:p>
        </w:tc>
      </w:tr>
      <w:tr w:rsidR="006F5917" w:rsidRPr="009A24F9" w14:paraId="4D0505FB" w14:textId="77777777" w:rsidTr="00D0222D">
        <w:tc>
          <w:tcPr>
            <w:tcW w:w="388" w:type="pct"/>
            <w:shd w:val="clear" w:color="auto" w:fill="auto"/>
            <w:tcMar>
              <w:left w:w="28" w:type="dxa"/>
              <w:right w:w="28" w:type="dxa"/>
            </w:tcMar>
            <w:vAlign w:val="center"/>
          </w:tcPr>
          <w:p w14:paraId="6555B884" w14:textId="77777777" w:rsidR="005D4A48" w:rsidRPr="009A24F9" w:rsidRDefault="005D4A48" w:rsidP="005D4A48">
            <w:pPr>
              <w:pStyle w:val="TableText0"/>
              <w:rPr>
                <w:sz w:val="18"/>
                <w:szCs w:val="18"/>
              </w:rPr>
            </w:pPr>
            <w:r w:rsidRPr="009A24F9">
              <w:rPr>
                <w:sz w:val="18"/>
                <w:szCs w:val="18"/>
              </w:rPr>
              <w:t>ETN</w:t>
            </w:r>
          </w:p>
        </w:tc>
        <w:tc>
          <w:tcPr>
            <w:tcW w:w="2170" w:type="pct"/>
            <w:shd w:val="clear" w:color="auto" w:fill="auto"/>
            <w:tcMar>
              <w:left w:w="28" w:type="dxa"/>
              <w:right w:w="28" w:type="dxa"/>
            </w:tcMar>
            <w:vAlign w:val="center"/>
          </w:tcPr>
          <w:p w14:paraId="24949764" w14:textId="77777777" w:rsidR="005D4A48" w:rsidRPr="009A24F9" w:rsidRDefault="005D4A48" w:rsidP="005D4A48">
            <w:pPr>
              <w:pStyle w:val="TableText0"/>
              <w:rPr>
                <w:sz w:val="18"/>
                <w:szCs w:val="18"/>
              </w:rPr>
            </w:pPr>
            <w:r w:rsidRPr="009A24F9">
              <w:rPr>
                <w:snapToGrid w:val="0"/>
                <w:sz w:val="18"/>
                <w:szCs w:val="18"/>
              </w:rPr>
              <w:t>50 mg SC injection once weekly (or 25 mg twice weekly)*</w:t>
            </w:r>
          </w:p>
        </w:tc>
        <w:tc>
          <w:tcPr>
            <w:tcW w:w="622" w:type="pct"/>
            <w:shd w:val="clear" w:color="auto" w:fill="auto"/>
            <w:vAlign w:val="center"/>
          </w:tcPr>
          <w:p w14:paraId="0D650FFA" w14:textId="77777777" w:rsidR="002D727B" w:rsidRPr="009A24F9" w:rsidRDefault="005D4A48" w:rsidP="005D4A48">
            <w:pPr>
              <w:pStyle w:val="TableText0"/>
              <w:jc w:val="center"/>
              <w:rPr>
                <w:sz w:val="18"/>
                <w:szCs w:val="18"/>
              </w:rPr>
            </w:pPr>
            <w:r w:rsidRPr="009A24F9">
              <w:rPr>
                <w:sz w:val="18"/>
                <w:szCs w:val="18"/>
              </w:rPr>
              <w:t>$743.6</w:t>
            </w:r>
          </w:p>
          <w:p w14:paraId="73809F55" w14:textId="74F08A7E" w:rsidR="005D4A48" w:rsidRPr="009A24F9" w:rsidRDefault="005D4A48" w:rsidP="005D4A48">
            <w:pPr>
              <w:pStyle w:val="TableText0"/>
              <w:jc w:val="center"/>
              <w:rPr>
                <w:sz w:val="18"/>
                <w:szCs w:val="18"/>
              </w:rPr>
            </w:pPr>
            <w:r w:rsidRPr="009A24F9">
              <w:rPr>
                <w:sz w:val="18"/>
                <w:szCs w:val="18"/>
              </w:rPr>
              <w:t>(4</w:t>
            </w:r>
            <w:r w:rsidR="002D727B" w:rsidRPr="009A24F9">
              <w:rPr>
                <w:sz w:val="18"/>
                <w:szCs w:val="18"/>
              </w:rPr>
              <w:t xml:space="preserve"> doses</w:t>
            </w:r>
            <w:r w:rsidRPr="009A24F9">
              <w:rPr>
                <w:sz w:val="18"/>
                <w:szCs w:val="18"/>
              </w:rPr>
              <w:t>)</w:t>
            </w:r>
          </w:p>
        </w:tc>
        <w:tc>
          <w:tcPr>
            <w:tcW w:w="697" w:type="pct"/>
            <w:vAlign w:val="center"/>
          </w:tcPr>
          <w:p w14:paraId="286D6F13" w14:textId="77777777" w:rsidR="005D4A48" w:rsidRPr="00CD410A" w:rsidRDefault="005D4A48" w:rsidP="005D4A48">
            <w:pPr>
              <w:pStyle w:val="TableText0"/>
              <w:jc w:val="center"/>
              <w:rPr>
                <w:sz w:val="18"/>
                <w:szCs w:val="18"/>
              </w:rPr>
            </w:pPr>
            <w:r w:rsidRPr="00CD410A">
              <w:rPr>
                <w:sz w:val="18"/>
                <w:szCs w:val="18"/>
              </w:rPr>
              <w:t>105</w:t>
            </w:r>
          </w:p>
        </w:tc>
        <w:tc>
          <w:tcPr>
            <w:tcW w:w="542" w:type="pct"/>
            <w:shd w:val="clear" w:color="auto" w:fill="auto"/>
            <w:tcMar>
              <w:left w:w="28" w:type="dxa"/>
              <w:right w:w="28" w:type="dxa"/>
            </w:tcMar>
            <w:vAlign w:val="center"/>
          </w:tcPr>
          <w:p w14:paraId="094AF4A9" w14:textId="77777777" w:rsidR="005D4A48" w:rsidRPr="00CD410A" w:rsidRDefault="005D4A48" w:rsidP="005D4A48">
            <w:pPr>
              <w:pStyle w:val="TableText0"/>
              <w:jc w:val="center"/>
              <w:rPr>
                <w:sz w:val="18"/>
                <w:szCs w:val="18"/>
              </w:rPr>
            </w:pPr>
            <w:r w:rsidRPr="00CD410A">
              <w:rPr>
                <w:sz w:val="18"/>
                <w:szCs w:val="18"/>
              </w:rPr>
              <w:t>$19,519.50</w:t>
            </w:r>
          </w:p>
        </w:tc>
        <w:tc>
          <w:tcPr>
            <w:tcW w:w="581" w:type="pct"/>
            <w:shd w:val="clear" w:color="auto" w:fill="auto"/>
            <w:vAlign w:val="center"/>
          </w:tcPr>
          <w:p w14:paraId="1B98B92F" w14:textId="7C621B7B" w:rsidR="005D4A48" w:rsidRPr="00CD410A" w:rsidRDefault="005D4A48" w:rsidP="005D4A48">
            <w:pPr>
              <w:pStyle w:val="TableText0"/>
              <w:jc w:val="center"/>
              <w:rPr>
                <w:sz w:val="18"/>
                <w:szCs w:val="18"/>
              </w:rPr>
            </w:pPr>
            <w:r w:rsidRPr="00CD410A">
              <w:rPr>
                <w:sz w:val="18"/>
                <w:szCs w:val="18"/>
              </w:rPr>
              <w:t>$2</w:t>
            </w:r>
            <w:r w:rsidR="00085C65" w:rsidRPr="00CD410A">
              <w:rPr>
                <w:sz w:val="18"/>
                <w:szCs w:val="18"/>
              </w:rPr>
              <w:t>,</w:t>
            </w:r>
            <w:r w:rsidRPr="00CD410A">
              <w:rPr>
                <w:sz w:val="18"/>
                <w:szCs w:val="18"/>
              </w:rPr>
              <w:t>092.12</w:t>
            </w:r>
          </w:p>
        </w:tc>
      </w:tr>
      <w:tr w:rsidR="006F5917" w:rsidRPr="009A24F9" w14:paraId="2F10D60F" w14:textId="77777777" w:rsidTr="00D0222D">
        <w:tc>
          <w:tcPr>
            <w:tcW w:w="388" w:type="pct"/>
            <w:shd w:val="clear" w:color="auto" w:fill="auto"/>
            <w:tcMar>
              <w:left w:w="28" w:type="dxa"/>
              <w:right w:w="28" w:type="dxa"/>
            </w:tcMar>
            <w:vAlign w:val="center"/>
          </w:tcPr>
          <w:p w14:paraId="54C35A14" w14:textId="77777777" w:rsidR="005D4A48" w:rsidRPr="009A24F9" w:rsidRDefault="005D4A48" w:rsidP="005D4A48">
            <w:pPr>
              <w:pStyle w:val="TableText0"/>
              <w:rPr>
                <w:sz w:val="18"/>
                <w:szCs w:val="18"/>
              </w:rPr>
            </w:pPr>
            <w:r w:rsidRPr="009A24F9">
              <w:rPr>
                <w:sz w:val="18"/>
                <w:szCs w:val="18"/>
              </w:rPr>
              <w:t>SEC</w:t>
            </w:r>
          </w:p>
        </w:tc>
        <w:tc>
          <w:tcPr>
            <w:tcW w:w="2170" w:type="pct"/>
            <w:shd w:val="clear" w:color="auto" w:fill="auto"/>
            <w:tcMar>
              <w:left w:w="28" w:type="dxa"/>
              <w:right w:w="28" w:type="dxa"/>
            </w:tcMar>
            <w:vAlign w:val="center"/>
          </w:tcPr>
          <w:p w14:paraId="6563A0AF" w14:textId="77777777" w:rsidR="005D4A48" w:rsidRPr="009A24F9" w:rsidRDefault="005D4A48" w:rsidP="005D4A48">
            <w:pPr>
              <w:pStyle w:val="TableText0"/>
              <w:rPr>
                <w:sz w:val="18"/>
                <w:szCs w:val="18"/>
              </w:rPr>
            </w:pPr>
            <w:r w:rsidRPr="009A24F9">
              <w:rPr>
                <w:sz w:val="18"/>
                <w:szCs w:val="18"/>
              </w:rPr>
              <w:t>300 mg SC injection (2 injections of 150 mg) at Weeks 0,1,2,3,4 then 300 mg monthly</w:t>
            </w:r>
          </w:p>
        </w:tc>
        <w:tc>
          <w:tcPr>
            <w:tcW w:w="622" w:type="pct"/>
            <w:shd w:val="clear" w:color="auto" w:fill="auto"/>
            <w:vAlign w:val="center"/>
          </w:tcPr>
          <w:p w14:paraId="3A18373C" w14:textId="30C14C44" w:rsidR="005D4A48" w:rsidRPr="009A24F9" w:rsidRDefault="005D4A48" w:rsidP="002D727B">
            <w:pPr>
              <w:pStyle w:val="TableText0"/>
              <w:jc w:val="center"/>
              <w:rPr>
                <w:sz w:val="18"/>
                <w:szCs w:val="18"/>
              </w:rPr>
            </w:pPr>
            <w:r w:rsidRPr="009A24F9">
              <w:rPr>
                <w:sz w:val="18"/>
                <w:szCs w:val="18"/>
              </w:rPr>
              <w:t>$658.28</w:t>
            </w:r>
          </w:p>
        </w:tc>
        <w:tc>
          <w:tcPr>
            <w:tcW w:w="697" w:type="pct"/>
            <w:vAlign w:val="center"/>
          </w:tcPr>
          <w:p w14:paraId="4E0BD495" w14:textId="77777777" w:rsidR="005D4A48" w:rsidRPr="00CD410A" w:rsidRDefault="005D4A48" w:rsidP="005D4A48">
            <w:pPr>
              <w:pStyle w:val="TableText0"/>
              <w:jc w:val="center"/>
              <w:rPr>
                <w:sz w:val="18"/>
                <w:szCs w:val="18"/>
              </w:rPr>
            </w:pPr>
            <w:r w:rsidRPr="00CD410A">
              <w:rPr>
                <w:sz w:val="18"/>
                <w:szCs w:val="18"/>
              </w:rPr>
              <w:t>29</w:t>
            </w:r>
          </w:p>
        </w:tc>
        <w:tc>
          <w:tcPr>
            <w:tcW w:w="542" w:type="pct"/>
            <w:shd w:val="clear" w:color="auto" w:fill="auto"/>
            <w:tcMar>
              <w:left w:w="28" w:type="dxa"/>
              <w:right w:w="28" w:type="dxa"/>
            </w:tcMar>
            <w:vAlign w:val="center"/>
          </w:tcPr>
          <w:p w14:paraId="36E74586" w14:textId="77777777" w:rsidR="005D4A48" w:rsidRPr="00CD410A" w:rsidRDefault="005D4A48" w:rsidP="005D4A48">
            <w:pPr>
              <w:pStyle w:val="TableText0"/>
              <w:jc w:val="center"/>
              <w:rPr>
                <w:sz w:val="18"/>
                <w:szCs w:val="18"/>
              </w:rPr>
            </w:pPr>
            <w:r w:rsidRPr="00CD410A">
              <w:rPr>
                <w:sz w:val="18"/>
                <w:szCs w:val="18"/>
              </w:rPr>
              <w:t>$19,090.12</w:t>
            </w:r>
          </w:p>
        </w:tc>
        <w:tc>
          <w:tcPr>
            <w:tcW w:w="581" w:type="pct"/>
            <w:shd w:val="clear" w:color="auto" w:fill="auto"/>
            <w:vAlign w:val="center"/>
          </w:tcPr>
          <w:p w14:paraId="61630703" w14:textId="5A8E00C4" w:rsidR="005D4A48" w:rsidRPr="00CD410A" w:rsidRDefault="005D4A48" w:rsidP="005D4A48">
            <w:pPr>
              <w:pStyle w:val="TableText0"/>
              <w:jc w:val="center"/>
              <w:rPr>
                <w:sz w:val="18"/>
                <w:szCs w:val="18"/>
              </w:rPr>
            </w:pPr>
            <w:r w:rsidRPr="00CD410A">
              <w:rPr>
                <w:sz w:val="18"/>
                <w:szCs w:val="18"/>
              </w:rPr>
              <w:t>$2</w:t>
            </w:r>
            <w:r w:rsidR="00085C65" w:rsidRPr="00CD410A">
              <w:rPr>
                <w:sz w:val="18"/>
                <w:szCs w:val="18"/>
              </w:rPr>
              <w:t>,</w:t>
            </w:r>
            <w:r w:rsidRPr="00CD410A">
              <w:rPr>
                <w:sz w:val="18"/>
                <w:szCs w:val="18"/>
              </w:rPr>
              <w:t>046.10</w:t>
            </w:r>
          </w:p>
        </w:tc>
      </w:tr>
      <w:tr w:rsidR="006F5917" w:rsidRPr="009A24F9" w14:paraId="5262D618" w14:textId="77777777" w:rsidTr="00D0222D">
        <w:tc>
          <w:tcPr>
            <w:tcW w:w="388" w:type="pct"/>
            <w:shd w:val="clear" w:color="auto" w:fill="auto"/>
            <w:tcMar>
              <w:left w:w="28" w:type="dxa"/>
              <w:right w:w="28" w:type="dxa"/>
            </w:tcMar>
            <w:vAlign w:val="center"/>
          </w:tcPr>
          <w:p w14:paraId="33F0BA5E" w14:textId="77777777" w:rsidR="005D4A48" w:rsidRPr="009A24F9" w:rsidRDefault="005D4A48" w:rsidP="005D4A48">
            <w:pPr>
              <w:pStyle w:val="TableText0"/>
              <w:rPr>
                <w:sz w:val="18"/>
                <w:szCs w:val="18"/>
              </w:rPr>
            </w:pPr>
            <w:r w:rsidRPr="009A24F9">
              <w:rPr>
                <w:sz w:val="18"/>
                <w:szCs w:val="18"/>
              </w:rPr>
              <w:t>IFX SC</w:t>
            </w:r>
          </w:p>
        </w:tc>
        <w:tc>
          <w:tcPr>
            <w:tcW w:w="2170" w:type="pct"/>
            <w:shd w:val="clear" w:color="auto" w:fill="auto"/>
            <w:tcMar>
              <w:left w:w="28" w:type="dxa"/>
              <w:right w:w="28" w:type="dxa"/>
            </w:tcMar>
            <w:vAlign w:val="center"/>
          </w:tcPr>
          <w:p w14:paraId="352A757A" w14:textId="77777777" w:rsidR="005D4A48" w:rsidRPr="009A24F9" w:rsidRDefault="005D4A48" w:rsidP="005D4A48">
            <w:pPr>
              <w:pStyle w:val="TableText0"/>
              <w:rPr>
                <w:sz w:val="18"/>
                <w:szCs w:val="18"/>
              </w:rPr>
            </w:pPr>
            <w:r w:rsidRPr="009A24F9">
              <w:rPr>
                <w:sz w:val="18"/>
                <w:szCs w:val="18"/>
              </w:rPr>
              <w:t>120 mg SC injection Q2W (maintenance dosing assumed to start at Week 6, Week 0 and 2 doses to be IFX IV)</w:t>
            </w:r>
          </w:p>
        </w:tc>
        <w:tc>
          <w:tcPr>
            <w:tcW w:w="622" w:type="pct"/>
            <w:shd w:val="clear" w:color="auto" w:fill="auto"/>
            <w:vAlign w:val="center"/>
          </w:tcPr>
          <w:p w14:paraId="38E98E2E" w14:textId="4C755A9E" w:rsidR="005D4A48" w:rsidRPr="009A24F9" w:rsidRDefault="005D4A48" w:rsidP="002D727B">
            <w:pPr>
              <w:pStyle w:val="TableText0"/>
              <w:jc w:val="center"/>
              <w:rPr>
                <w:sz w:val="18"/>
                <w:szCs w:val="18"/>
              </w:rPr>
            </w:pPr>
            <w:r w:rsidRPr="009A24F9">
              <w:rPr>
                <w:sz w:val="18"/>
                <w:szCs w:val="18"/>
              </w:rPr>
              <w:t>SC: $332.8</w:t>
            </w:r>
          </w:p>
          <w:p w14:paraId="730051C6" w14:textId="608344F3" w:rsidR="005D4A48" w:rsidRPr="009A24F9" w:rsidRDefault="005D4A48" w:rsidP="002D727B">
            <w:pPr>
              <w:pStyle w:val="TableText0"/>
              <w:jc w:val="center"/>
              <w:rPr>
                <w:sz w:val="18"/>
                <w:szCs w:val="18"/>
              </w:rPr>
            </w:pPr>
            <w:r w:rsidRPr="009A24F9">
              <w:rPr>
                <w:sz w:val="18"/>
                <w:szCs w:val="18"/>
              </w:rPr>
              <w:t xml:space="preserve">IV: </w:t>
            </w:r>
            <w:r w:rsidR="009E2890">
              <w:rPr>
                <w:sz w:val="18"/>
                <w:szCs w:val="18"/>
              </w:rPr>
              <w:t>$</w:t>
            </w:r>
            <w:r w:rsidRPr="009A24F9">
              <w:rPr>
                <w:sz w:val="18"/>
                <w:szCs w:val="18"/>
              </w:rPr>
              <w:t>253.52</w:t>
            </w:r>
          </w:p>
        </w:tc>
        <w:tc>
          <w:tcPr>
            <w:tcW w:w="697" w:type="pct"/>
            <w:vAlign w:val="center"/>
          </w:tcPr>
          <w:p w14:paraId="6E4E1BAD" w14:textId="77777777" w:rsidR="005D4A48" w:rsidRPr="00CD410A" w:rsidRDefault="005D4A48" w:rsidP="005D4A48">
            <w:pPr>
              <w:pStyle w:val="TableText0"/>
              <w:jc w:val="center"/>
              <w:rPr>
                <w:sz w:val="18"/>
                <w:szCs w:val="18"/>
              </w:rPr>
            </w:pPr>
            <w:r w:rsidRPr="00CD410A">
              <w:rPr>
                <w:sz w:val="18"/>
                <w:szCs w:val="18"/>
              </w:rPr>
              <w:t>49 SC inj. + 2 IV inf. (8.96 vials)</w:t>
            </w:r>
          </w:p>
        </w:tc>
        <w:tc>
          <w:tcPr>
            <w:tcW w:w="542" w:type="pct"/>
            <w:shd w:val="clear" w:color="auto" w:fill="auto"/>
            <w:tcMar>
              <w:left w:w="28" w:type="dxa"/>
              <w:right w:w="28" w:type="dxa"/>
            </w:tcMar>
            <w:vAlign w:val="center"/>
          </w:tcPr>
          <w:p w14:paraId="4588BAB4" w14:textId="3746D017" w:rsidR="005D4A48" w:rsidRPr="00CD410A" w:rsidRDefault="005D4A48" w:rsidP="005D4A48">
            <w:pPr>
              <w:pStyle w:val="TableText0"/>
              <w:jc w:val="center"/>
              <w:rPr>
                <w:sz w:val="18"/>
                <w:szCs w:val="18"/>
              </w:rPr>
            </w:pPr>
            <w:r w:rsidRPr="00CD410A">
              <w:rPr>
                <w:sz w:val="18"/>
                <w:szCs w:val="18"/>
              </w:rPr>
              <w:t>$18,578.74*</w:t>
            </w:r>
            <w:r w:rsidR="00285386">
              <w:rPr>
                <w:sz w:val="18"/>
                <w:szCs w:val="18"/>
              </w:rPr>
              <w:t>,</w:t>
            </w:r>
          </w:p>
          <w:p w14:paraId="296F52CD" w14:textId="77777777" w:rsidR="005D4A48" w:rsidRPr="00CD410A" w:rsidRDefault="005D4A48" w:rsidP="005D4A48">
            <w:pPr>
              <w:pStyle w:val="TableText0"/>
              <w:jc w:val="center"/>
              <w:rPr>
                <w:sz w:val="18"/>
                <w:szCs w:val="18"/>
              </w:rPr>
            </w:pPr>
            <w:r w:rsidRPr="00CD410A">
              <w:rPr>
                <w:sz w:val="18"/>
                <w:szCs w:val="18"/>
              </w:rPr>
              <w:t>$18,793.34^</w:t>
            </w:r>
          </w:p>
        </w:tc>
        <w:tc>
          <w:tcPr>
            <w:tcW w:w="581" w:type="pct"/>
            <w:shd w:val="clear" w:color="auto" w:fill="auto"/>
            <w:vAlign w:val="center"/>
          </w:tcPr>
          <w:p w14:paraId="6A97F5F3" w14:textId="049FE0F4" w:rsidR="005D4A48" w:rsidRPr="00CD410A" w:rsidRDefault="005D4A48" w:rsidP="005D4A48">
            <w:pPr>
              <w:pStyle w:val="TableText0"/>
              <w:jc w:val="center"/>
              <w:rPr>
                <w:sz w:val="18"/>
                <w:szCs w:val="18"/>
              </w:rPr>
            </w:pPr>
            <w:r w:rsidRPr="00CD410A">
              <w:rPr>
                <w:sz w:val="18"/>
                <w:szCs w:val="18"/>
              </w:rPr>
              <w:t>$1</w:t>
            </w:r>
            <w:r w:rsidR="00085C65" w:rsidRPr="00CD410A">
              <w:rPr>
                <w:sz w:val="18"/>
                <w:szCs w:val="18"/>
              </w:rPr>
              <w:t>,</w:t>
            </w:r>
            <w:r w:rsidRPr="00CD410A">
              <w:rPr>
                <w:sz w:val="18"/>
                <w:szCs w:val="18"/>
              </w:rPr>
              <w:t>991.29*,</w:t>
            </w:r>
          </w:p>
          <w:p w14:paraId="2EC839EC" w14:textId="1D1EBA71" w:rsidR="005D4A48" w:rsidRPr="00CD410A" w:rsidRDefault="005D4A48" w:rsidP="005D4A48">
            <w:pPr>
              <w:pStyle w:val="TableText0"/>
              <w:jc w:val="center"/>
              <w:rPr>
                <w:sz w:val="18"/>
                <w:szCs w:val="18"/>
              </w:rPr>
            </w:pPr>
            <w:r w:rsidRPr="00CD410A">
              <w:rPr>
                <w:sz w:val="18"/>
                <w:szCs w:val="18"/>
              </w:rPr>
              <w:t>$2</w:t>
            </w:r>
            <w:r w:rsidR="00085C65" w:rsidRPr="00CD410A">
              <w:rPr>
                <w:sz w:val="18"/>
                <w:szCs w:val="18"/>
              </w:rPr>
              <w:t>,</w:t>
            </w:r>
            <w:r w:rsidRPr="00CD410A">
              <w:rPr>
                <w:sz w:val="18"/>
                <w:szCs w:val="18"/>
              </w:rPr>
              <w:t>014.29^</w:t>
            </w:r>
          </w:p>
        </w:tc>
      </w:tr>
      <w:tr w:rsidR="006F5917" w:rsidRPr="009A24F9" w14:paraId="351B4987" w14:textId="77777777" w:rsidTr="00D0222D">
        <w:tc>
          <w:tcPr>
            <w:tcW w:w="388" w:type="pct"/>
            <w:shd w:val="clear" w:color="auto" w:fill="auto"/>
            <w:tcMar>
              <w:left w:w="28" w:type="dxa"/>
              <w:right w:w="28" w:type="dxa"/>
            </w:tcMar>
            <w:vAlign w:val="center"/>
          </w:tcPr>
          <w:p w14:paraId="34BC3BDF" w14:textId="77777777" w:rsidR="005D4A48" w:rsidRPr="009A24F9" w:rsidRDefault="005D4A48" w:rsidP="005D4A48">
            <w:pPr>
              <w:pStyle w:val="TableText0"/>
              <w:rPr>
                <w:sz w:val="18"/>
                <w:szCs w:val="18"/>
              </w:rPr>
            </w:pPr>
            <w:r w:rsidRPr="009A24F9">
              <w:rPr>
                <w:sz w:val="18"/>
                <w:szCs w:val="18"/>
              </w:rPr>
              <w:t>IFX IV</w:t>
            </w:r>
          </w:p>
        </w:tc>
        <w:tc>
          <w:tcPr>
            <w:tcW w:w="2170" w:type="pct"/>
            <w:shd w:val="clear" w:color="auto" w:fill="auto"/>
            <w:tcMar>
              <w:left w:w="28" w:type="dxa"/>
              <w:right w:w="28" w:type="dxa"/>
            </w:tcMar>
            <w:vAlign w:val="center"/>
          </w:tcPr>
          <w:p w14:paraId="3451BC18" w14:textId="77777777" w:rsidR="005D4A48" w:rsidRPr="009A24F9" w:rsidRDefault="005D4A48" w:rsidP="005D4A48">
            <w:pPr>
              <w:pStyle w:val="TableText0"/>
              <w:rPr>
                <w:sz w:val="18"/>
                <w:szCs w:val="18"/>
              </w:rPr>
            </w:pPr>
            <w:r w:rsidRPr="009A24F9">
              <w:rPr>
                <w:sz w:val="18"/>
                <w:szCs w:val="18"/>
              </w:rPr>
              <w:t>5 mg/kg IV infusion at Weeks 0,2,6, Q8W thereafter</w:t>
            </w:r>
          </w:p>
        </w:tc>
        <w:tc>
          <w:tcPr>
            <w:tcW w:w="622" w:type="pct"/>
            <w:shd w:val="clear" w:color="auto" w:fill="auto"/>
            <w:vAlign w:val="center"/>
          </w:tcPr>
          <w:p w14:paraId="3EA9B5A4" w14:textId="60400602" w:rsidR="005D4A48" w:rsidRPr="009A24F9" w:rsidRDefault="00ED2E5C" w:rsidP="002D727B">
            <w:pPr>
              <w:pStyle w:val="TableText0"/>
              <w:jc w:val="center"/>
              <w:rPr>
                <w:sz w:val="18"/>
                <w:szCs w:val="18"/>
              </w:rPr>
            </w:pPr>
            <w:r>
              <w:rPr>
                <w:sz w:val="18"/>
                <w:szCs w:val="18"/>
              </w:rPr>
              <w:t>$</w:t>
            </w:r>
            <w:r w:rsidR="005D4A48" w:rsidRPr="009A24F9">
              <w:rPr>
                <w:sz w:val="18"/>
                <w:szCs w:val="18"/>
              </w:rPr>
              <w:t>253.52</w:t>
            </w:r>
          </w:p>
        </w:tc>
        <w:tc>
          <w:tcPr>
            <w:tcW w:w="697" w:type="pct"/>
            <w:vAlign w:val="center"/>
          </w:tcPr>
          <w:p w14:paraId="0FAA3504" w14:textId="77777777" w:rsidR="005D4A48" w:rsidRPr="00CD410A" w:rsidRDefault="005D4A48" w:rsidP="005D4A48">
            <w:pPr>
              <w:pStyle w:val="TableText0"/>
              <w:jc w:val="center"/>
              <w:rPr>
                <w:sz w:val="18"/>
                <w:szCs w:val="18"/>
              </w:rPr>
            </w:pPr>
            <w:r w:rsidRPr="00CD410A">
              <w:rPr>
                <w:sz w:val="18"/>
                <w:szCs w:val="18"/>
              </w:rPr>
              <w:t>14.25 IV inf. (63.83 vials)</w:t>
            </w:r>
          </w:p>
        </w:tc>
        <w:tc>
          <w:tcPr>
            <w:tcW w:w="542" w:type="pct"/>
            <w:shd w:val="clear" w:color="auto" w:fill="auto"/>
            <w:tcMar>
              <w:left w:w="28" w:type="dxa"/>
              <w:right w:w="28" w:type="dxa"/>
            </w:tcMar>
            <w:vAlign w:val="center"/>
          </w:tcPr>
          <w:p w14:paraId="0FC0852A" w14:textId="32A9D527" w:rsidR="005D4A48" w:rsidRPr="00CD410A" w:rsidRDefault="005D4A48" w:rsidP="005D4A48">
            <w:pPr>
              <w:pStyle w:val="TableText0"/>
              <w:jc w:val="center"/>
              <w:rPr>
                <w:sz w:val="18"/>
                <w:szCs w:val="18"/>
              </w:rPr>
            </w:pPr>
            <w:r w:rsidRPr="00CD410A">
              <w:rPr>
                <w:sz w:val="18"/>
                <w:szCs w:val="18"/>
              </w:rPr>
              <w:t>$16,182.18*</w:t>
            </w:r>
            <w:r w:rsidR="00285386">
              <w:rPr>
                <w:sz w:val="18"/>
                <w:szCs w:val="18"/>
              </w:rPr>
              <w:t>,</w:t>
            </w:r>
          </w:p>
          <w:p w14:paraId="67C16443" w14:textId="77777777" w:rsidR="005D4A48" w:rsidRPr="00CD410A" w:rsidRDefault="005D4A48" w:rsidP="005D4A48">
            <w:pPr>
              <w:pStyle w:val="TableText0"/>
              <w:jc w:val="center"/>
              <w:rPr>
                <w:sz w:val="18"/>
                <w:szCs w:val="18"/>
              </w:rPr>
            </w:pPr>
            <w:r w:rsidRPr="00CD410A">
              <w:rPr>
                <w:sz w:val="18"/>
                <w:szCs w:val="18"/>
              </w:rPr>
              <w:t>$17,711.21^</w:t>
            </w:r>
          </w:p>
        </w:tc>
        <w:tc>
          <w:tcPr>
            <w:tcW w:w="581" w:type="pct"/>
            <w:shd w:val="clear" w:color="auto" w:fill="auto"/>
            <w:vAlign w:val="center"/>
          </w:tcPr>
          <w:p w14:paraId="264796BA" w14:textId="7F44F7E7" w:rsidR="005D4A48" w:rsidRPr="00CD410A" w:rsidRDefault="005D4A48" w:rsidP="005D4A48">
            <w:pPr>
              <w:pStyle w:val="TableText0"/>
              <w:jc w:val="center"/>
              <w:rPr>
                <w:sz w:val="18"/>
                <w:szCs w:val="18"/>
              </w:rPr>
            </w:pPr>
            <w:r w:rsidRPr="00CD410A">
              <w:rPr>
                <w:sz w:val="18"/>
                <w:szCs w:val="18"/>
              </w:rPr>
              <w:t>$1</w:t>
            </w:r>
            <w:r w:rsidR="00085C65" w:rsidRPr="00CD410A">
              <w:rPr>
                <w:sz w:val="18"/>
                <w:szCs w:val="18"/>
              </w:rPr>
              <w:t>,</w:t>
            </w:r>
            <w:r w:rsidRPr="00CD410A">
              <w:rPr>
                <w:sz w:val="18"/>
                <w:szCs w:val="18"/>
              </w:rPr>
              <w:t>734.42*,</w:t>
            </w:r>
          </w:p>
          <w:p w14:paraId="01304D8A" w14:textId="0660EF14" w:rsidR="005D4A48" w:rsidRPr="00CD410A" w:rsidRDefault="005D4A48" w:rsidP="005D4A48">
            <w:pPr>
              <w:pStyle w:val="TableText0"/>
              <w:jc w:val="center"/>
              <w:rPr>
                <w:sz w:val="18"/>
                <w:szCs w:val="18"/>
              </w:rPr>
            </w:pPr>
            <w:r w:rsidRPr="00CD410A">
              <w:rPr>
                <w:sz w:val="18"/>
                <w:szCs w:val="18"/>
              </w:rPr>
              <w:t>$1</w:t>
            </w:r>
            <w:r w:rsidR="00085C65" w:rsidRPr="00CD410A">
              <w:rPr>
                <w:sz w:val="18"/>
                <w:szCs w:val="18"/>
              </w:rPr>
              <w:t>,</w:t>
            </w:r>
            <w:r w:rsidRPr="00CD410A">
              <w:rPr>
                <w:sz w:val="18"/>
                <w:szCs w:val="18"/>
              </w:rPr>
              <w:t>898.31^</w:t>
            </w:r>
          </w:p>
        </w:tc>
      </w:tr>
      <w:tr w:rsidR="006F5917" w:rsidRPr="009A24F9" w14:paraId="0973FECD" w14:textId="77777777" w:rsidTr="00D0222D">
        <w:tc>
          <w:tcPr>
            <w:tcW w:w="388" w:type="pct"/>
            <w:shd w:val="clear" w:color="auto" w:fill="auto"/>
            <w:tcMar>
              <w:left w:w="28" w:type="dxa"/>
              <w:right w:w="28" w:type="dxa"/>
            </w:tcMar>
            <w:vAlign w:val="center"/>
          </w:tcPr>
          <w:p w14:paraId="72E081D4" w14:textId="77777777" w:rsidR="005D4A48" w:rsidRPr="009A24F9" w:rsidRDefault="005D4A48" w:rsidP="005D4A48">
            <w:pPr>
              <w:pStyle w:val="TableText0"/>
              <w:rPr>
                <w:sz w:val="18"/>
                <w:szCs w:val="18"/>
              </w:rPr>
            </w:pPr>
            <w:r w:rsidRPr="009A24F9">
              <w:rPr>
                <w:sz w:val="18"/>
                <w:szCs w:val="18"/>
              </w:rPr>
              <w:t>ADA</w:t>
            </w:r>
          </w:p>
        </w:tc>
        <w:tc>
          <w:tcPr>
            <w:tcW w:w="2170" w:type="pct"/>
            <w:shd w:val="clear" w:color="auto" w:fill="auto"/>
            <w:tcMar>
              <w:left w:w="28" w:type="dxa"/>
              <w:right w:w="28" w:type="dxa"/>
            </w:tcMar>
            <w:vAlign w:val="center"/>
          </w:tcPr>
          <w:p w14:paraId="29E199CA" w14:textId="77777777" w:rsidR="005D4A48" w:rsidRPr="009A24F9" w:rsidRDefault="005D4A48" w:rsidP="005D4A48">
            <w:pPr>
              <w:pStyle w:val="TableText0"/>
              <w:rPr>
                <w:sz w:val="18"/>
                <w:szCs w:val="18"/>
              </w:rPr>
            </w:pPr>
            <w:r w:rsidRPr="009A24F9">
              <w:rPr>
                <w:sz w:val="18"/>
                <w:szCs w:val="18"/>
              </w:rPr>
              <w:t>80 mg SC injection (2 injections of 40 mg) at Week 0, 40 mg Q2W starting at Week 1</w:t>
            </w:r>
          </w:p>
        </w:tc>
        <w:tc>
          <w:tcPr>
            <w:tcW w:w="622" w:type="pct"/>
            <w:shd w:val="clear" w:color="auto" w:fill="auto"/>
            <w:vAlign w:val="center"/>
          </w:tcPr>
          <w:p w14:paraId="4862362A" w14:textId="075983BD" w:rsidR="002D727B" w:rsidRPr="009A24F9" w:rsidRDefault="005D4A48" w:rsidP="002D727B">
            <w:pPr>
              <w:pStyle w:val="TableText0"/>
              <w:jc w:val="center"/>
              <w:rPr>
                <w:sz w:val="18"/>
                <w:szCs w:val="18"/>
              </w:rPr>
            </w:pPr>
            <w:r w:rsidRPr="009A24F9">
              <w:rPr>
                <w:sz w:val="18"/>
                <w:szCs w:val="18"/>
              </w:rPr>
              <w:t>$618.90</w:t>
            </w:r>
          </w:p>
          <w:p w14:paraId="4ED5AEAD" w14:textId="4E23FC5E" w:rsidR="005D4A48" w:rsidRPr="009A24F9" w:rsidRDefault="005D4A48" w:rsidP="002D727B">
            <w:pPr>
              <w:pStyle w:val="TableText0"/>
              <w:jc w:val="center"/>
              <w:rPr>
                <w:sz w:val="18"/>
                <w:szCs w:val="18"/>
              </w:rPr>
            </w:pPr>
            <w:r w:rsidRPr="009A24F9">
              <w:rPr>
                <w:sz w:val="18"/>
                <w:szCs w:val="18"/>
              </w:rPr>
              <w:t>(2</w:t>
            </w:r>
            <w:r w:rsidR="002D727B" w:rsidRPr="009A24F9">
              <w:rPr>
                <w:sz w:val="18"/>
                <w:szCs w:val="18"/>
              </w:rPr>
              <w:t xml:space="preserve"> doses</w:t>
            </w:r>
            <w:r w:rsidRPr="009A24F9">
              <w:rPr>
                <w:sz w:val="18"/>
                <w:szCs w:val="18"/>
              </w:rPr>
              <w:t>)</w:t>
            </w:r>
          </w:p>
        </w:tc>
        <w:tc>
          <w:tcPr>
            <w:tcW w:w="697" w:type="pct"/>
            <w:vAlign w:val="center"/>
          </w:tcPr>
          <w:p w14:paraId="769B09F2" w14:textId="5C3C69E4" w:rsidR="005D4A48" w:rsidRPr="00CD410A" w:rsidRDefault="005D4A48" w:rsidP="005D4A48">
            <w:pPr>
              <w:pStyle w:val="TableText0"/>
              <w:jc w:val="center"/>
              <w:rPr>
                <w:sz w:val="18"/>
                <w:szCs w:val="18"/>
              </w:rPr>
            </w:pPr>
            <w:r w:rsidRPr="00CD410A">
              <w:rPr>
                <w:sz w:val="18"/>
                <w:szCs w:val="18"/>
              </w:rPr>
              <w:t>53.5</w:t>
            </w:r>
          </w:p>
        </w:tc>
        <w:tc>
          <w:tcPr>
            <w:tcW w:w="542" w:type="pct"/>
            <w:shd w:val="clear" w:color="auto" w:fill="auto"/>
            <w:tcMar>
              <w:left w:w="28" w:type="dxa"/>
              <w:right w:w="28" w:type="dxa"/>
            </w:tcMar>
            <w:vAlign w:val="center"/>
          </w:tcPr>
          <w:p w14:paraId="34D986B8" w14:textId="77777777" w:rsidR="005D4A48" w:rsidRPr="00CD410A" w:rsidRDefault="005D4A48" w:rsidP="005D4A48">
            <w:pPr>
              <w:pStyle w:val="TableText0"/>
              <w:jc w:val="center"/>
              <w:rPr>
                <w:sz w:val="18"/>
                <w:szCs w:val="18"/>
              </w:rPr>
            </w:pPr>
            <w:r w:rsidRPr="00CD410A">
              <w:rPr>
                <w:sz w:val="18"/>
                <w:szCs w:val="18"/>
              </w:rPr>
              <w:t>$16,555.58</w:t>
            </w:r>
          </w:p>
        </w:tc>
        <w:tc>
          <w:tcPr>
            <w:tcW w:w="581" w:type="pct"/>
            <w:shd w:val="clear" w:color="auto" w:fill="auto"/>
            <w:vAlign w:val="center"/>
          </w:tcPr>
          <w:p w14:paraId="181219C9" w14:textId="215BCE81" w:rsidR="005D4A48" w:rsidRPr="00CD410A" w:rsidRDefault="005D4A48" w:rsidP="005D4A48">
            <w:pPr>
              <w:pStyle w:val="TableText0"/>
              <w:jc w:val="center"/>
              <w:rPr>
                <w:sz w:val="18"/>
                <w:szCs w:val="18"/>
              </w:rPr>
            </w:pPr>
            <w:r w:rsidRPr="00CD410A">
              <w:rPr>
                <w:sz w:val="18"/>
                <w:szCs w:val="18"/>
              </w:rPr>
              <w:t>$1</w:t>
            </w:r>
            <w:r w:rsidR="00085C65" w:rsidRPr="00CD410A">
              <w:rPr>
                <w:sz w:val="18"/>
                <w:szCs w:val="18"/>
              </w:rPr>
              <w:t>,</w:t>
            </w:r>
            <w:r w:rsidRPr="00CD410A">
              <w:rPr>
                <w:sz w:val="18"/>
                <w:szCs w:val="18"/>
              </w:rPr>
              <w:t>774.45</w:t>
            </w:r>
          </w:p>
        </w:tc>
      </w:tr>
    </w:tbl>
    <w:p w14:paraId="4202BC97" w14:textId="77777777" w:rsidR="00CE2C69" w:rsidRPr="009A24F9" w:rsidRDefault="00CE2C69" w:rsidP="00CE2C69">
      <w:pPr>
        <w:pStyle w:val="TableFigureFooter"/>
      </w:pPr>
      <w:r w:rsidRPr="009A24F9">
        <w:t>Source: constructed during the evaluation based on Table 2 in the Bimekizumab Public Summary Document March 2023.</w:t>
      </w:r>
    </w:p>
    <w:p w14:paraId="7E09B695" w14:textId="2B52A09F" w:rsidR="00CE2C69" w:rsidRPr="009A24F9" w:rsidRDefault="00CE2C69" w:rsidP="00CE2C69">
      <w:pPr>
        <w:pStyle w:val="TableFigureFooter"/>
        <w:rPr>
          <w:szCs w:val="18"/>
        </w:rPr>
      </w:pPr>
      <w:r w:rsidRPr="009A24F9">
        <w:rPr>
          <w:szCs w:val="18"/>
        </w:rPr>
        <w:t>ADA</w:t>
      </w:r>
      <w:r w:rsidR="00DF018C" w:rsidRPr="009A24F9">
        <w:rPr>
          <w:szCs w:val="18"/>
        </w:rPr>
        <w:t>=</w:t>
      </w:r>
      <w:r w:rsidRPr="009A24F9">
        <w:rPr>
          <w:szCs w:val="18"/>
        </w:rPr>
        <w:t>adalimumab; ETN</w:t>
      </w:r>
      <w:r w:rsidR="00DF018C" w:rsidRPr="009A24F9">
        <w:rPr>
          <w:szCs w:val="18"/>
        </w:rPr>
        <w:t>=</w:t>
      </w:r>
      <w:r w:rsidRPr="009A24F9">
        <w:rPr>
          <w:szCs w:val="18"/>
        </w:rPr>
        <w:t>etanercept; GUS</w:t>
      </w:r>
      <w:r w:rsidR="00DF018C" w:rsidRPr="009A24F9">
        <w:rPr>
          <w:szCs w:val="18"/>
        </w:rPr>
        <w:t>=</w:t>
      </w:r>
      <w:r w:rsidRPr="009A24F9">
        <w:rPr>
          <w:szCs w:val="18"/>
        </w:rPr>
        <w:t>guselkumab; IFX</w:t>
      </w:r>
      <w:r w:rsidR="00DF018C" w:rsidRPr="009A24F9">
        <w:rPr>
          <w:szCs w:val="18"/>
        </w:rPr>
        <w:t>=</w:t>
      </w:r>
      <w:r w:rsidRPr="009A24F9">
        <w:rPr>
          <w:szCs w:val="18"/>
        </w:rPr>
        <w:t>infliximab; IXE</w:t>
      </w:r>
      <w:r w:rsidR="00DF018C" w:rsidRPr="009A24F9">
        <w:rPr>
          <w:szCs w:val="18"/>
        </w:rPr>
        <w:t>=</w:t>
      </w:r>
      <w:r w:rsidRPr="009A24F9">
        <w:rPr>
          <w:szCs w:val="18"/>
        </w:rPr>
        <w:t>ixekizumab; RIS</w:t>
      </w:r>
      <w:r w:rsidR="00DF018C" w:rsidRPr="009A24F9">
        <w:rPr>
          <w:szCs w:val="18"/>
        </w:rPr>
        <w:t>=</w:t>
      </w:r>
      <w:r w:rsidRPr="009A24F9">
        <w:rPr>
          <w:szCs w:val="18"/>
        </w:rPr>
        <w:t>risankizumab; SEC</w:t>
      </w:r>
      <w:r w:rsidR="00DF018C" w:rsidRPr="009A24F9">
        <w:rPr>
          <w:szCs w:val="18"/>
        </w:rPr>
        <w:t>=</w:t>
      </w:r>
      <w:r w:rsidRPr="009A24F9">
        <w:rPr>
          <w:szCs w:val="18"/>
        </w:rPr>
        <w:t>secukinumab; TIL</w:t>
      </w:r>
      <w:r w:rsidR="00DF018C" w:rsidRPr="009A24F9">
        <w:rPr>
          <w:szCs w:val="18"/>
        </w:rPr>
        <w:t>=</w:t>
      </w:r>
      <w:r w:rsidRPr="009A24F9">
        <w:rPr>
          <w:szCs w:val="18"/>
        </w:rPr>
        <w:t>tildrakizumab; UST</w:t>
      </w:r>
      <w:r w:rsidR="00DF018C" w:rsidRPr="009A24F9">
        <w:rPr>
          <w:szCs w:val="18"/>
        </w:rPr>
        <w:t>=</w:t>
      </w:r>
      <w:r w:rsidRPr="009A24F9">
        <w:rPr>
          <w:szCs w:val="18"/>
        </w:rPr>
        <w:t xml:space="preserve">ustekinumab. </w:t>
      </w:r>
    </w:p>
    <w:p w14:paraId="55AE6824" w14:textId="573BAAFB" w:rsidR="00CE2C69" w:rsidRPr="009A24F9" w:rsidRDefault="00CE2C69" w:rsidP="00085C65">
      <w:pPr>
        <w:pStyle w:val="TableFigureFooter"/>
        <w:rPr>
          <w:szCs w:val="18"/>
        </w:rPr>
      </w:pPr>
      <w:r w:rsidRPr="009A24F9">
        <w:rPr>
          <w:szCs w:val="18"/>
          <w:vertAlign w:val="superscript"/>
        </w:rPr>
        <w:t>#</w:t>
      </w:r>
      <w:r w:rsidRPr="009A24F9">
        <w:rPr>
          <w:szCs w:val="18"/>
        </w:rPr>
        <w:tab/>
        <w:t>UST 45 mg dose</w:t>
      </w:r>
      <w:r w:rsidR="00085C65" w:rsidRPr="009A24F9">
        <w:rPr>
          <w:szCs w:val="18"/>
        </w:rPr>
        <w:t xml:space="preserve">; total cost over two </w:t>
      </w:r>
      <w:r w:rsidR="00B33D31" w:rsidRPr="009A24F9">
        <w:rPr>
          <w:szCs w:val="18"/>
        </w:rPr>
        <w:t xml:space="preserve">years for UST </w:t>
      </w:r>
      <w:r w:rsidR="00085C65" w:rsidRPr="009A24F9">
        <w:rPr>
          <w:szCs w:val="18"/>
        </w:rPr>
        <w:t>likely reflects some weighted average across the 45 mg and 90 mg doses</w:t>
      </w:r>
    </w:p>
    <w:p w14:paraId="1EDE0A37" w14:textId="77777777" w:rsidR="00CE2C69" w:rsidRPr="009A24F9" w:rsidRDefault="00CE2C69" w:rsidP="00CE2C69">
      <w:pPr>
        <w:pStyle w:val="TableFigureFooter"/>
        <w:rPr>
          <w:szCs w:val="18"/>
        </w:rPr>
      </w:pPr>
      <w:r w:rsidRPr="009A24F9">
        <w:rPr>
          <w:szCs w:val="18"/>
        </w:rPr>
        <w:t>*</w:t>
      </w:r>
      <w:r w:rsidRPr="009A24F9">
        <w:rPr>
          <w:szCs w:val="18"/>
        </w:rPr>
        <w:tab/>
        <w:t>Drug cost only</w:t>
      </w:r>
    </w:p>
    <w:p w14:paraId="367F26E4" w14:textId="1F8E3836" w:rsidR="003728C4" w:rsidRDefault="00CE2C69" w:rsidP="00CE2C69">
      <w:pPr>
        <w:pStyle w:val="TableFigureFooter"/>
        <w:rPr>
          <w:szCs w:val="18"/>
        </w:rPr>
      </w:pPr>
      <w:r w:rsidRPr="009A24F9">
        <w:rPr>
          <w:szCs w:val="18"/>
        </w:rPr>
        <w:t>^</w:t>
      </w:r>
      <w:r w:rsidRPr="009A24F9">
        <w:rPr>
          <w:szCs w:val="18"/>
        </w:rPr>
        <w:tab/>
        <w:t>Drug cost plus administration cost</w:t>
      </w:r>
      <w:r w:rsidR="005D4A48" w:rsidRPr="009A24F9">
        <w:rPr>
          <w:szCs w:val="18"/>
        </w:rPr>
        <w:t xml:space="preserve"> (IFX IV infusion, MBS item 14245 $107.30 fee)</w:t>
      </w:r>
    </w:p>
    <w:p w14:paraId="4CB24B92" w14:textId="5971BF7F" w:rsidR="00BB6891" w:rsidRPr="005D1E8B" w:rsidRDefault="00A462B0" w:rsidP="00C7610F">
      <w:pPr>
        <w:pStyle w:val="3-BodyText"/>
        <w:rPr>
          <w:snapToGrid/>
        </w:rPr>
      </w:pPr>
      <w:r w:rsidRPr="005D1E8B">
        <w:rPr>
          <w:snapToGrid/>
        </w:rPr>
        <w:t>The ESC noted the</w:t>
      </w:r>
      <w:r w:rsidR="00BB6891" w:rsidRPr="005D1E8B">
        <w:rPr>
          <w:snapToGrid/>
        </w:rPr>
        <w:t xml:space="preserve"> price of IFX SC reduced on 1 October 2023 to $</w:t>
      </w:r>
      <w:r w:rsidR="00BB6891" w:rsidRPr="00431850">
        <w:rPr>
          <w:snapToGrid/>
        </w:rPr>
        <w:t>252.40</w:t>
      </w:r>
      <w:r w:rsidR="00BB6891" w:rsidRPr="005D1E8B">
        <w:rPr>
          <w:snapToGrid/>
        </w:rPr>
        <w:t xml:space="preserve"> per injection</w:t>
      </w:r>
      <w:r w:rsidR="00226D2A">
        <w:rPr>
          <w:snapToGrid/>
        </w:rPr>
        <w:t xml:space="preserve"> (not reflected in the table above)</w:t>
      </w:r>
      <w:r w:rsidR="00BB6891" w:rsidRPr="005D1E8B">
        <w:rPr>
          <w:snapToGrid/>
        </w:rPr>
        <w:t xml:space="preserve">. </w:t>
      </w:r>
    </w:p>
    <w:p w14:paraId="1FF60A9B" w14:textId="77777777" w:rsidR="00285386" w:rsidRDefault="00285386">
      <w:pPr>
        <w:jc w:val="left"/>
        <w:rPr>
          <w:rFonts w:asciiTheme="minorHAnsi" w:eastAsiaTheme="majorEastAsia" w:hAnsiTheme="minorHAnsi" w:cstheme="majorBidi"/>
          <w:b/>
          <w:i/>
          <w:spacing w:val="5"/>
          <w:kern w:val="28"/>
          <w:sz w:val="28"/>
          <w:szCs w:val="36"/>
        </w:rPr>
      </w:pPr>
      <w:bookmarkStart w:id="58" w:name="_Toc143506207"/>
      <w:r>
        <w:br w:type="page"/>
      </w:r>
    </w:p>
    <w:p w14:paraId="472842D7" w14:textId="17EAA62F" w:rsidR="00C25D9C" w:rsidRPr="005B6D7B" w:rsidRDefault="00C25D9C" w:rsidP="0099218D">
      <w:pPr>
        <w:pStyle w:val="4-SubsectionHeading"/>
      </w:pPr>
      <w:r w:rsidRPr="005B6D7B">
        <w:lastRenderedPageBreak/>
        <w:t>Drug cost/patient</w:t>
      </w:r>
      <w:bookmarkEnd w:id="55"/>
      <w:r w:rsidR="0099218D" w:rsidRPr="005B6D7B">
        <w:t>/year</w:t>
      </w:r>
      <w:r w:rsidR="00CB6685" w:rsidRPr="005B6D7B">
        <w:t>: $</w:t>
      </w:r>
      <w:bookmarkEnd w:id="58"/>
      <w:r w:rsidR="008A02DF" w:rsidRPr="008A02DF">
        <w:rPr>
          <w:color w:val="000000"/>
          <w:spacing w:val="0"/>
          <w:w w:val="49"/>
          <w:kern w:val="0"/>
          <w:shd w:val="solid" w:color="000000" w:fill="000000"/>
          <w:fitText w:val="589" w:id="-1032089084"/>
          <w14:textFill>
            <w14:solidFill>
              <w14:srgbClr w14:val="000000">
                <w14:alpha w14:val="100000"/>
              </w14:srgbClr>
            </w14:solidFill>
          </w14:textFill>
        </w:rPr>
        <w:t>||||  |||</w:t>
      </w:r>
      <w:r w:rsidR="008A02DF" w:rsidRPr="008A02DF">
        <w:rPr>
          <w:color w:val="000000"/>
          <w:spacing w:val="6"/>
          <w:w w:val="49"/>
          <w:kern w:val="0"/>
          <w:shd w:val="solid" w:color="000000" w:fill="000000"/>
          <w:fitText w:val="589" w:id="-1032089084"/>
          <w14:textFill>
            <w14:solidFill>
              <w14:srgbClr w14:val="000000">
                <w14:alpha w14:val="100000"/>
              </w14:srgbClr>
            </w14:solidFill>
          </w14:textFill>
        </w:rPr>
        <w:t>|</w:t>
      </w:r>
    </w:p>
    <w:p w14:paraId="3DBFE151" w14:textId="475B4FEF" w:rsidR="00494207" w:rsidRPr="005B6D7B" w:rsidRDefault="0099218D" w:rsidP="00CE5EAE">
      <w:pPr>
        <w:pStyle w:val="3-BodyText"/>
        <w:rPr>
          <w:snapToGrid/>
        </w:rPr>
      </w:pPr>
      <w:bookmarkStart w:id="59" w:name="_Hlk107307804"/>
      <w:r w:rsidRPr="005B6D7B">
        <w:rPr>
          <w:snapToGrid/>
        </w:rPr>
        <w:t>Using the requested effective DPMQ of $</w:t>
      </w:r>
      <w:r w:rsidR="008A02DF" w:rsidRPr="008A02DF">
        <w:rPr>
          <w:snapToGrid/>
          <w:color w:val="000000"/>
          <w:w w:val="62"/>
          <w:shd w:val="solid" w:color="000000" w:fill="000000"/>
          <w:fitText w:val="479" w:id="-1032089083"/>
          <w14:textFill>
            <w14:solidFill>
              <w14:srgbClr w14:val="000000">
                <w14:alpha w14:val="100000"/>
              </w14:srgbClr>
            </w14:solidFill>
          </w14:textFill>
        </w:rPr>
        <w:t>|||  ||</w:t>
      </w:r>
      <w:r w:rsidR="008A02DF" w:rsidRPr="008A02DF">
        <w:rPr>
          <w:snapToGrid/>
          <w:color w:val="000000"/>
          <w:spacing w:val="1"/>
          <w:w w:val="62"/>
          <w:shd w:val="solid" w:color="000000" w:fill="000000"/>
          <w:fitText w:val="479" w:id="-1032089083"/>
          <w14:textFill>
            <w14:solidFill>
              <w14:srgbClr w14:val="000000">
                <w14:alpha w14:val="100000"/>
              </w14:srgbClr>
            </w14:solidFill>
          </w14:textFill>
        </w:rPr>
        <w:t>|</w:t>
      </w:r>
      <w:r w:rsidRPr="005B6D7B">
        <w:rPr>
          <w:snapToGrid/>
        </w:rPr>
        <w:t xml:space="preserve"> per pack of one 150 mg injection (PFP or PFS), and assuming 9.33 injections (units) per patient over the first two years, the average drug cost per patient per year is $</w:t>
      </w:r>
      <w:r w:rsidR="008A02DF" w:rsidRPr="004D70E1">
        <w:rPr>
          <w:snapToGrid/>
          <w:color w:val="000000"/>
          <w:w w:val="15"/>
          <w:shd w:val="solid" w:color="000000" w:fill="000000"/>
          <w:fitText w:val="-20" w:id="-1032089082"/>
          <w14:textFill>
            <w14:solidFill>
              <w14:srgbClr w14:val="000000">
                <w14:alpha w14:val="100000"/>
              </w14:srgbClr>
            </w14:solidFill>
          </w14:textFill>
        </w:rPr>
        <w:t xml:space="preserve">|  </w:t>
      </w:r>
      <w:r w:rsidR="008A02DF" w:rsidRPr="004D70E1">
        <w:rPr>
          <w:snapToGrid/>
          <w:color w:val="000000"/>
          <w:spacing w:val="-69"/>
          <w:w w:val="15"/>
          <w:shd w:val="solid" w:color="000000" w:fill="000000"/>
          <w:fitText w:val="-20" w:id="-1032089082"/>
          <w14:textFill>
            <w14:solidFill>
              <w14:srgbClr w14:val="000000">
                <w14:alpha w14:val="100000"/>
              </w14:srgbClr>
            </w14:solidFill>
          </w14:textFill>
        </w:rPr>
        <w:t>|</w:t>
      </w:r>
      <w:r w:rsidR="009E4426">
        <w:rPr>
          <w:snapToGrid/>
        </w:rPr>
        <w:t xml:space="preserve"> ($</w:t>
      </w:r>
      <w:r w:rsidR="008A02DF" w:rsidRPr="004D70E1">
        <w:rPr>
          <w:snapToGrid/>
          <w:color w:val="000000"/>
          <w:w w:val="15"/>
          <w:shd w:val="solid" w:color="000000" w:fill="000000"/>
          <w:fitText w:val="-20" w:id="-1032089081"/>
          <w14:textFill>
            <w14:solidFill>
              <w14:srgbClr w14:val="000000">
                <w14:alpha w14:val="100000"/>
              </w14:srgbClr>
            </w14:solidFill>
          </w14:textFill>
        </w:rPr>
        <w:t xml:space="preserve">|  </w:t>
      </w:r>
      <w:r w:rsidR="008A02DF" w:rsidRPr="004D70E1">
        <w:rPr>
          <w:snapToGrid/>
          <w:color w:val="000000"/>
          <w:spacing w:val="-69"/>
          <w:w w:val="15"/>
          <w:shd w:val="solid" w:color="000000" w:fill="000000"/>
          <w:fitText w:val="-20" w:id="-1032089081"/>
          <w14:textFill>
            <w14:solidFill>
              <w14:srgbClr w14:val="000000">
                <w14:alpha w14:val="100000"/>
              </w14:srgbClr>
            </w14:solidFill>
          </w14:textFill>
        </w:rPr>
        <w:t>|</w:t>
      </w:r>
      <w:r w:rsidR="009E4426">
        <w:rPr>
          <w:snapToGrid/>
        </w:rPr>
        <w:t xml:space="preserve"> over the first two years)</w:t>
      </w:r>
      <w:r w:rsidR="00CB6685" w:rsidRPr="005B6D7B">
        <w:rPr>
          <w:snapToGrid/>
        </w:rPr>
        <w:t>.</w:t>
      </w:r>
      <w:r w:rsidR="009E4426">
        <w:rPr>
          <w:snapToGrid/>
        </w:rPr>
        <w:t xml:space="preserve"> </w:t>
      </w:r>
      <w:r w:rsidR="00CE5EAE">
        <w:rPr>
          <w:snapToGrid/>
        </w:rPr>
        <w:t>At the</w:t>
      </w:r>
      <w:r w:rsidR="009E4426">
        <w:rPr>
          <w:snapToGrid/>
        </w:rPr>
        <w:t xml:space="preserve"> published DPMQ of </w:t>
      </w:r>
      <w:r w:rsidR="009E4426" w:rsidRPr="007F26AD">
        <w:rPr>
          <w:snapToGrid/>
        </w:rPr>
        <w:t>$5,239.29</w:t>
      </w:r>
      <w:r w:rsidR="009E4426">
        <w:rPr>
          <w:snapToGrid/>
        </w:rPr>
        <w:t xml:space="preserve"> per pack, the average drug cost per patient per year is $</w:t>
      </w:r>
      <w:r w:rsidR="009E4426" w:rsidRPr="007F26AD">
        <w:rPr>
          <w:snapToGrid/>
        </w:rPr>
        <w:t>24,441</w:t>
      </w:r>
      <w:r w:rsidR="009E4426" w:rsidRPr="005E0153">
        <w:rPr>
          <w:snapToGrid/>
        </w:rPr>
        <w:t xml:space="preserve"> </w:t>
      </w:r>
      <w:r w:rsidR="009E4426">
        <w:rPr>
          <w:snapToGrid/>
        </w:rPr>
        <w:t>($</w:t>
      </w:r>
      <w:r w:rsidR="009E4426" w:rsidRPr="007F26AD">
        <w:rPr>
          <w:snapToGrid/>
        </w:rPr>
        <w:t>48,88</w:t>
      </w:r>
      <w:r w:rsidR="00846BE1" w:rsidRPr="007F26AD">
        <w:rPr>
          <w:snapToGrid/>
        </w:rPr>
        <w:t>3</w:t>
      </w:r>
      <w:r w:rsidR="009E4426">
        <w:rPr>
          <w:snapToGrid/>
        </w:rPr>
        <w:t xml:space="preserve"> over the first two years).</w:t>
      </w:r>
    </w:p>
    <w:p w14:paraId="268768EF" w14:textId="3626F292" w:rsidR="00B60939" w:rsidRPr="005B6D7B" w:rsidRDefault="00B60939" w:rsidP="002B05A1">
      <w:pPr>
        <w:pStyle w:val="4-SubsectionHeading"/>
      </w:pPr>
      <w:bookmarkStart w:id="60" w:name="_Toc22897647"/>
      <w:bookmarkStart w:id="61" w:name="_Toc143506208"/>
      <w:bookmarkEnd w:id="59"/>
      <w:r w:rsidRPr="005B6D7B">
        <w:t>Estimated PBS usage &amp; financial implications</w:t>
      </w:r>
      <w:bookmarkEnd w:id="60"/>
      <w:bookmarkEnd w:id="61"/>
    </w:p>
    <w:p w14:paraId="10CEC858" w14:textId="297878D8" w:rsidR="00456852" w:rsidRPr="005B6D7B" w:rsidRDefault="00C25D9C" w:rsidP="001227D0">
      <w:pPr>
        <w:pStyle w:val="3-BodyText"/>
      </w:pPr>
      <w:r w:rsidRPr="005B6D7B">
        <w:t xml:space="preserve">This submission </w:t>
      </w:r>
      <w:r w:rsidR="001D0AA4" w:rsidRPr="005B6D7B">
        <w:t>w</w:t>
      </w:r>
      <w:r w:rsidR="001D0AA4">
        <w:t xml:space="preserve">as </w:t>
      </w:r>
      <w:r w:rsidRPr="005B6D7B">
        <w:t>not considered by DUSC.</w:t>
      </w:r>
      <w:r w:rsidR="00456852" w:rsidRPr="005B6D7B">
        <w:t xml:space="preserve"> </w:t>
      </w:r>
    </w:p>
    <w:p w14:paraId="62FC4BCA" w14:textId="3709FC1C" w:rsidR="005D1E8B" w:rsidRDefault="00456852" w:rsidP="005D1E8B">
      <w:pPr>
        <w:pStyle w:val="3-BodyText"/>
      </w:pPr>
      <w:r w:rsidRPr="005B6D7B">
        <w:t>The submission stated there will be no net financial impact to the PBS, MBS or overall health budget associated with the listing the new 150 mg presentations of risankizumab. The new 150 mg presentations will directly substitute for the current 75 mg presentations at the same price, with no differences in the mark ups and co-payments, and no expected change to the current utilisation of risankizumab.</w:t>
      </w:r>
      <w:r w:rsidR="003728C4">
        <w:t xml:space="preserve"> </w:t>
      </w:r>
    </w:p>
    <w:p w14:paraId="51569C4D" w14:textId="7AAFDA5E" w:rsidR="005D1E8B" w:rsidRDefault="005D1E8B" w:rsidP="0062122F">
      <w:pPr>
        <w:ind w:firstLine="709"/>
      </w:pPr>
      <w:bookmarkStart w:id="62" w:name="_Hlk76375324"/>
      <w:r w:rsidRPr="00C33D30">
        <w:rPr>
          <w:rFonts w:asciiTheme="minorHAnsi" w:hAnsiTheme="minorHAnsi"/>
          <w:i/>
        </w:rPr>
        <w:t>For more detail on PBAC’s view, see section 7 PBAC outcome.</w:t>
      </w:r>
      <w:bookmarkEnd w:id="62"/>
    </w:p>
    <w:p w14:paraId="15A1541B" w14:textId="77777777" w:rsidR="005D1E8B" w:rsidRPr="0090150D" w:rsidRDefault="005D1E8B" w:rsidP="00036DFF">
      <w:pPr>
        <w:pStyle w:val="2-SectionHeading"/>
        <w:numPr>
          <w:ilvl w:val="0"/>
          <w:numId w:val="1"/>
        </w:numPr>
      </w:pPr>
      <w:bookmarkStart w:id="63" w:name="_Hlk76381249"/>
      <w:bookmarkStart w:id="64" w:name="_Hlk76377955"/>
      <w:r w:rsidRPr="0090150D">
        <w:t>PBAC Outcome</w:t>
      </w:r>
    </w:p>
    <w:p w14:paraId="31A5AC92" w14:textId="26B62585" w:rsidR="005D1E8B" w:rsidRPr="0059465E" w:rsidRDefault="006F209A" w:rsidP="005D1E8B">
      <w:pPr>
        <w:widowControl w:val="0"/>
        <w:numPr>
          <w:ilvl w:val="1"/>
          <w:numId w:val="1"/>
        </w:numPr>
        <w:spacing w:after="120"/>
        <w:rPr>
          <w:rFonts w:asciiTheme="minorHAnsi" w:hAnsiTheme="minorHAnsi"/>
          <w:snapToGrid w:val="0"/>
          <w:lang w:val="en-GB"/>
        </w:rPr>
      </w:pPr>
      <w:r w:rsidRPr="0059465E">
        <w:rPr>
          <w:rFonts w:asciiTheme="minorHAnsi" w:hAnsiTheme="minorHAnsi"/>
          <w:snapToGrid w:val="0"/>
          <w:lang w:val="en-GB"/>
        </w:rPr>
        <w:t xml:space="preserve">The PBAC recommended the Authority Required (in writing) listing of </w:t>
      </w:r>
      <w:r w:rsidR="00DF49E7">
        <w:rPr>
          <w:rFonts w:asciiTheme="minorHAnsi" w:hAnsiTheme="minorHAnsi"/>
          <w:snapToGrid w:val="0"/>
          <w:lang w:val="en-GB"/>
        </w:rPr>
        <w:t xml:space="preserve">two </w:t>
      </w:r>
      <w:r w:rsidRPr="0059465E">
        <w:rPr>
          <w:rFonts w:asciiTheme="minorHAnsi" w:hAnsiTheme="minorHAnsi"/>
          <w:snapToGrid w:val="0"/>
          <w:lang w:val="en-GB"/>
        </w:rPr>
        <w:t>new form</w:t>
      </w:r>
      <w:r w:rsidR="00DF49E7">
        <w:rPr>
          <w:rFonts w:asciiTheme="minorHAnsi" w:hAnsiTheme="minorHAnsi"/>
          <w:snapToGrid w:val="0"/>
          <w:lang w:val="en-GB"/>
        </w:rPr>
        <w:t>s</w:t>
      </w:r>
      <w:r w:rsidRPr="0059465E">
        <w:rPr>
          <w:rFonts w:asciiTheme="minorHAnsi" w:hAnsiTheme="minorHAnsi"/>
          <w:snapToGrid w:val="0"/>
          <w:lang w:val="en-GB"/>
        </w:rPr>
        <w:t xml:space="preserve"> of risankizumab (RIS, 150 mg </w:t>
      </w:r>
      <w:r w:rsidR="002A330F" w:rsidRPr="0059465E">
        <w:rPr>
          <w:rFonts w:asciiTheme="minorHAnsi" w:hAnsiTheme="minorHAnsi"/>
          <w:snapToGrid w:val="0"/>
          <w:lang w:val="en-GB"/>
        </w:rPr>
        <w:t xml:space="preserve">pre-filled syringe </w:t>
      </w:r>
      <w:r w:rsidR="00DF49E7">
        <w:rPr>
          <w:rFonts w:asciiTheme="minorHAnsi" w:hAnsiTheme="minorHAnsi"/>
          <w:snapToGrid w:val="0"/>
          <w:lang w:val="en-GB"/>
        </w:rPr>
        <w:t xml:space="preserve">(PFS) </w:t>
      </w:r>
      <w:r w:rsidR="002A330F" w:rsidRPr="0059465E">
        <w:rPr>
          <w:rFonts w:asciiTheme="minorHAnsi" w:hAnsiTheme="minorHAnsi"/>
          <w:snapToGrid w:val="0"/>
          <w:lang w:val="en-GB"/>
        </w:rPr>
        <w:t xml:space="preserve">and </w:t>
      </w:r>
      <w:r w:rsidR="00DF49E7">
        <w:rPr>
          <w:rFonts w:asciiTheme="minorHAnsi" w:hAnsiTheme="minorHAnsi"/>
          <w:snapToGrid w:val="0"/>
          <w:lang w:val="en-GB"/>
        </w:rPr>
        <w:t xml:space="preserve">150 mg pre-filled </w:t>
      </w:r>
      <w:r w:rsidR="002A330F" w:rsidRPr="0059465E">
        <w:rPr>
          <w:rFonts w:asciiTheme="minorHAnsi" w:hAnsiTheme="minorHAnsi"/>
          <w:snapToGrid w:val="0"/>
          <w:lang w:val="en-GB"/>
        </w:rPr>
        <w:t>pen</w:t>
      </w:r>
      <w:r w:rsidR="00DF49E7">
        <w:rPr>
          <w:rFonts w:asciiTheme="minorHAnsi" w:hAnsiTheme="minorHAnsi"/>
          <w:snapToGrid w:val="0"/>
          <w:lang w:val="en-GB"/>
        </w:rPr>
        <w:t xml:space="preserve"> (PFP)</w:t>
      </w:r>
      <w:r w:rsidRPr="0059465E">
        <w:rPr>
          <w:rFonts w:asciiTheme="minorHAnsi" w:hAnsiTheme="minorHAnsi"/>
          <w:snapToGrid w:val="0"/>
          <w:lang w:val="en-GB"/>
        </w:rPr>
        <w:t xml:space="preserve">) for the treatment of severe chronic plaque psoriasis (CPP). The Committee noted it had previously recommended the listing </w:t>
      </w:r>
      <w:r w:rsidR="00ED426D" w:rsidRPr="00DF49E7">
        <w:rPr>
          <w:rFonts w:asciiTheme="minorHAnsi" w:hAnsiTheme="minorHAnsi"/>
          <w:snapToGrid w:val="0"/>
          <w:lang w:val="en-GB"/>
        </w:rPr>
        <w:t xml:space="preserve">of </w:t>
      </w:r>
      <w:r w:rsidRPr="00DF49E7">
        <w:rPr>
          <w:rFonts w:asciiTheme="minorHAnsi" w:hAnsiTheme="minorHAnsi"/>
          <w:snapToGrid w:val="0"/>
          <w:lang w:val="en-GB"/>
        </w:rPr>
        <w:t>th</w:t>
      </w:r>
      <w:r w:rsidR="00DF49E7" w:rsidRPr="00DF49E7">
        <w:rPr>
          <w:rFonts w:asciiTheme="minorHAnsi" w:hAnsiTheme="minorHAnsi"/>
          <w:snapToGrid w:val="0"/>
          <w:lang w:val="en-GB"/>
        </w:rPr>
        <w:t>ese</w:t>
      </w:r>
      <w:r w:rsidRPr="00DF49E7">
        <w:rPr>
          <w:rFonts w:asciiTheme="minorHAnsi" w:hAnsiTheme="minorHAnsi"/>
          <w:snapToGrid w:val="0"/>
          <w:lang w:val="en-GB"/>
        </w:rPr>
        <w:t xml:space="preserve"> form</w:t>
      </w:r>
      <w:r w:rsidR="00DF49E7" w:rsidRPr="00DF49E7">
        <w:rPr>
          <w:rFonts w:asciiTheme="minorHAnsi" w:hAnsiTheme="minorHAnsi"/>
          <w:snapToGrid w:val="0"/>
          <w:lang w:val="en-GB"/>
        </w:rPr>
        <w:t>s</w:t>
      </w:r>
      <w:r w:rsidRPr="0059465E">
        <w:rPr>
          <w:rFonts w:asciiTheme="minorHAnsi" w:hAnsiTheme="minorHAnsi"/>
          <w:snapToGrid w:val="0"/>
          <w:lang w:val="en-GB"/>
        </w:rPr>
        <w:t xml:space="preserve"> of RIS for CPP in November 2021 and advised the basis of this recommendation differed to that of the previous outcome. </w:t>
      </w:r>
      <w:r w:rsidR="00F5115E" w:rsidRPr="0059465E">
        <w:rPr>
          <w:rFonts w:asciiTheme="minorHAnsi" w:hAnsiTheme="minorHAnsi"/>
          <w:snapToGrid w:val="0"/>
          <w:lang w:val="en-GB"/>
        </w:rPr>
        <w:t>The PBAC</w:t>
      </w:r>
      <w:r w:rsidR="006B7C08" w:rsidRPr="0059465E">
        <w:rPr>
          <w:rFonts w:asciiTheme="minorHAnsi" w:hAnsiTheme="minorHAnsi"/>
          <w:snapToGrid w:val="0"/>
          <w:lang w:val="en-GB"/>
        </w:rPr>
        <w:t xml:space="preserve"> noted the 150 mg </w:t>
      </w:r>
      <w:r w:rsidR="00285386" w:rsidRPr="0059465E">
        <w:rPr>
          <w:rFonts w:asciiTheme="minorHAnsi" w:hAnsiTheme="minorHAnsi"/>
          <w:snapToGrid w:val="0"/>
          <w:lang w:val="en-GB"/>
        </w:rPr>
        <w:t>form,</w:t>
      </w:r>
      <w:r w:rsidR="006B7C08" w:rsidRPr="0059465E">
        <w:rPr>
          <w:rFonts w:asciiTheme="minorHAnsi" w:hAnsiTheme="minorHAnsi"/>
          <w:snapToGrid w:val="0"/>
          <w:lang w:val="en-GB"/>
        </w:rPr>
        <w:t xml:space="preserve"> and the 75 mg form are bioequivalent</w:t>
      </w:r>
      <w:r w:rsidR="003501B9" w:rsidRPr="0059465E">
        <w:rPr>
          <w:rFonts w:asciiTheme="minorHAnsi" w:hAnsiTheme="minorHAnsi"/>
          <w:snapToGrid w:val="0"/>
          <w:lang w:val="en-GB"/>
        </w:rPr>
        <w:t>,</w:t>
      </w:r>
      <w:r w:rsidR="006B7C08" w:rsidRPr="0059465E">
        <w:rPr>
          <w:rFonts w:asciiTheme="minorHAnsi" w:hAnsiTheme="minorHAnsi"/>
          <w:snapToGrid w:val="0"/>
          <w:lang w:val="en-GB"/>
        </w:rPr>
        <w:t xml:space="preserve"> and</w:t>
      </w:r>
      <w:r w:rsidR="00F5115E" w:rsidRPr="0059465E">
        <w:rPr>
          <w:rFonts w:asciiTheme="minorHAnsi" w:hAnsiTheme="minorHAnsi"/>
          <w:snapToGrid w:val="0"/>
          <w:lang w:val="en-GB"/>
        </w:rPr>
        <w:t xml:space="preserve"> considered there is sufficient evidence to conclude that </w:t>
      </w:r>
      <w:r w:rsidR="006B7C08" w:rsidRPr="0059465E">
        <w:rPr>
          <w:rFonts w:asciiTheme="minorHAnsi" w:hAnsiTheme="minorHAnsi"/>
          <w:snapToGrid w:val="0"/>
          <w:lang w:val="en-GB"/>
        </w:rPr>
        <w:t>the 150 mg form</w:t>
      </w:r>
      <w:r w:rsidR="00DF49E7">
        <w:rPr>
          <w:rFonts w:asciiTheme="minorHAnsi" w:hAnsiTheme="minorHAnsi"/>
          <w:snapToGrid w:val="0"/>
          <w:lang w:val="en-GB"/>
        </w:rPr>
        <w:t>s</w:t>
      </w:r>
      <w:r w:rsidR="006B7C08" w:rsidRPr="0059465E">
        <w:rPr>
          <w:rFonts w:asciiTheme="minorHAnsi" w:hAnsiTheme="minorHAnsi"/>
          <w:snapToGrid w:val="0"/>
          <w:lang w:val="en-GB"/>
        </w:rPr>
        <w:t xml:space="preserve"> of </w:t>
      </w:r>
      <w:r w:rsidR="00F5115E" w:rsidRPr="0059465E">
        <w:rPr>
          <w:rFonts w:asciiTheme="minorHAnsi" w:hAnsiTheme="minorHAnsi"/>
          <w:snapToGrid w:val="0"/>
          <w:lang w:val="en-GB"/>
        </w:rPr>
        <w:t>RIS provides, for some patients, a significant improvement in efficacy compared to adalimumab (ADA), etanercept (ETN)</w:t>
      </w:r>
      <w:r w:rsidR="00DF49E7">
        <w:rPr>
          <w:rFonts w:asciiTheme="minorHAnsi" w:hAnsiTheme="minorHAnsi"/>
          <w:snapToGrid w:val="0"/>
          <w:lang w:val="en-GB"/>
        </w:rPr>
        <w:t xml:space="preserve"> and </w:t>
      </w:r>
      <w:r w:rsidR="00F5115E" w:rsidRPr="0059465E">
        <w:rPr>
          <w:rFonts w:asciiTheme="minorHAnsi" w:hAnsiTheme="minorHAnsi"/>
          <w:snapToGrid w:val="0"/>
          <w:lang w:val="en-GB"/>
        </w:rPr>
        <w:t xml:space="preserve">ustekinumab (UST). </w:t>
      </w:r>
      <w:r w:rsidR="003031D5" w:rsidRPr="0059465E">
        <w:rPr>
          <w:rFonts w:asciiTheme="minorHAnsi" w:hAnsiTheme="minorHAnsi"/>
          <w:snapToGrid w:val="0"/>
          <w:lang w:val="en-GB"/>
        </w:rPr>
        <w:t xml:space="preserve">The PBAC was also satisfied that RIS provides, for some patients, </w:t>
      </w:r>
      <w:r w:rsidR="003031D5" w:rsidRPr="0059465E">
        <w:rPr>
          <w:iCs/>
        </w:rPr>
        <w:t>a significant improvement in efficacy or reduction of toxicity over</w:t>
      </w:r>
      <w:r w:rsidR="00A44EEF">
        <w:rPr>
          <w:iCs/>
        </w:rPr>
        <w:t xml:space="preserve"> infliximab</w:t>
      </w:r>
      <w:r w:rsidR="003031D5" w:rsidRPr="0059465E">
        <w:rPr>
          <w:iCs/>
        </w:rPr>
        <w:t xml:space="preserve"> </w:t>
      </w:r>
      <w:r w:rsidR="00A44EEF">
        <w:rPr>
          <w:iCs/>
        </w:rPr>
        <w:t>(</w:t>
      </w:r>
      <w:r w:rsidR="003031D5" w:rsidRPr="0059465E">
        <w:rPr>
          <w:iCs/>
        </w:rPr>
        <w:t>IFX</w:t>
      </w:r>
      <w:r w:rsidR="00A44EEF">
        <w:rPr>
          <w:iCs/>
        </w:rPr>
        <w:t>)</w:t>
      </w:r>
      <w:r w:rsidR="003031D5" w:rsidRPr="0059465E">
        <w:rPr>
          <w:iCs/>
        </w:rPr>
        <w:t>.</w:t>
      </w:r>
      <w:r w:rsidR="003031D5" w:rsidRPr="0059465E">
        <w:rPr>
          <w:rFonts w:asciiTheme="minorHAnsi" w:hAnsiTheme="minorHAnsi"/>
          <w:snapToGrid w:val="0"/>
          <w:lang w:val="en-GB"/>
        </w:rPr>
        <w:t xml:space="preserve"> </w:t>
      </w:r>
      <w:r w:rsidR="00A44EEF" w:rsidRPr="0059465E">
        <w:rPr>
          <w:rFonts w:asciiTheme="minorHAnsi" w:hAnsiTheme="minorHAnsi"/>
          <w:snapToGrid w:val="0"/>
          <w:lang w:val="en-GB"/>
        </w:rPr>
        <w:t>The PBAC’s recommendation for listing was</w:t>
      </w:r>
      <w:r w:rsidR="00A44EEF">
        <w:rPr>
          <w:rFonts w:asciiTheme="minorHAnsi" w:hAnsiTheme="minorHAnsi"/>
          <w:snapToGrid w:val="0"/>
          <w:lang w:val="en-GB"/>
        </w:rPr>
        <w:t xml:space="preserve"> therefore</w:t>
      </w:r>
      <w:r w:rsidR="00A44EEF" w:rsidRPr="0059465E">
        <w:rPr>
          <w:rFonts w:asciiTheme="minorHAnsi" w:hAnsiTheme="minorHAnsi"/>
          <w:snapToGrid w:val="0"/>
          <w:lang w:val="en-GB"/>
        </w:rPr>
        <w:t xml:space="preserve"> based on, among other matters, its assessment that the cost effectiveness of th</w:t>
      </w:r>
      <w:r w:rsidR="00A44EEF">
        <w:rPr>
          <w:rFonts w:asciiTheme="minorHAnsi" w:hAnsiTheme="minorHAnsi"/>
          <w:snapToGrid w:val="0"/>
          <w:lang w:val="en-GB"/>
        </w:rPr>
        <w:t>e 150 mg</w:t>
      </w:r>
      <w:r w:rsidR="00A44EEF" w:rsidRPr="0059465E">
        <w:rPr>
          <w:rFonts w:asciiTheme="minorHAnsi" w:hAnsiTheme="minorHAnsi"/>
          <w:snapToGrid w:val="0"/>
          <w:lang w:val="en-GB"/>
        </w:rPr>
        <w:t xml:space="preserve"> </w:t>
      </w:r>
      <w:r w:rsidR="00A44EEF" w:rsidRPr="00DF49E7">
        <w:rPr>
          <w:rFonts w:asciiTheme="minorHAnsi" w:hAnsiTheme="minorHAnsi"/>
          <w:snapToGrid w:val="0"/>
          <w:lang w:val="en-GB"/>
        </w:rPr>
        <w:t>presentation</w:t>
      </w:r>
      <w:r w:rsidR="00A44EEF">
        <w:rPr>
          <w:rFonts w:asciiTheme="minorHAnsi" w:hAnsiTheme="minorHAnsi"/>
          <w:snapToGrid w:val="0"/>
          <w:lang w:val="en-GB"/>
        </w:rPr>
        <w:t>s</w:t>
      </w:r>
      <w:r w:rsidR="00A44EEF" w:rsidRPr="0059465E">
        <w:rPr>
          <w:rFonts w:asciiTheme="minorHAnsi" w:hAnsiTheme="minorHAnsi"/>
          <w:snapToGrid w:val="0"/>
          <w:lang w:val="en-GB"/>
        </w:rPr>
        <w:t xml:space="preserve"> of RIS would be acceptable if </w:t>
      </w:r>
      <w:r w:rsidR="00A44EEF">
        <w:rPr>
          <w:rFonts w:asciiTheme="minorHAnsi" w:hAnsiTheme="minorHAnsi"/>
          <w:snapToGrid w:val="0"/>
          <w:lang w:val="en-GB"/>
        </w:rPr>
        <w:t xml:space="preserve">they </w:t>
      </w:r>
      <w:r w:rsidR="00A44EEF" w:rsidRPr="0059465E">
        <w:rPr>
          <w:rFonts w:asciiTheme="minorHAnsi" w:hAnsiTheme="minorHAnsi"/>
          <w:snapToGrid w:val="0"/>
          <w:lang w:val="en-GB"/>
        </w:rPr>
        <w:t>were cost minimised to the least costly alternative therapy of RIS (2 x 75 mg presentation), bimekizumab (BKZ), guselkumab (GUS), ixekizumab (IXE), tildrakizumab (TIL) and secukinumab (SEC).</w:t>
      </w:r>
    </w:p>
    <w:p w14:paraId="3BDA25DF" w14:textId="60083C23" w:rsidR="005D1E8B" w:rsidRPr="0059465E" w:rsidRDefault="005D1E8B" w:rsidP="0059465E">
      <w:pPr>
        <w:widowControl w:val="0"/>
        <w:numPr>
          <w:ilvl w:val="1"/>
          <w:numId w:val="1"/>
        </w:numPr>
        <w:spacing w:after="120"/>
        <w:rPr>
          <w:rFonts w:asciiTheme="minorHAnsi" w:hAnsiTheme="minorHAnsi"/>
          <w:snapToGrid w:val="0"/>
          <w:lang w:val="en-GB"/>
        </w:rPr>
      </w:pPr>
      <w:r w:rsidRPr="0059465E">
        <w:rPr>
          <w:rFonts w:asciiTheme="minorHAnsi" w:hAnsiTheme="minorHAnsi"/>
          <w:snapToGrid w:val="0"/>
          <w:lang w:val="en-GB"/>
        </w:rPr>
        <w:t xml:space="preserve">The PBAC </w:t>
      </w:r>
      <w:r w:rsidR="00F5115E" w:rsidRPr="0059465E">
        <w:rPr>
          <w:rFonts w:asciiTheme="minorHAnsi" w:hAnsiTheme="minorHAnsi"/>
          <w:snapToGrid w:val="0"/>
          <w:lang w:val="en-GB"/>
        </w:rPr>
        <w:t xml:space="preserve">recalled that RIS 150 mg </w:t>
      </w:r>
      <w:r w:rsidR="00DF49E7">
        <w:rPr>
          <w:rFonts w:asciiTheme="minorHAnsi" w:hAnsiTheme="minorHAnsi"/>
          <w:snapToGrid w:val="0"/>
          <w:lang w:val="en-GB"/>
        </w:rPr>
        <w:t xml:space="preserve">PFP and PFS </w:t>
      </w:r>
      <w:r w:rsidR="00F5115E" w:rsidRPr="0059465E">
        <w:rPr>
          <w:rFonts w:asciiTheme="minorHAnsi" w:hAnsiTheme="minorHAnsi"/>
          <w:snapToGrid w:val="0"/>
          <w:lang w:val="en-GB"/>
        </w:rPr>
        <w:t>w</w:t>
      </w:r>
      <w:r w:rsidR="00DF49E7">
        <w:rPr>
          <w:rFonts w:asciiTheme="minorHAnsi" w:hAnsiTheme="minorHAnsi"/>
          <w:snapToGrid w:val="0"/>
          <w:lang w:val="en-GB"/>
        </w:rPr>
        <w:t xml:space="preserve">ere </w:t>
      </w:r>
      <w:r w:rsidR="00F5115E" w:rsidRPr="0059465E">
        <w:rPr>
          <w:rFonts w:asciiTheme="minorHAnsi" w:hAnsiTheme="minorHAnsi"/>
          <w:snapToGrid w:val="0"/>
          <w:lang w:val="en-GB"/>
        </w:rPr>
        <w:t>recommended at the November 2021 meeting on a cost minimisation basis ‘to the lowest cost biological agent available for sever</w:t>
      </w:r>
      <w:r w:rsidR="00591871" w:rsidRPr="0059465E">
        <w:rPr>
          <w:rFonts w:asciiTheme="minorHAnsi" w:hAnsiTheme="minorHAnsi"/>
          <w:snapToGrid w:val="0"/>
          <w:lang w:val="en-GB"/>
        </w:rPr>
        <w:t>e</w:t>
      </w:r>
      <w:r w:rsidR="00F5115E" w:rsidRPr="0059465E">
        <w:rPr>
          <w:rFonts w:asciiTheme="minorHAnsi" w:hAnsiTheme="minorHAnsi"/>
          <w:snapToGrid w:val="0"/>
          <w:lang w:val="en-GB"/>
        </w:rPr>
        <w:t xml:space="preserve"> CPP, noting that any of the current PBS listed bDMARDs for severe CPP could be an alternative therapy to risankizumab’ (paragraph 6.3, risankizumab PSD, November 2021). The PBAC also recalled it had originally recommended the 75</w:t>
      </w:r>
      <w:r w:rsidR="00A44EEF">
        <w:rPr>
          <w:rFonts w:asciiTheme="minorHAnsi" w:hAnsiTheme="minorHAnsi"/>
          <w:snapToGrid w:val="0"/>
          <w:lang w:val="en-GB"/>
        </w:rPr>
        <w:t> </w:t>
      </w:r>
      <w:r w:rsidR="00F5115E" w:rsidRPr="0059465E">
        <w:rPr>
          <w:rFonts w:asciiTheme="minorHAnsi" w:hAnsiTheme="minorHAnsi"/>
          <w:snapToGrid w:val="0"/>
          <w:lang w:val="en-GB"/>
        </w:rPr>
        <w:t>mg</w:t>
      </w:r>
      <w:r w:rsidR="00036DFF">
        <w:rPr>
          <w:rFonts w:asciiTheme="minorHAnsi" w:hAnsiTheme="minorHAnsi"/>
          <w:snapToGrid w:val="0"/>
          <w:lang w:val="en-GB"/>
        </w:rPr>
        <w:t xml:space="preserve"> form</w:t>
      </w:r>
      <w:r w:rsidR="00F5115E" w:rsidRPr="0059465E">
        <w:rPr>
          <w:rFonts w:asciiTheme="minorHAnsi" w:hAnsiTheme="minorHAnsi"/>
          <w:snapToGrid w:val="0"/>
          <w:lang w:val="en-GB"/>
        </w:rPr>
        <w:t xml:space="preserve"> of RIS on a similar basis</w:t>
      </w:r>
      <w:r w:rsidR="00591871" w:rsidRPr="0059465E">
        <w:rPr>
          <w:rFonts w:asciiTheme="minorHAnsi" w:hAnsiTheme="minorHAnsi"/>
          <w:snapToGrid w:val="0"/>
          <w:lang w:val="en-GB"/>
        </w:rPr>
        <w:t>. T</w:t>
      </w:r>
      <w:r w:rsidR="000206F0" w:rsidRPr="0059465E">
        <w:rPr>
          <w:rFonts w:asciiTheme="minorHAnsi" w:hAnsiTheme="minorHAnsi"/>
          <w:snapToGrid w:val="0"/>
          <w:lang w:val="en-GB"/>
        </w:rPr>
        <w:t xml:space="preserve">he Committee </w:t>
      </w:r>
      <w:r w:rsidR="001E65A6" w:rsidRPr="0059465E">
        <w:rPr>
          <w:rFonts w:asciiTheme="minorHAnsi" w:hAnsiTheme="minorHAnsi"/>
          <w:snapToGrid w:val="0"/>
          <w:lang w:val="en-GB"/>
        </w:rPr>
        <w:t xml:space="preserve">further recalled </w:t>
      </w:r>
      <w:r w:rsidR="000206F0" w:rsidRPr="0059465E">
        <w:rPr>
          <w:rFonts w:asciiTheme="minorHAnsi" w:hAnsiTheme="minorHAnsi"/>
          <w:snapToGrid w:val="0"/>
          <w:lang w:val="en-GB"/>
        </w:rPr>
        <w:t>that in March 2023 it considered BKZ to</w:t>
      </w:r>
      <w:r w:rsidR="00B30B8E" w:rsidRPr="0059465E">
        <w:rPr>
          <w:rFonts w:asciiTheme="minorHAnsi" w:hAnsiTheme="minorHAnsi"/>
          <w:snapToGrid w:val="0"/>
          <w:lang w:val="en-GB"/>
        </w:rPr>
        <w:t xml:space="preserve"> be</w:t>
      </w:r>
      <w:r w:rsidR="000206F0" w:rsidRPr="0059465E">
        <w:rPr>
          <w:rFonts w:asciiTheme="minorHAnsi" w:hAnsiTheme="minorHAnsi"/>
          <w:snapToGrid w:val="0"/>
          <w:lang w:val="en-GB"/>
        </w:rPr>
        <w:t xml:space="preserve"> of superior comparative effectiveness to ADA, ETN and UST and considered the cost minimisation approach for BKZ should exclude these </w:t>
      </w:r>
      <w:r w:rsidR="000206F0" w:rsidRPr="0059465E">
        <w:rPr>
          <w:rFonts w:asciiTheme="minorHAnsi" w:hAnsiTheme="minorHAnsi"/>
          <w:snapToGrid w:val="0"/>
          <w:lang w:val="en-GB"/>
        </w:rPr>
        <w:lastRenderedPageBreak/>
        <w:t xml:space="preserve">therapies for which superiority had been adequately established. </w:t>
      </w:r>
    </w:p>
    <w:p w14:paraId="52733F74" w14:textId="6C726514" w:rsidR="0082315A" w:rsidRDefault="0082315A" w:rsidP="005D1E8B">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noted RIS was already listed on the PBS </w:t>
      </w:r>
      <w:r w:rsidR="00DF49E7">
        <w:rPr>
          <w:rFonts w:asciiTheme="minorHAnsi" w:hAnsiTheme="minorHAnsi"/>
          <w:snapToGrid w:val="0"/>
          <w:lang w:val="en-GB"/>
        </w:rPr>
        <w:t xml:space="preserve">(as a 75 mg PFS) </w:t>
      </w:r>
      <w:r>
        <w:rPr>
          <w:rFonts w:asciiTheme="minorHAnsi" w:hAnsiTheme="minorHAnsi"/>
          <w:snapToGrid w:val="0"/>
          <w:lang w:val="en-GB"/>
        </w:rPr>
        <w:t xml:space="preserve">for the treatment of CPP, however acknowledged that replacing 2 x 75 mg </w:t>
      </w:r>
      <w:r w:rsidR="00DF49E7">
        <w:rPr>
          <w:rFonts w:asciiTheme="minorHAnsi" w:hAnsiTheme="minorHAnsi"/>
          <w:snapToGrid w:val="0"/>
          <w:lang w:val="en-GB"/>
        </w:rPr>
        <w:t xml:space="preserve">injections </w:t>
      </w:r>
      <w:r>
        <w:rPr>
          <w:rFonts w:asciiTheme="minorHAnsi" w:hAnsiTheme="minorHAnsi"/>
          <w:snapToGrid w:val="0"/>
          <w:lang w:val="en-GB"/>
        </w:rPr>
        <w:t>with a single 150</w:t>
      </w:r>
      <w:r w:rsidR="0093493B">
        <w:rPr>
          <w:rFonts w:asciiTheme="minorHAnsi" w:hAnsiTheme="minorHAnsi"/>
          <w:snapToGrid w:val="0"/>
          <w:lang w:val="en-GB"/>
        </w:rPr>
        <w:t> </w:t>
      </w:r>
      <w:r>
        <w:rPr>
          <w:rFonts w:asciiTheme="minorHAnsi" w:hAnsiTheme="minorHAnsi"/>
          <w:snapToGrid w:val="0"/>
          <w:lang w:val="en-GB"/>
        </w:rPr>
        <w:t xml:space="preserve">mg injection would reduce the injection burden for </w:t>
      </w:r>
      <w:r w:rsidR="002A330F">
        <w:rPr>
          <w:rFonts w:asciiTheme="minorHAnsi" w:hAnsiTheme="minorHAnsi"/>
          <w:snapToGrid w:val="0"/>
          <w:lang w:val="en-GB"/>
        </w:rPr>
        <w:t>patients</w:t>
      </w:r>
      <w:r w:rsidR="009F340E">
        <w:rPr>
          <w:rFonts w:asciiTheme="minorHAnsi" w:hAnsiTheme="minorHAnsi"/>
          <w:snapToGrid w:val="0"/>
          <w:lang w:val="en-GB"/>
        </w:rPr>
        <w:t>.</w:t>
      </w:r>
    </w:p>
    <w:p w14:paraId="6DE6B025" w14:textId="3009B71C" w:rsidR="00903962" w:rsidRPr="00DF49E7" w:rsidRDefault="000206F0" w:rsidP="00DF49E7">
      <w:pPr>
        <w:widowControl w:val="0"/>
        <w:numPr>
          <w:ilvl w:val="1"/>
          <w:numId w:val="1"/>
        </w:numPr>
        <w:spacing w:after="120"/>
        <w:rPr>
          <w:rFonts w:asciiTheme="minorHAnsi" w:hAnsiTheme="minorHAnsi" w:cstheme="minorBidi"/>
          <w:sz w:val="22"/>
        </w:rPr>
      </w:pPr>
      <w:r w:rsidRPr="000206F0">
        <w:rPr>
          <w:rFonts w:asciiTheme="minorHAnsi" w:hAnsiTheme="minorHAnsi"/>
          <w:snapToGrid w:val="0"/>
          <w:lang w:val="en-GB"/>
        </w:rPr>
        <w:t xml:space="preserve">The PBAC considered the nominated comparator of 2 x 75 mg injections of </w:t>
      </w:r>
      <w:r w:rsidR="0090029B">
        <w:rPr>
          <w:rFonts w:asciiTheme="minorHAnsi" w:hAnsiTheme="minorHAnsi"/>
          <w:snapToGrid w:val="0"/>
          <w:lang w:val="en-GB"/>
        </w:rPr>
        <w:t>RIS</w:t>
      </w:r>
      <w:r w:rsidRPr="000206F0">
        <w:rPr>
          <w:rFonts w:asciiTheme="minorHAnsi" w:hAnsiTheme="minorHAnsi"/>
          <w:snapToGrid w:val="0"/>
          <w:lang w:val="en-GB"/>
        </w:rPr>
        <w:t xml:space="preserve"> was reasonable and </w:t>
      </w:r>
      <w:r w:rsidR="00A523F5">
        <w:rPr>
          <w:rFonts w:asciiTheme="minorHAnsi" w:hAnsiTheme="minorHAnsi"/>
          <w:snapToGrid w:val="0"/>
          <w:lang w:val="en-GB"/>
        </w:rPr>
        <w:t xml:space="preserve">noted </w:t>
      </w:r>
      <w:r w:rsidR="0090029B">
        <w:rPr>
          <w:rFonts w:asciiTheme="minorHAnsi" w:hAnsiTheme="minorHAnsi"/>
          <w:snapToGrid w:val="0"/>
          <w:lang w:val="en-GB"/>
        </w:rPr>
        <w:t>that</w:t>
      </w:r>
      <w:r w:rsidRPr="000206F0">
        <w:rPr>
          <w:rFonts w:asciiTheme="minorHAnsi" w:hAnsiTheme="minorHAnsi"/>
          <w:snapToGrid w:val="0"/>
          <w:lang w:val="en-GB"/>
        </w:rPr>
        <w:t xml:space="preserve"> the </w:t>
      </w:r>
      <w:r w:rsidR="00DF49E7">
        <w:rPr>
          <w:rFonts w:asciiTheme="minorHAnsi" w:hAnsiTheme="minorHAnsi"/>
          <w:snapToGrid w:val="0"/>
          <w:lang w:val="en-GB"/>
        </w:rPr>
        <w:t xml:space="preserve">1 x </w:t>
      </w:r>
      <w:r w:rsidRPr="000206F0">
        <w:rPr>
          <w:rFonts w:asciiTheme="minorHAnsi" w:hAnsiTheme="minorHAnsi"/>
          <w:snapToGrid w:val="0"/>
          <w:lang w:val="en-GB"/>
        </w:rPr>
        <w:t>150 mg</w:t>
      </w:r>
      <w:r w:rsidR="00DF49E7">
        <w:rPr>
          <w:rFonts w:asciiTheme="minorHAnsi" w:hAnsiTheme="minorHAnsi"/>
          <w:snapToGrid w:val="0"/>
          <w:lang w:val="en-GB"/>
        </w:rPr>
        <w:t xml:space="preserve"> injection </w:t>
      </w:r>
      <w:r w:rsidR="00A523F5">
        <w:rPr>
          <w:rFonts w:asciiTheme="minorHAnsi" w:hAnsiTheme="minorHAnsi"/>
          <w:snapToGrid w:val="0"/>
          <w:lang w:val="en-GB"/>
        </w:rPr>
        <w:t xml:space="preserve">was bioequivalent to </w:t>
      </w:r>
      <w:r w:rsidR="00DD1003">
        <w:rPr>
          <w:rFonts w:asciiTheme="minorHAnsi" w:hAnsiTheme="minorHAnsi"/>
          <w:snapToGrid w:val="0"/>
          <w:lang w:val="en-GB"/>
        </w:rPr>
        <w:t>2 x 75 mg</w:t>
      </w:r>
      <w:r w:rsidR="00DF49E7">
        <w:rPr>
          <w:rFonts w:asciiTheme="minorHAnsi" w:hAnsiTheme="minorHAnsi"/>
          <w:snapToGrid w:val="0"/>
          <w:lang w:val="en-GB"/>
        </w:rPr>
        <w:t xml:space="preserve"> injections (as stated in the Product Information)</w:t>
      </w:r>
      <w:r w:rsidRPr="000206F0">
        <w:rPr>
          <w:rFonts w:asciiTheme="minorHAnsi" w:hAnsiTheme="minorHAnsi"/>
          <w:snapToGrid w:val="0"/>
          <w:lang w:val="en-GB"/>
        </w:rPr>
        <w:t>.</w:t>
      </w:r>
      <w:r>
        <w:rPr>
          <w:rFonts w:asciiTheme="minorHAnsi" w:hAnsiTheme="minorHAnsi"/>
          <w:snapToGrid w:val="0"/>
          <w:lang w:val="en-GB"/>
        </w:rPr>
        <w:t xml:space="preserve"> </w:t>
      </w:r>
      <w:r w:rsidR="00DD1003">
        <w:rPr>
          <w:rFonts w:asciiTheme="minorHAnsi" w:hAnsiTheme="minorHAnsi"/>
          <w:snapToGrid w:val="0"/>
          <w:lang w:val="en-GB"/>
        </w:rPr>
        <w:t>T</w:t>
      </w:r>
      <w:r w:rsidRPr="000206F0">
        <w:rPr>
          <w:rFonts w:asciiTheme="minorHAnsi" w:hAnsiTheme="minorHAnsi"/>
          <w:snapToGrid w:val="0"/>
          <w:lang w:val="en-GB"/>
        </w:rPr>
        <w:t xml:space="preserve">he PBAC considered that all </w:t>
      </w:r>
      <w:r w:rsidR="0082315A" w:rsidRPr="000206F0">
        <w:rPr>
          <w:rFonts w:asciiTheme="minorHAnsi" w:hAnsiTheme="minorHAnsi"/>
          <w:snapToGrid w:val="0"/>
          <w:lang w:val="en-GB"/>
        </w:rPr>
        <w:t>currently</w:t>
      </w:r>
      <w:r w:rsidR="009F340E">
        <w:rPr>
          <w:rFonts w:asciiTheme="minorHAnsi" w:hAnsiTheme="minorHAnsi"/>
          <w:snapToGrid w:val="0"/>
          <w:lang w:val="en-GB"/>
        </w:rPr>
        <w:t xml:space="preserve"> PBS</w:t>
      </w:r>
      <w:r w:rsidR="0082315A" w:rsidRPr="000206F0">
        <w:rPr>
          <w:rFonts w:asciiTheme="minorHAnsi" w:hAnsiTheme="minorHAnsi"/>
          <w:snapToGrid w:val="0"/>
          <w:lang w:val="en-GB"/>
        </w:rPr>
        <w:t xml:space="preserve"> listed</w:t>
      </w:r>
      <w:r w:rsidRPr="000206F0">
        <w:rPr>
          <w:rFonts w:asciiTheme="minorHAnsi" w:hAnsiTheme="minorHAnsi"/>
          <w:snapToGrid w:val="0"/>
          <w:lang w:val="en-GB"/>
        </w:rPr>
        <w:t xml:space="preserve"> biologic disease modifying anti-rheumatic drugs (bDMARDs) for </w:t>
      </w:r>
      <w:r w:rsidR="00A44EEF">
        <w:rPr>
          <w:rFonts w:asciiTheme="minorHAnsi" w:hAnsiTheme="minorHAnsi"/>
          <w:snapToGrid w:val="0"/>
          <w:lang w:val="en-GB"/>
        </w:rPr>
        <w:t xml:space="preserve">severe </w:t>
      </w:r>
      <w:r w:rsidRPr="000206F0">
        <w:rPr>
          <w:rFonts w:asciiTheme="minorHAnsi" w:hAnsiTheme="minorHAnsi"/>
          <w:snapToGrid w:val="0"/>
          <w:lang w:val="en-GB"/>
        </w:rPr>
        <w:t>CPP</w:t>
      </w:r>
      <w:r w:rsidR="00DA4F00">
        <w:rPr>
          <w:rFonts w:asciiTheme="minorHAnsi" w:hAnsiTheme="minorHAnsi"/>
          <w:snapToGrid w:val="0"/>
          <w:lang w:val="en-GB"/>
        </w:rPr>
        <w:t xml:space="preserve"> </w:t>
      </w:r>
      <w:r w:rsidR="009F340E">
        <w:rPr>
          <w:rFonts w:asciiTheme="minorHAnsi" w:hAnsiTheme="minorHAnsi"/>
          <w:snapToGrid w:val="0"/>
          <w:lang w:val="en-GB"/>
        </w:rPr>
        <w:t>could be considered</w:t>
      </w:r>
      <w:r w:rsidRPr="000206F0">
        <w:rPr>
          <w:rFonts w:asciiTheme="minorHAnsi" w:hAnsiTheme="minorHAnsi"/>
          <w:snapToGrid w:val="0"/>
          <w:lang w:val="en-GB"/>
        </w:rPr>
        <w:t xml:space="preserve"> alternative therapies</w:t>
      </w:r>
      <w:r w:rsidR="00AB408F">
        <w:rPr>
          <w:rFonts w:asciiTheme="minorHAnsi" w:hAnsiTheme="minorHAnsi"/>
          <w:snapToGrid w:val="0"/>
          <w:lang w:val="en-GB"/>
        </w:rPr>
        <w:t xml:space="preserve"> for the purposes of </w:t>
      </w:r>
      <w:r w:rsidR="009F340E">
        <w:rPr>
          <w:rFonts w:asciiTheme="minorHAnsi" w:hAnsiTheme="minorHAnsi"/>
          <w:snapToGrid w:val="0"/>
          <w:lang w:val="en-GB"/>
        </w:rPr>
        <w:t xml:space="preserve">Section 101(3B) of the </w:t>
      </w:r>
      <w:r w:rsidR="009F340E">
        <w:rPr>
          <w:rFonts w:asciiTheme="minorHAnsi" w:hAnsiTheme="minorHAnsi"/>
          <w:i/>
          <w:iCs/>
          <w:snapToGrid w:val="0"/>
          <w:lang w:val="en-GB"/>
        </w:rPr>
        <w:t>National Health Act 1953</w:t>
      </w:r>
      <w:r w:rsidR="009F340E">
        <w:rPr>
          <w:rFonts w:asciiTheme="minorHAnsi" w:hAnsiTheme="minorHAnsi"/>
          <w:snapToGrid w:val="0"/>
          <w:lang w:val="en-GB"/>
        </w:rPr>
        <w:t>.</w:t>
      </w:r>
    </w:p>
    <w:p w14:paraId="0ACD6A45" w14:textId="24951655" w:rsidR="004845C0" w:rsidRDefault="00AB408F" w:rsidP="00857CCE">
      <w:pPr>
        <w:widowControl w:val="0"/>
        <w:numPr>
          <w:ilvl w:val="1"/>
          <w:numId w:val="1"/>
        </w:numPr>
        <w:spacing w:after="120"/>
        <w:rPr>
          <w:rFonts w:asciiTheme="minorHAnsi" w:hAnsiTheme="minorHAnsi"/>
          <w:snapToGrid w:val="0"/>
          <w:lang w:val="en-GB"/>
        </w:rPr>
      </w:pPr>
      <w:r w:rsidRPr="00857CCE">
        <w:rPr>
          <w:rFonts w:asciiTheme="minorHAnsi" w:hAnsiTheme="minorHAnsi"/>
          <w:snapToGrid w:val="0"/>
          <w:lang w:val="en-GB"/>
        </w:rPr>
        <w:t>The PBAC noted the arguments in the PSCR</w:t>
      </w:r>
      <w:r w:rsidR="00F21B0F">
        <w:rPr>
          <w:rFonts w:asciiTheme="minorHAnsi" w:hAnsiTheme="minorHAnsi"/>
          <w:snapToGrid w:val="0"/>
          <w:lang w:val="en-GB"/>
        </w:rPr>
        <w:t xml:space="preserve">, </w:t>
      </w:r>
      <w:r w:rsidRPr="00857CCE">
        <w:rPr>
          <w:rFonts w:asciiTheme="minorHAnsi" w:hAnsiTheme="minorHAnsi"/>
          <w:snapToGrid w:val="0"/>
          <w:lang w:val="en-GB"/>
        </w:rPr>
        <w:t>pre</w:t>
      </w:r>
      <w:r w:rsidR="00EA55A4">
        <w:rPr>
          <w:rFonts w:asciiTheme="minorHAnsi" w:hAnsiTheme="minorHAnsi"/>
          <w:snapToGrid w:val="0"/>
          <w:lang w:val="en-GB"/>
        </w:rPr>
        <w:t>-</w:t>
      </w:r>
      <w:r w:rsidRPr="00857CCE">
        <w:rPr>
          <w:rFonts w:asciiTheme="minorHAnsi" w:hAnsiTheme="minorHAnsi"/>
          <w:snapToGrid w:val="0"/>
          <w:lang w:val="en-GB"/>
        </w:rPr>
        <w:t xml:space="preserve">PBAC response </w:t>
      </w:r>
      <w:r w:rsidR="00F21B0F">
        <w:rPr>
          <w:rFonts w:asciiTheme="minorHAnsi" w:hAnsiTheme="minorHAnsi"/>
          <w:snapToGrid w:val="0"/>
          <w:lang w:val="en-GB"/>
        </w:rPr>
        <w:t xml:space="preserve">and by the clinician in the sponsor hearing </w:t>
      </w:r>
      <w:r w:rsidRPr="00857CCE">
        <w:rPr>
          <w:rFonts w:asciiTheme="minorHAnsi" w:hAnsiTheme="minorHAnsi"/>
          <w:snapToGrid w:val="0"/>
          <w:lang w:val="en-GB"/>
        </w:rPr>
        <w:t>regarding IFX no longer being a relevant treatment of severe CPP in the Australian context. The PBAC noted very few new patients initiate treatment with IFX (</w:t>
      </w:r>
      <w:r w:rsidR="00F21B0F">
        <w:rPr>
          <w:rFonts w:asciiTheme="minorHAnsi" w:hAnsiTheme="minorHAnsi"/>
          <w:snapToGrid w:val="0"/>
          <w:lang w:val="en-GB"/>
        </w:rPr>
        <w:t xml:space="preserve">as discussed in paragraph </w:t>
      </w:r>
      <w:r w:rsidR="00F21B0F">
        <w:rPr>
          <w:rFonts w:asciiTheme="minorHAnsi" w:hAnsiTheme="minorHAnsi"/>
          <w:snapToGrid w:val="0"/>
          <w:lang w:val="en-GB"/>
        </w:rPr>
        <w:fldChar w:fldCharType="begin" w:fldLock="1"/>
      </w:r>
      <w:r w:rsidR="00F21B0F">
        <w:rPr>
          <w:rFonts w:asciiTheme="minorHAnsi" w:hAnsiTheme="minorHAnsi"/>
          <w:snapToGrid w:val="0"/>
          <w:lang w:val="en-GB"/>
        </w:rPr>
        <w:instrText xml:space="preserve"> REF _Ref151295689 \r \h </w:instrText>
      </w:r>
      <w:r w:rsidR="00F21B0F">
        <w:rPr>
          <w:rFonts w:asciiTheme="minorHAnsi" w:hAnsiTheme="minorHAnsi"/>
          <w:snapToGrid w:val="0"/>
          <w:lang w:val="en-GB"/>
        </w:rPr>
      </w:r>
      <w:r w:rsidR="00F21B0F">
        <w:rPr>
          <w:rFonts w:asciiTheme="minorHAnsi" w:hAnsiTheme="minorHAnsi"/>
          <w:snapToGrid w:val="0"/>
          <w:lang w:val="en-GB"/>
        </w:rPr>
        <w:fldChar w:fldCharType="separate"/>
      </w:r>
      <w:r w:rsidR="00F21B0F">
        <w:rPr>
          <w:rFonts w:asciiTheme="minorHAnsi" w:hAnsiTheme="minorHAnsi"/>
          <w:snapToGrid w:val="0"/>
          <w:lang w:val="en-GB"/>
        </w:rPr>
        <w:t>5.3</w:t>
      </w:r>
      <w:r w:rsidR="00F21B0F">
        <w:rPr>
          <w:rFonts w:asciiTheme="minorHAnsi" w:hAnsiTheme="minorHAnsi"/>
          <w:snapToGrid w:val="0"/>
          <w:lang w:val="en-GB"/>
        </w:rPr>
        <w:fldChar w:fldCharType="end"/>
      </w:r>
      <w:r w:rsidR="00F21B0F">
        <w:rPr>
          <w:rFonts w:asciiTheme="minorHAnsi" w:hAnsiTheme="minorHAnsi"/>
          <w:snapToGrid w:val="0"/>
          <w:lang w:val="en-GB"/>
        </w:rPr>
        <w:t xml:space="preserve">) </w:t>
      </w:r>
      <w:r w:rsidRPr="00857CCE">
        <w:rPr>
          <w:rFonts w:asciiTheme="minorHAnsi" w:hAnsiTheme="minorHAnsi"/>
          <w:snapToGrid w:val="0"/>
          <w:lang w:val="en-GB"/>
        </w:rPr>
        <w:t xml:space="preserve">and that this was thought to be related to </w:t>
      </w:r>
      <w:r w:rsidR="001E065A" w:rsidRPr="00857CCE">
        <w:rPr>
          <w:rFonts w:asciiTheme="minorHAnsi" w:hAnsiTheme="minorHAnsi"/>
          <w:snapToGrid w:val="0"/>
          <w:lang w:val="en-GB"/>
        </w:rPr>
        <w:t xml:space="preserve">(i) </w:t>
      </w:r>
      <w:r w:rsidR="0087044A" w:rsidRPr="00857CCE">
        <w:rPr>
          <w:rFonts w:asciiTheme="minorHAnsi" w:hAnsiTheme="minorHAnsi"/>
          <w:snapToGrid w:val="0"/>
          <w:lang w:val="en-GB"/>
        </w:rPr>
        <w:t>t</w:t>
      </w:r>
      <w:r w:rsidR="001E065A" w:rsidRPr="00857CCE">
        <w:rPr>
          <w:rFonts w:asciiTheme="minorHAnsi" w:hAnsiTheme="minorHAnsi"/>
          <w:snapToGrid w:val="0"/>
          <w:lang w:val="en-GB"/>
        </w:rPr>
        <w:t xml:space="preserve">he IV administration </w:t>
      </w:r>
      <w:r w:rsidR="0087044A" w:rsidRPr="00857CCE">
        <w:rPr>
          <w:rFonts w:asciiTheme="minorHAnsi" w:hAnsiTheme="minorHAnsi"/>
          <w:snapToGrid w:val="0"/>
          <w:lang w:val="en-GB"/>
        </w:rPr>
        <w:t>with</w:t>
      </w:r>
      <w:r w:rsidR="001E065A" w:rsidRPr="00857CCE">
        <w:rPr>
          <w:rFonts w:asciiTheme="minorHAnsi" w:hAnsiTheme="minorHAnsi"/>
          <w:snapToGrid w:val="0"/>
          <w:lang w:val="en-GB"/>
        </w:rPr>
        <w:t xml:space="preserve"> associated patient burden and lack of access to infusion facilities, (ii) the preference for use of treatments that target the IL-17/23 axis rather than TNF inhibitors given they are generally accepted as being more effective, and (iii) the </w:t>
      </w:r>
      <w:r w:rsidR="000160EB" w:rsidRPr="00857CCE">
        <w:rPr>
          <w:rFonts w:asciiTheme="minorHAnsi" w:hAnsiTheme="minorHAnsi"/>
          <w:snapToGrid w:val="0"/>
          <w:lang w:val="en-GB"/>
        </w:rPr>
        <w:t xml:space="preserve">relative poor </w:t>
      </w:r>
      <w:r w:rsidR="001E065A" w:rsidRPr="00857CCE">
        <w:rPr>
          <w:rFonts w:asciiTheme="minorHAnsi" w:hAnsiTheme="minorHAnsi"/>
          <w:snapToGrid w:val="0"/>
          <w:lang w:val="en-GB"/>
        </w:rPr>
        <w:t>tolerability of IFX. Regarding the route of administration, the PBAC noted a SC formulation of IFX is PBS listed</w:t>
      </w:r>
      <w:r w:rsidR="000160EB" w:rsidRPr="00857CCE">
        <w:rPr>
          <w:rFonts w:asciiTheme="minorHAnsi" w:hAnsiTheme="minorHAnsi"/>
          <w:snapToGrid w:val="0"/>
          <w:lang w:val="en-GB"/>
        </w:rPr>
        <w:t>,</w:t>
      </w:r>
      <w:r w:rsidR="001E065A" w:rsidRPr="00857CCE">
        <w:rPr>
          <w:rFonts w:asciiTheme="minorHAnsi" w:hAnsiTheme="minorHAnsi"/>
          <w:snapToGrid w:val="0"/>
          <w:lang w:val="en-GB"/>
        </w:rPr>
        <w:t xml:space="preserve"> although acknowledged that patients are unable to initiate treatment with the SC formulation. </w:t>
      </w:r>
      <w:r w:rsidR="000160EB" w:rsidRPr="00857CCE">
        <w:rPr>
          <w:rFonts w:asciiTheme="minorHAnsi" w:hAnsiTheme="minorHAnsi"/>
          <w:snapToGrid w:val="0"/>
          <w:lang w:val="en-GB"/>
        </w:rPr>
        <w:t>The PBAC noted</w:t>
      </w:r>
      <w:r w:rsidR="001E065A" w:rsidRPr="00857CCE">
        <w:rPr>
          <w:rFonts w:asciiTheme="minorHAnsi" w:hAnsiTheme="minorHAnsi"/>
          <w:snapToGrid w:val="0"/>
          <w:lang w:val="en-GB"/>
        </w:rPr>
        <w:t xml:space="preserve"> the relative efficacy of </w:t>
      </w:r>
      <w:r w:rsidR="000160EB" w:rsidRPr="00857CCE">
        <w:rPr>
          <w:rFonts w:asciiTheme="minorHAnsi" w:hAnsiTheme="minorHAnsi"/>
          <w:snapToGrid w:val="0"/>
          <w:lang w:val="en-GB"/>
        </w:rPr>
        <w:t>RIS and IFX was unclear. The PBAC noted the Armstrong 2020/2022 network meta-analysis concluded that RIS was statistically significantly superior to IFX for short term PASI 75 and PASI 90 responses</w:t>
      </w:r>
      <w:r w:rsidR="00DA4F00">
        <w:rPr>
          <w:rFonts w:asciiTheme="minorHAnsi" w:hAnsiTheme="minorHAnsi"/>
          <w:snapToGrid w:val="0"/>
          <w:lang w:val="en-GB"/>
        </w:rPr>
        <w:t xml:space="preserve"> </w:t>
      </w:r>
      <w:r w:rsidR="00DA4F00" w:rsidRPr="00857CCE">
        <w:rPr>
          <w:rFonts w:asciiTheme="minorHAnsi" w:hAnsiTheme="minorHAnsi"/>
          <w:snapToGrid w:val="0"/>
          <w:lang w:val="en-GB"/>
        </w:rPr>
        <w:t>(see Table 5)</w:t>
      </w:r>
      <w:r w:rsidR="000160EB" w:rsidRPr="00857CCE">
        <w:rPr>
          <w:rFonts w:asciiTheme="minorHAnsi" w:hAnsiTheme="minorHAnsi"/>
          <w:snapToGrid w:val="0"/>
          <w:lang w:val="en-GB"/>
        </w:rPr>
        <w:t>. However, the PBAC also noted that a difference in PASI 75 and PASI 90 was not demonstrated in the Sbidian 2022 analysis with the wide</w:t>
      </w:r>
      <w:r w:rsidR="00044173" w:rsidRPr="00857CCE">
        <w:rPr>
          <w:rFonts w:asciiTheme="minorHAnsi" w:hAnsiTheme="minorHAnsi"/>
          <w:snapToGrid w:val="0"/>
          <w:lang w:val="en-GB"/>
        </w:rPr>
        <w:t xml:space="preserve"> 95% </w:t>
      </w:r>
      <w:r w:rsidR="000160EB" w:rsidRPr="00857CCE">
        <w:rPr>
          <w:rFonts w:asciiTheme="minorHAnsi" w:hAnsiTheme="minorHAnsi"/>
          <w:snapToGrid w:val="0"/>
          <w:lang w:val="en-GB"/>
        </w:rPr>
        <w:t>confidence limits for the</w:t>
      </w:r>
      <w:r w:rsidR="00044173" w:rsidRPr="00857CCE">
        <w:rPr>
          <w:rFonts w:asciiTheme="minorHAnsi" w:hAnsiTheme="minorHAnsi"/>
          <w:snapToGrid w:val="0"/>
          <w:lang w:val="en-GB"/>
        </w:rPr>
        <w:t xml:space="preserve"> relative risk indicating a high level of uncertainty for this comparison</w:t>
      </w:r>
      <w:r w:rsidR="000160EB" w:rsidRPr="00857CCE">
        <w:rPr>
          <w:rFonts w:asciiTheme="minorHAnsi" w:hAnsiTheme="minorHAnsi"/>
          <w:snapToGrid w:val="0"/>
          <w:lang w:val="en-GB"/>
        </w:rPr>
        <w:t>.</w:t>
      </w:r>
      <w:r w:rsidR="00044173" w:rsidRPr="00857CCE">
        <w:rPr>
          <w:rFonts w:asciiTheme="minorHAnsi" w:hAnsiTheme="minorHAnsi"/>
          <w:snapToGrid w:val="0"/>
          <w:lang w:val="en-GB"/>
        </w:rPr>
        <w:t xml:space="preserve"> </w:t>
      </w:r>
      <w:r w:rsidR="0049307E" w:rsidRPr="00857CCE">
        <w:rPr>
          <w:rFonts w:asciiTheme="minorHAnsi" w:hAnsiTheme="minorHAnsi"/>
          <w:snapToGrid w:val="0"/>
          <w:lang w:val="en-GB"/>
        </w:rPr>
        <w:t>The PBAC noted the Sbidian 2022 analysis stated a</w:t>
      </w:r>
      <w:r w:rsidR="0049307E" w:rsidRPr="00DF49E7">
        <w:rPr>
          <w:rFonts w:asciiTheme="minorHAnsi" w:hAnsiTheme="minorHAnsi"/>
          <w:snapToGrid w:val="0"/>
          <w:lang w:val="en-GB"/>
        </w:rPr>
        <w:t xml:space="preserve">t </w:t>
      </w:r>
      <w:r w:rsidR="00DA4F00">
        <w:rPr>
          <w:rFonts w:asciiTheme="minorHAnsi" w:hAnsiTheme="minorHAnsi"/>
          <w:snapToGrid w:val="0"/>
          <w:lang w:val="en-GB"/>
        </w:rPr>
        <w:t xml:space="preserve">a </w:t>
      </w:r>
      <w:r w:rsidR="0049307E" w:rsidRPr="00DF49E7">
        <w:rPr>
          <w:rFonts w:asciiTheme="minorHAnsi" w:hAnsiTheme="minorHAnsi"/>
          <w:snapToGrid w:val="0"/>
          <w:lang w:val="en-GB"/>
        </w:rPr>
        <w:t xml:space="preserve">drug level, </w:t>
      </w:r>
      <w:r w:rsidR="002F60C0">
        <w:rPr>
          <w:rFonts w:asciiTheme="minorHAnsi" w:hAnsiTheme="minorHAnsi"/>
          <w:snapToGrid w:val="0"/>
          <w:lang w:val="en-GB"/>
        </w:rPr>
        <w:t>RIS</w:t>
      </w:r>
      <w:r w:rsidR="002F60C0" w:rsidRPr="00DF49E7">
        <w:rPr>
          <w:rFonts w:asciiTheme="minorHAnsi" w:hAnsiTheme="minorHAnsi"/>
          <w:snapToGrid w:val="0"/>
          <w:lang w:val="en-GB"/>
        </w:rPr>
        <w:t xml:space="preserve"> </w:t>
      </w:r>
      <w:r w:rsidR="0049307E" w:rsidRPr="00DF49E7">
        <w:rPr>
          <w:rFonts w:asciiTheme="minorHAnsi" w:hAnsiTheme="minorHAnsi"/>
          <w:snapToGrid w:val="0"/>
          <w:lang w:val="en-GB"/>
        </w:rPr>
        <w:t xml:space="preserve">and </w:t>
      </w:r>
      <w:r w:rsidR="002F60C0">
        <w:rPr>
          <w:rFonts w:asciiTheme="minorHAnsi" w:hAnsiTheme="minorHAnsi"/>
          <w:snapToGrid w:val="0"/>
          <w:lang w:val="en-GB"/>
        </w:rPr>
        <w:t>BKZ</w:t>
      </w:r>
      <w:r w:rsidR="002F60C0" w:rsidRPr="00DF49E7">
        <w:rPr>
          <w:rFonts w:asciiTheme="minorHAnsi" w:hAnsiTheme="minorHAnsi"/>
          <w:snapToGrid w:val="0"/>
          <w:lang w:val="en-GB"/>
        </w:rPr>
        <w:t xml:space="preserve"> </w:t>
      </w:r>
      <w:r w:rsidR="0049307E" w:rsidRPr="00DF49E7">
        <w:rPr>
          <w:rFonts w:asciiTheme="minorHAnsi" w:hAnsiTheme="minorHAnsi"/>
          <w:snapToGrid w:val="0"/>
          <w:lang w:val="en-GB"/>
        </w:rPr>
        <w:t>might be the overall</w:t>
      </w:r>
      <w:r w:rsidR="0049307E" w:rsidRPr="00857CCE">
        <w:rPr>
          <w:rFonts w:asciiTheme="minorHAnsi" w:hAnsiTheme="minorHAnsi"/>
          <w:snapToGrid w:val="0"/>
          <w:lang w:val="en-GB"/>
        </w:rPr>
        <w:t xml:space="preserve"> </w:t>
      </w:r>
      <w:r w:rsidR="0049307E" w:rsidRPr="00DF49E7">
        <w:rPr>
          <w:rFonts w:asciiTheme="minorHAnsi" w:hAnsiTheme="minorHAnsi"/>
          <w:snapToGrid w:val="0"/>
          <w:lang w:val="en-GB"/>
        </w:rPr>
        <w:t xml:space="preserve">best treatments, considering </w:t>
      </w:r>
      <w:r w:rsidR="00857CCE" w:rsidRPr="00857CCE">
        <w:rPr>
          <w:rFonts w:asciiTheme="minorHAnsi" w:hAnsiTheme="minorHAnsi"/>
          <w:snapToGrid w:val="0"/>
          <w:lang w:val="en-GB"/>
        </w:rPr>
        <w:t>the</w:t>
      </w:r>
      <w:r w:rsidR="0049307E" w:rsidRPr="00DF49E7">
        <w:rPr>
          <w:rFonts w:asciiTheme="minorHAnsi" w:hAnsiTheme="minorHAnsi"/>
          <w:snapToGrid w:val="0"/>
          <w:lang w:val="en-GB"/>
        </w:rPr>
        <w:t xml:space="preserve"> outcomes </w:t>
      </w:r>
      <w:r w:rsidR="00857CCE" w:rsidRPr="00857CCE">
        <w:rPr>
          <w:rFonts w:asciiTheme="minorHAnsi" w:hAnsiTheme="minorHAnsi"/>
          <w:snapToGrid w:val="0"/>
          <w:lang w:val="en-GB"/>
        </w:rPr>
        <w:t xml:space="preserve">of PASI 90 and serious adverse events </w:t>
      </w:r>
      <w:r w:rsidR="0049307E" w:rsidRPr="00DF49E7">
        <w:rPr>
          <w:rFonts w:asciiTheme="minorHAnsi" w:hAnsiTheme="minorHAnsi"/>
          <w:snapToGrid w:val="0"/>
          <w:lang w:val="en-GB"/>
        </w:rPr>
        <w:t>jointly</w:t>
      </w:r>
      <w:r w:rsidR="00857CCE" w:rsidRPr="00857CCE">
        <w:rPr>
          <w:rFonts w:asciiTheme="minorHAnsi" w:hAnsiTheme="minorHAnsi"/>
          <w:snapToGrid w:val="0"/>
          <w:lang w:val="en-GB"/>
        </w:rPr>
        <w:t>, noting o</w:t>
      </w:r>
      <w:r w:rsidR="0049307E" w:rsidRPr="00DF49E7">
        <w:rPr>
          <w:rFonts w:asciiTheme="minorHAnsi" w:hAnsiTheme="minorHAnsi"/>
          <w:snapToGrid w:val="0"/>
          <w:lang w:val="en-GB"/>
        </w:rPr>
        <w:t>ther highly</w:t>
      </w:r>
      <w:r w:rsidR="00857CCE" w:rsidRPr="00857CCE">
        <w:rPr>
          <w:rFonts w:asciiTheme="minorHAnsi" w:hAnsiTheme="minorHAnsi"/>
          <w:snapToGrid w:val="0"/>
          <w:lang w:val="en-GB"/>
        </w:rPr>
        <w:t xml:space="preserve"> </w:t>
      </w:r>
      <w:r w:rsidR="0049307E" w:rsidRPr="00DF49E7">
        <w:rPr>
          <w:rFonts w:asciiTheme="minorHAnsi" w:hAnsiTheme="minorHAnsi"/>
          <w:snapToGrid w:val="0"/>
          <w:lang w:val="en-GB"/>
        </w:rPr>
        <w:t>e</w:t>
      </w:r>
      <w:r w:rsidR="00857CCE" w:rsidRPr="00857CCE">
        <w:rPr>
          <w:rFonts w:asciiTheme="minorHAnsi" w:hAnsiTheme="minorHAnsi"/>
          <w:snapToGrid w:val="0"/>
          <w:lang w:val="en-GB"/>
        </w:rPr>
        <w:t>ffe</w:t>
      </w:r>
      <w:r w:rsidR="0049307E" w:rsidRPr="00DF49E7">
        <w:rPr>
          <w:rFonts w:asciiTheme="minorHAnsi" w:hAnsiTheme="minorHAnsi"/>
          <w:snapToGrid w:val="0"/>
          <w:lang w:val="en-GB"/>
        </w:rPr>
        <w:t>ctive drugs (</w:t>
      </w:r>
      <w:r w:rsidR="00DF49E7">
        <w:rPr>
          <w:rFonts w:asciiTheme="minorHAnsi" w:hAnsiTheme="minorHAnsi"/>
          <w:snapToGrid w:val="0"/>
          <w:lang w:val="en-GB"/>
        </w:rPr>
        <w:t xml:space="preserve">including </w:t>
      </w:r>
      <w:r w:rsidR="002F60C0">
        <w:rPr>
          <w:rFonts w:asciiTheme="minorHAnsi" w:hAnsiTheme="minorHAnsi"/>
          <w:snapToGrid w:val="0"/>
          <w:lang w:val="en-GB"/>
        </w:rPr>
        <w:t>IFX</w:t>
      </w:r>
      <w:r w:rsidR="0049307E" w:rsidRPr="00DF49E7">
        <w:rPr>
          <w:rFonts w:asciiTheme="minorHAnsi" w:hAnsiTheme="minorHAnsi"/>
          <w:snapToGrid w:val="0"/>
          <w:lang w:val="en-GB"/>
        </w:rPr>
        <w:t>) had serious adverse</w:t>
      </w:r>
      <w:r w:rsidR="00857CCE" w:rsidRPr="00857CCE">
        <w:rPr>
          <w:rFonts w:asciiTheme="minorHAnsi" w:hAnsiTheme="minorHAnsi"/>
          <w:snapToGrid w:val="0"/>
          <w:lang w:val="en-GB"/>
        </w:rPr>
        <w:t xml:space="preserve"> events. The PBAC did however also note that the </w:t>
      </w:r>
      <w:r w:rsidR="0049307E" w:rsidRPr="00DF49E7">
        <w:rPr>
          <w:rFonts w:asciiTheme="minorHAnsi" w:hAnsiTheme="minorHAnsi"/>
          <w:snapToGrid w:val="0"/>
          <w:lang w:val="en-GB"/>
        </w:rPr>
        <w:t>safety evidence was</w:t>
      </w:r>
      <w:r w:rsidR="00857CCE">
        <w:rPr>
          <w:rFonts w:asciiTheme="minorHAnsi" w:hAnsiTheme="minorHAnsi"/>
          <w:snapToGrid w:val="0"/>
          <w:lang w:val="en-GB"/>
        </w:rPr>
        <w:t xml:space="preserve"> considered by the authors to be of</w:t>
      </w:r>
      <w:r w:rsidR="0049307E" w:rsidRPr="00DF49E7">
        <w:rPr>
          <w:rFonts w:asciiTheme="minorHAnsi" w:hAnsiTheme="minorHAnsi"/>
          <w:snapToGrid w:val="0"/>
          <w:lang w:val="en-GB"/>
        </w:rPr>
        <w:t xml:space="preserve"> low to moderate quality</w:t>
      </w:r>
      <w:r w:rsidR="00857CCE">
        <w:rPr>
          <w:rFonts w:asciiTheme="minorHAnsi" w:hAnsiTheme="minorHAnsi"/>
          <w:snapToGrid w:val="0"/>
          <w:lang w:val="en-GB"/>
        </w:rPr>
        <w:t xml:space="preserve">. </w:t>
      </w:r>
      <w:r w:rsidR="008C56A0" w:rsidRPr="0082315A">
        <w:rPr>
          <w:rFonts w:asciiTheme="minorHAnsi" w:hAnsiTheme="minorHAnsi"/>
          <w:snapToGrid w:val="0"/>
          <w:lang w:val="en-GB"/>
        </w:rPr>
        <w:t xml:space="preserve">Overall, </w:t>
      </w:r>
      <w:r w:rsidR="00DA4F00">
        <w:rPr>
          <w:rFonts w:asciiTheme="minorHAnsi" w:hAnsiTheme="minorHAnsi"/>
          <w:snapToGrid w:val="0"/>
          <w:lang w:val="en-GB"/>
        </w:rPr>
        <w:t>based on</w:t>
      </w:r>
      <w:r w:rsidR="008C56A0">
        <w:rPr>
          <w:rFonts w:asciiTheme="minorHAnsi" w:hAnsiTheme="minorHAnsi"/>
          <w:snapToGrid w:val="0"/>
          <w:lang w:val="en-GB"/>
        </w:rPr>
        <w:t xml:space="preserve"> </w:t>
      </w:r>
      <w:r w:rsidR="008C56A0" w:rsidRPr="0082315A">
        <w:rPr>
          <w:rFonts w:asciiTheme="minorHAnsi" w:hAnsiTheme="minorHAnsi"/>
          <w:snapToGrid w:val="0"/>
          <w:lang w:val="en-GB"/>
        </w:rPr>
        <w:t>these factors together</w:t>
      </w:r>
      <w:r w:rsidR="008C56A0">
        <w:rPr>
          <w:rFonts w:asciiTheme="minorHAnsi" w:hAnsiTheme="minorHAnsi"/>
          <w:snapToGrid w:val="0"/>
          <w:lang w:val="en-GB"/>
        </w:rPr>
        <w:t xml:space="preserve">, the PBAC was satisfied </w:t>
      </w:r>
      <w:r w:rsidR="002F60C0">
        <w:rPr>
          <w:rFonts w:asciiTheme="minorHAnsi" w:hAnsiTheme="minorHAnsi"/>
          <w:snapToGrid w:val="0"/>
          <w:lang w:val="en-GB"/>
        </w:rPr>
        <w:t xml:space="preserve">for the purposes of Section 101(3B) of the </w:t>
      </w:r>
      <w:r w:rsidR="002F60C0">
        <w:rPr>
          <w:rFonts w:asciiTheme="minorHAnsi" w:hAnsiTheme="minorHAnsi"/>
          <w:i/>
          <w:iCs/>
          <w:snapToGrid w:val="0"/>
          <w:lang w:val="en-GB"/>
        </w:rPr>
        <w:t xml:space="preserve">National Health Act 1953 </w:t>
      </w:r>
      <w:r w:rsidR="008C56A0">
        <w:rPr>
          <w:rFonts w:asciiTheme="minorHAnsi" w:hAnsiTheme="minorHAnsi"/>
          <w:snapToGrid w:val="0"/>
          <w:lang w:val="en-GB"/>
        </w:rPr>
        <w:t xml:space="preserve">that RIS provides, for some patients, </w:t>
      </w:r>
      <w:r w:rsidR="008C56A0" w:rsidRPr="000B4AC7">
        <w:rPr>
          <w:iCs/>
        </w:rPr>
        <w:t>a significant improvement in efficacy or reduction of toxicity over</w:t>
      </w:r>
      <w:r w:rsidR="008C56A0">
        <w:rPr>
          <w:iCs/>
        </w:rPr>
        <w:t xml:space="preserve"> IFX.</w:t>
      </w:r>
    </w:p>
    <w:p w14:paraId="4D90AAB4" w14:textId="326D9358" w:rsidR="005D1E8B" w:rsidRPr="00DA4F00" w:rsidRDefault="008C56A0" w:rsidP="00DA4F00">
      <w:pPr>
        <w:widowControl w:val="0"/>
        <w:numPr>
          <w:ilvl w:val="1"/>
          <w:numId w:val="1"/>
        </w:numPr>
        <w:spacing w:after="120"/>
        <w:rPr>
          <w:rFonts w:asciiTheme="minorHAnsi" w:hAnsiTheme="minorHAnsi"/>
          <w:snapToGrid w:val="0"/>
          <w:lang w:val="en-GB"/>
        </w:rPr>
      </w:pPr>
      <w:r w:rsidRPr="00DA4F00">
        <w:rPr>
          <w:rFonts w:asciiTheme="minorHAnsi" w:hAnsiTheme="minorHAnsi"/>
          <w:snapToGrid w:val="0"/>
          <w:lang w:val="en-GB"/>
        </w:rPr>
        <w:t>The PBAC recalled</w:t>
      </w:r>
      <w:r w:rsidR="004845C0" w:rsidRPr="00DA4F00">
        <w:rPr>
          <w:rFonts w:asciiTheme="minorHAnsi" w:hAnsiTheme="minorHAnsi"/>
          <w:snapToGrid w:val="0"/>
          <w:lang w:val="en-GB"/>
        </w:rPr>
        <w:t xml:space="preserve"> </w:t>
      </w:r>
      <w:r w:rsidR="00251AF9">
        <w:rPr>
          <w:rFonts w:asciiTheme="minorHAnsi" w:hAnsiTheme="minorHAnsi"/>
          <w:snapToGrid w:val="0"/>
          <w:lang w:val="en-GB"/>
        </w:rPr>
        <w:t xml:space="preserve">it had previously considered the claim of superior effectiveness or safety for BKZ compared to </w:t>
      </w:r>
      <w:r w:rsidR="004845C0" w:rsidRPr="00DA4F00">
        <w:rPr>
          <w:iCs/>
        </w:rPr>
        <w:t xml:space="preserve">IFX was not </w:t>
      </w:r>
      <w:r w:rsidR="00251AF9">
        <w:rPr>
          <w:iCs/>
        </w:rPr>
        <w:t>accepted</w:t>
      </w:r>
      <w:r w:rsidR="002443DD">
        <w:rPr>
          <w:iCs/>
        </w:rPr>
        <w:t xml:space="preserve"> </w:t>
      </w:r>
      <w:r w:rsidR="00251AF9">
        <w:rPr>
          <w:iCs/>
        </w:rPr>
        <w:t>during its March 2023 consideration of BKZ for severe CPP</w:t>
      </w:r>
      <w:r w:rsidR="004845C0" w:rsidRPr="00DA4F00">
        <w:rPr>
          <w:iCs/>
        </w:rPr>
        <w:t xml:space="preserve">. </w:t>
      </w:r>
      <w:r w:rsidR="00251AF9">
        <w:rPr>
          <w:iCs/>
        </w:rPr>
        <w:t>However, b</w:t>
      </w:r>
      <w:r w:rsidR="002F60C0" w:rsidRPr="00DA4F00">
        <w:rPr>
          <w:iCs/>
        </w:rPr>
        <w:t xml:space="preserve">ased on the </w:t>
      </w:r>
      <w:r w:rsidR="002F60C0">
        <w:rPr>
          <w:iCs/>
        </w:rPr>
        <w:t xml:space="preserve">same </w:t>
      </w:r>
      <w:r w:rsidR="002F60C0" w:rsidRPr="00DA4F00">
        <w:rPr>
          <w:iCs/>
        </w:rPr>
        <w:t xml:space="preserve">rationale </w:t>
      </w:r>
      <w:r w:rsidR="002F60C0">
        <w:rPr>
          <w:iCs/>
        </w:rPr>
        <w:t xml:space="preserve">as </w:t>
      </w:r>
      <w:r w:rsidR="002F60C0" w:rsidRPr="00DA4F00">
        <w:rPr>
          <w:iCs/>
        </w:rPr>
        <w:t>above</w:t>
      </w:r>
      <w:r w:rsidR="002F60C0">
        <w:rPr>
          <w:iCs/>
        </w:rPr>
        <w:t>,</w:t>
      </w:r>
      <w:r w:rsidR="002F60C0" w:rsidRPr="00DA4F00">
        <w:rPr>
          <w:iCs/>
        </w:rPr>
        <w:t xml:space="preserve"> </w:t>
      </w:r>
      <w:r w:rsidR="002F60C0">
        <w:rPr>
          <w:iCs/>
        </w:rPr>
        <w:t>t</w:t>
      </w:r>
      <w:r w:rsidR="004845C0" w:rsidRPr="00DA4F00">
        <w:rPr>
          <w:iCs/>
        </w:rPr>
        <w:t xml:space="preserve">he PBAC </w:t>
      </w:r>
      <w:r w:rsidR="002F60C0">
        <w:rPr>
          <w:iCs/>
        </w:rPr>
        <w:t xml:space="preserve">was </w:t>
      </w:r>
      <w:r w:rsidR="00251AF9">
        <w:rPr>
          <w:iCs/>
        </w:rPr>
        <w:t xml:space="preserve">now </w:t>
      </w:r>
      <w:r w:rsidR="002F60C0">
        <w:rPr>
          <w:iCs/>
        </w:rPr>
        <w:t xml:space="preserve">satisfied </w:t>
      </w:r>
      <w:r w:rsidR="002F60C0">
        <w:rPr>
          <w:rFonts w:asciiTheme="minorHAnsi" w:hAnsiTheme="minorHAnsi"/>
          <w:snapToGrid w:val="0"/>
          <w:lang w:val="en-GB"/>
        </w:rPr>
        <w:t xml:space="preserve">for the purposes of Section 101(3B) of the </w:t>
      </w:r>
      <w:r w:rsidR="002F60C0">
        <w:rPr>
          <w:rFonts w:asciiTheme="minorHAnsi" w:hAnsiTheme="minorHAnsi"/>
          <w:i/>
          <w:iCs/>
          <w:snapToGrid w:val="0"/>
          <w:lang w:val="en-GB"/>
        </w:rPr>
        <w:t>National Health Act 1953</w:t>
      </w:r>
      <w:r w:rsidR="004845C0" w:rsidRPr="00DA4F00">
        <w:rPr>
          <w:iCs/>
        </w:rPr>
        <w:t xml:space="preserve"> </w:t>
      </w:r>
      <w:r w:rsidR="004845C0" w:rsidRPr="00DA4F00">
        <w:rPr>
          <w:rFonts w:asciiTheme="minorHAnsi" w:hAnsiTheme="minorHAnsi"/>
          <w:snapToGrid w:val="0"/>
          <w:lang w:val="en-GB"/>
        </w:rPr>
        <w:t xml:space="preserve">that BKZ provides, for some patients, </w:t>
      </w:r>
      <w:r w:rsidR="004845C0" w:rsidRPr="00DA4F00">
        <w:rPr>
          <w:iCs/>
        </w:rPr>
        <w:t>a significant improvement in efficacy or reduction of toxicity over IFX.</w:t>
      </w:r>
    </w:p>
    <w:p w14:paraId="0C2796E5" w14:textId="39D266F2" w:rsidR="00961AF6" w:rsidRDefault="00976E31" w:rsidP="00E430EA">
      <w:pPr>
        <w:pStyle w:val="3-BodyText"/>
        <w:rPr>
          <w:lang w:val="en-GB"/>
        </w:rPr>
      </w:pPr>
      <w:r>
        <w:rPr>
          <w:lang w:val="en-GB"/>
        </w:rPr>
        <w:t>The PBAC noted the key clinical evidence presented to support the clinical claim included 3 direct randomised trials of RIS</w:t>
      </w:r>
      <w:r w:rsidR="00E430EA">
        <w:rPr>
          <w:lang w:val="en-GB"/>
        </w:rPr>
        <w:t xml:space="preserve"> vs ADA, UST and SEC, </w:t>
      </w:r>
      <w:r w:rsidR="00E430EA" w:rsidRPr="00E430EA">
        <w:rPr>
          <w:lang w:val="en-GB"/>
        </w:rPr>
        <w:t xml:space="preserve">pairwise </w:t>
      </w:r>
      <w:r w:rsidR="00E430EA">
        <w:rPr>
          <w:lang w:val="en-GB"/>
        </w:rPr>
        <w:t xml:space="preserve">indirect </w:t>
      </w:r>
      <w:r w:rsidR="00E430EA">
        <w:rPr>
          <w:lang w:val="en-GB"/>
        </w:rPr>
        <w:lastRenderedPageBreak/>
        <w:t>treatment comparisons (ITCs)</w:t>
      </w:r>
      <w:r w:rsidR="00E430EA" w:rsidRPr="00E430EA">
        <w:rPr>
          <w:lang w:val="en-GB"/>
        </w:rPr>
        <w:t xml:space="preserve"> versus BKZ, ETN, GUS, IXE and TIL with multiple common reference treatments</w:t>
      </w:r>
      <w:r w:rsidR="00E430EA">
        <w:rPr>
          <w:lang w:val="en-GB"/>
        </w:rPr>
        <w:t xml:space="preserve">, and </w:t>
      </w:r>
      <w:r w:rsidR="00E430EA" w:rsidRPr="00E430EA">
        <w:rPr>
          <w:lang w:val="en-GB"/>
        </w:rPr>
        <w:t xml:space="preserve">two short-term NMAs </w:t>
      </w:r>
      <w:r w:rsidR="002F60C0">
        <w:rPr>
          <w:lang w:val="en-GB"/>
        </w:rPr>
        <w:t>(</w:t>
      </w:r>
      <w:r w:rsidR="00E430EA" w:rsidRPr="00E430EA">
        <w:rPr>
          <w:lang w:val="en-GB"/>
        </w:rPr>
        <w:t xml:space="preserve">Armstrong 2022 </w:t>
      </w:r>
      <w:r w:rsidR="002F60C0">
        <w:rPr>
          <w:lang w:val="en-GB"/>
        </w:rPr>
        <w:t>[</w:t>
      </w:r>
      <w:r w:rsidR="00E430EA" w:rsidRPr="00E430EA">
        <w:rPr>
          <w:lang w:val="en-GB"/>
        </w:rPr>
        <w:t>86 studies, 34,476 patients</w:t>
      </w:r>
      <w:r w:rsidR="002F60C0">
        <w:rPr>
          <w:lang w:val="en-GB"/>
        </w:rPr>
        <w:t>]</w:t>
      </w:r>
      <w:r w:rsidR="00E430EA" w:rsidRPr="00E430EA">
        <w:rPr>
          <w:lang w:val="en-GB"/>
        </w:rPr>
        <w:t xml:space="preserve">, Sbidian 2022 </w:t>
      </w:r>
      <w:r w:rsidR="0021110F">
        <w:rPr>
          <w:lang w:val="en-GB"/>
        </w:rPr>
        <w:t>[</w:t>
      </w:r>
      <w:r w:rsidR="00E430EA" w:rsidRPr="00E430EA">
        <w:rPr>
          <w:lang w:val="en-GB"/>
        </w:rPr>
        <w:t>167</w:t>
      </w:r>
      <w:r w:rsidR="00E430EA">
        <w:rPr>
          <w:lang w:val="en-GB"/>
        </w:rPr>
        <w:t xml:space="preserve"> </w:t>
      </w:r>
      <w:r w:rsidR="00E430EA" w:rsidRPr="00E430EA">
        <w:rPr>
          <w:lang w:val="en-GB"/>
        </w:rPr>
        <w:t>studies, 58,912 patients]</w:t>
      </w:r>
      <w:r w:rsidR="0021110F">
        <w:rPr>
          <w:lang w:val="en-GB"/>
        </w:rPr>
        <w:t>)</w:t>
      </w:r>
      <w:r w:rsidR="00E430EA" w:rsidRPr="00E430EA">
        <w:rPr>
          <w:lang w:val="en-GB"/>
        </w:rPr>
        <w:t xml:space="preserve">, and longer-term comparisons based on head-to-head studies versus SEC and UST and ITCs versus BKZ, GUS and IXE. The PBAC noted the short-term NMAs were </w:t>
      </w:r>
      <w:r w:rsidR="0021110F">
        <w:rPr>
          <w:lang w:val="en-GB"/>
        </w:rPr>
        <w:t>also</w:t>
      </w:r>
      <w:r w:rsidR="00E430EA" w:rsidRPr="00E430EA">
        <w:rPr>
          <w:lang w:val="en-GB"/>
        </w:rPr>
        <w:t xml:space="preserve"> considered as part of the March 2023 submission for BKZ, and considered the </w:t>
      </w:r>
      <w:r w:rsidR="00885C58">
        <w:rPr>
          <w:lang w:val="en-GB"/>
        </w:rPr>
        <w:t>overall</w:t>
      </w:r>
      <w:r w:rsidR="00885C58" w:rsidRPr="00E430EA">
        <w:rPr>
          <w:lang w:val="en-GB"/>
        </w:rPr>
        <w:t xml:space="preserve"> </w:t>
      </w:r>
      <w:r w:rsidR="00E430EA" w:rsidRPr="00E430EA">
        <w:rPr>
          <w:lang w:val="en-GB"/>
        </w:rPr>
        <w:t xml:space="preserve">evidence base for RIS </w:t>
      </w:r>
      <w:r w:rsidR="0021110F">
        <w:rPr>
          <w:lang w:val="en-GB"/>
        </w:rPr>
        <w:t>was similar to that for</w:t>
      </w:r>
      <w:r w:rsidR="0021110F" w:rsidRPr="00E430EA">
        <w:rPr>
          <w:lang w:val="en-GB"/>
        </w:rPr>
        <w:t xml:space="preserve"> </w:t>
      </w:r>
      <w:r w:rsidR="00E430EA" w:rsidRPr="00E430EA">
        <w:rPr>
          <w:lang w:val="en-GB"/>
        </w:rPr>
        <w:t>BKZ</w:t>
      </w:r>
      <w:r w:rsidR="00885C58">
        <w:rPr>
          <w:lang w:val="en-GB"/>
        </w:rPr>
        <w:t xml:space="preserve">. </w:t>
      </w:r>
    </w:p>
    <w:p w14:paraId="0E336DC4" w14:textId="0C2E927E" w:rsidR="004B506E" w:rsidRPr="00DF49E7" w:rsidRDefault="00961AF6" w:rsidP="00B83F4B">
      <w:pPr>
        <w:pStyle w:val="3-BodyText"/>
        <w:rPr>
          <w:lang w:val="en-GB"/>
        </w:rPr>
      </w:pPr>
      <w:r>
        <w:rPr>
          <w:lang w:val="en-GB"/>
        </w:rPr>
        <w:t>The PBAC considered, based on the totality of the evidence, and with consistent results across the direct trials and supported by the short-term NMAs, that RIS provides, for some patients, a significant improvement</w:t>
      </w:r>
      <w:r w:rsidR="003A718C">
        <w:rPr>
          <w:lang w:val="en-GB"/>
        </w:rPr>
        <w:t xml:space="preserve"> in </w:t>
      </w:r>
      <w:r w:rsidR="004B506E">
        <w:rPr>
          <w:lang w:val="en-GB"/>
        </w:rPr>
        <w:t xml:space="preserve">efficacy (as measured by PASI 75 and PASI 90) </w:t>
      </w:r>
      <w:r>
        <w:rPr>
          <w:lang w:val="en-GB"/>
        </w:rPr>
        <w:t xml:space="preserve">versus ADA and UST. </w:t>
      </w:r>
      <w:r w:rsidR="004B506E" w:rsidRPr="00DD50BD">
        <w:t>The PBAC</w:t>
      </w:r>
      <w:r w:rsidR="00EA55A4">
        <w:t xml:space="preserve"> recalled</w:t>
      </w:r>
      <w:r w:rsidR="004B506E" w:rsidRPr="00DD50BD">
        <w:t xml:space="preserve"> that</w:t>
      </w:r>
      <w:r w:rsidR="00EA55A4">
        <w:t xml:space="preserve"> </w:t>
      </w:r>
      <w:r w:rsidR="00EA55A4" w:rsidRPr="00EA55A4">
        <w:t>the post market review of biologic medicines for CPP found ETN to have one of the lowest response rates (Figure 1, PMR PSD, April 2018 PBAC meeting)</w:t>
      </w:r>
      <w:r w:rsidR="00EA55A4">
        <w:t xml:space="preserve">. </w:t>
      </w:r>
      <w:r w:rsidR="00EA55A4" w:rsidRPr="00DD50BD">
        <w:t xml:space="preserve">The PBAC noted there was no direct evidence comparing </w:t>
      </w:r>
      <w:r w:rsidR="00EA55A4">
        <w:t>RIS</w:t>
      </w:r>
      <w:r w:rsidR="00EA55A4" w:rsidRPr="00DD50BD">
        <w:t xml:space="preserve"> and ETN but </w:t>
      </w:r>
      <w:r w:rsidR="00EA55A4">
        <w:t xml:space="preserve">considered that, </w:t>
      </w:r>
      <w:r w:rsidR="004B506E" w:rsidRPr="00DD50BD">
        <w:t xml:space="preserve">based on previous </w:t>
      </w:r>
      <w:r w:rsidR="004B506E">
        <w:t xml:space="preserve">consideration </w:t>
      </w:r>
      <w:r w:rsidR="004B506E" w:rsidRPr="00DD50BD">
        <w:t xml:space="preserve">of the efficacy of ETN, and supported by the conclusion in the NMAs, </w:t>
      </w:r>
      <w:r w:rsidR="004B506E">
        <w:t>RIS</w:t>
      </w:r>
      <w:r w:rsidR="004B506E" w:rsidRPr="00DD50BD">
        <w:t xml:space="preserve"> provides, for some patients, a significant improvement in efficacy (as measured by PASI 75</w:t>
      </w:r>
      <w:r w:rsidR="004B506E">
        <w:t xml:space="preserve"> and PASI 90</w:t>
      </w:r>
      <w:r w:rsidR="004B506E" w:rsidRPr="00DD50BD">
        <w:t>) compared to ETN.</w:t>
      </w:r>
    </w:p>
    <w:p w14:paraId="7FD4C9C5" w14:textId="700520E4" w:rsidR="002F709B" w:rsidRPr="00DF49E7" w:rsidRDefault="002F709B" w:rsidP="00B83F4B">
      <w:pPr>
        <w:pStyle w:val="3-BodyText"/>
        <w:rPr>
          <w:lang w:val="en-GB"/>
        </w:rPr>
      </w:pPr>
      <w:r>
        <w:rPr>
          <w:rFonts w:eastAsia="Calibri"/>
        </w:rPr>
        <w:t>The PBAC noted f</w:t>
      </w:r>
      <w:r w:rsidRPr="005D1E8B">
        <w:rPr>
          <w:rFonts w:eastAsia="Calibri"/>
        </w:rPr>
        <w:t xml:space="preserve">or </w:t>
      </w:r>
      <w:r w:rsidR="00DA4F00">
        <w:rPr>
          <w:rFonts w:eastAsia="Calibri"/>
        </w:rPr>
        <w:t>SEC</w:t>
      </w:r>
      <w:r w:rsidRPr="005D1E8B">
        <w:rPr>
          <w:rFonts w:eastAsia="Calibri"/>
        </w:rPr>
        <w:t>, the direct evidence indicated no statistically significant difference for the outcome of PASI</w:t>
      </w:r>
      <w:r w:rsidR="00DA4F00">
        <w:rPr>
          <w:rFonts w:eastAsia="Calibri"/>
        </w:rPr>
        <w:t xml:space="preserve"> </w:t>
      </w:r>
      <w:r w:rsidRPr="005D1E8B">
        <w:rPr>
          <w:rFonts w:eastAsia="Calibri"/>
        </w:rPr>
        <w:t xml:space="preserve">90, and the results of the NMAs were mixed, with Sbidian 2022 not finding a statistically significant difference between </w:t>
      </w:r>
      <w:r w:rsidR="00DA4F00">
        <w:rPr>
          <w:rFonts w:eastAsia="Calibri"/>
        </w:rPr>
        <w:t>RIS</w:t>
      </w:r>
      <w:r w:rsidRPr="005D1E8B">
        <w:rPr>
          <w:rFonts w:eastAsia="Calibri"/>
        </w:rPr>
        <w:t xml:space="preserve"> and </w:t>
      </w:r>
      <w:r w:rsidR="00DA4F00">
        <w:rPr>
          <w:rFonts w:eastAsia="Calibri"/>
        </w:rPr>
        <w:t>SEC</w:t>
      </w:r>
      <w:r w:rsidRPr="005D1E8B">
        <w:rPr>
          <w:rFonts w:eastAsia="Calibri"/>
        </w:rPr>
        <w:t xml:space="preserve"> for PASI</w:t>
      </w:r>
      <w:r w:rsidR="00DA4F00">
        <w:rPr>
          <w:rFonts w:eastAsia="Calibri"/>
        </w:rPr>
        <w:t xml:space="preserve"> </w:t>
      </w:r>
      <w:r w:rsidRPr="005D1E8B">
        <w:rPr>
          <w:rFonts w:eastAsia="Calibri"/>
        </w:rPr>
        <w:t xml:space="preserve">75. Overall, the </w:t>
      </w:r>
      <w:r>
        <w:rPr>
          <w:rFonts w:eastAsia="Calibri"/>
        </w:rPr>
        <w:t>PBAC agreed with ESC and</w:t>
      </w:r>
      <w:r w:rsidRPr="005D1E8B">
        <w:rPr>
          <w:rFonts w:eastAsia="Calibri"/>
        </w:rPr>
        <w:t xml:space="preserve"> considered the claim of superior comparative effectiveness over </w:t>
      </w:r>
      <w:r w:rsidR="00DA4F00">
        <w:rPr>
          <w:rFonts w:eastAsia="Calibri"/>
        </w:rPr>
        <w:t>SEC</w:t>
      </w:r>
      <w:r w:rsidRPr="005D1E8B">
        <w:rPr>
          <w:rFonts w:eastAsia="Calibri"/>
        </w:rPr>
        <w:t xml:space="preserve"> to be uncertain</w:t>
      </w:r>
      <w:r w:rsidR="00DA4F00">
        <w:rPr>
          <w:rFonts w:eastAsia="Calibri"/>
        </w:rPr>
        <w:t xml:space="preserve">, but </w:t>
      </w:r>
      <w:r w:rsidRPr="005D1E8B">
        <w:rPr>
          <w:rFonts w:eastAsia="Calibri"/>
        </w:rPr>
        <w:t xml:space="preserve">that a claim of non-inferiority </w:t>
      </w:r>
      <w:r w:rsidR="00DA4F00">
        <w:rPr>
          <w:rFonts w:eastAsia="Calibri"/>
        </w:rPr>
        <w:t>was reasonable</w:t>
      </w:r>
      <w:r w:rsidRPr="005D1E8B">
        <w:rPr>
          <w:rFonts w:eastAsia="Calibri"/>
        </w:rPr>
        <w:t>.</w:t>
      </w:r>
    </w:p>
    <w:p w14:paraId="2F6F8D5E" w14:textId="2C1A5833" w:rsidR="002F709B" w:rsidRPr="002F709B" w:rsidRDefault="00C066EA" w:rsidP="002F709B">
      <w:pPr>
        <w:pStyle w:val="3-BodyText"/>
        <w:rPr>
          <w:lang w:val="en-GB"/>
        </w:rPr>
      </w:pPr>
      <w:r>
        <w:rPr>
          <w:lang w:val="en-GB"/>
        </w:rPr>
        <w:t xml:space="preserve">The PBAC noted for </w:t>
      </w:r>
      <w:r w:rsidR="00DA4F00">
        <w:rPr>
          <w:lang w:val="en-GB"/>
        </w:rPr>
        <w:t>TIL</w:t>
      </w:r>
      <w:r w:rsidR="002F709B" w:rsidRPr="002F709B">
        <w:rPr>
          <w:lang w:val="en-GB"/>
        </w:rPr>
        <w:t xml:space="preserve">, while the NMA results generally found statistically significant results favouring </w:t>
      </w:r>
      <w:r w:rsidR="00DA4F00">
        <w:rPr>
          <w:lang w:val="en-GB"/>
        </w:rPr>
        <w:t>RIS</w:t>
      </w:r>
      <w:r w:rsidR="002F709B" w:rsidRPr="002F709B">
        <w:rPr>
          <w:lang w:val="en-GB"/>
        </w:rPr>
        <w:t xml:space="preserve"> for PASI</w:t>
      </w:r>
      <w:r w:rsidR="00DA4F00">
        <w:rPr>
          <w:lang w:val="en-GB"/>
        </w:rPr>
        <w:t xml:space="preserve"> </w:t>
      </w:r>
      <w:r w:rsidR="002F709B" w:rsidRPr="002F709B">
        <w:rPr>
          <w:lang w:val="en-GB"/>
        </w:rPr>
        <w:t>75 and PASI</w:t>
      </w:r>
      <w:r w:rsidR="00DA4F00">
        <w:rPr>
          <w:lang w:val="en-GB"/>
        </w:rPr>
        <w:t xml:space="preserve"> </w:t>
      </w:r>
      <w:r w:rsidR="002F709B" w:rsidRPr="002F709B">
        <w:rPr>
          <w:lang w:val="en-GB"/>
        </w:rPr>
        <w:t xml:space="preserve">90, the results of the short-term ITCs generally did not find a statistically significant difference between </w:t>
      </w:r>
      <w:r w:rsidR="00DA4F00">
        <w:rPr>
          <w:lang w:val="en-GB"/>
        </w:rPr>
        <w:t>RIS</w:t>
      </w:r>
      <w:r w:rsidR="002F709B" w:rsidRPr="002F709B">
        <w:rPr>
          <w:lang w:val="en-GB"/>
        </w:rPr>
        <w:t xml:space="preserve"> and </w:t>
      </w:r>
      <w:r w:rsidR="00DA4F00">
        <w:rPr>
          <w:lang w:val="en-GB"/>
        </w:rPr>
        <w:t>TIL</w:t>
      </w:r>
      <w:r w:rsidR="002F709B" w:rsidRPr="002F709B">
        <w:rPr>
          <w:lang w:val="en-GB"/>
        </w:rPr>
        <w:t xml:space="preserve">. </w:t>
      </w:r>
      <w:r>
        <w:rPr>
          <w:lang w:val="en-GB"/>
        </w:rPr>
        <w:t>Overall, the PBAC agreed with ESC and considered</w:t>
      </w:r>
      <w:r w:rsidR="002F709B" w:rsidRPr="002F709B">
        <w:rPr>
          <w:lang w:val="en-GB"/>
        </w:rPr>
        <w:t xml:space="preserve"> the claim of superior comparative effectiveness over </w:t>
      </w:r>
      <w:r w:rsidR="00DA4F00">
        <w:rPr>
          <w:lang w:val="en-GB"/>
        </w:rPr>
        <w:t>TIL</w:t>
      </w:r>
      <w:r w:rsidR="002F709B" w:rsidRPr="002F709B">
        <w:rPr>
          <w:lang w:val="en-GB"/>
        </w:rPr>
        <w:t xml:space="preserve"> to be uncertain</w:t>
      </w:r>
      <w:r w:rsidR="00DA4F00">
        <w:rPr>
          <w:lang w:val="en-GB"/>
        </w:rPr>
        <w:t xml:space="preserve">, </w:t>
      </w:r>
      <w:r w:rsidR="00DA4F00">
        <w:rPr>
          <w:rFonts w:eastAsia="Calibri"/>
        </w:rPr>
        <w:t xml:space="preserve">but </w:t>
      </w:r>
      <w:r w:rsidR="00DA4F00" w:rsidRPr="005D1E8B">
        <w:rPr>
          <w:rFonts w:eastAsia="Calibri"/>
        </w:rPr>
        <w:t xml:space="preserve">that a claim of non-inferiority </w:t>
      </w:r>
      <w:r w:rsidR="00DA4F00">
        <w:rPr>
          <w:rFonts w:eastAsia="Calibri"/>
        </w:rPr>
        <w:t>was reasonable</w:t>
      </w:r>
      <w:r w:rsidR="002F709B" w:rsidRPr="002F709B">
        <w:rPr>
          <w:lang w:val="en-GB"/>
        </w:rPr>
        <w:t xml:space="preserve">. </w:t>
      </w:r>
    </w:p>
    <w:p w14:paraId="7A63AD5B" w14:textId="1922999E" w:rsidR="00B83F4B" w:rsidRPr="00B83F4B" w:rsidRDefault="00B83F4B" w:rsidP="00B83F4B">
      <w:pPr>
        <w:pStyle w:val="3-BodyText"/>
        <w:rPr>
          <w:lang w:val="en-GB"/>
        </w:rPr>
      </w:pPr>
      <w:r>
        <w:rPr>
          <w:lang w:val="en-GB"/>
        </w:rPr>
        <w:t>The PBAC considered the claims of non-inferior comparative effectiveness to BKZ, IXE and GUS were adequately supported by the available data</w:t>
      </w:r>
      <w:r w:rsidR="00EA55A4">
        <w:rPr>
          <w:lang w:val="en-GB"/>
        </w:rPr>
        <w:t xml:space="preserve"> </w:t>
      </w:r>
      <w:r w:rsidR="009E2890">
        <w:rPr>
          <w:lang w:val="en-GB"/>
        </w:rPr>
        <w:t xml:space="preserve">(paragraphs </w:t>
      </w:r>
      <w:r w:rsidR="009E2890">
        <w:rPr>
          <w:lang w:val="en-GB"/>
        </w:rPr>
        <w:fldChar w:fldCharType="begin" w:fldLock="1"/>
      </w:r>
      <w:r w:rsidR="009E2890">
        <w:rPr>
          <w:lang w:val="en-GB"/>
        </w:rPr>
        <w:instrText xml:space="preserve"> REF _Ref151450103 \r \h </w:instrText>
      </w:r>
      <w:r w:rsidR="009E2890">
        <w:rPr>
          <w:lang w:val="en-GB"/>
        </w:rPr>
      </w:r>
      <w:r w:rsidR="009E2890">
        <w:rPr>
          <w:lang w:val="en-GB"/>
        </w:rPr>
        <w:fldChar w:fldCharType="separate"/>
      </w:r>
      <w:r w:rsidR="009E2890">
        <w:rPr>
          <w:lang w:val="en-GB"/>
        </w:rPr>
        <w:t>6.26</w:t>
      </w:r>
      <w:r w:rsidR="009E2890">
        <w:rPr>
          <w:lang w:val="en-GB"/>
        </w:rPr>
        <w:fldChar w:fldCharType="end"/>
      </w:r>
      <w:r w:rsidR="009E2890">
        <w:rPr>
          <w:lang w:val="en-GB"/>
        </w:rPr>
        <w:t xml:space="preserve">, </w:t>
      </w:r>
      <w:r w:rsidR="009E2890">
        <w:rPr>
          <w:lang w:val="en-GB"/>
        </w:rPr>
        <w:fldChar w:fldCharType="begin" w:fldLock="1"/>
      </w:r>
      <w:r w:rsidR="009E2890">
        <w:rPr>
          <w:lang w:val="en-GB"/>
        </w:rPr>
        <w:instrText xml:space="preserve"> REF _Ref151450153 \r \h </w:instrText>
      </w:r>
      <w:r w:rsidR="009E2890">
        <w:rPr>
          <w:lang w:val="en-GB"/>
        </w:rPr>
      </w:r>
      <w:r w:rsidR="009E2890">
        <w:rPr>
          <w:lang w:val="en-GB"/>
        </w:rPr>
        <w:fldChar w:fldCharType="separate"/>
      </w:r>
      <w:r w:rsidR="009E2890">
        <w:rPr>
          <w:lang w:val="en-GB"/>
        </w:rPr>
        <w:t>6.28</w:t>
      </w:r>
      <w:r w:rsidR="009E2890">
        <w:rPr>
          <w:lang w:val="en-GB"/>
        </w:rPr>
        <w:fldChar w:fldCharType="end"/>
      </w:r>
      <w:r w:rsidR="009E2890">
        <w:rPr>
          <w:lang w:val="en-GB"/>
        </w:rPr>
        <w:t>)</w:t>
      </w:r>
      <w:r>
        <w:rPr>
          <w:lang w:val="en-GB"/>
        </w:rPr>
        <w:t>.</w:t>
      </w:r>
    </w:p>
    <w:p w14:paraId="71017826" w14:textId="1E50A469" w:rsidR="005D1E8B" w:rsidRPr="00CE42B4" w:rsidRDefault="003A682F" w:rsidP="005D1E8B">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 considered the evidence presented supported a conclusion that RIS is of non-inferior comparative safety</w:t>
      </w:r>
      <w:r w:rsidR="00C066EA">
        <w:rPr>
          <w:rFonts w:asciiTheme="minorHAnsi" w:hAnsiTheme="minorHAnsi"/>
          <w:snapToGrid w:val="0"/>
          <w:lang w:val="en-GB"/>
        </w:rPr>
        <w:t xml:space="preserve"> to </w:t>
      </w:r>
      <w:r w:rsidR="00C066EA" w:rsidRPr="00EA7305">
        <w:rPr>
          <w:rFonts w:asciiTheme="minorHAnsi" w:hAnsiTheme="minorHAnsi"/>
          <w:snapToGrid w:val="0"/>
          <w:lang w:val="en-GB"/>
        </w:rPr>
        <w:t>BKZ, GUS, IXE, SEC</w:t>
      </w:r>
      <w:r w:rsidR="00C066EA">
        <w:rPr>
          <w:rFonts w:asciiTheme="minorHAnsi" w:hAnsiTheme="minorHAnsi"/>
          <w:snapToGrid w:val="0"/>
          <w:lang w:val="en-GB"/>
        </w:rPr>
        <w:t>,</w:t>
      </w:r>
      <w:r w:rsidR="00C066EA" w:rsidRPr="00EA7305">
        <w:rPr>
          <w:rFonts w:asciiTheme="minorHAnsi" w:hAnsiTheme="minorHAnsi"/>
          <w:snapToGrid w:val="0"/>
          <w:lang w:val="en-GB"/>
        </w:rPr>
        <w:t xml:space="preserve"> TIL</w:t>
      </w:r>
      <w:r w:rsidR="00C066EA">
        <w:rPr>
          <w:rFonts w:asciiTheme="minorHAnsi" w:hAnsiTheme="minorHAnsi"/>
          <w:snapToGrid w:val="0"/>
          <w:lang w:val="en-GB"/>
        </w:rPr>
        <w:t>, ADA, UST and ETN</w:t>
      </w:r>
      <w:r>
        <w:rPr>
          <w:rFonts w:asciiTheme="minorHAnsi" w:hAnsiTheme="minorHAnsi"/>
          <w:snapToGrid w:val="0"/>
          <w:lang w:val="en-GB"/>
        </w:rPr>
        <w:t xml:space="preserve"> for CPP.</w:t>
      </w:r>
    </w:p>
    <w:p w14:paraId="48136CB3" w14:textId="41ED7BAC" w:rsidR="00EA7305" w:rsidRPr="00EA7305" w:rsidRDefault="00EA7305" w:rsidP="005D1E8B">
      <w:pPr>
        <w:widowControl w:val="0"/>
        <w:numPr>
          <w:ilvl w:val="1"/>
          <w:numId w:val="1"/>
        </w:numPr>
        <w:spacing w:after="120"/>
      </w:pPr>
      <w:r w:rsidRPr="00EA7305">
        <w:rPr>
          <w:rFonts w:asciiTheme="minorHAnsi" w:hAnsiTheme="minorHAnsi"/>
          <w:snapToGrid w:val="0"/>
          <w:lang w:val="en-GB"/>
        </w:rPr>
        <w:t>The PBAC noted the submission requested listing of the RIS 1 x 150 mg form</w:t>
      </w:r>
      <w:r w:rsidR="00D11AC9">
        <w:rPr>
          <w:rFonts w:asciiTheme="minorHAnsi" w:hAnsiTheme="minorHAnsi"/>
          <w:snapToGrid w:val="0"/>
          <w:lang w:val="en-GB"/>
        </w:rPr>
        <w:t>s</w:t>
      </w:r>
      <w:r w:rsidRPr="00EA7305">
        <w:rPr>
          <w:rFonts w:asciiTheme="minorHAnsi" w:hAnsiTheme="minorHAnsi"/>
          <w:snapToGrid w:val="0"/>
          <w:lang w:val="en-GB"/>
        </w:rPr>
        <w:t xml:space="preserve"> on a cost minimisation basis versus the currently listed RIS 2 x 75 mg form, or alternatively, on a cost minimisation basis with the least costly non-inferior biologic comparator of GUS, IXE or BKZ. Noting its advice above, the PBAC considered that whilst it is reasonable for presentations of RIS 1 x 150 mg to be listed on a cost minimisation basis with the 2 x 75 mg forms, the listing also should not be more costly than that of BKZ, GUS, IXE, SEC or TIL. </w:t>
      </w:r>
      <w:r w:rsidR="00C066EA">
        <w:rPr>
          <w:rFonts w:asciiTheme="minorHAnsi" w:hAnsiTheme="minorHAnsi"/>
          <w:snapToGrid w:val="0"/>
          <w:lang w:val="en-GB"/>
        </w:rPr>
        <w:t>T</w:t>
      </w:r>
      <w:r w:rsidRPr="00EA7305">
        <w:rPr>
          <w:rFonts w:asciiTheme="minorHAnsi" w:hAnsiTheme="minorHAnsi"/>
          <w:snapToGrid w:val="0"/>
          <w:lang w:val="en-GB"/>
        </w:rPr>
        <w:t xml:space="preserve">he PBAC considered a standard cost minimisation approach with costs over two years was appropriate, consistent with the previous approach for </w:t>
      </w:r>
      <w:r w:rsidRPr="00EA7305">
        <w:rPr>
          <w:rFonts w:asciiTheme="minorHAnsi" w:hAnsiTheme="minorHAnsi"/>
          <w:snapToGrid w:val="0"/>
          <w:lang w:val="en-GB"/>
        </w:rPr>
        <w:lastRenderedPageBreak/>
        <w:t>bDMARDs.</w:t>
      </w:r>
      <w:r w:rsidR="00C066EA" w:rsidRPr="00C066EA">
        <w:t xml:space="preserve"> </w:t>
      </w:r>
      <w:r w:rsidR="00C066EA" w:rsidRPr="00871EE1">
        <w:t xml:space="preserve">The PBAC </w:t>
      </w:r>
      <w:r w:rsidR="00C066EA">
        <w:t xml:space="preserve">considered the cost minimisation approach should be based on an equi-effective dose of RIS </w:t>
      </w:r>
      <w:r w:rsidR="003031D5" w:rsidRPr="003031D5">
        <w:t>150 mg (</w:t>
      </w:r>
      <w:r w:rsidR="00DF49E7">
        <w:t xml:space="preserve">given as 2 x 75 mg injection or </w:t>
      </w:r>
      <w:r w:rsidR="003031D5" w:rsidRPr="003031D5">
        <w:t>1</w:t>
      </w:r>
      <w:r w:rsidR="00DF49E7">
        <w:t xml:space="preserve"> </w:t>
      </w:r>
      <w:r w:rsidR="003031D5" w:rsidRPr="003031D5">
        <w:t>x 150 mg injection) subcutaneously at Week 0, 4, then every 12 weeks</w:t>
      </w:r>
      <w:r w:rsidR="002029D5">
        <w:t>,</w:t>
      </w:r>
      <w:r w:rsidR="00C066EA">
        <w:t xml:space="preserve"> </w:t>
      </w:r>
      <w:r w:rsidR="00C066EA" w:rsidRPr="00871EE1">
        <w:t xml:space="preserve">and </w:t>
      </w:r>
      <w:r w:rsidR="00C066EA">
        <w:t xml:space="preserve">the doses of </w:t>
      </w:r>
      <w:r w:rsidR="00C066EA" w:rsidRPr="00871EE1">
        <w:t xml:space="preserve">alternative bDMARDs </w:t>
      </w:r>
      <w:r w:rsidR="00C066EA">
        <w:t xml:space="preserve">(excluding ADA, ETN, UST and IFX) </w:t>
      </w:r>
      <w:r w:rsidR="00C066EA" w:rsidRPr="00871EE1">
        <w:t>could be derived with reference to the relevant Product Information documents.</w:t>
      </w:r>
      <w:r w:rsidR="00C066EA" w:rsidRPr="00551336">
        <w:t xml:space="preserve"> </w:t>
      </w:r>
    </w:p>
    <w:p w14:paraId="0D5C736A" w14:textId="1836FB31" w:rsidR="005D1E8B" w:rsidRPr="00FF308D" w:rsidRDefault="00EA7305" w:rsidP="005D1E8B">
      <w:pPr>
        <w:widowControl w:val="0"/>
        <w:numPr>
          <w:ilvl w:val="1"/>
          <w:numId w:val="1"/>
        </w:numPr>
        <w:spacing w:after="120"/>
      </w:pPr>
      <w:r>
        <w:rPr>
          <w:rFonts w:asciiTheme="minorHAnsi" w:hAnsiTheme="minorHAnsi"/>
          <w:snapToGrid w:val="0"/>
          <w:lang w:val="en-GB"/>
        </w:rPr>
        <w:t xml:space="preserve">The PBAC considered that, given </w:t>
      </w:r>
      <w:r w:rsidR="003031D5">
        <w:rPr>
          <w:rFonts w:asciiTheme="minorHAnsi" w:hAnsiTheme="minorHAnsi"/>
          <w:snapToGrid w:val="0"/>
          <w:lang w:val="en-GB"/>
        </w:rPr>
        <w:t>RIS 1 x 150 mg will predominantly replace RIS 2 x 75</w:t>
      </w:r>
      <w:r w:rsidR="00CC02C4">
        <w:rPr>
          <w:rFonts w:asciiTheme="minorHAnsi" w:hAnsiTheme="minorHAnsi"/>
          <w:snapToGrid w:val="0"/>
          <w:lang w:val="en-GB"/>
        </w:rPr>
        <w:t> </w:t>
      </w:r>
      <w:r w:rsidR="003031D5">
        <w:rPr>
          <w:rFonts w:asciiTheme="minorHAnsi" w:hAnsiTheme="minorHAnsi"/>
          <w:snapToGrid w:val="0"/>
          <w:lang w:val="en-GB"/>
        </w:rPr>
        <w:t xml:space="preserve">mg in practice and </w:t>
      </w:r>
      <w:r>
        <w:rPr>
          <w:rFonts w:asciiTheme="minorHAnsi" w:hAnsiTheme="minorHAnsi"/>
          <w:snapToGrid w:val="0"/>
          <w:lang w:val="en-GB"/>
        </w:rPr>
        <w:t>its recommendation was on a cost minimisation basis to the least costly alternative therapy (excluding ADA, ETN</w:t>
      </w:r>
      <w:r w:rsidR="003031D5">
        <w:rPr>
          <w:rFonts w:asciiTheme="minorHAnsi" w:hAnsiTheme="minorHAnsi"/>
          <w:snapToGrid w:val="0"/>
          <w:lang w:val="en-GB"/>
        </w:rPr>
        <w:t>,</w:t>
      </w:r>
      <w:r>
        <w:rPr>
          <w:rFonts w:asciiTheme="minorHAnsi" w:hAnsiTheme="minorHAnsi"/>
          <w:snapToGrid w:val="0"/>
          <w:lang w:val="en-GB"/>
        </w:rPr>
        <w:t xml:space="preserve"> UST</w:t>
      </w:r>
      <w:r w:rsidR="003031D5">
        <w:rPr>
          <w:rFonts w:asciiTheme="minorHAnsi" w:hAnsiTheme="minorHAnsi"/>
          <w:snapToGrid w:val="0"/>
          <w:lang w:val="en-GB"/>
        </w:rPr>
        <w:t xml:space="preserve"> and IFX</w:t>
      </w:r>
      <w:r>
        <w:rPr>
          <w:rFonts w:asciiTheme="minorHAnsi" w:hAnsiTheme="minorHAnsi"/>
          <w:snapToGrid w:val="0"/>
          <w:lang w:val="en-GB"/>
        </w:rPr>
        <w:t>), the listing of RIS 1 x 150 mg</w:t>
      </w:r>
      <w:r w:rsidR="00DF49E7">
        <w:rPr>
          <w:rFonts w:asciiTheme="minorHAnsi" w:hAnsiTheme="minorHAnsi"/>
          <w:snapToGrid w:val="0"/>
          <w:lang w:val="en-GB"/>
        </w:rPr>
        <w:t xml:space="preserve"> forms</w:t>
      </w:r>
      <w:r>
        <w:rPr>
          <w:rFonts w:asciiTheme="minorHAnsi" w:hAnsiTheme="minorHAnsi"/>
          <w:snapToGrid w:val="0"/>
          <w:lang w:val="en-GB"/>
        </w:rPr>
        <w:t xml:space="preserve"> </w:t>
      </w:r>
      <w:r w:rsidR="00CC02C4">
        <w:rPr>
          <w:rFonts w:asciiTheme="minorHAnsi" w:hAnsiTheme="minorHAnsi"/>
          <w:snapToGrid w:val="0"/>
          <w:lang w:val="en-GB"/>
        </w:rPr>
        <w:t>would</w:t>
      </w:r>
      <w:r>
        <w:rPr>
          <w:rFonts w:asciiTheme="minorHAnsi" w:hAnsiTheme="minorHAnsi"/>
          <w:snapToGrid w:val="0"/>
          <w:lang w:val="en-GB"/>
        </w:rPr>
        <w:t xml:space="preserve"> be cost neutral. </w:t>
      </w:r>
    </w:p>
    <w:p w14:paraId="6F4F9AD1" w14:textId="22B6A1FB" w:rsidR="00D34BAD" w:rsidRPr="002029D5" w:rsidRDefault="00D34BAD" w:rsidP="002029D5">
      <w:pPr>
        <w:widowControl w:val="0"/>
        <w:numPr>
          <w:ilvl w:val="1"/>
          <w:numId w:val="1"/>
        </w:numPr>
        <w:spacing w:after="120"/>
        <w:rPr>
          <w:rFonts w:asciiTheme="minorHAnsi" w:hAnsiTheme="minorHAnsi"/>
          <w:bCs/>
          <w:snapToGrid w:val="0"/>
          <w:lang w:val="en-GB"/>
        </w:rPr>
      </w:pPr>
      <w:r w:rsidRPr="002029D5">
        <w:rPr>
          <w:rFonts w:asciiTheme="minorHAnsi" w:hAnsiTheme="minorHAnsi"/>
          <w:bCs/>
          <w:snapToGrid w:val="0"/>
          <w:lang w:val="en-GB"/>
        </w:rPr>
        <w:t xml:space="preserve">The PBAC </w:t>
      </w:r>
      <w:r w:rsidR="00591871" w:rsidRPr="002029D5">
        <w:rPr>
          <w:rFonts w:asciiTheme="minorHAnsi" w:hAnsiTheme="minorHAnsi"/>
          <w:bCs/>
          <w:snapToGrid w:val="0"/>
          <w:lang w:val="en-GB"/>
        </w:rPr>
        <w:t xml:space="preserve">considered </w:t>
      </w:r>
      <w:r w:rsidRPr="002029D5">
        <w:rPr>
          <w:rFonts w:asciiTheme="minorHAnsi" w:hAnsiTheme="minorHAnsi"/>
          <w:bCs/>
          <w:snapToGrid w:val="0"/>
          <w:lang w:val="en-GB"/>
        </w:rPr>
        <w:t xml:space="preserve">that it would be timely to review its approach to considering applications </w:t>
      </w:r>
      <w:r w:rsidR="00591871" w:rsidRPr="002029D5">
        <w:rPr>
          <w:rFonts w:asciiTheme="minorHAnsi" w:hAnsiTheme="minorHAnsi"/>
          <w:bCs/>
          <w:snapToGrid w:val="0"/>
          <w:lang w:val="en-GB"/>
        </w:rPr>
        <w:t xml:space="preserve">for new forms of listed drugs. </w:t>
      </w:r>
      <w:r w:rsidRPr="002029D5">
        <w:rPr>
          <w:rFonts w:asciiTheme="minorHAnsi" w:hAnsiTheme="minorHAnsi"/>
          <w:bCs/>
          <w:snapToGrid w:val="0"/>
          <w:lang w:val="en-GB"/>
        </w:rPr>
        <w:t>The PBAC requested the Department prepare a review and discussion paper exploring these issues, potential implications, and options for potential changes to be considered at a future meeting.</w:t>
      </w:r>
    </w:p>
    <w:p w14:paraId="2092FBE2" w14:textId="5CE87F0F" w:rsidR="00E5394B" w:rsidRPr="00CE42B4" w:rsidRDefault="00E5394B" w:rsidP="00E5394B">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considered the listing should reflect the current listing for RIS 2 x 75 mg, maintaining the current Authority Required (in writing) listing. The PBAC also reaffirmed its advice expressed in its consideration of upadacitinib in November 2022 that it would be timely to </w:t>
      </w:r>
      <w:r w:rsidRPr="005A4284">
        <w:rPr>
          <w:rFonts w:asciiTheme="minorHAnsi" w:hAnsiTheme="minorHAnsi"/>
          <w:snapToGrid w:val="0"/>
          <w:lang w:val="en-GB"/>
        </w:rPr>
        <w:t>review the design of treatment cycle requirements for biologics broadly given the range of available treatments with different mechanisms of action since these requirements were originally devised</w:t>
      </w:r>
      <w:r>
        <w:rPr>
          <w:rFonts w:asciiTheme="minorHAnsi" w:hAnsiTheme="minorHAnsi"/>
          <w:snapToGrid w:val="0"/>
          <w:lang w:val="en-GB"/>
        </w:rPr>
        <w:t xml:space="preserve"> (paragraph </w:t>
      </w:r>
      <w:r>
        <w:rPr>
          <w:rFonts w:asciiTheme="minorHAnsi" w:hAnsiTheme="minorHAnsi"/>
          <w:snapToGrid w:val="0"/>
          <w:lang w:val="en-GB"/>
        </w:rPr>
        <w:fldChar w:fldCharType="begin" w:fldLock="1"/>
      </w:r>
      <w:r>
        <w:rPr>
          <w:rFonts w:asciiTheme="minorHAnsi" w:hAnsiTheme="minorHAnsi"/>
          <w:snapToGrid w:val="0"/>
          <w:lang w:val="en-GB"/>
        </w:rPr>
        <w:instrText xml:space="preserve"> REF _Ref150781703 \r \h </w:instrText>
      </w:r>
      <w:r>
        <w:rPr>
          <w:rFonts w:asciiTheme="minorHAnsi" w:hAnsiTheme="minorHAnsi"/>
          <w:snapToGrid w:val="0"/>
          <w:lang w:val="en-GB"/>
        </w:rPr>
      </w:r>
      <w:r>
        <w:rPr>
          <w:rFonts w:asciiTheme="minorHAnsi" w:hAnsiTheme="minorHAnsi"/>
          <w:snapToGrid w:val="0"/>
          <w:lang w:val="en-GB"/>
        </w:rPr>
        <w:fldChar w:fldCharType="separate"/>
      </w:r>
      <w:r w:rsidR="002443DD">
        <w:rPr>
          <w:rFonts w:asciiTheme="minorHAnsi" w:hAnsiTheme="minorHAnsi"/>
          <w:snapToGrid w:val="0"/>
          <w:lang w:val="en-GB"/>
        </w:rPr>
        <w:t>3.5</w:t>
      </w:r>
      <w:r>
        <w:rPr>
          <w:rFonts w:asciiTheme="minorHAnsi" w:hAnsiTheme="minorHAnsi"/>
          <w:snapToGrid w:val="0"/>
          <w:lang w:val="en-GB"/>
        </w:rPr>
        <w:fldChar w:fldCharType="end"/>
      </w:r>
      <w:r>
        <w:rPr>
          <w:rFonts w:asciiTheme="minorHAnsi" w:hAnsiTheme="minorHAnsi"/>
          <w:snapToGrid w:val="0"/>
          <w:lang w:val="en-GB"/>
        </w:rPr>
        <w:t xml:space="preserve"> refers).</w:t>
      </w:r>
    </w:p>
    <w:p w14:paraId="619A54C1" w14:textId="062FD2F1" w:rsidR="005D1E8B" w:rsidRPr="00572173" w:rsidRDefault="005D1E8B" w:rsidP="00572173">
      <w:pPr>
        <w:widowControl w:val="0"/>
        <w:numPr>
          <w:ilvl w:val="1"/>
          <w:numId w:val="1"/>
        </w:numPr>
        <w:spacing w:after="120"/>
        <w:rPr>
          <w:rFonts w:asciiTheme="minorHAnsi" w:hAnsiTheme="minorHAnsi"/>
          <w:bCs/>
          <w:snapToGrid w:val="0"/>
          <w:lang w:val="en-GB"/>
        </w:rPr>
      </w:pPr>
      <w:r w:rsidRPr="00572173">
        <w:rPr>
          <w:rFonts w:asciiTheme="minorHAnsi" w:hAnsiTheme="minorHAnsi"/>
          <w:bCs/>
          <w:snapToGrid w:val="0"/>
          <w:lang w:val="en-GB"/>
        </w:rPr>
        <w:t xml:space="preserve">The PBAC advised, under Section 101 (4AACD) of the </w:t>
      </w:r>
      <w:r w:rsidRPr="00572173">
        <w:rPr>
          <w:rFonts w:asciiTheme="minorHAnsi" w:hAnsiTheme="minorHAnsi"/>
          <w:bCs/>
          <w:i/>
          <w:iCs/>
          <w:snapToGrid w:val="0"/>
          <w:lang w:val="en-GB"/>
        </w:rPr>
        <w:t>National Health Act</w:t>
      </w:r>
      <w:r w:rsidRPr="00572173">
        <w:rPr>
          <w:rFonts w:asciiTheme="minorHAnsi" w:hAnsiTheme="minorHAnsi"/>
          <w:bCs/>
          <w:snapToGrid w:val="0"/>
          <w:lang w:val="en-GB"/>
        </w:rPr>
        <w:t xml:space="preserve">, that </w:t>
      </w:r>
      <w:r w:rsidR="00572173">
        <w:rPr>
          <w:rFonts w:asciiTheme="minorHAnsi" w:hAnsiTheme="minorHAnsi"/>
          <w:bCs/>
          <w:snapToGrid w:val="0"/>
          <w:lang w:val="en-GB"/>
        </w:rPr>
        <w:t>RIS 150</w:t>
      </w:r>
      <w:r w:rsidR="007E1DDD">
        <w:rPr>
          <w:rFonts w:asciiTheme="minorHAnsi" w:hAnsiTheme="minorHAnsi"/>
          <w:bCs/>
          <w:snapToGrid w:val="0"/>
          <w:lang w:val="en-GB"/>
        </w:rPr>
        <w:t> </w:t>
      </w:r>
      <w:r w:rsidR="00572173">
        <w:rPr>
          <w:rFonts w:asciiTheme="minorHAnsi" w:hAnsiTheme="minorHAnsi"/>
          <w:bCs/>
          <w:snapToGrid w:val="0"/>
          <w:lang w:val="en-GB"/>
        </w:rPr>
        <w:t>mg</w:t>
      </w:r>
      <w:r w:rsidR="00964C33">
        <w:rPr>
          <w:rFonts w:asciiTheme="minorHAnsi" w:hAnsiTheme="minorHAnsi"/>
          <w:bCs/>
          <w:snapToGrid w:val="0"/>
          <w:lang w:val="en-GB"/>
        </w:rPr>
        <w:t xml:space="preserve"> </w:t>
      </w:r>
      <w:r w:rsidR="00DF49E7">
        <w:rPr>
          <w:rFonts w:asciiTheme="minorHAnsi" w:hAnsiTheme="minorHAnsi"/>
          <w:bCs/>
          <w:snapToGrid w:val="0"/>
          <w:lang w:val="en-GB"/>
        </w:rPr>
        <w:t>PFS</w:t>
      </w:r>
      <w:r w:rsidR="00964C33">
        <w:rPr>
          <w:rFonts w:asciiTheme="minorHAnsi" w:hAnsiTheme="minorHAnsi"/>
          <w:bCs/>
          <w:snapToGrid w:val="0"/>
          <w:lang w:val="en-GB"/>
        </w:rPr>
        <w:t xml:space="preserve">, </w:t>
      </w:r>
      <w:r w:rsidR="00DF49E7">
        <w:rPr>
          <w:rFonts w:asciiTheme="minorHAnsi" w:hAnsiTheme="minorHAnsi"/>
          <w:bCs/>
          <w:snapToGrid w:val="0"/>
          <w:lang w:val="en-GB"/>
        </w:rPr>
        <w:t xml:space="preserve">150 mg PFP </w:t>
      </w:r>
      <w:r w:rsidR="00572173">
        <w:rPr>
          <w:rFonts w:asciiTheme="minorHAnsi" w:hAnsiTheme="minorHAnsi"/>
          <w:bCs/>
          <w:snapToGrid w:val="0"/>
          <w:lang w:val="en-GB"/>
        </w:rPr>
        <w:t xml:space="preserve">and 75 </w:t>
      </w:r>
      <w:r w:rsidR="00DF49E7">
        <w:rPr>
          <w:rFonts w:asciiTheme="minorHAnsi" w:hAnsiTheme="minorHAnsi"/>
          <w:bCs/>
          <w:snapToGrid w:val="0"/>
          <w:lang w:val="en-GB"/>
        </w:rPr>
        <w:t xml:space="preserve">mg PFS </w:t>
      </w:r>
      <w:r w:rsidRPr="00572173">
        <w:rPr>
          <w:rFonts w:asciiTheme="minorHAnsi" w:hAnsiTheme="minorHAnsi"/>
          <w:bCs/>
          <w:snapToGrid w:val="0"/>
          <w:lang w:val="en-GB"/>
        </w:rPr>
        <w:t>should be considered equivalent for the purposes of substitution (i.e., ‘a’ flagged in the Schedule with a NOTE stating PBS of one form and PBS of another form are equivalent for the purposes of substitution)</w:t>
      </w:r>
      <w:r w:rsidR="00572173">
        <w:rPr>
          <w:rFonts w:asciiTheme="minorHAnsi" w:hAnsiTheme="minorHAnsi"/>
          <w:bCs/>
          <w:snapToGrid w:val="0"/>
          <w:lang w:val="en-GB"/>
        </w:rPr>
        <w:t>.</w:t>
      </w:r>
    </w:p>
    <w:p w14:paraId="6F80511F" w14:textId="08F53141" w:rsidR="005D1E8B" w:rsidRPr="00525B39" w:rsidRDefault="005D1E8B" w:rsidP="005D1E8B">
      <w:pPr>
        <w:widowControl w:val="0"/>
        <w:numPr>
          <w:ilvl w:val="1"/>
          <w:numId w:val="1"/>
        </w:numPr>
        <w:spacing w:after="120"/>
        <w:rPr>
          <w:rFonts w:asciiTheme="minorHAnsi" w:hAnsiTheme="minorHAnsi"/>
          <w:bCs/>
          <w:snapToGrid w:val="0"/>
          <w:lang w:val="en-GB"/>
        </w:rPr>
      </w:pPr>
      <w:r w:rsidRPr="00525B39">
        <w:rPr>
          <w:rFonts w:asciiTheme="minorHAnsi" w:hAnsiTheme="minorHAnsi"/>
          <w:bCs/>
          <w:snapToGrid w:val="0"/>
          <w:lang w:val="en-GB"/>
        </w:rPr>
        <w:t>The PBAC recommended that the Early Supply Rule should apply</w:t>
      </w:r>
      <w:r w:rsidR="00572173">
        <w:rPr>
          <w:rFonts w:asciiTheme="minorHAnsi" w:hAnsiTheme="minorHAnsi"/>
          <w:bCs/>
          <w:snapToGrid w:val="0"/>
          <w:lang w:val="en-GB"/>
        </w:rPr>
        <w:t xml:space="preserve">, similar to the listing of the 75 mg </w:t>
      </w:r>
      <w:r w:rsidR="00DF49E7">
        <w:rPr>
          <w:rFonts w:asciiTheme="minorHAnsi" w:hAnsiTheme="minorHAnsi"/>
          <w:bCs/>
          <w:snapToGrid w:val="0"/>
          <w:lang w:val="en-GB"/>
        </w:rPr>
        <w:t>PFS</w:t>
      </w:r>
      <w:r w:rsidR="00572173">
        <w:rPr>
          <w:rFonts w:asciiTheme="minorHAnsi" w:hAnsiTheme="minorHAnsi"/>
          <w:bCs/>
          <w:snapToGrid w:val="0"/>
          <w:lang w:val="en-GB"/>
        </w:rPr>
        <w:t>.</w:t>
      </w:r>
    </w:p>
    <w:p w14:paraId="320FD94E" w14:textId="415AFFD4" w:rsidR="005D1E8B" w:rsidRPr="00572173" w:rsidRDefault="00572173" w:rsidP="00572173">
      <w:pPr>
        <w:widowControl w:val="0"/>
        <w:numPr>
          <w:ilvl w:val="1"/>
          <w:numId w:val="1"/>
        </w:numPr>
        <w:spacing w:after="120"/>
        <w:rPr>
          <w:rFonts w:asciiTheme="minorHAnsi" w:hAnsiTheme="minorHAnsi"/>
          <w:bCs/>
          <w:snapToGrid w:val="0"/>
          <w:lang w:val="en-GB"/>
        </w:rPr>
      </w:pPr>
      <w:r w:rsidRPr="00572173">
        <w:rPr>
          <w:rFonts w:asciiTheme="minorHAnsi" w:hAnsiTheme="minorHAnsi"/>
          <w:bCs/>
          <w:snapToGrid w:val="0"/>
          <w:lang w:val="en-GB"/>
        </w:rPr>
        <w:t>The PBAC noted that its recommendation was on a cost-minimisation basis and advised that, because</w:t>
      </w:r>
      <w:r w:rsidR="00976E31">
        <w:rPr>
          <w:rFonts w:asciiTheme="minorHAnsi" w:hAnsiTheme="minorHAnsi"/>
          <w:bCs/>
          <w:snapToGrid w:val="0"/>
          <w:lang w:val="en-GB"/>
        </w:rPr>
        <w:t xml:space="preserve"> the</w:t>
      </w:r>
      <w:r w:rsidRPr="00572173">
        <w:rPr>
          <w:rFonts w:asciiTheme="minorHAnsi" w:hAnsiTheme="minorHAnsi"/>
          <w:bCs/>
          <w:snapToGrid w:val="0"/>
          <w:lang w:val="en-GB"/>
        </w:rPr>
        <w:t xml:space="preserve"> </w:t>
      </w:r>
      <w:r w:rsidR="00976E31">
        <w:rPr>
          <w:rFonts w:asciiTheme="minorHAnsi" w:hAnsiTheme="minorHAnsi"/>
          <w:bCs/>
          <w:snapToGrid w:val="0"/>
          <w:lang w:val="en-GB"/>
        </w:rPr>
        <w:t>RIS 1 x 150 mg form</w:t>
      </w:r>
      <w:r w:rsidR="00DF49E7">
        <w:rPr>
          <w:rFonts w:asciiTheme="minorHAnsi" w:hAnsiTheme="minorHAnsi"/>
          <w:bCs/>
          <w:snapToGrid w:val="0"/>
          <w:lang w:val="en-GB"/>
        </w:rPr>
        <w:t>s</w:t>
      </w:r>
      <w:r w:rsidR="00976E31">
        <w:rPr>
          <w:rFonts w:asciiTheme="minorHAnsi" w:hAnsiTheme="minorHAnsi"/>
          <w:bCs/>
          <w:snapToGrid w:val="0"/>
          <w:lang w:val="en-GB"/>
        </w:rPr>
        <w:t xml:space="preserve"> </w:t>
      </w:r>
      <w:r w:rsidR="00DF49E7">
        <w:rPr>
          <w:rFonts w:asciiTheme="minorHAnsi" w:hAnsiTheme="minorHAnsi"/>
          <w:bCs/>
          <w:snapToGrid w:val="0"/>
          <w:lang w:val="en-GB"/>
        </w:rPr>
        <w:t>are</w:t>
      </w:r>
      <w:r w:rsidRPr="00572173">
        <w:rPr>
          <w:rFonts w:asciiTheme="minorHAnsi" w:hAnsiTheme="minorHAnsi"/>
          <w:bCs/>
          <w:snapToGrid w:val="0"/>
          <w:lang w:val="en-GB"/>
        </w:rPr>
        <w:t xml:space="preserve"> not expected to provide a substantial and clinically relevant improvement in efficacy, or reduction of toxicity, over </w:t>
      </w:r>
      <w:r w:rsidR="00964C33">
        <w:rPr>
          <w:rFonts w:asciiTheme="minorHAnsi" w:hAnsiTheme="minorHAnsi"/>
          <w:bCs/>
          <w:snapToGrid w:val="0"/>
          <w:lang w:val="en-GB"/>
        </w:rPr>
        <w:t>2 x 75 mg form</w:t>
      </w:r>
      <w:r w:rsidRPr="00572173">
        <w:rPr>
          <w:rFonts w:asciiTheme="minorHAnsi" w:hAnsiTheme="minorHAnsi"/>
          <w:bCs/>
          <w:snapToGrid w:val="0"/>
          <w:lang w:val="en-GB"/>
        </w:rPr>
        <w:t xml:space="preserve">, or not expected to address a high and urgent unmet clinical need given the presence of an alternative therapy, the criteria prescribed by the National Health (Pharmaceuticals and Vaccines – Cost Recovery) Regulations 2022 for Pricing Pathway A were not met. </w:t>
      </w:r>
    </w:p>
    <w:p w14:paraId="251060E6" w14:textId="02AFABEC" w:rsidR="005D1E8B" w:rsidRPr="0055090C" w:rsidRDefault="005D1E8B" w:rsidP="005D1E8B">
      <w:pPr>
        <w:widowControl w:val="0"/>
        <w:numPr>
          <w:ilvl w:val="1"/>
          <w:numId w:val="1"/>
        </w:numPr>
        <w:spacing w:after="120"/>
        <w:rPr>
          <w:rFonts w:asciiTheme="minorHAnsi" w:hAnsiTheme="minorHAnsi"/>
          <w:bCs/>
          <w:snapToGrid w:val="0"/>
          <w:lang w:val="en-GB"/>
        </w:rPr>
      </w:pPr>
      <w:r w:rsidRPr="0055090C">
        <w:rPr>
          <w:rFonts w:asciiTheme="minorHAnsi" w:hAnsiTheme="minorHAnsi"/>
          <w:bCs/>
          <w:snapToGrid w:val="0"/>
          <w:lang w:val="en-GB"/>
        </w:rPr>
        <w:t>The PBAC noted that this submission is not eligible for an Independent Review</w:t>
      </w:r>
      <w:r w:rsidR="00572173" w:rsidRPr="0055090C">
        <w:rPr>
          <w:rFonts w:asciiTheme="minorHAnsi" w:hAnsiTheme="minorHAnsi"/>
          <w:bCs/>
          <w:snapToGrid w:val="0"/>
          <w:lang w:val="en-GB"/>
        </w:rPr>
        <w:t xml:space="preserve"> as it received a positive recommendation</w:t>
      </w:r>
      <w:r w:rsidRPr="0055090C">
        <w:rPr>
          <w:rFonts w:asciiTheme="minorHAnsi" w:hAnsiTheme="minorHAnsi"/>
          <w:bCs/>
          <w:snapToGrid w:val="0"/>
          <w:lang w:val="en-GB"/>
        </w:rPr>
        <w:t xml:space="preserve">. </w:t>
      </w:r>
    </w:p>
    <w:p w14:paraId="0F2AFED5" w14:textId="21935F26" w:rsidR="005D1E8B" w:rsidRPr="00D94AD0" w:rsidRDefault="005D1E8B" w:rsidP="0055090C">
      <w:pPr>
        <w:widowControl w:val="0"/>
        <w:numPr>
          <w:ilvl w:val="1"/>
          <w:numId w:val="1"/>
        </w:numPr>
        <w:contextualSpacing/>
        <w:rPr>
          <w:rFonts w:asciiTheme="minorHAnsi" w:hAnsiTheme="minorHAnsi"/>
          <w:bCs/>
          <w:snapToGrid w:val="0"/>
          <w:lang w:val="en-GB"/>
        </w:rPr>
      </w:pPr>
      <w:r w:rsidRPr="0055090C">
        <w:rPr>
          <w:rFonts w:asciiTheme="minorHAnsi" w:hAnsiTheme="minorHAnsi"/>
          <w:bCs/>
          <w:snapToGrid w:val="0"/>
          <w:lang w:val="en-GB"/>
        </w:rPr>
        <w:t>The</w:t>
      </w:r>
      <w:r>
        <w:rPr>
          <w:rFonts w:asciiTheme="minorHAnsi" w:hAnsiTheme="minorHAnsi"/>
          <w:bCs/>
          <w:snapToGrid w:val="0"/>
          <w:lang w:val="en-GB"/>
        </w:rPr>
        <w:t xml:space="preserve"> PBAC noted the sponsor’s intention to delist </w:t>
      </w:r>
      <w:r w:rsidR="00572173">
        <w:rPr>
          <w:rFonts w:asciiTheme="minorHAnsi" w:hAnsiTheme="minorHAnsi"/>
          <w:bCs/>
          <w:snapToGrid w:val="0"/>
          <w:lang w:val="en-GB"/>
        </w:rPr>
        <w:t>the 2 x 75 mg form</w:t>
      </w:r>
      <w:r>
        <w:rPr>
          <w:rFonts w:asciiTheme="minorHAnsi" w:hAnsiTheme="minorHAnsi"/>
          <w:bCs/>
          <w:snapToGrid w:val="0"/>
          <w:lang w:val="en-GB"/>
        </w:rPr>
        <w:t xml:space="preserve"> once </w:t>
      </w:r>
      <w:r w:rsidR="00572173">
        <w:rPr>
          <w:rFonts w:asciiTheme="minorHAnsi" w:hAnsiTheme="minorHAnsi"/>
          <w:bCs/>
          <w:snapToGrid w:val="0"/>
          <w:lang w:val="en-GB"/>
        </w:rPr>
        <w:t>the 1 x 150 mg form</w:t>
      </w:r>
      <w:r w:rsidR="00DF49E7">
        <w:rPr>
          <w:rFonts w:asciiTheme="minorHAnsi" w:hAnsiTheme="minorHAnsi"/>
          <w:bCs/>
          <w:snapToGrid w:val="0"/>
          <w:lang w:val="en-GB"/>
        </w:rPr>
        <w:t>s</w:t>
      </w:r>
      <w:r>
        <w:rPr>
          <w:rFonts w:asciiTheme="minorHAnsi" w:hAnsiTheme="minorHAnsi"/>
          <w:bCs/>
          <w:snapToGrid w:val="0"/>
          <w:lang w:val="en-GB"/>
        </w:rPr>
        <w:t xml:space="preserve"> </w:t>
      </w:r>
      <w:r w:rsidR="00DF49E7">
        <w:rPr>
          <w:rFonts w:asciiTheme="minorHAnsi" w:hAnsiTheme="minorHAnsi"/>
          <w:bCs/>
          <w:snapToGrid w:val="0"/>
          <w:lang w:val="en-GB"/>
        </w:rPr>
        <w:t>are</w:t>
      </w:r>
      <w:r>
        <w:rPr>
          <w:rFonts w:asciiTheme="minorHAnsi" w:hAnsiTheme="minorHAnsi"/>
          <w:bCs/>
          <w:snapToGrid w:val="0"/>
          <w:lang w:val="en-GB"/>
        </w:rPr>
        <w:t xml:space="preserve"> listed on the PBS. The PBAC will consider the sponsor’s request to delist </w:t>
      </w:r>
      <w:r w:rsidR="00572173">
        <w:rPr>
          <w:rFonts w:asciiTheme="minorHAnsi" w:hAnsiTheme="minorHAnsi"/>
          <w:bCs/>
          <w:snapToGrid w:val="0"/>
          <w:lang w:val="en-GB"/>
        </w:rPr>
        <w:t>at an appropriate time.</w:t>
      </w:r>
      <w:r>
        <w:rPr>
          <w:rFonts w:asciiTheme="minorHAnsi" w:hAnsiTheme="minorHAnsi"/>
          <w:bCs/>
          <w:i/>
          <w:iCs/>
          <w:snapToGrid w:val="0"/>
          <w:lang w:val="en-GB"/>
        </w:rPr>
        <w:t xml:space="preserve"> </w:t>
      </w:r>
    </w:p>
    <w:p w14:paraId="7F7EEEAB" w14:textId="77777777" w:rsidR="005D1E8B" w:rsidRPr="00525B39" w:rsidRDefault="005D1E8B" w:rsidP="005D1E8B">
      <w:pPr>
        <w:spacing w:before="240"/>
        <w:rPr>
          <w:rFonts w:asciiTheme="minorHAnsi" w:hAnsiTheme="minorHAnsi"/>
          <w:b/>
          <w:bCs/>
          <w:snapToGrid w:val="0"/>
          <w:lang w:val="en-GB"/>
        </w:rPr>
      </w:pPr>
      <w:r w:rsidRPr="00525B39">
        <w:rPr>
          <w:rFonts w:asciiTheme="minorHAnsi" w:hAnsiTheme="minorHAnsi"/>
          <w:b/>
          <w:bCs/>
          <w:snapToGrid w:val="0"/>
          <w:lang w:val="en-GB"/>
        </w:rPr>
        <w:t>Outcome:</w:t>
      </w:r>
    </w:p>
    <w:p w14:paraId="13D91B94" w14:textId="62D4EBB6" w:rsidR="005D1E8B" w:rsidRPr="00525B39" w:rsidRDefault="005D1E8B" w:rsidP="0055090C">
      <w:pPr>
        <w:rPr>
          <w:rFonts w:asciiTheme="minorHAnsi" w:hAnsiTheme="minorHAnsi"/>
          <w:b/>
          <w:bCs/>
          <w:snapToGrid w:val="0"/>
        </w:rPr>
      </w:pPr>
      <w:r w:rsidRPr="00525B39">
        <w:rPr>
          <w:rFonts w:asciiTheme="minorHAnsi" w:hAnsiTheme="minorHAnsi"/>
          <w:bCs/>
          <w:snapToGrid w:val="0"/>
          <w:lang w:val="en-GB"/>
        </w:rPr>
        <w:t xml:space="preserve">Recommended </w:t>
      </w:r>
    </w:p>
    <w:bookmarkEnd w:id="63"/>
    <w:p w14:paraId="298E4025" w14:textId="7EFEE9A0" w:rsidR="005D1E8B" w:rsidRPr="00036DFF" w:rsidRDefault="005D1E8B" w:rsidP="00036DFF">
      <w:pPr>
        <w:pStyle w:val="2-SectionHeading"/>
        <w:numPr>
          <w:ilvl w:val="0"/>
          <w:numId w:val="1"/>
        </w:numPr>
      </w:pPr>
      <w:r w:rsidRPr="00036DFF">
        <w:lastRenderedPageBreak/>
        <w:t>Recommended listing</w:t>
      </w:r>
    </w:p>
    <w:p w14:paraId="03192A40" w14:textId="77777777" w:rsidR="0055090C" w:rsidRDefault="005D1E8B" w:rsidP="0055090C">
      <w:pPr>
        <w:widowControl w:val="0"/>
        <w:numPr>
          <w:ilvl w:val="1"/>
          <w:numId w:val="1"/>
        </w:numPr>
        <w:spacing w:after="120"/>
        <w:rPr>
          <w:rFonts w:asciiTheme="minorHAnsi" w:hAnsiTheme="minorHAnsi"/>
          <w:b/>
          <w:bCs/>
          <w:snapToGrid w:val="0"/>
        </w:rPr>
      </w:pPr>
      <w:r w:rsidRPr="00EC633C">
        <w:rPr>
          <w:rFonts w:asciiTheme="minorHAnsi" w:hAnsiTheme="minorHAnsi"/>
          <w:bCs/>
          <w:snapToGrid w:val="0"/>
        </w:rPr>
        <w:t xml:space="preserve">Add </w:t>
      </w:r>
      <w:r w:rsidRPr="0055090C">
        <w:rPr>
          <w:rFonts w:asciiTheme="minorHAnsi" w:hAnsiTheme="minorHAnsi"/>
          <w:bCs/>
          <w:snapToGrid w:val="0"/>
          <w:lang w:val="en-GB"/>
        </w:rPr>
        <w:t>new</w:t>
      </w:r>
      <w:r w:rsidRPr="00EC633C">
        <w:rPr>
          <w:rFonts w:asciiTheme="minorHAnsi" w:hAnsiTheme="minorHAnsi"/>
          <w:bCs/>
          <w:snapToGrid w:val="0"/>
        </w:rPr>
        <w:t xml:space="preserve"> item:</w:t>
      </w:r>
      <w:r w:rsidR="00EC633C">
        <w:rPr>
          <w:rFonts w:asciiTheme="minorHAnsi" w:hAnsiTheme="minorHAnsi"/>
          <w:bCs/>
          <w:snapToGrid w:val="0"/>
        </w:rPr>
        <w:t xml:space="preserve"> </w:t>
      </w:r>
    </w:p>
    <w:p w14:paraId="0DD4B071" w14:textId="31A431D9" w:rsidR="00347207" w:rsidRDefault="00EC633C" w:rsidP="0055090C">
      <w:pPr>
        <w:widowControl w:val="0"/>
        <w:spacing w:after="120"/>
        <w:ind w:left="720"/>
        <w:contextualSpacing/>
        <w:rPr>
          <w:rFonts w:asciiTheme="minorHAnsi" w:hAnsiTheme="minorHAnsi"/>
          <w:bCs/>
          <w:snapToGrid w:val="0"/>
        </w:rPr>
      </w:pPr>
      <w:r w:rsidRPr="0055090C">
        <w:rPr>
          <w:rFonts w:asciiTheme="minorHAnsi" w:hAnsiTheme="minorHAnsi"/>
          <w:bCs/>
          <w:snapToGrid w:val="0"/>
        </w:rPr>
        <w:t xml:space="preserve">Restrictions to be the same as current 2 x 75 mg risankizumab forms for severe chronic plaque psoriasis – items </w:t>
      </w:r>
      <w:r w:rsidR="002A330F" w:rsidRPr="0055090C">
        <w:rPr>
          <w:rFonts w:asciiTheme="minorHAnsi" w:hAnsiTheme="minorHAnsi"/>
          <w:bCs/>
          <w:snapToGrid w:val="0"/>
        </w:rPr>
        <w:t xml:space="preserve">11827L and 11858D, with the addition of a NOTE that the 2 x 75 mg and 1 x 150 mg forms are considered to be substitutable as the pharmacy level (i.e. ‘a’ flagged). </w:t>
      </w:r>
      <w:bookmarkEnd w:id="64"/>
    </w:p>
    <w:p w14:paraId="57D8D049" w14:textId="77777777" w:rsidR="00310DD3" w:rsidRDefault="00310DD3" w:rsidP="0055090C">
      <w:pPr>
        <w:widowControl w:val="0"/>
        <w:spacing w:after="120"/>
        <w:ind w:left="720"/>
        <w:contextualSpacing/>
        <w:rPr>
          <w:rFonts w:asciiTheme="minorHAnsi" w:hAnsiTheme="minorHAnsi"/>
          <w:bCs/>
          <w:snapToGrid w:val="0"/>
        </w:rPr>
      </w:pPr>
    </w:p>
    <w:p w14:paraId="587552EA" w14:textId="77777777" w:rsidR="00310DD3" w:rsidRPr="009B5C04" w:rsidRDefault="00310DD3" w:rsidP="00072872">
      <w:pPr>
        <w:rPr>
          <w:rFonts w:asciiTheme="minorHAnsi" w:hAnsiTheme="minorHAnsi"/>
          <w:bCs/>
          <w:snapToGrid w:val="0"/>
          <w:lang w:val="en-GB"/>
        </w:rPr>
      </w:pPr>
      <w:r w:rsidRPr="00F91CC3">
        <w:rPr>
          <w:rFonts w:asciiTheme="minorHAnsi" w:hAnsiTheme="minorHAnsi" w:cstheme="minorHAnsi"/>
          <w:b/>
          <w:i/>
        </w:rPr>
        <w:t>This restriction may be subject to further review. Should there be any changes made to the restriction the Sponsor will be informed.</w:t>
      </w:r>
    </w:p>
    <w:p w14:paraId="33819899" w14:textId="77777777" w:rsidR="00347207" w:rsidRPr="00347207" w:rsidRDefault="00347207" w:rsidP="00347207">
      <w:pPr>
        <w:pStyle w:val="2-SectionHeading"/>
        <w:numPr>
          <w:ilvl w:val="0"/>
          <w:numId w:val="1"/>
        </w:numPr>
      </w:pPr>
      <w:r w:rsidRPr="00347207">
        <w:t>Context for Decision</w:t>
      </w:r>
    </w:p>
    <w:p w14:paraId="0DC7EC3E" w14:textId="77777777" w:rsidR="00347207" w:rsidRPr="00347207" w:rsidRDefault="00347207" w:rsidP="00347207">
      <w:pPr>
        <w:spacing w:after="120"/>
        <w:ind w:left="720"/>
        <w:rPr>
          <w:rFonts w:asciiTheme="minorHAnsi" w:hAnsiTheme="minorHAnsi"/>
          <w:bCs/>
          <w:lang w:val="en-GB"/>
        </w:rPr>
      </w:pPr>
      <w:r w:rsidRPr="00347207">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49BEC503" w14:textId="77777777" w:rsidR="00347207" w:rsidRPr="00347207" w:rsidRDefault="00347207" w:rsidP="00347207">
      <w:pPr>
        <w:pStyle w:val="2-SectionHeading"/>
        <w:numPr>
          <w:ilvl w:val="0"/>
          <w:numId w:val="1"/>
        </w:numPr>
      </w:pPr>
      <w:r w:rsidRPr="00347207">
        <w:t>Sponsor’s Comment</w:t>
      </w:r>
    </w:p>
    <w:p w14:paraId="245564CE" w14:textId="39BC54EF" w:rsidR="00347207" w:rsidRPr="00347207" w:rsidRDefault="0062122F" w:rsidP="00E17F46">
      <w:pPr>
        <w:spacing w:after="160" w:line="259" w:lineRule="auto"/>
        <w:ind w:left="680"/>
        <w:jc w:val="left"/>
        <w:rPr>
          <w:rFonts w:eastAsiaTheme="minorHAnsi" w:cs="Times New Roman"/>
          <w:b/>
          <w:i/>
          <w:lang w:eastAsia="en-US"/>
        </w:rPr>
      </w:pPr>
      <w:r w:rsidRPr="0062122F">
        <w:rPr>
          <w:rFonts w:asciiTheme="minorHAnsi" w:eastAsiaTheme="minorHAnsi" w:hAnsiTheme="minorHAnsi"/>
          <w:bCs/>
          <w:szCs w:val="22"/>
          <w:lang w:eastAsia="en-US"/>
        </w:rPr>
        <w:t>AbbVie welcomes the PBAC recommendation for a new presentation of risankizumab and the Departmental review for the process of listing applications of new forms of listed drugs</w:t>
      </w:r>
      <w:r>
        <w:rPr>
          <w:rFonts w:asciiTheme="minorHAnsi" w:eastAsiaTheme="minorHAnsi" w:hAnsiTheme="minorHAnsi"/>
          <w:bCs/>
          <w:szCs w:val="22"/>
          <w:lang w:eastAsia="en-US"/>
        </w:rPr>
        <w:t>.</w:t>
      </w:r>
      <w:r w:rsidRPr="0062122F" w:rsidDel="0062122F">
        <w:rPr>
          <w:rFonts w:asciiTheme="minorHAnsi" w:eastAsiaTheme="minorHAnsi" w:hAnsiTheme="minorHAnsi"/>
          <w:bCs/>
          <w:szCs w:val="22"/>
          <w:lang w:eastAsia="en-US"/>
        </w:rPr>
        <w:t xml:space="preserve"> </w:t>
      </w:r>
    </w:p>
    <w:sectPr w:rsidR="00347207" w:rsidRPr="00347207" w:rsidSect="009A24F9">
      <w:headerReference w:type="default" r:id="rId9"/>
      <w:footerReference w:type="default" r:id="rId10"/>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067B3" w14:textId="77777777" w:rsidR="00284778" w:rsidRDefault="00284778" w:rsidP="00124A51">
      <w:r>
        <w:separator/>
      </w:r>
    </w:p>
    <w:p w14:paraId="3496F207" w14:textId="77777777" w:rsidR="00284778" w:rsidRDefault="00284778"/>
  </w:endnote>
  <w:endnote w:type="continuationSeparator" w:id="0">
    <w:p w14:paraId="48D04D65" w14:textId="77777777" w:rsidR="00284778" w:rsidRDefault="00284778" w:rsidP="00124A51">
      <w:r>
        <w:continuationSeparator/>
      </w:r>
    </w:p>
    <w:p w14:paraId="7A35EC89" w14:textId="77777777" w:rsidR="00284778" w:rsidRDefault="002847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calaLancetPro">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AEB7B" w14:textId="77777777" w:rsidR="00F10A1E" w:rsidRDefault="00F10A1E" w:rsidP="00F10A1E">
    <w:pPr>
      <w:pStyle w:val="Footer"/>
      <w:jc w:val="center"/>
    </w:pPr>
  </w:p>
  <w:p w14:paraId="03C1E56D" w14:textId="3EE4C6B8" w:rsidR="00F10A1E" w:rsidRPr="00BE4C70" w:rsidRDefault="004D70E1" w:rsidP="00F10A1E">
    <w:pPr>
      <w:pStyle w:val="Footer"/>
      <w:jc w:val="center"/>
      <w:rPr>
        <w:b/>
        <w:bCs/>
      </w:rPr>
    </w:pPr>
    <w:sdt>
      <w:sdtPr>
        <w:rPr>
          <w:b/>
          <w:bCs/>
        </w:rPr>
        <w:id w:val="1036156457"/>
        <w:docPartObj>
          <w:docPartGallery w:val="Page Numbers (Bottom of Page)"/>
          <w:docPartUnique/>
        </w:docPartObj>
      </w:sdtPr>
      <w:sdtEndPr>
        <w:rPr>
          <w:noProof/>
        </w:rPr>
      </w:sdtEndPr>
      <w:sdtContent>
        <w:r w:rsidR="00F10A1E" w:rsidRPr="00BE4C70">
          <w:rPr>
            <w:b/>
            <w:bCs/>
          </w:rPr>
          <w:fldChar w:fldCharType="begin"/>
        </w:r>
        <w:r w:rsidR="00F10A1E" w:rsidRPr="00DE14EF">
          <w:rPr>
            <w:b/>
            <w:bCs/>
          </w:rPr>
          <w:instrText xml:space="preserve"> PAGE   \* MERGEFORMAT </w:instrText>
        </w:r>
        <w:r w:rsidR="00F10A1E" w:rsidRPr="00BE4C70">
          <w:rPr>
            <w:b/>
            <w:bCs/>
          </w:rPr>
          <w:fldChar w:fldCharType="separate"/>
        </w:r>
        <w:r w:rsidR="00F10A1E" w:rsidRPr="008D4717">
          <w:rPr>
            <w:b/>
            <w:bCs/>
          </w:rPr>
          <w:t>1</w:t>
        </w:r>
        <w:r w:rsidR="00F10A1E" w:rsidRPr="00BE4C70">
          <w:rPr>
            <w:b/>
            <w:bCs/>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B7EC6" w14:textId="77777777" w:rsidR="00284778" w:rsidRDefault="00284778" w:rsidP="00124A51">
      <w:r>
        <w:separator/>
      </w:r>
    </w:p>
    <w:p w14:paraId="28EB26AE" w14:textId="77777777" w:rsidR="00284778" w:rsidRDefault="00284778"/>
  </w:footnote>
  <w:footnote w:type="continuationSeparator" w:id="0">
    <w:p w14:paraId="5457BBAC" w14:textId="77777777" w:rsidR="00284778" w:rsidRDefault="00284778" w:rsidP="00124A51">
      <w:r>
        <w:continuationSeparator/>
      </w:r>
    </w:p>
    <w:p w14:paraId="44C78A14" w14:textId="77777777" w:rsidR="00284778" w:rsidRDefault="00284778"/>
  </w:footnote>
  <w:footnote w:id="1">
    <w:p w14:paraId="2D32ADFB" w14:textId="7669A5FA" w:rsidR="00F21B0F" w:rsidRDefault="00F21B0F">
      <w:pPr>
        <w:pStyle w:val="FootnoteText"/>
      </w:pPr>
      <w:r>
        <w:rPr>
          <w:rStyle w:val="FootnoteReference"/>
        </w:rPr>
        <w:footnoteRef/>
      </w:r>
      <w:r>
        <w:t xml:space="preserve"> Foley P; Gebauer K, Sullivan J et al. Australian consensus: Treatment goals for moderate to severe psoriasis in the era of targeted therapies – adult patients. Australas J Dermatol. 2023; 64(4): 476 – 487. </w:t>
      </w:r>
    </w:p>
  </w:footnote>
  <w:footnote w:id="2">
    <w:p w14:paraId="3D1F1966" w14:textId="784C3E51" w:rsidR="00284778" w:rsidRPr="00A0362B" w:rsidRDefault="00284778" w:rsidP="00A0362B">
      <w:pPr>
        <w:pStyle w:val="TableFigureFooter"/>
      </w:pPr>
      <w:r w:rsidRPr="00BE22DD">
        <w:rPr>
          <w:rStyle w:val="FootnoteReference"/>
        </w:rPr>
        <w:footnoteRef/>
      </w:r>
      <w:r w:rsidRPr="00A0362B">
        <w:t xml:space="preserve"> Armstrong, A. W., </w:t>
      </w:r>
      <w:r>
        <w:t>et al.</w:t>
      </w:r>
      <w:r w:rsidRPr="00A0362B">
        <w:t xml:space="preserve"> (2020). Comparison of Biologics and Oral Treatments for Plaque Psoriasis: A Meta-analysis. </w:t>
      </w:r>
      <w:r w:rsidRPr="00626398">
        <w:rPr>
          <w:i/>
          <w:iCs/>
        </w:rPr>
        <w:t>JAMA Dermatology</w:t>
      </w:r>
      <w:r w:rsidRPr="00A0362B">
        <w:t xml:space="preserve"> 156(3): 258-269</w:t>
      </w:r>
    </w:p>
  </w:footnote>
  <w:footnote w:id="3">
    <w:p w14:paraId="6D1E429B" w14:textId="09F99E55" w:rsidR="00284778" w:rsidRPr="00CD647A" w:rsidRDefault="00284778" w:rsidP="00626398">
      <w:pPr>
        <w:pStyle w:val="TableFigureFooter"/>
        <w:rPr>
          <w:rFonts w:asciiTheme="minorHAnsi" w:hAnsiTheme="minorHAnsi" w:cstheme="minorHAnsi"/>
          <w:sz w:val="20"/>
          <w:szCs w:val="20"/>
          <w:highlight w:val="yellow"/>
          <w:lang w:val="en-US"/>
        </w:rPr>
      </w:pPr>
      <w:r w:rsidRPr="00BE22DD">
        <w:rPr>
          <w:rStyle w:val="FootnoteReference"/>
        </w:rPr>
        <w:footnoteRef/>
      </w:r>
      <w:r w:rsidRPr="00A0362B">
        <w:t xml:space="preserve"> Sbidian E, et al.</w:t>
      </w:r>
      <w:r>
        <w:t xml:space="preserve"> (2022)</w:t>
      </w:r>
      <w:r w:rsidRPr="00A0362B">
        <w:t xml:space="preserve"> Systemic pharmacological treatments for chronic plaque psoriasis: a network meta-analysis. </w:t>
      </w:r>
      <w:r w:rsidRPr="00626398">
        <w:rPr>
          <w:i/>
          <w:iCs/>
        </w:rPr>
        <w:t xml:space="preserve">Cochrane Database </w:t>
      </w:r>
      <w:r>
        <w:rPr>
          <w:i/>
          <w:iCs/>
        </w:rPr>
        <w:t xml:space="preserve">of </w:t>
      </w:r>
      <w:r w:rsidRPr="00626398">
        <w:rPr>
          <w:i/>
          <w:iCs/>
        </w:rPr>
        <w:t>Systematic Reviews</w:t>
      </w:r>
      <w:r w:rsidRPr="00A0362B">
        <w:t>;</w:t>
      </w:r>
      <w:r>
        <w:t xml:space="preserve"> </w:t>
      </w:r>
      <w:r w:rsidRPr="00A0362B">
        <w:t>5:Cd011535</w:t>
      </w:r>
      <w:r w:rsidRPr="00A0362B">
        <w:rPr>
          <w:rFonts w:asciiTheme="minorHAnsi" w:hAnsiTheme="minorHAnsi" w:cstheme="minorHAnsi"/>
          <w:color w:val="000000"/>
          <w:sz w:val="20"/>
          <w:szCs w:val="20"/>
        </w:rPr>
        <w:t>.</w:t>
      </w:r>
    </w:p>
  </w:footnote>
  <w:footnote w:id="4">
    <w:p w14:paraId="70C6A269" w14:textId="293B7A5C" w:rsidR="00284778" w:rsidRDefault="00284778" w:rsidP="002A4D98">
      <w:pPr>
        <w:pStyle w:val="TableFigureFooter"/>
      </w:pPr>
      <w:r w:rsidRPr="00BE22DD">
        <w:rPr>
          <w:rStyle w:val="FootnoteReference"/>
        </w:rPr>
        <w:footnoteRef/>
      </w:r>
      <w:r w:rsidRPr="002A4D98">
        <w:t xml:space="preserve"> </w:t>
      </w:r>
      <w:r w:rsidR="00B64453" w:rsidRPr="00B64453">
        <w:t>Armstrong AW, Puig L, Joshi A, et al. Comparison of Biologics and Oral Treatments for Plaque Psoriasis: A Meta-analysis . JAMA Dermatol. 2020;156(3):258–269. doi:10.1001/jamadermatol.2019.4029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83841" w14:textId="698902C1" w:rsidR="00DD6377" w:rsidRPr="00195452" w:rsidRDefault="00347207" w:rsidP="00DD6377">
    <w:pPr>
      <w:pStyle w:val="Header"/>
      <w:rPr>
        <w:rFonts w:asciiTheme="minorHAnsi" w:hAnsiTheme="minorHAnsi"/>
        <w:i/>
        <w:color w:val="808080"/>
      </w:rPr>
    </w:pPr>
    <w:r w:rsidRPr="00347207">
      <w:rPr>
        <w:rFonts w:asciiTheme="minorHAnsi" w:hAnsiTheme="minorHAnsi"/>
        <w:i/>
        <w:color w:val="808080"/>
      </w:rPr>
      <w:t xml:space="preserve">Public Summary Document </w:t>
    </w:r>
    <w:r w:rsidR="00E77B26" w:rsidRPr="00E77B26">
      <w:rPr>
        <w:rFonts w:asciiTheme="minorHAnsi" w:hAnsiTheme="minorHAnsi"/>
        <w:i/>
        <w:color w:val="808080"/>
      </w:rPr>
      <w:t xml:space="preserve">– </w:t>
    </w:r>
    <w:r w:rsidR="00DD6377">
      <w:rPr>
        <w:rFonts w:asciiTheme="minorHAnsi" w:hAnsiTheme="minorHAnsi"/>
        <w:i/>
        <w:color w:val="808080"/>
      </w:rPr>
      <w:t xml:space="preserve">November 2023 </w:t>
    </w:r>
    <w:r w:rsidR="00DD6377" w:rsidRPr="00195452">
      <w:rPr>
        <w:rFonts w:asciiTheme="minorHAnsi" w:hAnsiTheme="minorHAnsi"/>
        <w:i/>
        <w:color w:val="808080"/>
      </w:rPr>
      <w:t>PBAC Meeting</w:t>
    </w:r>
  </w:p>
  <w:p w14:paraId="4C5D06B4" w14:textId="77777777" w:rsidR="00DD6377" w:rsidRDefault="00DD6377" w:rsidP="00BE4C70">
    <w:pPr>
      <w:tabs>
        <w:tab w:val="center" w:pos="4513"/>
        <w:tab w:val="right" w:pos="9026"/>
      </w:tabs>
      <w:contextualSpacing/>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82D21E5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F9E44538"/>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FC65AA4"/>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1886289"/>
    <w:multiLevelType w:val="multilevel"/>
    <w:tmpl w:val="0809001D"/>
    <w:styleLink w:val="CurrentList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89D2EAE"/>
    <w:multiLevelType w:val="multilevel"/>
    <w:tmpl w:val="611E4A24"/>
    <w:styleLink w:val="CurrentList4"/>
    <w:lvl w:ilvl="0">
      <w:start w:val="1"/>
      <w:numFmt w:val="none"/>
      <w:lvlText w:val=""/>
      <w:lvlJc w:val="left"/>
      <w:pPr>
        <w:ind w:left="432" w:hanging="432"/>
      </w:pPr>
      <w:rPr>
        <w:rFonts w:hint="default"/>
      </w:rPr>
    </w:lvl>
    <w:lvl w:ilvl="1">
      <w:start w:val="1"/>
      <w:numFmt w:val="decimal"/>
      <w:lvlText w:val="Section %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E.%3"/>
      <w:lvlJc w:val="left"/>
      <w:pPr>
        <w:ind w:left="720" w:hanging="720"/>
      </w:pPr>
      <w:rPr>
        <w:rFonts w:hint="default"/>
      </w:rPr>
    </w:lvl>
    <w:lvl w:ilvl="3">
      <w:start w:val="1"/>
      <w:numFmt w:val="decimal"/>
      <w:lvlText w:val="E.%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743C87"/>
    <w:multiLevelType w:val="multilevel"/>
    <w:tmpl w:val="8C8E8902"/>
    <w:styleLink w:val="CurrentList15"/>
    <w:lvl w:ilvl="0">
      <w:start w:val="1"/>
      <w:numFmt w:val="decimal"/>
      <w:lvlText w:val="Section %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6950688"/>
    <w:multiLevelType w:val="hybridMultilevel"/>
    <w:tmpl w:val="6394B6C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8F7622F"/>
    <w:multiLevelType w:val="multilevel"/>
    <w:tmpl w:val="0809001D"/>
    <w:styleLink w:val="CurrentList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3DB3717"/>
    <w:multiLevelType w:val="multilevel"/>
    <w:tmpl w:val="249031CC"/>
    <w:styleLink w:val="CurrentList5"/>
    <w:lvl w:ilvl="0">
      <w:start w:val="1"/>
      <w:numFmt w:val="none"/>
      <w:lvlText w:val=""/>
      <w:lvlJc w:val="left"/>
      <w:pPr>
        <w:ind w:left="432" w:hanging="432"/>
      </w:pPr>
      <w:rPr>
        <w:rFonts w:hint="default"/>
      </w:rPr>
    </w:lvl>
    <w:lvl w:ilvl="1">
      <w:start w:val="1"/>
      <w:numFmt w:val="decimal"/>
      <w:lvlText w:val="Section %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87B3E50"/>
    <w:multiLevelType w:val="multilevel"/>
    <w:tmpl w:val="714CEC08"/>
    <w:styleLink w:val="CurrentList6"/>
    <w:lvl w:ilvl="0">
      <w:start w:val="1"/>
      <w:numFmt w:val="decimal"/>
      <w:lvlText w:val="Section %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B0519B1"/>
    <w:multiLevelType w:val="multilevel"/>
    <w:tmpl w:val="A48054F4"/>
    <w:styleLink w:val="CurrentList19"/>
    <w:lvl w:ilvl="0">
      <w:start w:val="1"/>
      <w:numFmt w:val="none"/>
      <w:lvlText w:val=""/>
      <w:lvlJc w:val="left"/>
      <w:pPr>
        <w:ind w:left="432" w:hanging="432"/>
      </w:pPr>
      <w:rPr>
        <w:rFonts w:hint="default"/>
      </w:rPr>
    </w:lvl>
    <w:lvl w:ilvl="1">
      <w:start w:val="1"/>
      <w:numFmt w:val="decimal"/>
      <w:lvlText w:val="Section %2"/>
      <w:lvlJc w:val="left"/>
      <w:pPr>
        <w:ind w:left="576" w:hanging="576"/>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ES.%3"/>
      <w:lvlJc w:val="left"/>
      <w:pPr>
        <w:ind w:left="720" w:hanging="720"/>
      </w:pPr>
      <w:rPr>
        <w:rFonts w:hint="default"/>
      </w:rPr>
    </w:lvl>
    <w:lvl w:ilvl="3">
      <w:start w:val="1"/>
      <w:numFmt w:val="decimal"/>
      <w:lvlText w:val="E.%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BD725F"/>
    <w:multiLevelType w:val="hybridMultilevel"/>
    <w:tmpl w:val="FF5C0B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1373C6F"/>
    <w:multiLevelType w:val="hybridMultilevel"/>
    <w:tmpl w:val="55087354"/>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A6126F"/>
    <w:multiLevelType w:val="multilevel"/>
    <w:tmpl w:val="8956382C"/>
    <w:styleLink w:val="CurrentList7"/>
    <w:lvl w:ilvl="0">
      <w:start w:val="1"/>
      <w:numFmt w:val="decimal"/>
      <w:lvlText w:val="Section %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4364AEE"/>
    <w:multiLevelType w:val="multilevel"/>
    <w:tmpl w:val="0809001D"/>
    <w:styleLink w:val="CurrentList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57F10D6"/>
    <w:multiLevelType w:val="multilevel"/>
    <w:tmpl w:val="611E4A24"/>
    <w:styleLink w:val="CurrentList3"/>
    <w:lvl w:ilvl="0">
      <w:start w:val="1"/>
      <w:numFmt w:val="none"/>
      <w:lvlText w:val=""/>
      <w:lvlJc w:val="left"/>
      <w:pPr>
        <w:ind w:left="432" w:hanging="432"/>
      </w:pPr>
      <w:rPr>
        <w:rFonts w:hint="default"/>
      </w:rPr>
    </w:lvl>
    <w:lvl w:ilvl="1">
      <w:start w:val="1"/>
      <w:numFmt w:val="decimal"/>
      <w:lvlText w:val="Section %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E.%3"/>
      <w:lvlJc w:val="left"/>
      <w:pPr>
        <w:ind w:left="720" w:hanging="720"/>
      </w:pPr>
      <w:rPr>
        <w:rFonts w:hint="default"/>
      </w:rPr>
    </w:lvl>
    <w:lvl w:ilvl="3">
      <w:start w:val="1"/>
      <w:numFmt w:val="decimal"/>
      <w:lvlText w:val="E.%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3D82567A"/>
    <w:multiLevelType w:val="multilevel"/>
    <w:tmpl w:val="BC4A0B36"/>
    <w:styleLink w:val="CurrentList16"/>
    <w:lvl w:ilvl="0">
      <w:start w:val="1"/>
      <w:numFmt w:val="decimal"/>
      <w:lvlText w:val="Section %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EB143C7"/>
    <w:multiLevelType w:val="multilevel"/>
    <w:tmpl w:val="D7AEBBC0"/>
    <w:styleLink w:val="CurrentList2"/>
    <w:lvl w:ilvl="0">
      <w:start w:val="1"/>
      <w:numFmt w:val="none"/>
      <w:lvlText w:val=""/>
      <w:lvlJc w:val="left"/>
      <w:pPr>
        <w:ind w:left="432" w:hanging="432"/>
      </w:pPr>
      <w:rPr>
        <w:rFonts w:hint="default"/>
      </w:rPr>
    </w:lvl>
    <w:lvl w:ilvl="1">
      <w:start w:val="1"/>
      <w:numFmt w:val="decimal"/>
      <w:lvlText w:val="Section %2"/>
      <w:lvlJc w:val="left"/>
      <w:pPr>
        <w:ind w:left="576" w:hanging="576"/>
      </w:pPr>
      <w:rPr>
        <w:rFonts w:hint="default"/>
      </w:rPr>
    </w:lvl>
    <w:lvl w:ilvl="2">
      <w:start w:val="1"/>
      <w:numFmt w:val="decimal"/>
      <w:lvlText w:val="%1E.%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413727E5"/>
    <w:multiLevelType w:val="multilevel"/>
    <w:tmpl w:val="4E86C55E"/>
    <w:styleLink w:val="CurrentList18"/>
    <w:lvl w:ilvl="0">
      <w:start w:val="1"/>
      <w:numFmt w:val="none"/>
      <w:lvlText w:val=""/>
      <w:lvlJc w:val="left"/>
      <w:pPr>
        <w:ind w:left="432" w:hanging="432"/>
      </w:pPr>
      <w:rPr>
        <w:rFonts w:hint="default"/>
      </w:rPr>
    </w:lvl>
    <w:lvl w:ilvl="1">
      <w:start w:val="1"/>
      <w:numFmt w:val="decimal"/>
      <w:lvlText w:val="Section %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E.%3"/>
      <w:lvlJc w:val="left"/>
      <w:pPr>
        <w:ind w:left="720" w:hanging="720"/>
      </w:pPr>
      <w:rPr>
        <w:rFonts w:hint="default"/>
      </w:rPr>
    </w:lvl>
    <w:lvl w:ilvl="3">
      <w:start w:val="1"/>
      <w:numFmt w:val="decimal"/>
      <w:lvlText w:val="E.%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42376C72"/>
    <w:multiLevelType w:val="hybridMultilevel"/>
    <w:tmpl w:val="24264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3555CE2"/>
    <w:multiLevelType w:val="hybridMultilevel"/>
    <w:tmpl w:val="8E1C3AC0"/>
    <w:lvl w:ilvl="0" w:tplc="0C090001">
      <w:start w:val="1"/>
      <w:numFmt w:val="bullet"/>
      <w:lvlText w:val=""/>
      <w:lvlJc w:val="left"/>
      <w:pPr>
        <w:ind w:left="1040" w:hanging="360"/>
      </w:pPr>
      <w:rPr>
        <w:rFonts w:ascii="Symbol" w:hAnsi="Symbol" w:hint="default"/>
      </w:rPr>
    </w:lvl>
    <w:lvl w:ilvl="1" w:tplc="FFFFFFFF" w:tentative="1">
      <w:start w:val="1"/>
      <w:numFmt w:val="bullet"/>
      <w:lvlText w:val="o"/>
      <w:lvlJc w:val="left"/>
      <w:pPr>
        <w:ind w:left="1760" w:hanging="360"/>
      </w:pPr>
      <w:rPr>
        <w:rFonts w:ascii="Courier New" w:hAnsi="Courier New" w:hint="default"/>
      </w:rPr>
    </w:lvl>
    <w:lvl w:ilvl="2" w:tplc="FFFFFFFF" w:tentative="1">
      <w:start w:val="1"/>
      <w:numFmt w:val="bullet"/>
      <w:lvlText w:val=""/>
      <w:lvlJc w:val="left"/>
      <w:pPr>
        <w:ind w:left="2480" w:hanging="360"/>
      </w:pPr>
      <w:rPr>
        <w:rFonts w:ascii="Wingdings" w:hAnsi="Wingdings" w:hint="default"/>
      </w:rPr>
    </w:lvl>
    <w:lvl w:ilvl="3" w:tplc="FFFFFFFF" w:tentative="1">
      <w:start w:val="1"/>
      <w:numFmt w:val="bullet"/>
      <w:lvlText w:val=""/>
      <w:lvlJc w:val="left"/>
      <w:pPr>
        <w:ind w:left="3200" w:hanging="360"/>
      </w:pPr>
      <w:rPr>
        <w:rFonts w:ascii="Symbol" w:hAnsi="Symbol" w:hint="default"/>
      </w:rPr>
    </w:lvl>
    <w:lvl w:ilvl="4" w:tplc="FFFFFFFF" w:tentative="1">
      <w:start w:val="1"/>
      <w:numFmt w:val="bullet"/>
      <w:lvlText w:val="o"/>
      <w:lvlJc w:val="left"/>
      <w:pPr>
        <w:ind w:left="3920" w:hanging="360"/>
      </w:pPr>
      <w:rPr>
        <w:rFonts w:ascii="Courier New" w:hAnsi="Courier New" w:hint="default"/>
      </w:rPr>
    </w:lvl>
    <w:lvl w:ilvl="5" w:tplc="FFFFFFFF" w:tentative="1">
      <w:start w:val="1"/>
      <w:numFmt w:val="bullet"/>
      <w:lvlText w:val=""/>
      <w:lvlJc w:val="left"/>
      <w:pPr>
        <w:ind w:left="4640" w:hanging="360"/>
      </w:pPr>
      <w:rPr>
        <w:rFonts w:ascii="Wingdings" w:hAnsi="Wingdings" w:hint="default"/>
      </w:rPr>
    </w:lvl>
    <w:lvl w:ilvl="6" w:tplc="FFFFFFFF" w:tentative="1">
      <w:start w:val="1"/>
      <w:numFmt w:val="bullet"/>
      <w:lvlText w:val=""/>
      <w:lvlJc w:val="left"/>
      <w:pPr>
        <w:ind w:left="5360" w:hanging="360"/>
      </w:pPr>
      <w:rPr>
        <w:rFonts w:ascii="Symbol" w:hAnsi="Symbol" w:hint="default"/>
      </w:rPr>
    </w:lvl>
    <w:lvl w:ilvl="7" w:tplc="FFFFFFFF" w:tentative="1">
      <w:start w:val="1"/>
      <w:numFmt w:val="bullet"/>
      <w:lvlText w:val="o"/>
      <w:lvlJc w:val="left"/>
      <w:pPr>
        <w:ind w:left="6080" w:hanging="360"/>
      </w:pPr>
      <w:rPr>
        <w:rFonts w:ascii="Courier New" w:hAnsi="Courier New" w:hint="default"/>
      </w:rPr>
    </w:lvl>
    <w:lvl w:ilvl="8" w:tplc="FFFFFFFF" w:tentative="1">
      <w:start w:val="1"/>
      <w:numFmt w:val="bullet"/>
      <w:lvlText w:val=""/>
      <w:lvlJc w:val="left"/>
      <w:pPr>
        <w:ind w:left="6800" w:hanging="360"/>
      </w:pPr>
      <w:rPr>
        <w:rFonts w:ascii="Wingdings" w:hAnsi="Wingdings" w:hint="default"/>
      </w:rPr>
    </w:lvl>
  </w:abstractNum>
  <w:abstractNum w:abstractNumId="27"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8D67A6"/>
    <w:multiLevelType w:val="hybridMultilevel"/>
    <w:tmpl w:val="AE1E6BD8"/>
    <w:lvl w:ilvl="0" w:tplc="195E7E72">
      <w:start w:val="2"/>
      <w:numFmt w:val="bullet"/>
      <w:pStyle w:val="ListParagraph"/>
      <w:lvlText w:val="-"/>
      <w:lvlJc w:val="left"/>
      <w:pPr>
        <w:ind w:left="1040" w:hanging="360"/>
      </w:pPr>
      <w:rPr>
        <w:rFonts w:ascii="Calibri" w:eastAsia="Times New Roman" w:hAnsi="Calibri" w:cs="Calibri" w:hint="default"/>
      </w:rPr>
    </w:lvl>
    <w:lvl w:ilvl="1" w:tplc="04090003" w:tentative="1">
      <w:start w:val="1"/>
      <w:numFmt w:val="bullet"/>
      <w:lvlText w:val="o"/>
      <w:lvlJc w:val="left"/>
      <w:pPr>
        <w:ind w:left="1760" w:hanging="360"/>
      </w:pPr>
      <w:rPr>
        <w:rFonts w:ascii="Courier New" w:hAnsi="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29" w15:restartNumberingAfterBreak="0">
    <w:nsid w:val="4BD26E2D"/>
    <w:multiLevelType w:val="multilevel"/>
    <w:tmpl w:val="824AE24E"/>
    <w:styleLink w:val="CurrentList1"/>
    <w:lvl w:ilvl="0">
      <w:start w:val="1"/>
      <w:numFmt w:val="none"/>
      <w:lvlText w:val=""/>
      <w:lvlJc w:val="left"/>
      <w:pPr>
        <w:ind w:left="432" w:hanging="432"/>
      </w:pPr>
      <w:rPr>
        <w:rFonts w:hint="default"/>
      </w:rPr>
    </w:lvl>
    <w:lvl w:ilvl="1">
      <w:start w:val="1"/>
      <w:numFmt w:val="decimal"/>
      <w:lvlText w:val="Section %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4F552935"/>
    <w:multiLevelType w:val="hybridMultilevel"/>
    <w:tmpl w:val="4106D9D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547A026B"/>
    <w:multiLevelType w:val="multilevel"/>
    <w:tmpl w:val="3732F718"/>
    <w:styleLink w:val="CurrentList9"/>
    <w:lvl w:ilvl="0">
      <w:start w:val="1"/>
      <w:numFmt w:val="none"/>
      <w:lvlText w:val=""/>
      <w:lvlJc w:val="left"/>
      <w:pPr>
        <w:ind w:left="432" w:hanging="432"/>
      </w:pPr>
      <w:rPr>
        <w:rFonts w:hint="default"/>
      </w:rPr>
    </w:lvl>
    <w:lvl w:ilvl="1">
      <w:start w:val="1"/>
      <w:numFmt w:val="decimal"/>
      <w:lvlText w:val="Section %2"/>
      <w:lvlJc w:val="left"/>
      <w:pPr>
        <w:ind w:left="576" w:hanging="576"/>
      </w:pPr>
      <w:rPr>
        <w:rFonts w:hint="default"/>
      </w:rPr>
    </w:lvl>
    <w:lvl w:ilvl="2">
      <w:start w:val="1"/>
      <w:numFmt w:val="decimal"/>
      <w:lvlText w:val="%1E.%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33"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54E6A5B"/>
    <w:multiLevelType w:val="multilevel"/>
    <w:tmpl w:val="8A6E0AF8"/>
    <w:styleLink w:val="CurrentList17"/>
    <w:lvl w:ilvl="0">
      <w:start w:val="1"/>
      <w:numFmt w:val="decimal"/>
      <w:lvlText w:val="Section %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728" w:hanging="172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58055C9"/>
    <w:multiLevelType w:val="multilevel"/>
    <w:tmpl w:val="8304A480"/>
    <w:styleLink w:val="CurrentList8"/>
    <w:lvl w:ilvl="0">
      <w:start w:val="1"/>
      <w:numFmt w:val="decimal"/>
      <w:lvlText w:val="Section %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6C05DF8"/>
    <w:multiLevelType w:val="multilevel"/>
    <w:tmpl w:val="3C74A664"/>
    <w:lvl w:ilvl="0">
      <w:start w:val="1"/>
      <w:numFmt w:val="none"/>
      <w:lvlText w:val=""/>
      <w:lvlJc w:val="left"/>
      <w:pPr>
        <w:ind w:left="432" w:hanging="432"/>
      </w:pPr>
      <w:rPr>
        <w:rFonts w:hint="default"/>
      </w:rPr>
    </w:lvl>
    <w:lvl w:ilvl="1">
      <w:start w:val="1"/>
      <w:numFmt w:val="decimal"/>
      <w:lvlText w:val="Section %2"/>
      <w:lvlJc w:val="left"/>
      <w:pPr>
        <w:ind w:left="576" w:hanging="576"/>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ESHeading3"/>
      <w:lvlText w:val="%1ES.%3"/>
      <w:lvlJc w:val="left"/>
      <w:pPr>
        <w:ind w:left="720" w:hanging="720"/>
      </w:pPr>
      <w:rPr>
        <w:rFonts w:hint="default"/>
      </w:rPr>
    </w:lvl>
    <w:lvl w:ilvl="3">
      <w:start w:val="1"/>
      <w:numFmt w:val="decimal"/>
      <w:pStyle w:val="ESHeading4"/>
      <w:lvlText w:val="ES.%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5E180C1C"/>
    <w:multiLevelType w:val="hybridMultilevel"/>
    <w:tmpl w:val="726028CA"/>
    <w:lvl w:ilvl="0" w:tplc="0C090001">
      <w:start w:val="1"/>
      <w:numFmt w:val="bullet"/>
      <w:lvlText w:val=""/>
      <w:lvlJc w:val="left"/>
      <w:pPr>
        <w:ind w:left="1290" w:hanging="360"/>
      </w:pPr>
      <w:rPr>
        <w:rFonts w:ascii="Symbol" w:hAnsi="Symbol" w:hint="default"/>
      </w:rPr>
    </w:lvl>
    <w:lvl w:ilvl="1" w:tplc="0C090003" w:tentative="1">
      <w:start w:val="1"/>
      <w:numFmt w:val="bullet"/>
      <w:lvlText w:val="o"/>
      <w:lvlJc w:val="left"/>
      <w:pPr>
        <w:ind w:left="2010" w:hanging="360"/>
      </w:pPr>
      <w:rPr>
        <w:rFonts w:ascii="Courier New" w:hAnsi="Courier New" w:cs="Courier New" w:hint="default"/>
      </w:rPr>
    </w:lvl>
    <w:lvl w:ilvl="2" w:tplc="0C090005" w:tentative="1">
      <w:start w:val="1"/>
      <w:numFmt w:val="bullet"/>
      <w:lvlText w:val=""/>
      <w:lvlJc w:val="left"/>
      <w:pPr>
        <w:ind w:left="2730" w:hanging="360"/>
      </w:pPr>
      <w:rPr>
        <w:rFonts w:ascii="Wingdings" w:hAnsi="Wingdings" w:hint="default"/>
      </w:rPr>
    </w:lvl>
    <w:lvl w:ilvl="3" w:tplc="0C090001" w:tentative="1">
      <w:start w:val="1"/>
      <w:numFmt w:val="bullet"/>
      <w:lvlText w:val=""/>
      <w:lvlJc w:val="left"/>
      <w:pPr>
        <w:ind w:left="3450" w:hanging="360"/>
      </w:pPr>
      <w:rPr>
        <w:rFonts w:ascii="Symbol" w:hAnsi="Symbol" w:hint="default"/>
      </w:rPr>
    </w:lvl>
    <w:lvl w:ilvl="4" w:tplc="0C090003" w:tentative="1">
      <w:start w:val="1"/>
      <w:numFmt w:val="bullet"/>
      <w:lvlText w:val="o"/>
      <w:lvlJc w:val="left"/>
      <w:pPr>
        <w:ind w:left="4170" w:hanging="360"/>
      </w:pPr>
      <w:rPr>
        <w:rFonts w:ascii="Courier New" w:hAnsi="Courier New" w:cs="Courier New" w:hint="default"/>
      </w:rPr>
    </w:lvl>
    <w:lvl w:ilvl="5" w:tplc="0C090005" w:tentative="1">
      <w:start w:val="1"/>
      <w:numFmt w:val="bullet"/>
      <w:lvlText w:val=""/>
      <w:lvlJc w:val="left"/>
      <w:pPr>
        <w:ind w:left="4890" w:hanging="360"/>
      </w:pPr>
      <w:rPr>
        <w:rFonts w:ascii="Wingdings" w:hAnsi="Wingdings" w:hint="default"/>
      </w:rPr>
    </w:lvl>
    <w:lvl w:ilvl="6" w:tplc="0C090001" w:tentative="1">
      <w:start w:val="1"/>
      <w:numFmt w:val="bullet"/>
      <w:lvlText w:val=""/>
      <w:lvlJc w:val="left"/>
      <w:pPr>
        <w:ind w:left="5610" w:hanging="360"/>
      </w:pPr>
      <w:rPr>
        <w:rFonts w:ascii="Symbol" w:hAnsi="Symbol" w:hint="default"/>
      </w:rPr>
    </w:lvl>
    <w:lvl w:ilvl="7" w:tplc="0C090003" w:tentative="1">
      <w:start w:val="1"/>
      <w:numFmt w:val="bullet"/>
      <w:lvlText w:val="o"/>
      <w:lvlJc w:val="left"/>
      <w:pPr>
        <w:ind w:left="6330" w:hanging="360"/>
      </w:pPr>
      <w:rPr>
        <w:rFonts w:ascii="Courier New" w:hAnsi="Courier New" w:cs="Courier New" w:hint="default"/>
      </w:rPr>
    </w:lvl>
    <w:lvl w:ilvl="8" w:tplc="0C090005" w:tentative="1">
      <w:start w:val="1"/>
      <w:numFmt w:val="bullet"/>
      <w:lvlText w:val=""/>
      <w:lvlJc w:val="left"/>
      <w:pPr>
        <w:ind w:left="7050" w:hanging="360"/>
      </w:pPr>
      <w:rPr>
        <w:rFonts w:ascii="Wingdings" w:hAnsi="Wingdings" w:hint="default"/>
      </w:rPr>
    </w:lvl>
  </w:abstractNum>
  <w:abstractNum w:abstractNumId="38"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9" w15:restartNumberingAfterBreak="0">
    <w:nsid w:val="616F2150"/>
    <w:multiLevelType w:val="hybridMultilevel"/>
    <w:tmpl w:val="508466AC"/>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40"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1" w15:restartNumberingAfterBreak="0">
    <w:nsid w:val="6814129C"/>
    <w:multiLevelType w:val="multilevel"/>
    <w:tmpl w:val="0809001D"/>
    <w:styleLink w:val="CurrentList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AF22442"/>
    <w:multiLevelType w:val="hybridMultilevel"/>
    <w:tmpl w:val="9BA0DDB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3"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F5A2F4F"/>
    <w:multiLevelType w:val="multilevel"/>
    <w:tmpl w:val="0809001D"/>
    <w:styleLink w:val="CurrentList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471938997">
    <w:abstractNumId w:val="45"/>
  </w:num>
  <w:num w:numId="2" w16cid:durableId="2138139811">
    <w:abstractNumId w:val="27"/>
  </w:num>
  <w:num w:numId="3" w16cid:durableId="1055809357">
    <w:abstractNumId w:val="28"/>
  </w:num>
  <w:num w:numId="4" w16cid:durableId="2100828300">
    <w:abstractNumId w:val="3"/>
  </w:num>
  <w:num w:numId="5" w16cid:durableId="630788141">
    <w:abstractNumId w:val="45"/>
  </w:num>
  <w:num w:numId="6" w16cid:durableId="136846160">
    <w:abstractNumId w:val="25"/>
  </w:num>
  <w:num w:numId="7" w16cid:durableId="95563957">
    <w:abstractNumId w:val="40"/>
  </w:num>
  <w:num w:numId="8" w16cid:durableId="1314598358">
    <w:abstractNumId w:val="17"/>
  </w:num>
  <w:num w:numId="9" w16cid:durableId="913322793">
    <w:abstractNumId w:val="9"/>
  </w:num>
  <w:num w:numId="10" w16cid:durableId="2116168202">
    <w:abstractNumId w:val="8"/>
  </w:num>
  <w:num w:numId="11" w16cid:durableId="634289598">
    <w:abstractNumId w:val="0"/>
  </w:num>
  <w:num w:numId="12" w16cid:durableId="274989489">
    <w:abstractNumId w:val="1"/>
  </w:num>
  <w:num w:numId="13" w16cid:durableId="2139494593">
    <w:abstractNumId w:val="2"/>
  </w:num>
  <w:num w:numId="14" w16cid:durableId="1547139719">
    <w:abstractNumId w:val="29"/>
  </w:num>
  <w:num w:numId="15" w16cid:durableId="1301770068">
    <w:abstractNumId w:val="23"/>
  </w:num>
  <w:num w:numId="16" w16cid:durableId="1476727281">
    <w:abstractNumId w:val="36"/>
  </w:num>
  <w:num w:numId="17" w16cid:durableId="2074112235">
    <w:abstractNumId w:val="21"/>
  </w:num>
  <w:num w:numId="18" w16cid:durableId="661396862">
    <w:abstractNumId w:val="6"/>
  </w:num>
  <w:num w:numId="19" w16cid:durableId="730882885">
    <w:abstractNumId w:val="12"/>
  </w:num>
  <w:num w:numId="20" w16cid:durableId="578566232">
    <w:abstractNumId w:val="14"/>
  </w:num>
  <w:num w:numId="21" w16cid:durableId="759061646">
    <w:abstractNumId w:val="19"/>
  </w:num>
  <w:num w:numId="22" w16cid:durableId="203980402">
    <w:abstractNumId w:val="35"/>
  </w:num>
  <w:num w:numId="23" w16cid:durableId="316689771">
    <w:abstractNumId w:val="31"/>
  </w:num>
  <w:num w:numId="24" w16cid:durableId="294872247">
    <w:abstractNumId w:val="5"/>
  </w:num>
  <w:num w:numId="25" w16cid:durableId="514346871">
    <w:abstractNumId w:val="41"/>
  </w:num>
  <w:num w:numId="26" w16cid:durableId="195510443">
    <w:abstractNumId w:val="20"/>
  </w:num>
  <w:num w:numId="27" w16cid:durableId="394669732">
    <w:abstractNumId w:val="10"/>
  </w:num>
  <w:num w:numId="28" w16cid:durableId="228805613">
    <w:abstractNumId w:val="44"/>
  </w:num>
  <w:num w:numId="29" w16cid:durableId="1163155547">
    <w:abstractNumId w:val="22"/>
  </w:num>
  <w:num w:numId="30" w16cid:durableId="1426145041">
    <w:abstractNumId w:val="34"/>
  </w:num>
  <w:num w:numId="31" w16cid:durableId="1133712937">
    <w:abstractNumId w:val="24"/>
  </w:num>
  <w:num w:numId="32" w16cid:durableId="988483408">
    <w:abstractNumId w:val="15"/>
  </w:num>
  <w:num w:numId="33" w16cid:durableId="591353700">
    <w:abstractNumId w:val="30"/>
  </w:num>
  <w:num w:numId="34" w16cid:durableId="2004429126">
    <w:abstractNumId w:val="39"/>
  </w:num>
  <w:num w:numId="35" w16cid:durableId="905064785">
    <w:abstractNumId w:val="18"/>
  </w:num>
  <w:num w:numId="36" w16cid:durableId="93017505">
    <w:abstractNumId w:val="42"/>
  </w:num>
  <w:num w:numId="37" w16cid:durableId="1402828246">
    <w:abstractNumId w:val="37"/>
  </w:num>
  <w:num w:numId="38" w16cid:durableId="188757970">
    <w:abstractNumId w:val="45"/>
  </w:num>
  <w:num w:numId="39" w16cid:durableId="1950165861">
    <w:abstractNumId w:val="45"/>
  </w:num>
  <w:num w:numId="40" w16cid:durableId="2033333993">
    <w:abstractNumId w:val="45"/>
  </w:num>
  <w:num w:numId="41" w16cid:durableId="1266184150">
    <w:abstractNumId w:val="32"/>
  </w:num>
  <w:num w:numId="42" w16cid:durableId="1179614503">
    <w:abstractNumId w:val="33"/>
  </w:num>
  <w:num w:numId="43" w16cid:durableId="604921286">
    <w:abstractNumId w:val="7"/>
  </w:num>
  <w:num w:numId="44" w16cid:durableId="886187037">
    <w:abstractNumId w:val="4"/>
  </w:num>
  <w:num w:numId="45" w16cid:durableId="681709808">
    <w:abstractNumId w:val="13"/>
  </w:num>
  <w:num w:numId="46" w16cid:durableId="22751287">
    <w:abstractNumId w:val="16"/>
  </w:num>
  <w:num w:numId="47" w16cid:durableId="1865703351">
    <w:abstractNumId w:val="11"/>
  </w:num>
  <w:num w:numId="48" w16cid:durableId="1297443176">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51756890">
    <w:abstractNumId w:val="43"/>
  </w:num>
  <w:num w:numId="50" w16cid:durableId="713776835">
    <w:abstractNumId w:val="45"/>
  </w:num>
  <w:num w:numId="51" w16cid:durableId="196700168">
    <w:abstractNumId w:val="45"/>
  </w:num>
  <w:num w:numId="52" w16cid:durableId="1905992786">
    <w:abstractNumId w:val="45"/>
  </w:num>
  <w:num w:numId="53" w16cid:durableId="774984917">
    <w:abstractNumId w:val="45"/>
  </w:num>
  <w:num w:numId="54" w16cid:durableId="179515219">
    <w:abstractNumId w:val="26"/>
  </w:num>
  <w:num w:numId="55" w16cid:durableId="1205287627">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removePersonalInformation/>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GB"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70"/>
  <w:characterSpacingControl w:val="doNotCompress"/>
  <w:hdrShapeDefaults>
    <o:shapedefaults v:ext="edit" spidmax="2539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EwNDIwMTYyNrE0NzZV0lEKTi0uzszPAykwrAUAKkldYywAAAA="/>
    <w:docVar w:name="EN.InstantFormat" w:val="&lt;ENInstantFormat&gt;&lt;Enabled&gt;1&lt;/Enabled&gt;&lt;ScanUnformatted&gt;1&lt;/ScanUnformatted&gt;&lt;ScanChanges&gt;1&lt;/ScanChanges&gt;&lt;Suspended&gt;1&lt;/Suspended&gt;&lt;/ENInstantFormat&gt;"/>
    <w:docVar w:name="EN.Layout" w:val="&lt;ENLayout&gt;&lt;Style&gt;Social Science and Medicine&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E65E79"/>
    <w:rsid w:val="00000790"/>
    <w:rsid w:val="00000982"/>
    <w:rsid w:val="0000110B"/>
    <w:rsid w:val="00001427"/>
    <w:rsid w:val="00001721"/>
    <w:rsid w:val="0000213C"/>
    <w:rsid w:val="000033DC"/>
    <w:rsid w:val="00003499"/>
    <w:rsid w:val="000039B7"/>
    <w:rsid w:val="000056B9"/>
    <w:rsid w:val="0000639A"/>
    <w:rsid w:val="00006D4D"/>
    <w:rsid w:val="000079BD"/>
    <w:rsid w:val="00010D2A"/>
    <w:rsid w:val="00012D2C"/>
    <w:rsid w:val="00013247"/>
    <w:rsid w:val="00013600"/>
    <w:rsid w:val="000137D9"/>
    <w:rsid w:val="00015886"/>
    <w:rsid w:val="000160EB"/>
    <w:rsid w:val="000162EF"/>
    <w:rsid w:val="00016635"/>
    <w:rsid w:val="000206F0"/>
    <w:rsid w:val="000207C9"/>
    <w:rsid w:val="0002225F"/>
    <w:rsid w:val="00023763"/>
    <w:rsid w:val="0002449F"/>
    <w:rsid w:val="00024EB5"/>
    <w:rsid w:val="00025030"/>
    <w:rsid w:val="000274B8"/>
    <w:rsid w:val="00032A81"/>
    <w:rsid w:val="00033863"/>
    <w:rsid w:val="0003575A"/>
    <w:rsid w:val="00035DC0"/>
    <w:rsid w:val="00036829"/>
    <w:rsid w:val="00036DFF"/>
    <w:rsid w:val="00037DF6"/>
    <w:rsid w:val="00040895"/>
    <w:rsid w:val="000410A0"/>
    <w:rsid w:val="000435EE"/>
    <w:rsid w:val="00043B18"/>
    <w:rsid w:val="00043C37"/>
    <w:rsid w:val="00044173"/>
    <w:rsid w:val="00045017"/>
    <w:rsid w:val="00045A2B"/>
    <w:rsid w:val="0004698F"/>
    <w:rsid w:val="00046D64"/>
    <w:rsid w:val="000508C2"/>
    <w:rsid w:val="00052E07"/>
    <w:rsid w:val="000539D0"/>
    <w:rsid w:val="00054621"/>
    <w:rsid w:val="000546D7"/>
    <w:rsid w:val="00054A5A"/>
    <w:rsid w:val="00054A8D"/>
    <w:rsid w:val="00055478"/>
    <w:rsid w:val="000557C9"/>
    <w:rsid w:val="00056000"/>
    <w:rsid w:val="00056443"/>
    <w:rsid w:val="0005652C"/>
    <w:rsid w:val="00056ECF"/>
    <w:rsid w:val="000604DF"/>
    <w:rsid w:val="000638A0"/>
    <w:rsid w:val="00063D81"/>
    <w:rsid w:val="0006484A"/>
    <w:rsid w:val="000653B5"/>
    <w:rsid w:val="000656CD"/>
    <w:rsid w:val="00065D6D"/>
    <w:rsid w:val="00066360"/>
    <w:rsid w:val="00066AF8"/>
    <w:rsid w:val="00071248"/>
    <w:rsid w:val="000720B9"/>
    <w:rsid w:val="00072872"/>
    <w:rsid w:val="000734F3"/>
    <w:rsid w:val="000737F7"/>
    <w:rsid w:val="000741B3"/>
    <w:rsid w:val="000748C3"/>
    <w:rsid w:val="0007532C"/>
    <w:rsid w:val="0007672F"/>
    <w:rsid w:val="00076B54"/>
    <w:rsid w:val="000774F0"/>
    <w:rsid w:val="00080909"/>
    <w:rsid w:val="000812CA"/>
    <w:rsid w:val="00081A09"/>
    <w:rsid w:val="00081E63"/>
    <w:rsid w:val="0008258D"/>
    <w:rsid w:val="0008353F"/>
    <w:rsid w:val="00083E99"/>
    <w:rsid w:val="00084FA8"/>
    <w:rsid w:val="000856C5"/>
    <w:rsid w:val="00085C31"/>
    <w:rsid w:val="00085C65"/>
    <w:rsid w:val="00085DD1"/>
    <w:rsid w:val="00087B2B"/>
    <w:rsid w:val="000902D9"/>
    <w:rsid w:val="00090371"/>
    <w:rsid w:val="00090C7E"/>
    <w:rsid w:val="000911AC"/>
    <w:rsid w:val="00092600"/>
    <w:rsid w:val="0009262B"/>
    <w:rsid w:val="0009328C"/>
    <w:rsid w:val="00093310"/>
    <w:rsid w:val="00093E39"/>
    <w:rsid w:val="0009445C"/>
    <w:rsid w:val="00095200"/>
    <w:rsid w:val="00095FE5"/>
    <w:rsid w:val="00096284"/>
    <w:rsid w:val="000A03EA"/>
    <w:rsid w:val="000A1BC0"/>
    <w:rsid w:val="000A2F9E"/>
    <w:rsid w:val="000A3E47"/>
    <w:rsid w:val="000A3EAC"/>
    <w:rsid w:val="000A4A48"/>
    <w:rsid w:val="000A522B"/>
    <w:rsid w:val="000A6039"/>
    <w:rsid w:val="000A7453"/>
    <w:rsid w:val="000A7D08"/>
    <w:rsid w:val="000B0121"/>
    <w:rsid w:val="000B0670"/>
    <w:rsid w:val="000B0E75"/>
    <w:rsid w:val="000B2DCB"/>
    <w:rsid w:val="000B30BF"/>
    <w:rsid w:val="000B5CE0"/>
    <w:rsid w:val="000B6CAC"/>
    <w:rsid w:val="000B6FF3"/>
    <w:rsid w:val="000B7429"/>
    <w:rsid w:val="000B7612"/>
    <w:rsid w:val="000B78AE"/>
    <w:rsid w:val="000C0F98"/>
    <w:rsid w:val="000C3DF9"/>
    <w:rsid w:val="000C492F"/>
    <w:rsid w:val="000C4CF2"/>
    <w:rsid w:val="000C6713"/>
    <w:rsid w:val="000C7909"/>
    <w:rsid w:val="000D082A"/>
    <w:rsid w:val="000D1A5C"/>
    <w:rsid w:val="000D1BFC"/>
    <w:rsid w:val="000D1D5D"/>
    <w:rsid w:val="000D281A"/>
    <w:rsid w:val="000D2848"/>
    <w:rsid w:val="000D326A"/>
    <w:rsid w:val="000D51FB"/>
    <w:rsid w:val="000E0640"/>
    <w:rsid w:val="000E135D"/>
    <w:rsid w:val="000E24D9"/>
    <w:rsid w:val="000E564D"/>
    <w:rsid w:val="000E73B7"/>
    <w:rsid w:val="000F00BA"/>
    <w:rsid w:val="000F2F54"/>
    <w:rsid w:val="000F316A"/>
    <w:rsid w:val="000F3C74"/>
    <w:rsid w:val="000F3E60"/>
    <w:rsid w:val="000F4262"/>
    <w:rsid w:val="000F4BB8"/>
    <w:rsid w:val="000F4FA9"/>
    <w:rsid w:val="000F53FB"/>
    <w:rsid w:val="000F6558"/>
    <w:rsid w:val="000F6F8D"/>
    <w:rsid w:val="000F7127"/>
    <w:rsid w:val="000F7B54"/>
    <w:rsid w:val="001000B3"/>
    <w:rsid w:val="00100F8A"/>
    <w:rsid w:val="00102715"/>
    <w:rsid w:val="0010452E"/>
    <w:rsid w:val="00105AE2"/>
    <w:rsid w:val="001060C6"/>
    <w:rsid w:val="00106B80"/>
    <w:rsid w:val="00110120"/>
    <w:rsid w:val="0011032E"/>
    <w:rsid w:val="0011348B"/>
    <w:rsid w:val="00115982"/>
    <w:rsid w:val="001162A4"/>
    <w:rsid w:val="00116C53"/>
    <w:rsid w:val="00116D79"/>
    <w:rsid w:val="001178F9"/>
    <w:rsid w:val="00120A19"/>
    <w:rsid w:val="001213D5"/>
    <w:rsid w:val="00121799"/>
    <w:rsid w:val="00121ABF"/>
    <w:rsid w:val="001222FC"/>
    <w:rsid w:val="001227D0"/>
    <w:rsid w:val="00123902"/>
    <w:rsid w:val="00124A51"/>
    <w:rsid w:val="00125D40"/>
    <w:rsid w:val="00126621"/>
    <w:rsid w:val="00126B1D"/>
    <w:rsid w:val="00127C0E"/>
    <w:rsid w:val="00127E53"/>
    <w:rsid w:val="001301E9"/>
    <w:rsid w:val="00130FCE"/>
    <w:rsid w:val="00131D82"/>
    <w:rsid w:val="00132B22"/>
    <w:rsid w:val="00132F9D"/>
    <w:rsid w:val="00133D36"/>
    <w:rsid w:val="00133E03"/>
    <w:rsid w:val="00135418"/>
    <w:rsid w:val="00137645"/>
    <w:rsid w:val="0014015A"/>
    <w:rsid w:val="00140E99"/>
    <w:rsid w:val="00141176"/>
    <w:rsid w:val="00141F5F"/>
    <w:rsid w:val="00143192"/>
    <w:rsid w:val="00143F67"/>
    <w:rsid w:val="00144F20"/>
    <w:rsid w:val="00145234"/>
    <w:rsid w:val="0014549B"/>
    <w:rsid w:val="00145540"/>
    <w:rsid w:val="001456B0"/>
    <w:rsid w:val="00146C11"/>
    <w:rsid w:val="001547AB"/>
    <w:rsid w:val="001562B0"/>
    <w:rsid w:val="00156B9D"/>
    <w:rsid w:val="00156F8F"/>
    <w:rsid w:val="00157130"/>
    <w:rsid w:val="001576B1"/>
    <w:rsid w:val="0016047B"/>
    <w:rsid w:val="00160A4C"/>
    <w:rsid w:val="001610E3"/>
    <w:rsid w:val="00161225"/>
    <w:rsid w:val="0016133E"/>
    <w:rsid w:val="0016219D"/>
    <w:rsid w:val="00162913"/>
    <w:rsid w:val="00163242"/>
    <w:rsid w:val="00163EFF"/>
    <w:rsid w:val="00163F66"/>
    <w:rsid w:val="0016478E"/>
    <w:rsid w:val="00165EC4"/>
    <w:rsid w:val="001661FB"/>
    <w:rsid w:val="001671A0"/>
    <w:rsid w:val="0016767F"/>
    <w:rsid w:val="001710A2"/>
    <w:rsid w:val="00173565"/>
    <w:rsid w:val="00173B07"/>
    <w:rsid w:val="0017406B"/>
    <w:rsid w:val="001751FA"/>
    <w:rsid w:val="00176382"/>
    <w:rsid w:val="00176C21"/>
    <w:rsid w:val="0017703C"/>
    <w:rsid w:val="00181C10"/>
    <w:rsid w:val="00181D9C"/>
    <w:rsid w:val="001823A7"/>
    <w:rsid w:val="001837FF"/>
    <w:rsid w:val="00184A75"/>
    <w:rsid w:val="00184B0E"/>
    <w:rsid w:val="001852E7"/>
    <w:rsid w:val="0018752F"/>
    <w:rsid w:val="00192020"/>
    <w:rsid w:val="00192B52"/>
    <w:rsid w:val="00193838"/>
    <w:rsid w:val="00194972"/>
    <w:rsid w:val="00194AD8"/>
    <w:rsid w:val="00195222"/>
    <w:rsid w:val="00195452"/>
    <w:rsid w:val="001975D8"/>
    <w:rsid w:val="001A178E"/>
    <w:rsid w:val="001A35CA"/>
    <w:rsid w:val="001A43FA"/>
    <w:rsid w:val="001A47C5"/>
    <w:rsid w:val="001A59FB"/>
    <w:rsid w:val="001A5E9E"/>
    <w:rsid w:val="001A6354"/>
    <w:rsid w:val="001A6366"/>
    <w:rsid w:val="001A7AE8"/>
    <w:rsid w:val="001B004D"/>
    <w:rsid w:val="001B1C05"/>
    <w:rsid w:val="001B204E"/>
    <w:rsid w:val="001B2372"/>
    <w:rsid w:val="001B3443"/>
    <w:rsid w:val="001B4006"/>
    <w:rsid w:val="001B4AFE"/>
    <w:rsid w:val="001B4D20"/>
    <w:rsid w:val="001B7345"/>
    <w:rsid w:val="001B7BF7"/>
    <w:rsid w:val="001B7F84"/>
    <w:rsid w:val="001C0CB9"/>
    <w:rsid w:val="001C2A9B"/>
    <w:rsid w:val="001C3DD6"/>
    <w:rsid w:val="001C4299"/>
    <w:rsid w:val="001C4874"/>
    <w:rsid w:val="001C5593"/>
    <w:rsid w:val="001C5F94"/>
    <w:rsid w:val="001C6E66"/>
    <w:rsid w:val="001C7351"/>
    <w:rsid w:val="001D0AA4"/>
    <w:rsid w:val="001D1100"/>
    <w:rsid w:val="001D1391"/>
    <w:rsid w:val="001D25D7"/>
    <w:rsid w:val="001D2713"/>
    <w:rsid w:val="001D310F"/>
    <w:rsid w:val="001D3D88"/>
    <w:rsid w:val="001D50B2"/>
    <w:rsid w:val="001D5D19"/>
    <w:rsid w:val="001D6AFB"/>
    <w:rsid w:val="001D71F4"/>
    <w:rsid w:val="001D7645"/>
    <w:rsid w:val="001E065A"/>
    <w:rsid w:val="001E1E86"/>
    <w:rsid w:val="001E238E"/>
    <w:rsid w:val="001E2479"/>
    <w:rsid w:val="001E2483"/>
    <w:rsid w:val="001E2B1E"/>
    <w:rsid w:val="001E2CFF"/>
    <w:rsid w:val="001E2F24"/>
    <w:rsid w:val="001E30D4"/>
    <w:rsid w:val="001E34DF"/>
    <w:rsid w:val="001E4822"/>
    <w:rsid w:val="001E48BC"/>
    <w:rsid w:val="001E52EB"/>
    <w:rsid w:val="001E5DC9"/>
    <w:rsid w:val="001E61D2"/>
    <w:rsid w:val="001E65A6"/>
    <w:rsid w:val="001E740C"/>
    <w:rsid w:val="001F1235"/>
    <w:rsid w:val="001F1CB3"/>
    <w:rsid w:val="001F259E"/>
    <w:rsid w:val="001F38B5"/>
    <w:rsid w:val="001F4081"/>
    <w:rsid w:val="001F5C9F"/>
    <w:rsid w:val="001F701C"/>
    <w:rsid w:val="001F7361"/>
    <w:rsid w:val="00200891"/>
    <w:rsid w:val="002011B0"/>
    <w:rsid w:val="002029D5"/>
    <w:rsid w:val="00203181"/>
    <w:rsid w:val="002033A6"/>
    <w:rsid w:val="00203783"/>
    <w:rsid w:val="0020385F"/>
    <w:rsid w:val="00204F64"/>
    <w:rsid w:val="002068A0"/>
    <w:rsid w:val="002068F2"/>
    <w:rsid w:val="00207021"/>
    <w:rsid w:val="0020732F"/>
    <w:rsid w:val="00207D00"/>
    <w:rsid w:val="002105C1"/>
    <w:rsid w:val="0021110F"/>
    <w:rsid w:val="002116FD"/>
    <w:rsid w:val="00212F81"/>
    <w:rsid w:val="002132E5"/>
    <w:rsid w:val="0021370B"/>
    <w:rsid w:val="00213EF5"/>
    <w:rsid w:val="00214BFB"/>
    <w:rsid w:val="00214C51"/>
    <w:rsid w:val="00216BF5"/>
    <w:rsid w:val="00220706"/>
    <w:rsid w:val="00220A1F"/>
    <w:rsid w:val="00223B49"/>
    <w:rsid w:val="00223D5A"/>
    <w:rsid w:val="00224AC7"/>
    <w:rsid w:val="00224DD4"/>
    <w:rsid w:val="00226D2A"/>
    <w:rsid w:val="002278A0"/>
    <w:rsid w:val="002309CC"/>
    <w:rsid w:val="00230B38"/>
    <w:rsid w:val="00231BA9"/>
    <w:rsid w:val="0023209F"/>
    <w:rsid w:val="00232482"/>
    <w:rsid w:val="00233C01"/>
    <w:rsid w:val="0023413C"/>
    <w:rsid w:val="002346F0"/>
    <w:rsid w:val="0023629D"/>
    <w:rsid w:val="00237030"/>
    <w:rsid w:val="0023724D"/>
    <w:rsid w:val="00237255"/>
    <w:rsid w:val="002424AF"/>
    <w:rsid w:val="002439DC"/>
    <w:rsid w:val="002441D2"/>
    <w:rsid w:val="00244246"/>
    <w:rsid w:val="002443DD"/>
    <w:rsid w:val="00244CA2"/>
    <w:rsid w:val="00244DC8"/>
    <w:rsid w:val="002458BA"/>
    <w:rsid w:val="00245CE9"/>
    <w:rsid w:val="0024636C"/>
    <w:rsid w:val="00247925"/>
    <w:rsid w:val="00251006"/>
    <w:rsid w:val="002517AC"/>
    <w:rsid w:val="00251AF9"/>
    <w:rsid w:val="002524D5"/>
    <w:rsid w:val="00253B1D"/>
    <w:rsid w:val="002542D1"/>
    <w:rsid w:val="00254DCF"/>
    <w:rsid w:val="00254FC6"/>
    <w:rsid w:val="0025534B"/>
    <w:rsid w:val="00255BB7"/>
    <w:rsid w:val="00257541"/>
    <w:rsid w:val="00257A39"/>
    <w:rsid w:val="00257AC4"/>
    <w:rsid w:val="00257BBE"/>
    <w:rsid w:val="00261EEF"/>
    <w:rsid w:val="00262A1A"/>
    <w:rsid w:val="00262A87"/>
    <w:rsid w:val="00264D26"/>
    <w:rsid w:val="00267642"/>
    <w:rsid w:val="00267AEA"/>
    <w:rsid w:val="002700E6"/>
    <w:rsid w:val="00271271"/>
    <w:rsid w:val="00271FFD"/>
    <w:rsid w:val="0027294B"/>
    <w:rsid w:val="00272E62"/>
    <w:rsid w:val="00273EB4"/>
    <w:rsid w:val="00274682"/>
    <w:rsid w:val="00275158"/>
    <w:rsid w:val="00275C5A"/>
    <w:rsid w:val="00275EEA"/>
    <w:rsid w:val="0028024F"/>
    <w:rsid w:val="002805DD"/>
    <w:rsid w:val="00280B6A"/>
    <w:rsid w:val="00281014"/>
    <w:rsid w:val="00284778"/>
    <w:rsid w:val="00285386"/>
    <w:rsid w:val="0028540B"/>
    <w:rsid w:val="00285BCE"/>
    <w:rsid w:val="0028665D"/>
    <w:rsid w:val="00287497"/>
    <w:rsid w:val="00291A6F"/>
    <w:rsid w:val="0029213C"/>
    <w:rsid w:val="00294161"/>
    <w:rsid w:val="002A00C9"/>
    <w:rsid w:val="002A0BD9"/>
    <w:rsid w:val="002A14AB"/>
    <w:rsid w:val="002A2ADE"/>
    <w:rsid w:val="002A2F50"/>
    <w:rsid w:val="002A330F"/>
    <w:rsid w:val="002A4D98"/>
    <w:rsid w:val="002A584C"/>
    <w:rsid w:val="002A61C4"/>
    <w:rsid w:val="002A7943"/>
    <w:rsid w:val="002A7B3B"/>
    <w:rsid w:val="002B05A1"/>
    <w:rsid w:val="002B09A4"/>
    <w:rsid w:val="002B1C1F"/>
    <w:rsid w:val="002B274D"/>
    <w:rsid w:val="002B3623"/>
    <w:rsid w:val="002B3C96"/>
    <w:rsid w:val="002B432F"/>
    <w:rsid w:val="002B50C6"/>
    <w:rsid w:val="002B62B3"/>
    <w:rsid w:val="002B6754"/>
    <w:rsid w:val="002B6CCE"/>
    <w:rsid w:val="002C22B4"/>
    <w:rsid w:val="002C2510"/>
    <w:rsid w:val="002C2775"/>
    <w:rsid w:val="002C27C1"/>
    <w:rsid w:val="002C36E3"/>
    <w:rsid w:val="002C5099"/>
    <w:rsid w:val="002C5889"/>
    <w:rsid w:val="002C5E2C"/>
    <w:rsid w:val="002C6423"/>
    <w:rsid w:val="002C71CE"/>
    <w:rsid w:val="002D08F8"/>
    <w:rsid w:val="002D30AF"/>
    <w:rsid w:val="002D577C"/>
    <w:rsid w:val="002D5B63"/>
    <w:rsid w:val="002D727B"/>
    <w:rsid w:val="002D7832"/>
    <w:rsid w:val="002E02D3"/>
    <w:rsid w:val="002E1071"/>
    <w:rsid w:val="002E15B9"/>
    <w:rsid w:val="002E2158"/>
    <w:rsid w:val="002E4F02"/>
    <w:rsid w:val="002E7722"/>
    <w:rsid w:val="002F06B4"/>
    <w:rsid w:val="002F07BA"/>
    <w:rsid w:val="002F0DA9"/>
    <w:rsid w:val="002F1014"/>
    <w:rsid w:val="002F1E3B"/>
    <w:rsid w:val="002F3BB0"/>
    <w:rsid w:val="002F5D6F"/>
    <w:rsid w:val="002F60C0"/>
    <w:rsid w:val="002F643C"/>
    <w:rsid w:val="002F683E"/>
    <w:rsid w:val="002F709B"/>
    <w:rsid w:val="002F71C0"/>
    <w:rsid w:val="002F74F1"/>
    <w:rsid w:val="00301017"/>
    <w:rsid w:val="0030155F"/>
    <w:rsid w:val="003026CF"/>
    <w:rsid w:val="003031D5"/>
    <w:rsid w:val="00304ED2"/>
    <w:rsid w:val="003052D4"/>
    <w:rsid w:val="0030587B"/>
    <w:rsid w:val="003062DA"/>
    <w:rsid w:val="00306D98"/>
    <w:rsid w:val="00306FA9"/>
    <w:rsid w:val="0030786C"/>
    <w:rsid w:val="003079C1"/>
    <w:rsid w:val="0031031A"/>
    <w:rsid w:val="0031061D"/>
    <w:rsid w:val="003107C3"/>
    <w:rsid w:val="00310981"/>
    <w:rsid w:val="00310DD3"/>
    <w:rsid w:val="00311D9B"/>
    <w:rsid w:val="003124D9"/>
    <w:rsid w:val="00312594"/>
    <w:rsid w:val="003133C7"/>
    <w:rsid w:val="00313469"/>
    <w:rsid w:val="00315498"/>
    <w:rsid w:val="00316474"/>
    <w:rsid w:val="003210B9"/>
    <w:rsid w:val="00321B6E"/>
    <w:rsid w:val="00322107"/>
    <w:rsid w:val="00322355"/>
    <w:rsid w:val="00322846"/>
    <w:rsid w:val="00323AAD"/>
    <w:rsid w:val="00324DC4"/>
    <w:rsid w:val="0032574B"/>
    <w:rsid w:val="00326DA7"/>
    <w:rsid w:val="003270E4"/>
    <w:rsid w:val="00330623"/>
    <w:rsid w:val="00330DAA"/>
    <w:rsid w:val="00330F5C"/>
    <w:rsid w:val="003326A7"/>
    <w:rsid w:val="0033312B"/>
    <w:rsid w:val="00333BC2"/>
    <w:rsid w:val="003366C9"/>
    <w:rsid w:val="0033699A"/>
    <w:rsid w:val="003371B0"/>
    <w:rsid w:val="00340DF1"/>
    <w:rsid w:val="003444FE"/>
    <w:rsid w:val="00346BB5"/>
    <w:rsid w:val="00347207"/>
    <w:rsid w:val="003501B9"/>
    <w:rsid w:val="003517F9"/>
    <w:rsid w:val="00351BA9"/>
    <w:rsid w:val="00354CFB"/>
    <w:rsid w:val="00354F64"/>
    <w:rsid w:val="003550E2"/>
    <w:rsid w:val="0035620E"/>
    <w:rsid w:val="00356BEC"/>
    <w:rsid w:val="003572A1"/>
    <w:rsid w:val="003575BE"/>
    <w:rsid w:val="00360345"/>
    <w:rsid w:val="0036034E"/>
    <w:rsid w:val="00361A05"/>
    <w:rsid w:val="00362021"/>
    <w:rsid w:val="003624C4"/>
    <w:rsid w:val="00363B00"/>
    <w:rsid w:val="003654AC"/>
    <w:rsid w:val="003710CF"/>
    <w:rsid w:val="003721E9"/>
    <w:rsid w:val="003728C4"/>
    <w:rsid w:val="0037358A"/>
    <w:rsid w:val="003750F6"/>
    <w:rsid w:val="003760FC"/>
    <w:rsid w:val="003764B2"/>
    <w:rsid w:val="0038365C"/>
    <w:rsid w:val="0038369B"/>
    <w:rsid w:val="00383B78"/>
    <w:rsid w:val="00385A9D"/>
    <w:rsid w:val="00386C54"/>
    <w:rsid w:val="00387121"/>
    <w:rsid w:val="003902B1"/>
    <w:rsid w:val="0039179C"/>
    <w:rsid w:val="003918E3"/>
    <w:rsid w:val="00392EE5"/>
    <w:rsid w:val="00393B47"/>
    <w:rsid w:val="0039452A"/>
    <w:rsid w:val="00394D89"/>
    <w:rsid w:val="00395858"/>
    <w:rsid w:val="00396896"/>
    <w:rsid w:val="00396FD0"/>
    <w:rsid w:val="003A04FC"/>
    <w:rsid w:val="003A1A7A"/>
    <w:rsid w:val="003A2392"/>
    <w:rsid w:val="003A2831"/>
    <w:rsid w:val="003A2997"/>
    <w:rsid w:val="003A3CB6"/>
    <w:rsid w:val="003A3ED1"/>
    <w:rsid w:val="003A44DB"/>
    <w:rsid w:val="003A4C14"/>
    <w:rsid w:val="003A682F"/>
    <w:rsid w:val="003A718C"/>
    <w:rsid w:val="003A7539"/>
    <w:rsid w:val="003B2148"/>
    <w:rsid w:val="003B3971"/>
    <w:rsid w:val="003B3AA3"/>
    <w:rsid w:val="003B460D"/>
    <w:rsid w:val="003B55D1"/>
    <w:rsid w:val="003B5B61"/>
    <w:rsid w:val="003C1654"/>
    <w:rsid w:val="003C2725"/>
    <w:rsid w:val="003C5542"/>
    <w:rsid w:val="003C795F"/>
    <w:rsid w:val="003C799A"/>
    <w:rsid w:val="003C7C15"/>
    <w:rsid w:val="003C7D19"/>
    <w:rsid w:val="003C7D2F"/>
    <w:rsid w:val="003D05BD"/>
    <w:rsid w:val="003D0C2E"/>
    <w:rsid w:val="003D0C5A"/>
    <w:rsid w:val="003D0E3E"/>
    <w:rsid w:val="003D1828"/>
    <w:rsid w:val="003D1DE4"/>
    <w:rsid w:val="003D1E9A"/>
    <w:rsid w:val="003D2422"/>
    <w:rsid w:val="003D337D"/>
    <w:rsid w:val="003D39A1"/>
    <w:rsid w:val="003D3FBF"/>
    <w:rsid w:val="003D4A30"/>
    <w:rsid w:val="003D618C"/>
    <w:rsid w:val="003D65C0"/>
    <w:rsid w:val="003D7452"/>
    <w:rsid w:val="003D79BB"/>
    <w:rsid w:val="003D7C98"/>
    <w:rsid w:val="003D7D9D"/>
    <w:rsid w:val="003E0543"/>
    <w:rsid w:val="003E1966"/>
    <w:rsid w:val="003E394B"/>
    <w:rsid w:val="003E51D0"/>
    <w:rsid w:val="003E5603"/>
    <w:rsid w:val="003E5969"/>
    <w:rsid w:val="003E5C7F"/>
    <w:rsid w:val="003E749E"/>
    <w:rsid w:val="003F1CFC"/>
    <w:rsid w:val="003F1DD6"/>
    <w:rsid w:val="003F369F"/>
    <w:rsid w:val="003F3C1E"/>
    <w:rsid w:val="003F4156"/>
    <w:rsid w:val="003F5864"/>
    <w:rsid w:val="003F5ADF"/>
    <w:rsid w:val="003F61C2"/>
    <w:rsid w:val="003F7D07"/>
    <w:rsid w:val="004004C4"/>
    <w:rsid w:val="00400B29"/>
    <w:rsid w:val="00402812"/>
    <w:rsid w:val="0040504B"/>
    <w:rsid w:val="004059F4"/>
    <w:rsid w:val="00407FE5"/>
    <w:rsid w:val="004101B0"/>
    <w:rsid w:val="00410326"/>
    <w:rsid w:val="00410708"/>
    <w:rsid w:val="00410EC7"/>
    <w:rsid w:val="004116DC"/>
    <w:rsid w:val="00411B39"/>
    <w:rsid w:val="004127A7"/>
    <w:rsid w:val="00413A1E"/>
    <w:rsid w:val="00413F5C"/>
    <w:rsid w:val="00414476"/>
    <w:rsid w:val="00414C2E"/>
    <w:rsid w:val="004151CF"/>
    <w:rsid w:val="00416364"/>
    <w:rsid w:val="00416F1C"/>
    <w:rsid w:val="0042047F"/>
    <w:rsid w:val="00420AA6"/>
    <w:rsid w:val="00420B9F"/>
    <w:rsid w:val="00420D28"/>
    <w:rsid w:val="0042192C"/>
    <w:rsid w:val="00422236"/>
    <w:rsid w:val="00422260"/>
    <w:rsid w:val="0042413F"/>
    <w:rsid w:val="004244D2"/>
    <w:rsid w:val="004277FC"/>
    <w:rsid w:val="00431850"/>
    <w:rsid w:val="004319F8"/>
    <w:rsid w:val="00431E55"/>
    <w:rsid w:val="004321F6"/>
    <w:rsid w:val="00433044"/>
    <w:rsid w:val="00434088"/>
    <w:rsid w:val="0043458C"/>
    <w:rsid w:val="00435AF2"/>
    <w:rsid w:val="004375B9"/>
    <w:rsid w:val="00437869"/>
    <w:rsid w:val="00437886"/>
    <w:rsid w:val="004428D0"/>
    <w:rsid w:val="00444185"/>
    <w:rsid w:val="004443A7"/>
    <w:rsid w:val="0044442C"/>
    <w:rsid w:val="00445941"/>
    <w:rsid w:val="004464EB"/>
    <w:rsid w:val="00447D26"/>
    <w:rsid w:val="00447DFC"/>
    <w:rsid w:val="004522A4"/>
    <w:rsid w:val="0045286B"/>
    <w:rsid w:val="00454D41"/>
    <w:rsid w:val="00454E54"/>
    <w:rsid w:val="00455D45"/>
    <w:rsid w:val="00456852"/>
    <w:rsid w:val="00461C39"/>
    <w:rsid w:val="00462708"/>
    <w:rsid w:val="00462969"/>
    <w:rsid w:val="00464595"/>
    <w:rsid w:val="004658B5"/>
    <w:rsid w:val="00467602"/>
    <w:rsid w:val="00471EA5"/>
    <w:rsid w:val="00472A79"/>
    <w:rsid w:val="00473B10"/>
    <w:rsid w:val="00473F19"/>
    <w:rsid w:val="00475E22"/>
    <w:rsid w:val="0047626F"/>
    <w:rsid w:val="004765B7"/>
    <w:rsid w:val="004765E8"/>
    <w:rsid w:val="0048088E"/>
    <w:rsid w:val="00480F2B"/>
    <w:rsid w:val="0048201F"/>
    <w:rsid w:val="00482720"/>
    <w:rsid w:val="00482951"/>
    <w:rsid w:val="004835E7"/>
    <w:rsid w:val="004845C0"/>
    <w:rsid w:val="004859E1"/>
    <w:rsid w:val="004861BD"/>
    <w:rsid w:val="004867E2"/>
    <w:rsid w:val="00490B17"/>
    <w:rsid w:val="00491B3A"/>
    <w:rsid w:val="0049287C"/>
    <w:rsid w:val="00492A38"/>
    <w:rsid w:val="00492AB6"/>
    <w:rsid w:val="00492CFD"/>
    <w:rsid w:val="0049307E"/>
    <w:rsid w:val="00494207"/>
    <w:rsid w:val="00494DD5"/>
    <w:rsid w:val="00495D93"/>
    <w:rsid w:val="004962D2"/>
    <w:rsid w:val="00496B23"/>
    <w:rsid w:val="004A0DA1"/>
    <w:rsid w:val="004A13D6"/>
    <w:rsid w:val="004A270D"/>
    <w:rsid w:val="004A361F"/>
    <w:rsid w:val="004A47F0"/>
    <w:rsid w:val="004A49BC"/>
    <w:rsid w:val="004A5278"/>
    <w:rsid w:val="004A52E9"/>
    <w:rsid w:val="004A5312"/>
    <w:rsid w:val="004A5F3D"/>
    <w:rsid w:val="004A6040"/>
    <w:rsid w:val="004A6087"/>
    <w:rsid w:val="004A6597"/>
    <w:rsid w:val="004A66BE"/>
    <w:rsid w:val="004A6927"/>
    <w:rsid w:val="004A7848"/>
    <w:rsid w:val="004A793B"/>
    <w:rsid w:val="004B0A1D"/>
    <w:rsid w:val="004B1CB4"/>
    <w:rsid w:val="004B25C8"/>
    <w:rsid w:val="004B2733"/>
    <w:rsid w:val="004B2F18"/>
    <w:rsid w:val="004B3DDB"/>
    <w:rsid w:val="004B44FD"/>
    <w:rsid w:val="004B506E"/>
    <w:rsid w:val="004B53A1"/>
    <w:rsid w:val="004B5CFC"/>
    <w:rsid w:val="004B6F79"/>
    <w:rsid w:val="004B774D"/>
    <w:rsid w:val="004C02C9"/>
    <w:rsid w:val="004C1BB3"/>
    <w:rsid w:val="004C2AC2"/>
    <w:rsid w:val="004C4AED"/>
    <w:rsid w:val="004C596F"/>
    <w:rsid w:val="004C7310"/>
    <w:rsid w:val="004D062A"/>
    <w:rsid w:val="004D2C2D"/>
    <w:rsid w:val="004D4C8E"/>
    <w:rsid w:val="004D4DB1"/>
    <w:rsid w:val="004D658B"/>
    <w:rsid w:val="004D666F"/>
    <w:rsid w:val="004D675F"/>
    <w:rsid w:val="004D67EC"/>
    <w:rsid w:val="004D69B5"/>
    <w:rsid w:val="004D70E1"/>
    <w:rsid w:val="004D7227"/>
    <w:rsid w:val="004D7B5E"/>
    <w:rsid w:val="004D7BF5"/>
    <w:rsid w:val="004E091C"/>
    <w:rsid w:val="004E0E7F"/>
    <w:rsid w:val="004E0EB8"/>
    <w:rsid w:val="004E18E9"/>
    <w:rsid w:val="004E2ADC"/>
    <w:rsid w:val="004E2E35"/>
    <w:rsid w:val="004E31B9"/>
    <w:rsid w:val="004E43B2"/>
    <w:rsid w:val="004E712E"/>
    <w:rsid w:val="004F1D02"/>
    <w:rsid w:val="004F2679"/>
    <w:rsid w:val="004F2F21"/>
    <w:rsid w:val="004F3DE5"/>
    <w:rsid w:val="004F6913"/>
    <w:rsid w:val="004F6A4F"/>
    <w:rsid w:val="004F77B6"/>
    <w:rsid w:val="004F7865"/>
    <w:rsid w:val="0050174E"/>
    <w:rsid w:val="00501854"/>
    <w:rsid w:val="00501C94"/>
    <w:rsid w:val="0050219B"/>
    <w:rsid w:val="00503B3C"/>
    <w:rsid w:val="00503F17"/>
    <w:rsid w:val="00503F3A"/>
    <w:rsid w:val="005067F2"/>
    <w:rsid w:val="00506928"/>
    <w:rsid w:val="005077EF"/>
    <w:rsid w:val="00510C04"/>
    <w:rsid w:val="00511AD5"/>
    <w:rsid w:val="00511DC7"/>
    <w:rsid w:val="005134C5"/>
    <w:rsid w:val="005142C5"/>
    <w:rsid w:val="0051501B"/>
    <w:rsid w:val="005152B5"/>
    <w:rsid w:val="005156BF"/>
    <w:rsid w:val="00515886"/>
    <w:rsid w:val="00516924"/>
    <w:rsid w:val="0052123C"/>
    <w:rsid w:val="00521319"/>
    <w:rsid w:val="0052262C"/>
    <w:rsid w:val="00522BC8"/>
    <w:rsid w:val="00523C28"/>
    <w:rsid w:val="00523D16"/>
    <w:rsid w:val="0052485B"/>
    <w:rsid w:val="00526CEA"/>
    <w:rsid w:val="00527491"/>
    <w:rsid w:val="0053176B"/>
    <w:rsid w:val="005325C6"/>
    <w:rsid w:val="00532D60"/>
    <w:rsid w:val="005341B3"/>
    <w:rsid w:val="00534824"/>
    <w:rsid w:val="00536F42"/>
    <w:rsid w:val="00537182"/>
    <w:rsid w:val="00541EDD"/>
    <w:rsid w:val="0054254E"/>
    <w:rsid w:val="00542743"/>
    <w:rsid w:val="00542B91"/>
    <w:rsid w:val="00542C2D"/>
    <w:rsid w:val="00542D9C"/>
    <w:rsid w:val="00543660"/>
    <w:rsid w:val="005478BD"/>
    <w:rsid w:val="005479E3"/>
    <w:rsid w:val="0055090C"/>
    <w:rsid w:val="00551985"/>
    <w:rsid w:val="005521A2"/>
    <w:rsid w:val="005527AE"/>
    <w:rsid w:val="00552BD3"/>
    <w:rsid w:val="005532A0"/>
    <w:rsid w:val="00555109"/>
    <w:rsid w:val="005552BE"/>
    <w:rsid w:val="00556B35"/>
    <w:rsid w:val="0055741A"/>
    <w:rsid w:val="005602B9"/>
    <w:rsid w:val="005607ED"/>
    <w:rsid w:val="005611B7"/>
    <w:rsid w:val="005612F3"/>
    <w:rsid w:val="005618D4"/>
    <w:rsid w:val="00562FE3"/>
    <w:rsid w:val="00563625"/>
    <w:rsid w:val="00563E9B"/>
    <w:rsid w:val="00564867"/>
    <w:rsid w:val="00565C79"/>
    <w:rsid w:val="00565CD0"/>
    <w:rsid w:val="00565DF0"/>
    <w:rsid w:val="005662F0"/>
    <w:rsid w:val="0056696F"/>
    <w:rsid w:val="00566D6A"/>
    <w:rsid w:val="0057072E"/>
    <w:rsid w:val="00572173"/>
    <w:rsid w:val="00572269"/>
    <w:rsid w:val="0057244A"/>
    <w:rsid w:val="00572F26"/>
    <w:rsid w:val="005750C5"/>
    <w:rsid w:val="005752DE"/>
    <w:rsid w:val="00575D60"/>
    <w:rsid w:val="00575D8D"/>
    <w:rsid w:val="00576972"/>
    <w:rsid w:val="00577248"/>
    <w:rsid w:val="00583699"/>
    <w:rsid w:val="00585CDD"/>
    <w:rsid w:val="00587058"/>
    <w:rsid w:val="00591871"/>
    <w:rsid w:val="00591957"/>
    <w:rsid w:val="00592D82"/>
    <w:rsid w:val="005935B9"/>
    <w:rsid w:val="005938C0"/>
    <w:rsid w:val="0059452B"/>
    <w:rsid w:val="005945E7"/>
    <w:rsid w:val="0059465E"/>
    <w:rsid w:val="00594AFB"/>
    <w:rsid w:val="00594D03"/>
    <w:rsid w:val="005960A0"/>
    <w:rsid w:val="00597BF9"/>
    <w:rsid w:val="00597F98"/>
    <w:rsid w:val="005A0927"/>
    <w:rsid w:val="005A0C11"/>
    <w:rsid w:val="005A14C6"/>
    <w:rsid w:val="005A309A"/>
    <w:rsid w:val="005A373D"/>
    <w:rsid w:val="005A4284"/>
    <w:rsid w:val="005B0B58"/>
    <w:rsid w:val="005B4E53"/>
    <w:rsid w:val="005B5857"/>
    <w:rsid w:val="005B5F9F"/>
    <w:rsid w:val="005B60BD"/>
    <w:rsid w:val="005B6D7B"/>
    <w:rsid w:val="005C0B7F"/>
    <w:rsid w:val="005C19C4"/>
    <w:rsid w:val="005C1B83"/>
    <w:rsid w:val="005C25FF"/>
    <w:rsid w:val="005C27CD"/>
    <w:rsid w:val="005C2827"/>
    <w:rsid w:val="005C2D55"/>
    <w:rsid w:val="005C346B"/>
    <w:rsid w:val="005C5ABC"/>
    <w:rsid w:val="005D044D"/>
    <w:rsid w:val="005D0ABD"/>
    <w:rsid w:val="005D18AD"/>
    <w:rsid w:val="005D1E8B"/>
    <w:rsid w:val="005D25B1"/>
    <w:rsid w:val="005D26B4"/>
    <w:rsid w:val="005D29C7"/>
    <w:rsid w:val="005D4A48"/>
    <w:rsid w:val="005E0153"/>
    <w:rsid w:val="005E12BD"/>
    <w:rsid w:val="005E1995"/>
    <w:rsid w:val="005E36C8"/>
    <w:rsid w:val="005E43DE"/>
    <w:rsid w:val="005E6C7E"/>
    <w:rsid w:val="005E6CBC"/>
    <w:rsid w:val="005E72FF"/>
    <w:rsid w:val="005E73C0"/>
    <w:rsid w:val="005F07ED"/>
    <w:rsid w:val="005F1E66"/>
    <w:rsid w:val="005F2706"/>
    <w:rsid w:val="005F66D6"/>
    <w:rsid w:val="005F6A8F"/>
    <w:rsid w:val="005F6BB7"/>
    <w:rsid w:val="005F7588"/>
    <w:rsid w:val="00601CE3"/>
    <w:rsid w:val="00602116"/>
    <w:rsid w:val="00602ACA"/>
    <w:rsid w:val="00603DB9"/>
    <w:rsid w:val="00605941"/>
    <w:rsid w:val="00605CA2"/>
    <w:rsid w:val="006066A0"/>
    <w:rsid w:val="00606FBA"/>
    <w:rsid w:val="00607669"/>
    <w:rsid w:val="006076F4"/>
    <w:rsid w:val="00607AFD"/>
    <w:rsid w:val="00611B12"/>
    <w:rsid w:val="00612DBC"/>
    <w:rsid w:val="00612E39"/>
    <w:rsid w:val="00612F97"/>
    <w:rsid w:val="0061345D"/>
    <w:rsid w:val="006143FB"/>
    <w:rsid w:val="0061549B"/>
    <w:rsid w:val="00615EA4"/>
    <w:rsid w:val="00616802"/>
    <w:rsid w:val="00617E12"/>
    <w:rsid w:val="00620C25"/>
    <w:rsid w:val="00620D98"/>
    <w:rsid w:val="0062122F"/>
    <w:rsid w:val="00621477"/>
    <w:rsid w:val="00621ADA"/>
    <w:rsid w:val="00623F7B"/>
    <w:rsid w:val="006241E1"/>
    <w:rsid w:val="006242F1"/>
    <w:rsid w:val="00624BD4"/>
    <w:rsid w:val="00625D09"/>
    <w:rsid w:val="00626398"/>
    <w:rsid w:val="006300E9"/>
    <w:rsid w:val="0063158F"/>
    <w:rsid w:val="00631D6B"/>
    <w:rsid w:val="00632183"/>
    <w:rsid w:val="006330A1"/>
    <w:rsid w:val="00633A07"/>
    <w:rsid w:val="0063479F"/>
    <w:rsid w:val="00635254"/>
    <w:rsid w:val="006353F0"/>
    <w:rsid w:val="006357B5"/>
    <w:rsid w:val="006364A1"/>
    <w:rsid w:val="0063678E"/>
    <w:rsid w:val="00637BFD"/>
    <w:rsid w:val="00637C5C"/>
    <w:rsid w:val="00640A87"/>
    <w:rsid w:val="00641C4E"/>
    <w:rsid w:val="00641FB3"/>
    <w:rsid w:val="0064434C"/>
    <w:rsid w:val="006471CC"/>
    <w:rsid w:val="006472FE"/>
    <w:rsid w:val="00647A29"/>
    <w:rsid w:val="0065049B"/>
    <w:rsid w:val="0065079F"/>
    <w:rsid w:val="00652A28"/>
    <w:rsid w:val="0065379F"/>
    <w:rsid w:val="00655636"/>
    <w:rsid w:val="0065617D"/>
    <w:rsid w:val="00656188"/>
    <w:rsid w:val="0065715A"/>
    <w:rsid w:val="00660D38"/>
    <w:rsid w:val="006610F1"/>
    <w:rsid w:val="00661C6B"/>
    <w:rsid w:val="00662D3E"/>
    <w:rsid w:val="00665EA2"/>
    <w:rsid w:val="00666EB5"/>
    <w:rsid w:val="00667BE3"/>
    <w:rsid w:val="006701EC"/>
    <w:rsid w:val="00670E50"/>
    <w:rsid w:val="00671004"/>
    <w:rsid w:val="00672646"/>
    <w:rsid w:val="00673424"/>
    <w:rsid w:val="00673CA4"/>
    <w:rsid w:val="00674B42"/>
    <w:rsid w:val="00674E42"/>
    <w:rsid w:val="00675D8C"/>
    <w:rsid w:val="00676563"/>
    <w:rsid w:val="00676E69"/>
    <w:rsid w:val="006813F8"/>
    <w:rsid w:val="00682112"/>
    <w:rsid w:val="00682BA6"/>
    <w:rsid w:val="00683BE7"/>
    <w:rsid w:val="0068486B"/>
    <w:rsid w:val="0068486E"/>
    <w:rsid w:val="00686957"/>
    <w:rsid w:val="00686D54"/>
    <w:rsid w:val="00687033"/>
    <w:rsid w:val="006872BA"/>
    <w:rsid w:val="00690795"/>
    <w:rsid w:val="00691648"/>
    <w:rsid w:val="006917D7"/>
    <w:rsid w:val="0069434C"/>
    <w:rsid w:val="00694F44"/>
    <w:rsid w:val="00696EF9"/>
    <w:rsid w:val="00696F51"/>
    <w:rsid w:val="006979A5"/>
    <w:rsid w:val="006A016F"/>
    <w:rsid w:val="006A0DF7"/>
    <w:rsid w:val="006A2E6C"/>
    <w:rsid w:val="006A3DA5"/>
    <w:rsid w:val="006A4321"/>
    <w:rsid w:val="006A43D9"/>
    <w:rsid w:val="006A6B99"/>
    <w:rsid w:val="006A796A"/>
    <w:rsid w:val="006A7E5F"/>
    <w:rsid w:val="006B261B"/>
    <w:rsid w:val="006B2C90"/>
    <w:rsid w:val="006B35E6"/>
    <w:rsid w:val="006B465A"/>
    <w:rsid w:val="006B67A2"/>
    <w:rsid w:val="006B6DD0"/>
    <w:rsid w:val="006B7C08"/>
    <w:rsid w:val="006C0399"/>
    <w:rsid w:val="006C1704"/>
    <w:rsid w:val="006C2A8E"/>
    <w:rsid w:val="006C3255"/>
    <w:rsid w:val="006C3D4B"/>
    <w:rsid w:val="006C3F26"/>
    <w:rsid w:val="006D0D17"/>
    <w:rsid w:val="006D0FF6"/>
    <w:rsid w:val="006D1FBA"/>
    <w:rsid w:val="006D3C7D"/>
    <w:rsid w:val="006D4659"/>
    <w:rsid w:val="006D5D5F"/>
    <w:rsid w:val="006D68FB"/>
    <w:rsid w:val="006D6944"/>
    <w:rsid w:val="006E0690"/>
    <w:rsid w:val="006E0756"/>
    <w:rsid w:val="006E17B7"/>
    <w:rsid w:val="006E2868"/>
    <w:rsid w:val="006E46EB"/>
    <w:rsid w:val="006E51DD"/>
    <w:rsid w:val="006E7793"/>
    <w:rsid w:val="006F209A"/>
    <w:rsid w:val="006F306C"/>
    <w:rsid w:val="006F38EF"/>
    <w:rsid w:val="006F5917"/>
    <w:rsid w:val="006F61CE"/>
    <w:rsid w:val="006F63A5"/>
    <w:rsid w:val="006F7157"/>
    <w:rsid w:val="006F741F"/>
    <w:rsid w:val="006F75F8"/>
    <w:rsid w:val="0070142B"/>
    <w:rsid w:val="0070220B"/>
    <w:rsid w:val="0070276E"/>
    <w:rsid w:val="00702F8F"/>
    <w:rsid w:val="00704D5B"/>
    <w:rsid w:val="00705C96"/>
    <w:rsid w:val="00706735"/>
    <w:rsid w:val="00707823"/>
    <w:rsid w:val="007079FC"/>
    <w:rsid w:val="00710BA1"/>
    <w:rsid w:val="00711A36"/>
    <w:rsid w:val="00712428"/>
    <w:rsid w:val="007125D3"/>
    <w:rsid w:val="00712BDE"/>
    <w:rsid w:val="00714C26"/>
    <w:rsid w:val="0071529C"/>
    <w:rsid w:val="007170DA"/>
    <w:rsid w:val="007172AD"/>
    <w:rsid w:val="00717546"/>
    <w:rsid w:val="00717A25"/>
    <w:rsid w:val="00720801"/>
    <w:rsid w:val="00720C25"/>
    <w:rsid w:val="0072240E"/>
    <w:rsid w:val="00722B1B"/>
    <w:rsid w:val="0072416F"/>
    <w:rsid w:val="00726BE4"/>
    <w:rsid w:val="00727C94"/>
    <w:rsid w:val="00731B0A"/>
    <w:rsid w:val="00731EAE"/>
    <w:rsid w:val="007324D0"/>
    <w:rsid w:val="00733073"/>
    <w:rsid w:val="0073456D"/>
    <w:rsid w:val="00735033"/>
    <w:rsid w:val="00735328"/>
    <w:rsid w:val="0073685B"/>
    <w:rsid w:val="0074005D"/>
    <w:rsid w:val="00740062"/>
    <w:rsid w:val="00741D51"/>
    <w:rsid w:val="007447EE"/>
    <w:rsid w:val="007449BF"/>
    <w:rsid w:val="00745071"/>
    <w:rsid w:val="007463FE"/>
    <w:rsid w:val="00746BC0"/>
    <w:rsid w:val="007510B4"/>
    <w:rsid w:val="00752142"/>
    <w:rsid w:val="007523F9"/>
    <w:rsid w:val="007524AE"/>
    <w:rsid w:val="0075357E"/>
    <w:rsid w:val="0075383B"/>
    <w:rsid w:val="00753B29"/>
    <w:rsid w:val="00755F38"/>
    <w:rsid w:val="007573E8"/>
    <w:rsid w:val="00760C4E"/>
    <w:rsid w:val="00760F9E"/>
    <w:rsid w:val="007616E6"/>
    <w:rsid w:val="00761782"/>
    <w:rsid w:val="007627BE"/>
    <w:rsid w:val="007636EB"/>
    <w:rsid w:val="00764F03"/>
    <w:rsid w:val="00765AFF"/>
    <w:rsid w:val="00765B1A"/>
    <w:rsid w:val="00765DC1"/>
    <w:rsid w:val="007702C1"/>
    <w:rsid w:val="007713E1"/>
    <w:rsid w:val="00777335"/>
    <w:rsid w:val="007843F2"/>
    <w:rsid w:val="007846FA"/>
    <w:rsid w:val="007849ED"/>
    <w:rsid w:val="00785A9F"/>
    <w:rsid w:val="00786CD2"/>
    <w:rsid w:val="00790674"/>
    <w:rsid w:val="007925DF"/>
    <w:rsid w:val="00797CAA"/>
    <w:rsid w:val="007A08AA"/>
    <w:rsid w:val="007A0A12"/>
    <w:rsid w:val="007A132D"/>
    <w:rsid w:val="007A1345"/>
    <w:rsid w:val="007A215E"/>
    <w:rsid w:val="007A2DDB"/>
    <w:rsid w:val="007A4A2F"/>
    <w:rsid w:val="007A4CA9"/>
    <w:rsid w:val="007A5AFE"/>
    <w:rsid w:val="007A70BA"/>
    <w:rsid w:val="007A757D"/>
    <w:rsid w:val="007B01AF"/>
    <w:rsid w:val="007B0D68"/>
    <w:rsid w:val="007B1A3D"/>
    <w:rsid w:val="007B251D"/>
    <w:rsid w:val="007B3533"/>
    <w:rsid w:val="007B3DFD"/>
    <w:rsid w:val="007B4F58"/>
    <w:rsid w:val="007B5209"/>
    <w:rsid w:val="007B528D"/>
    <w:rsid w:val="007B60E3"/>
    <w:rsid w:val="007B63CA"/>
    <w:rsid w:val="007B77D1"/>
    <w:rsid w:val="007C0314"/>
    <w:rsid w:val="007C03C5"/>
    <w:rsid w:val="007C07C7"/>
    <w:rsid w:val="007C13A0"/>
    <w:rsid w:val="007C1511"/>
    <w:rsid w:val="007C1CD9"/>
    <w:rsid w:val="007C2FDC"/>
    <w:rsid w:val="007C32EF"/>
    <w:rsid w:val="007C361D"/>
    <w:rsid w:val="007C4B84"/>
    <w:rsid w:val="007C66C4"/>
    <w:rsid w:val="007C6E35"/>
    <w:rsid w:val="007C70FF"/>
    <w:rsid w:val="007C784F"/>
    <w:rsid w:val="007C7C25"/>
    <w:rsid w:val="007D004F"/>
    <w:rsid w:val="007D035F"/>
    <w:rsid w:val="007D06B2"/>
    <w:rsid w:val="007D0B38"/>
    <w:rsid w:val="007D1B34"/>
    <w:rsid w:val="007D2AF2"/>
    <w:rsid w:val="007D5440"/>
    <w:rsid w:val="007D640B"/>
    <w:rsid w:val="007D69EB"/>
    <w:rsid w:val="007D6A05"/>
    <w:rsid w:val="007D6CCD"/>
    <w:rsid w:val="007D7FAE"/>
    <w:rsid w:val="007E128F"/>
    <w:rsid w:val="007E1DDD"/>
    <w:rsid w:val="007E1EC7"/>
    <w:rsid w:val="007E2CD3"/>
    <w:rsid w:val="007E65FA"/>
    <w:rsid w:val="007E6FF6"/>
    <w:rsid w:val="007E7AC8"/>
    <w:rsid w:val="007E7C04"/>
    <w:rsid w:val="007F1017"/>
    <w:rsid w:val="007F26AD"/>
    <w:rsid w:val="007F4A3F"/>
    <w:rsid w:val="007F4A61"/>
    <w:rsid w:val="007F5255"/>
    <w:rsid w:val="007F56CC"/>
    <w:rsid w:val="007F61C2"/>
    <w:rsid w:val="00800B41"/>
    <w:rsid w:val="008045DA"/>
    <w:rsid w:val="00805142"/>
    <w:rsid w:val="0080596E"/>
    <w:rsid w:val="00805FCE"/>
    <w:rsid w:val="00807A8B"/>
    <w:rsid w:val="00811383"/>
    <w:rsid w:val="00812149"/>
    <w:rsid w:val="00812CAC"/>
    <w:rsid w:val="00816361"/>
    <w:rsid w:val="008166EF"/>
    <w:rsid w:val="00816C28"/>
    <w:rsid w:val="00816FEF"/>
    <w:rsid w:val="00820A8C"/>
    <w:rsid w:val="008215FB"/>
    <w:rsid w:val="008220CC"/>
    <w:rsid w:val="0082315A"/>
    <w:rsid w:val="00823174"/>
    <w:rsid w:val="00824DFF"/>
    <w:rsid w:val="00825751"/>
    <w:rsid w:val="00825B9D"/>
    <w:rsid w:val="008264EB"/>
    <w:rsid w:val="008268CE"/>
    <w:rsid w:val="00827C23"/>
    <w:rsid w:val="00833B05"/>
    <w:rsid w:val="008362B4"/>
    <w:rsid w:val="0083698D"/>
    <w:rsid w:val="00840CA2"/>
    <w:rsid w:val="008417B7"/>
    <w:rsid w:val="0084374F"/>
    <w:rsid w:val="008439F7"/>
    <w:rsid w:val="00844A22"/>
    <w:rsid w:val="00844DE1"/>
    <w:rsid w:val="008457ED"/>
    <w:rsid w:val="00846AF3"/>
    <w:rsid w:val="00846BE1"/>
    <w:rsid w:val="00847703"/>
    <w:rsid w:val="00847D64"/>
    <w:rsid w:val="00847DF5"/>
    <w:rsid w:val="00852F37"/>
    <w:rsid w:val="00852F91"/>
    <w:rsid w:val="0085309D"/>
    <w:rsid w:val="00854913"/>
    <w:rsid w:val="00854C7E"/>
    <w:rsid w:val="00856897"/>
    <w:rsid w:val="00856E9A"/>
    <w:rsid w:val="00857749"/>
    <w:rsid w:val="00857CCE"/>
    <w:rsid w:val="0086075D"/>
    <w:rsid w:val="00862502"/>
    <w:rsid w:val="00862CC1"/>
    <w:rsid w:val="008642A7"/>
    <w:rsid w:val="00865E91"/>
    <w:rsid w:val="008660D4"/>
    <w:rsid w:val="00867819"/>
    <w:rsid w:val="0087044A"/>
    <w:rsid w:val="00871FA9"/>
    <w:rsid w:val="008728E9"/>
    <w:rsid w:val="00877901"/>
    <w:rsid w:val="008803F4"/>
    <w:rsid w:val="00881B79"/>
    <w:rsid w:val="00882300"/>
    <w:rsid w:val="00882334"/>
    <w:rsid w:val="00882874"/>
    <w:rsid w:val="00882E3C"/>
    <w:rsid w:val="0088308A"/>
    <w:rsid w:val="00883787"/>
    <w:rsid w:val="00883948"/>
    <w:rsid w:val="008855E4"/>
    <w:rsid w:val="00885C58"/>
    <w:rsid w:val="0088674A"/>
    <w:rsid w:val="00886CD2"/>
    <w:rsid w:val="0089030D"/>
    <w:rsid w:val="00891E6F"/>
    <w:rsid w:val="0089275D"/>
    <w:rsid w:val="00892A36"/>
    <w:rsid w:val="00893239"/>
    <w:rsid w:val="00894489"/>
    <w:rsid w:val="008945D5"/>
    <w:rsid w:val="00894CD6"/>
    <w:rsid w:val="008959F0"/>
    <w:rsid w:val="008963A5"/>
    <w:rsid w:val="00896D5D"/>
    <w:rsid w:val="008A02DF"/>
    <w:rsid w:val="008A0670"/>
    <w:rsid w:val="008A0BE7"/>
    <w:rsid w:val="008A3158"/>
    <w:rsid w:val="008A3363"/>
    <w:rsid w:val="008A3371"/>
    <w:rsid w:val="008A3C3E"/>
    <w:rsid w:val="008A79DE"/>
    <w:rsid w:val="008A7D17"/>
    <w:rsid w:val="008B0AD6"/>
    <w:rsid w:val="008B1757"/>
    <w:rsid w:val="008B1C33"/>
    <w:rsid w:val="008B2678"/>
    <w:rsid w:val="008B41C4"/>
    <w:rsid w:val="008B4368"/>
    <w:rsid w:val="008B4B6F"/>
    <w:rsid w:val="008B7992"/>
    <w:rsid w:val="008B7D7E"/>
    <w:rsid w:val="008C41EF"/>
    <w:rsid w:val="008C455B"/>
    <w:rsid w:val="008C52DF"/>
    <w:rsid w:val="008C5610"/>
    <w:rsid w:val="008C56A0"/>
    <w:rsid w:val="008C5739"/>
    <w:rsid w:val="008C6392"/>
    <w:rsid w:val="008C7282"/>
    <w:rsid w:val="008C7D4D"/>
    <w:rsid w:val="008C7ECB"/>
    <w:rsid w:val="008D10A4"/>
    <w:rsid w:val="008D29E8"/>
    <w:rsid w:val="008D3B86"/>
    <w:rsid w:val="008D4063"/>
    <w:rsid w:val="008D43FD"/>
    <w:rsid w:val="008D46FB"/>
    <w:rsid w:val="008D4717"/>
    <w:rsid w:val="008D4755"/>
    <w:rsid w:val="008D4C3D"/>
    <w:rsid w:val="008D4E9A"/>
    <w:rsid w:val="008D743C"/>
    <w:rsid w:val="008E0C50"/>
    <w:rsid w:val="008E0D3C"/>
    <w:rsid w:val="008E1B9E"/>
    <w:rsid w:val="008E2977"/>
    <w:rsid w:val="008E40C7"/>
    <w:rsid w:val="008E55AB"/>
    <w:rsid w:val="008E72E6"/>
    <w:rsid w:val="008E7F5C"/>
    <w:rsid w:val="008F120A"/>
    <w:rsid w:val="008F1CC6"/>
    <w:rsid w:val="008F27E0"/>
    <w:rsid w:val="008F3A6C"/>
    <w:rsid w:val="008F3E10"/>
    <w:rsid w:val="008F48EB"/>
    <w:rsid w:val="008F4AFB"/>
    <w:rsid w:val="008F4F0B"/>
    <w:rsid w:val="008F7746"/>
    <w:rsid w:val="0090029B"/>
    <w:rsid w:val="009011C5"/>
    <w:rsid w:val="00903962"/>
    <w:rsid w:val="009046C4"/>
    <w:rsid w:val="009062A5"/>
    <w:rsid w:val="00907699"/>
    <w:rsid w:val="00907E61"/>
    <w:rsid w:val="00910FA7"/>
    <w:rsid w:val="00911272"/>
    <w:rsid w:val="00911339"/>
    <w:rsid w:val="00912672"/>
    <w:rsid w:val="009135D6"/>
    <w:rsid w:val="00914C77"/>
    <w:rsid w:val="00915DC1"/>
    <w:rsid w:val="00920B9B"/>
    <w:rsid w:val="00921ACB"/>
    <w:rsid w:val="0092369B"/>
    <w:rsid w:val="009261BA"/>
    <w:rsid w:val="00926FFB"/>
    <w:rsid w:val="0093160A"/>
    <w:rsid w:val="00933073"/>
    <w:rsid w:val="009333D7"/>
    <w:rsid w:val="0093493B"/>
    <w:rsid w:val="00934988"/>
    <w:rsid w:val="00937089"/>
    <w:rsid w:val="009371A9"/>
    <w:rsid w:val="00940200"/>
    <w:rsid w:val="009412C8"/>
    <w:rsid w:val="00944F8A"/>
    <w:rsid w:val="00947F94"/>
    <w:rsid w:val="00950243"/>
    <w:rsid w:val="009510A2"/>
    <w:rsid w:val="009516DD"/>
    <w:rsid w:val="00953257"/>
    <w:rsid w:val="00953B28"/>
    <w:rsid w:val="0095474C"/>
    <w:rsid w:val="009577C5"/>
    <w:rsid w:val="00957D92"/>
    <w:rsid w:val="00961AF6"/>
    <w:rsid w:val="00962CB9"/>
    <w:rsid w:val="00962FB5"/>
    <w:rsid w:val="00962FD2"/>
    <w:rsid w:val="00964312"/>
    <w:rsid w:val="00964C33"/>
    <w:rsid w:val="00965B8A"/>
    <w:rsid w:val="0096674B"/>
    <w:rsid w:val="00967A5B"/>
    <w:rsid w:val="00967BCC"/>
    <w:rsid w:val="0097057E"/>
    <w:rsid w:val="0097071F"/>
    <w:rsid w:val="009717AC"/>
    <w:rsid w:val="00972CB5"/>
    <w:rsid w:val="00972ED0"/>
    <w:rsid w:val="00974DA8"/>
    <w:rsid w:val="009751C1"/>
    <w:rsid w:val="00975D86"/>
    <w:rsid w:val="00976E31"/>
    <w:rsid w:val="009803D5"/>
    <w:rsid w:val="009811F1"/>
    <w:rsid w:val="00983E57"/>
    <w:rsid w:val="0098447E"/>
    <w:rsid w:val="00985113"/>
    <w:rsid w:val="00985DE2"/>
    <w:rsid w:val="0098675D"/>
    <w:rsid w:val="00987508"/>
    <w:rsid w:val="00987BA4"/>
    <w:rsid w:val="00987E98"/>
    <w:rsid w:val="00990958"/>
    <w:rsid w:val="00990DA7"/>
    <w:rsid w:val="0099218D"/>
    <w:rsid w:val="009926E0"/>
    <w:rsid w:val="0099451E"/>
    <w:rsid w:val="00996B1A"/>
    <w:rsid w:val="009A18F6"/>
    <w:rsid w:val="009A24F9"/>
    <w:rsid w:val="009A2DCC"/>
    <w:rsid w:val="009A5ABC"/>
    <w:rsid w:val="009A7F10"/>
    <w:rsid w:val="009B2FFA"/>
    <w:rsid w:val="009B347C"/>
    <w:rsid w:val="009B3E26"/>
    <w:rsid w:val="009B4BDA"/>
    <w:rsid w:val="009C1271"/>
    <w:rsid w:val="009C30EE"/>
    <w:rsid w:val="009C3706"/>
    <w:rsid w:val="009C3A3A"/>
    <w:rsid w:val="009C5249"/>
    <w:rsid w:val="009C5BA6"/>
    <w:rsid w:val="009C6399"/>
    <w:rsid w:val="009C6CEA"/>
    <w:rsid w:val="009C7B85"/>
    <w:rsid w:val="009D0254"/>
    <w:rsid w:val="009D115B"/>
    <w:rsid w:val="009D1492"/>
    <w:rsid w:val="009D1A64"/>
    <w:rsid w:val="009D5B91"/>
    <w:rsid w:val="009D792E"/>
    <w:rsid w:val="009E0DFE"/>
    <w:rsid w:val="009E0F19"/>
    <w:rsid w:val="009E1D12"/>
    <w:rsid w:val="009E25BB"/>
    <w:rsid w:val="009E2890"/>
    <w:rsid w:val="009E2C35"/>
    <w:rsid w:val="009E31F6"/>
    <w:rsid w:val="009E4426"/>
    <w:rsid w:val="009E48B3"/>
    <w:rsid w:val="009E4C07"/>
    <w:rsid w:val="009E777F"/>
    <w:rsid w:val="009F0385"/>
    <w:rsid w:val="009F2680"/>
    <w:rsid w:val="009F340E"/>
    <w:rsid w:val="009F6120"/>
    <w:rsid w:val="00A00D76"/>
    <w:rsid w:val="00A01184"/>
    <w:rsid w:val="00A01449"/>
    <w:rsid w:val="00A0362B"/>
    <w:rsid w:val="00A037C2"/>
    <w:rsid w:val="00A03D43"/>
    <w:rsid w:val="00A04380"/>
    <w:rsid w:val="00A04786"/>
    <w:rsid w:val="00A05472"/>
    <w:rsid w:val="00A05C32"/>
    <w:rsid w:val="00A0653F"/>
    <w:rsid w:val="00A07799"/>
    <w:rsid w:val="00A11524"/>
    <w:rsid w:val="00A11CD0"/>
    <w:rsid w:val="00A13948"/>
    <w:rsid w:val="00A13A1B"/>
    <w:rsid w:val="00A13C49"/>
    <w:rsid w:val="00A1555B"/>
    <w:rsid w:val="00A155C5"/>
    <w:rsid w:val="00A16AD8"/>
    <w:rsid w:val="00A2021E"/>
    <w:rsid w:val="00A20977"/>
    <w:rsid w:val="00A21C95"/>
    <w:rsid w:val="00A21CF3"/>
    <w:rsid w:val="00A24813"/>
    <w:rsid w:val="00A26734"/>
    <w:rsid w:val="00A27AEC"/>
    <w:rsid w:val="00A30E53"/>
    <w:rsid w:val="00A320DB"/>
    <w:rsid w:val="00A35472"/>
    <w:rsid w:val="00A35D16"/>
    <w:rsid w:val="00A37BCD"/>
    <w:rsid w:val="00A40FB1"/>
    <w:rsid w:val="00A41689"/>
    <w:rsid w:val="00A42592"/>
    <w:rsid w:val="00A43C59"/>
    <w:rsid w:val="00A44EEF"/>
    <w:rsid w:val="00A462B0"/>
    <w:rsid w:val="00A46C08"/>
    <w:rsid w:val="00A46D0E"/>
    <w:rsid w:val="00A4736E"/>
    <w:rsid w:val="00A474CE"/>
    <w:rsid w:val="00A4777F"/>
    <w:rsid w:val="00A50ECD"/>
    <w:rsid w:val="00A5115B"/>
    <w:rsid w:val="00A518F3"/>
    <w:rsid w:val="00A523F5"/>
    <w:rsid w:val="00A52729"/>
    <w:rsid w:val="00A53675"/>
    <w:rsid w:val="00A5591C"/>
    <w:rsid w:val="00A564D7"/>
    <w:rsid w:val="00A56B6A"/>
    <w:rsid w:val="00A578DC"/>
    <w:rsid w:val="00A610AD"/>
    <w:rsid w:val="00A629AC"/>
    <w:rsid w:val="00A62F7F"/>
    <w:rsid w:val="00A63C8C"/>
    <w:rsid w:val="00A640E2"/>
    <w:rsid w:val="00A64432"/>
    <w:rsid w:val="00A64D65"/>
    <w:rsid w:val="00A6725B"/>
    <w:rsid w:val="00A70605"/>
    <w:rsid w:val="00A71DD8"/>
    <w:rsid w:val="00A72F34"/>
    <w:rsid w:val="00A73134"/>
    <w:rsid w:val="00A7339E"/>
    <w:rsid w:val="00A7365A"/>
    <w:rsid w:val="00A76001"/>
    <w:rsid w:val="00A76B0A"/>
    <w:rsid w:val="00A777B2"/>
    <w:rsid w:val="00A825D4"/>
    <w:rsid w:val="00A828F6"/>
    <w:rsid w:val="00A82B73"/>
    <w:rsid w:val="00A82B8B"/>
    <w:rsid w:val="00A83E25"/>
    <w:rsid w:val="00A8497B"/>
    <w:rsid w:val="00A86E8B"/>
    <w:rsid w:val="00A87164"/>
    <w:rsid w:val="00A878A0"/>
    <w:rsid w:val="00A914AB"/>
    <w:rsid w:val="00A918EA"/>
    <w:rsid w:val="00A93072"/>
    <w:rsid w:val="00A938BD"/>
    <w:rsid w:val="00A93953"/>
    <w:rsid w:val="00A959D8"/>
    <w:rsid w:val="00A969B1"/>
    <w:rsid w:val="00AA0D0B"/>
    <w:rsid w:val="00AA0F72"/>
    <w:rsid w:val="00AA113D"/>
    <w:rsid w:val="00AA133E"/>
    <w:rsid w:val="00AA2439"/>
    <w:rsid w:val="00AA41CA"/>
    <w:rsid w:val="00AA6BD5"/>
    <w:rsid w:val="00AA6BD8"/>
    <w:rsid w:val="00AA6C7D"/>
    <w:rsid w:val="00AA6CD7"/>
    <w:rsid w:val="00AA77CD"/>
    <w:rsid w:val="00AA7FD6"/>
    <w:rsid w:val="00AB042A"/>
    <w:rsid w:val="00AB11AD"/>
    <w:rsid w:val="00AB19EF"/>
    <w:rsid w:val="00AB2054"/>
    <w:rsid w:val="00AB2495"/>
    <w:rsid w:val="00AB2D34"/>
    <w:rsid w:val="00AB3430"/>
    <w:rsid w:val="00AB37B9"/>
    <w:rsid w:val="00AB408F"/>
    <w:rsid w:val="00AB4AD1"/>
    <w:rsid w:val="00AB4B1F"/>
    <w:rsid w:val="00AB5674"/>
    <w:rsid w:val="00AB5E07"/>
    <w:rsid w:val="00AB7935"/>
    <w:rsid w:val="00AB7CFA"/>
    <w:rsid w:val="00AC27E7"/>
    <w:rsid w:val="00AC39C2"/>
    <w:rsid w:val="00AC5B42"/>
    <w:rsid w:val="00AC5B48"/>
    <w:rsid w:val="00AC6AE7"/>
    <w:rsid w:val="00AC76AA"/>
    <w:rsid w:val="00AD007D"/>
    <w:rsid w:val="00AD0AA3"/>
    <w:rsid w:val="00AD1450"/>
    <w:rsid w:val="00AD15E8"/>
    <w:rsid w:val="00AD27C0"/>
    <w:rsid w:val="00AD356D"/>
    <w:rsid w:val="00AD5C51"/>
    <w:rsid w:val="00AD6502"/>
    <w:rsid w:val="00AE0007"/>
    <w:rsid w:val="00AE0695"/>
    <w:rsid w:val="00AE2E66"/>
    <w:rsid w:val="00AE3E7E"/>
    <w:rsid w:val="00AE3F4F"/>
    <w:rsid w:val="00AE4F79"/>
    <w:rsid w:val="00AE5777"/>
    <w:rsid w:val="00AE7385"/>
    <w:rsid w:val="00AE77D1"/>
    <w:rsid w:val="00AE7E53"/>
    <w:rsid w:val="00AF1315"/>
    <w:rsid w:val="00AF19BF"/>
    <w:rsid w:val="00AF2DC3"/>
    <w:rsid w:val="00AF420D"/>
    <w:rsid w:val="00AF5B60"/>
    <w:rsid w:val="00AF5C32"/>
    <w:rsid w:val="00AF691B"/>
    <w:rsid w:val="00AF7261"/>
    <w:rsid w:val="00B033E5"/>
    <w:rsid w:val="00B03A63"/>
    <w:rsid w:val="00B059A8"/>
    <w:rsid w:val="00B11AAF"/>
    <w:rsid w:val="00B129A4"/>
    <w:rsid w:val="00B14630"/>
    <w:rsid w:val="00B15E08"/>
    <w:rsid w:val="00B170CA"/>
    <w:rsid w:val="00B201A4"/>
    <w:rsid w:val="00B201D1"/>
    <w:rsid w:val="00B20CA8"/>
    <w:rsid w:val="00B213A6"/>
    <w:rsid w:val="00B235B0"/>
    <w:rsid w:val="00B24DF6"/>
    <w:rsid w:val="00B267F2"/>
    <w:rsid w:val="00B279FD"/>
    <w:rsid w:val="00B27A61"/>
    <w:rsid w:val="00B30B8E"/>
    <w:rsid w:val="00B33D31"/>
    <w:rsid w:val="00B34FE2"/>
    <w:rsid w:val="00B35166"/>
    <w:rsid w:val="00B357D8"/>
    <w:rsid w:val="00B360F4"/>
    <w:rsid w:val="00B36563"/>
    <w:rsid w:val="00B36A00"/>
    <w:rsid w:val="00B3792B"/>
    <w:rsid w:val="00B37BFC"/>
    <w:rsid w:val="00B40358"/>
    <w:rsid w:val="00B41614"/>
    <w:rsid w:val="00B427FD"/>
    <w:rsid w:val="00B42851"/>
    <w:rsid w:val="00B42F80"/>
    <w:rsid w:val="00B435CB"/>
    <w:rsid w:val="00B44171"/>
    <w:rsid w:val="00B465EC"/>
    <w:rsid w:val="00B46DA1"/>
    <w:rsid w:val="00B505C8"/>
    <w:rsid w:val="00B50619"/>
    <w:rsid w:val="00B50DB8"/>
    <w:rsid w:val="00B515B9"/>
    <w:rsid w:val="00B53654"/>
    <w:rsid w:val="00B53905"/>
    <w:rsid w:val="00B5425D"/>
    <w:rsid w:val="00B546D1"/>
    <w:rsid w:val="00B546DB"/>
    <w:rsid w:val="00B54B5B"/>
    <w:rsid w:val="00B54C74"/>
    <w:rsid w:val="00B5562E"/>
    <w:rsid w:val="00B55862"/>
    <w:rsid w:val="00B55D65"/>
    <w:rsid w:val="00B56305"/>
    <w:rsid w:val="00B57000"/>
    <w:rsid w:val="00B57E19"/>
    <w:rsid w:val="00B60088"/>
    <w:rsid w:val="00B60939"/>
    <w:rsid w:val="00B60AFD"/>
    <w:rsid w:val="00B6141B"/>
    <w:rsid w:val="00B62715"/>
    <w:rsid w:val="00B63A75"/>
    <w:rsid w:val="00B64453"/>
    <w:rsid w:val="00B65611"/>
    <w:rsid w:val="00B70E8E"/>
    <w:rsid w:val="00B712E4"/>
    <w:rsid w:val="00B721F7"/>
    <w:rsid w:val="00B73C05"/>
    <w:rsid w:val="00B76C92"/>
    <w:rsid w:val="00B80C04"/>
    <w:rsid w:val="00B80EFD"/>
    <w:rsid w:val="00B8167F"/>
    <w:rsid w:val="00B818A4"/>
    <w:rsid w:val="00B83739"/>
    <w:rsid w:val="00B83F4B"/>
    <w:rsid w:val="00B84117"/>
    <w:rsid w:val="00B84BE4"/>
    <w:rsid w:val="00B858F0"/>
    <w:rsid w:val="00B85AA2"/>
    <w:rsid w:val="00B8649C"/>
    <w:rsid w:val="00B8695D"/>
    <w:rsid w:val="00B87F0A"/>
    <w:rsid w:val="00B87FF0"/>
    <w:rsid w:val="00B907BB"/>
    <w:rsid w:val="00B92988"/>
    <w:rsid w:val="00B92D0B"/>
    <w:rsid w:val="00B93F56"/>
    <w:rsid w:val="00B94945"/>
    <w:rsid w:val="00B94DD6"/>
    <w:rsid w:val="00BA322D"/>
    <w:rsid w:val="00BA34F9"/>
    <w:rsid w:val="00BA36C0"/>
    <w:rsid w:val="00BA63FA"/>
    <w:rsid w:val="00BB00B3"/>
    <w:rsid w:val="00BB0BDD"/>
    <w:rsid w:val="00BB176C"/>
    <w:rsid w:val="00BB2A73"/>
    <w:rsid w:val="00BB3A45"/>
    <w:rsid w:val="00BB4ACC"/>
    <w:rsid w:val="00BB5640"/>
    <w:rsid w:val="00BB6891"/>
    <w:rsid w:val="00BB6E2C"/>
    <w:rsid w:val="00BB703E"/>
    <w:rsid w:val="00BB732D"/>
    <w:rsid w:val="00BB7405"/>
    <w:rsid w:val="00BC0EB5"/>
    <w:rsid w:val="00BC3631"/>
    <w:rsid w:val="00BC591F"/>
    <w:rsid w:val="00BC6824"/>
    <w:rsid w:val="00BC7D6D"/>
    <w:rsid w:val="00BD058A"/>
    <w:rsid w:val="00BD2108"/>
    <w:rsid w:val="00BD27A5"/>
    <w:rsid w:val="00BD68A3"/>
    <w:rsid w:val="00BD6938"/>
    <w:rsid w:val="00BD6CF3"/>
    <w:rsid w:val="00BD7B6B"/>
    <w:rsid w:val="00BD7F72"/>
    <w:rsid w:val="00BE0ECA"/>
    <w:rsid w:val="00BE2180"/>
    <w:rsid w:val="00BE21F2"/>
    <w:rsid w:val="00BE22DD"/>
    <w:rsid w:val="00BE22FF"/>
    <w:rsid w:val="00BE2990"/>
    <w:rsid w:val="00BE4275"/>
    <w:rsid w:val="00BE4C70"/>
    <w:rsid w:val="00BE534C"/>
    <w:rsid w:val="00BE589E"/>
    <w:rsid w:val="00BE7567"/>
    <w:rsid w:val="00BE7778"/>
    <w:rsid w:val="00BF06AE"/>
    <w:rsid w:val="00BF0811"/>
    <w:rsid w:val="00BF0F95"/>
    <w:rsid w:val="00BF2433"/>
    <w:rsid w:val="00BF2E6E"/>
    <w:rsid w:val="00BF61C9"/>
    <w:rsid w:val="00BF69B7"/>
    <w:rsid w:val="00BF6C94"/>
    <w:rsid w:val="00BF7C71"/>
    <w:rsid w:val="00C00424"/>
    <w:rsid w:val="00C00BB0"/>
    <w:rsid w:val="00C020D0"/>
    <w:rsid w:val="00C02940"/>
    <w:rsid w:val="00C0419F"/>
    <w:rsid w:val="00C04D1B"/>
    <w:rsid w:val="00C05617"/>
    <w:rsid w:val="00C05B2B"/>
    <w:rsid w:val="00C05EEF"/>
    <w:rsid w:val="00C066EA"/>
    <w:rsid w:val="00C07253"/>
    <w:rsid w:val="00C1179F"/>
    <w:rsid w:val="00C127B9"/>
    <w:rsid w:val="00C128FA"/>
    <w:rsid w:val="00C12C14"/>
    <w:rsid w:val="00C15D8E"/>
    <w:rsid w:val="00C15F04"/>
    <w:rsid w:val="00C16135"/>
    <w:rsid w:val="00C169AD"/>
    <w:rsid w:val="00C179B3"/>
    <w:rsid w:val="00C17E3F"/>
    <w:rsid w:val="00C200AA"/>
    <w:rsid w:val="00C21550"/>
    <w:rsid w:val="00C230A3"/>
    <w:rsid w:val="00C237ED"/>
    <w:rsid w:val="00C24632"/>
    <w:rsid w:val="00C25418"/>
    <w:rsid w:val="00C256A1"/>
    <w:rsid w:val="00C25D9C"/>
    <w:rsid w:val="00C2778B"/>
    <w:rsid w:val="00C27DF9"/>
    <w:rsid w:val="00C30DE3"/>
    <w:rsid w:val="00C31649"/>
    <w:rsid w:val="00C3434C"/>
    <w:rsid w:val="00C34618"/>
    <w:rsid w:val="00C3461A"/>
    <w:rsid w:val="00C34A6F"/>
    <w:rsid w:val="00C40385"/>
    <w:rsid w:val="00C414DF"/>
    <w:rsid w:val="00C41768"/>
    <w:rsid w:val="00C4272F"/>
    <w:rsid w:val="00C450AD"/>
    <w:rsid w:val="00C471C8"/>
    <w:rsid w:val="00C475AA"/>
    <w:rsid w:val="00C527C7"/>
    <w:rsid w:val="00C53C98"/>
    <w:rsid w:val="00C56FCF"/>
    <w:rsid w:val="00C57B6C"/>
    <w:rsid w:val="00C61918"/>
    <w:rsid w:val="00C61A59"/>
    <w:rsid w:val="00C628A6"/>
    <w:rsid w:val="00C62FD1"/>
    <w:rsid w:val="00C64344"/>
    <w:rsid w:val="00C65108"/>
    <w:rsid w:val="00C65576"/>
    <w:rsid w:val="00C66165"/>
    <w:rsid w:val="00C7060A"/>
    <w:rsid w:val="00C7151A"/>
    <w:rsid w:val="00C717E3"/>
    <w:rsid w:val="00C71F60"/>
    <w:rsid w:val="00C72241"/>
    <w:rsid w:val="00C7297B"/>
    <w:rsid w:val="00C72A4C"/>
    <w:rsid w:val="00C750C8"/>
    <w:rsid w:val="00C7560F"/>
    <w:rsid w:val="00C7610F"/>
    <w:rsid w:val="00C804D8"/>
    <w:rsid w:val="00C80A0E"/>
    <w:rsid w:val="00C81ED1"/>
    <w:rsid w:val="00C8213F"/>
    <w:rsid w:val="00C8299F"/>
    <w:rsid w:val="00C8303F"/>
    <w:rsid w:val="00C85154"/>
    <w:rsid w:val="00C85A70"/>
    <w:rsid w:val="00C86DBD"/>
    <w:rsid w:val="00C8797A"/>
    <w:rsid w:val="00C900B8"/>
    <w:rsid w:val="00C90197"/>
    <w:rsid w:val="00C903C6"/>
    <w:rsid w:val="00C90C71"/>
    <w:rsid w:val="00C917E9"/>
    <w:rsid w:val="00C91B21"/>
    <w:rsid w:val="00C91FD1"/>
    <w:rsid w:val="00C931CF"/>
    <w:rsid w:val="00C938CF"/>
    <w:rsid w:val="00C94053"/>
    <w:rsid w:val="00C9425B"/>
    <w:rsid w:val="00C94F93"/>
    <w:rsid w:val="00C9624D"/>
    <w:rsid w:val="00C969DA"/>
    <w:rsid w:val="00CA2C77"/>
    <w:rsid w:val="00CA3BA3"/>
    <w:rsid w:val="00CA444F"/>
    <w:rsid w:val="00CA5245"/>
    <w:rsid w:val="00CA52AC"/>
    <w:rsid w:val="00CA5AD9"/>
    <w:rsid w:val="00CA625E"/>
    <w:rsid w:val="00CA71F4"/>
    <w:rsid w:val="00CA7B09"/>
    <w:rsid w:val="00CB0718"/>
    <w:rsid w:val="00CB12A5"/>
    <w:rsid w:val="00CB15C0"/>
    <w:rsid w:val="00CB1CAC"/>
    <w:rsid w:val="00CB1F1F"/>
    <w:rsid w:val="00CB2398"/>
    <w:rsid w:val="00CB2F2A"/>
    <w:rsid w:val="00CB5B1A"/>
    <w:rsid w:val="00CB6685"/>
    <w:rsid w:val="00CB6B22"/>
    <w:rsid w:val="00CB6DFA"/>
    <w:rsid w:val="00CB7F5F"/>
    <w:rsid w:val="00CC02C4"/>
    <w:rsid w:val="00CC1B39"/>
    <w:rsid w:val="00CC1BFA"/>
    <w:rsid w:val="00CC1FD0"/>
    <w:rsid w:val="00CC2E9F"/>
    <w:rsid w:val="00CC35EA"/>
    <w:rsid w:val="00CC3848"/>
    <w:rsid w:val="00CC5979"/>
    <w:rsid w:val="00CC61BB"/>
    <w:rsid w:val="00CC62A1"/>
    <w:rsid w:val="00CC6D5E"/>
    <w:rsid w:val="00CC6EEC"/>
    <w:rsid w:val="00CC7716"/>
    <w:rsid w:val="00CD0200"/>
    <w:rsid w:val="00CD03F8"/>
    <w:rsid w:val="00CD3F77"/>
    <w:rsid w:val="00CD410A"/>
    <w:rsid w:val="00CD6ADC"/>
    <w:rsid w:val="00CD7193"/>
    <w:rsid w:val="00CE1409"/>
    <w:rsid w:val="00CE2C69"/>
    <w:rsid w:val="00CE38C8"/>
    <w:rsid w:val="00CE524F"/>
    <w:rsid w:val="00CE58CC"/>
    <w:rsid w:val="00CE5EAE"/>
    <w:rsid w:val="00CE6274"/>
    <w:rsid w:val="00CE77B6"/>
    <w:rsid w:val="00CF2B8D"/>
    <w:rsid w:val="00CF3A1B"/>
    <w:rsid w:val="00CF456B"/>
    <w:rsid w:val="00CF5A22"/>
    <w:rsid w:val="00D00A02"/>
    <w:rsid w:val="00D0222D"/>
    <w:rsid w:val="00D0262E"/>
    <w:rsid w:val="00D02FE8"/>
    <w:rsid w:val="00D03679"/>
    <w:rsid w:val="00D03A1F"/>
    <w:rsid w:val="00D03D44"/>
    <w:rsid w:val="00D05630"/>
    <w:rsid w:val="00D05E3D"/>
    <w:rsid w:val="00D06139"/>
    <w:rsid w:val="00D110BD"/>
    <w:rsid w:val="00D11AC9"/>
    <w:rsid w:val="00D12CC9"/>
    <w:rsid w:val="00D1335A"/>
    <w:rsid w:val="00D13675"/>
    <w:rsid w:val="00D141E1"/>
    <w:rsid w:val="00D15314"/>
    <w:rsid w:val="00D15B48"/>
    <w:rsid w:val="00D15E19"/>
    <w:rsid w:val="00D17D6C"/>
    <w:rsid w:val="00D20916"/>
    <w:rsid w:val="00D2155B"/>
    <w:rsid w:val="00D23D11"/>
    <w:rsid w:val="00D244B6"/>
    <w:rsid w:val="00D272C3"/>
    <w:rsid w:val="00D2754D"/>
    <w:rsid w:val="00D27B27"/>
    <w:rsid w:val="00D30D5B"/>
    <w:rsid w:val="00D3115C"/>
    <w:rsid w:val="00D32AE7"/>
    <w:rsid w:val="00D33BE9"/>
    <w:rsid w:val="00D33F93"/>
    <w:rsid w:val="00D34BAD"/>
    <w:rsid w:val="00D357FF"/>
    <w:rsid w:val="00D36E24"/>
    <w:rsid w:val="00D37BE9"/>
    <w:rsid w:val="00D419E4"/>
    <w:rsid w:val="00D424C7"/>
    <w:rsid w:val="00D43495"/>
    <w:rsid w:val="00D43B2A"/>
    <w:rsid w:val="00D43BFD"/>
    <w:rsid w:val="00D43CF1"/>
    <w:rsid w:val="00D43D83"/>
    <w:rsid w:val="00D451F8"/>
    <w:rsid w:val="00D4533C"/>
    <w:rsid w:val="00D4592B"/>
    <w:rsid w:val="00D47575"/>
    <w:rsid w:val="00D50188"/>
    <w:rsid w:val="00D5243B"/>
    <w:rsid w:val="00D531BF"/>
    <w:rsid w:val="00D533EC"/>
    <w:rsid w:val="00D5445D"/>
    <w:rsid w:val="00D54C74"/>
    <w:rsid w:val="00D562FC"/>
    <w:rsid w:val="00D56A95"/>
    <w:rsid w:val="00D57BA0"/>
    <w:rsid w:val="00D6076E"/>
    <w:rsid w:val="00D65FD5"/>
    <w:rsid w:val="00D707BB"/>
    <w:rsid w:val="00D70F16"/>
    <w:rsid w:val="00D71DA7"/>
    <w:rsid w:val="00D72617"/>
    <w:rsid w:val="00D72F57"/>
    <w:rsid w:val="00D73286"/>
    <w:rsid w:val="00D74307"/>
    <w:rsid w:val="00D7485C"/>
    <w:rsid w:val="00D76A44"/>
    <w:rsid w:val="00D80346"/>
    <w:rsid w:val="00D80852"/>
    <w:rsid w:val="00D815EF"/>
    <w:rsid w:val="00D81949"/>
    <w:rsid w:val="00D81F26"/>
    <w:rsid w:val="00D822E2"/>
    <w:rsid w:val="00D82414"/>
    <w:rsid w:val="00D843F2"/>
    <w:rsid w:val="00D86231"/>
    <w:rsid w:val="00D87DAD"/>
    <w:rsid w:val="00D9015B"/>
    <w:rsid w:val="00D912AB"/>
    <w:rsid w:val="00D91923"/>
    <w:rsid w:val="00D93753"/>
    <w:rsid w:val="00D94AD0"/>
    <w:rsid w:val="00D95578"/>
    <w:rsid w:val="00D95A52"/>
    <w:rsid w:val="00DA1EBC"/>
    <w:rsid w:val="00DA3167"/>
    <w:rsid w:val="00DA3228"/>
    <w:rsid w:val="00DA467F"/>
    <w:rsid w:val="00DA4DC3"/>
    <w:rsid w:val="00DA4F00"/>
    <w:rsid w:val="00DA76AF"/>
    <w:rsid w:val="00DA77A5"/>
    <w:rsid w:val="00DB0E36"/>
    <w:rsid w:val="00DB3DBF"/>
    <w:rsid w:val="00DB3E66"/>
    <w:rsid w:val="00DB484F"/>
    <w:rsid w:val="00DB578C"/>
    <w:rsid w:val="00DB6175"/>
    <w:rsid w:val="00DB65B8"/>
    <w:rsid w:val="00DB6CCC"/>
    <w:rsid w:val="00DB6F86"/>
    <w:rsid w:val="00DC04F6"/>
    <w:rsid w:val="00DC0690"/>
    <w:rsid w:val="00DC17DF"/>
    <w:rsid w:val="00DC1D65"/>
    <w:rsid w:val="00DC3C57"/>
    <w:rsid w:val="00DC487F"/>
    <w:rsid w:val="00DC5143"/>
    <w:rsid w:val="00DC5347"/>
    <w:rsid w:val="00DC5501"/>
    <w:rsid w:val="00DC5DE4"/>
    <w:rsid w:val="00DC7154"/>
    <w:rsid w:val="00DC7E8A"/>
    <w:rsid w:val="00DD0F78"/>
    <w:rsid w:val="00DD1003"/>
    <w:rsid w:val="00DD273C"/>
    <w:rsid w:val="00DD27E5"/>
    <w:rsid w:val="00DD28F3"/>
    <w:rsid w:val="00DD3F28"/>
    <w:rsid w:val="00DD4446"/>
    <w:rsid w:val="00DD4537"/>
    <w:rsid w:val="00DD4E15"/>
    <w:rsid w:val="00DD6377"/>
    <w:rsid w:val="00DE14EF"/>
    <w:rsid w:val="00DE2304"/>
    <w:rsid w:val="00DE26E7"/>
    <w:rsid w:val="00DE3018"/>
    <w:rsid w:val="00DE3138"/>
    <w:rsid w:val="00DE37F8"/>
    <w:rsid w:val="00DE4273"/>
    <w:rsid w:val="00DE4FCB"/>
    <w:rsid w:val="00DE5D07"/>
    <w:rsid w:val="00DE72A7"/>
    <w:rsid w:val="00DE7832"/>
    <w:rsid w:val="00DF018C"/>
    <w:rsid w:val="00DF18FC"/>
    <w:rsid w:val="00DF3862"/>
    <w:rsid w:val="00DF3A39"/>
    <w:rsid w:val="00DF49E7"/>
    <w:rsid w:val="00DF5D2B"/>
    <w:rsid w:val="00DF61AD"/>
    <w:rsid w:val="00DF6341"/>
    <w:rsid w:val="00E0047A"/>
    <w:rsid w:val="00E00DF0"/>
    <w:rsid w:val="00E00E8E"/>
    <w:rsid w:val="00E025C0"/>
    <w:rsid w:val="00E05630"/>
    <w:rsid w:val="00E06868"/>
    <w:rsid w:val="00E06DBB"/>
    <w:rsid w:val="00E07FB2"/>
    <w:rsid w:val="00E10149"/>
    <w:rsid w:val="00E10E5E"/>
    <w:rsid w:val="00E11340"/>
    <w:rsid w:val="00E122A1"/>
    <w:rsid w:val="00E14F55"/>
    <w:rsid w:val="00E16372"/>
    <w:rsid w:val="00E16AD8"/>
    <w:rsid w:val="00E17D09"/>
    <w:rsid w:val="00E17F46"/>
    <w:rsid w:val="00E17FFA"/>
    <w:rsid w:val="00E20CF9"/>
    <w:rsid w:val="00E20E4D"/>
    <w:rsid w:val="00E20ED6"/>
    <w:rsid w:val="00E211C5"/>
    <w:rsid w:val="00E21358"/>
    <w:rsid w:val="00E2249B"/>
    <w:rsid w:val="00E22A0D"/>
    <w:rsid w:val="00E244F6"/>
    <w:rsid w:val="00E258DB"/>
    <w:rsid w:val="00E2771E"/>
    <w:rsid w:val="00E311EF"/>
    <w:rsid w:val="00E32180"/>
    <w:rsid w:val="00E34378"/>
    <w:rsid w:val="00E34948"/>
    <w:rsid w:val="00E36C64"/>
    <w:rsid w:val="00E37569"/>
    <w:rsid w:val="00E401B2"/>
    <w:rsid w:val="00E41E30"/>
    <w:rsid w:val="00E42F73"/>
    <w:rsid w:val="00E430EA"/>
    <w:rsid w:val="00E43D70"/>
    <w:rsid w:val="00E447FD"/>
    <w:rsid w:val="00E466F3"/>
    <w:rsid w:val="00E46CE2"/>
    <w:rsid w:val="00E47B2C"/>
    <w:rsid w:val="00E47FD1"/>
    <w:rsid w:val="00E51560"/>
    <w:rsid w:val="00E51821"/>
    <w:rsid w:val="00E5394B"/>
    <w:rsid w:val="00E53FC8"/>
    <w:rsid w:val="00E54347"/>
    <w:rsid w:val="00E55424"/>
    <w:rsid w:val="00E55915"/>
    <w:rsid w:val="00E55BB5"/>
    <w:rsid w:val="00E55F5C"/>
    <w:rsid w:val="00E60627"/>
    <w:rsid w:val="00E61120"/>
    <w:rsid w:val="00E611DF"/>
    <w:rsid w:val="00E637DD"/>
    <w:rsid w:val="00E65E79"/>
    <w:rsid w:val="00E66BA2"/>
    <w:rsid w:val="00E67416"/>
    <w:rsid w:val="00E7168F"/>
    <w:rsid w:val="00E718B6"/>
    <w:rsid w:val="00E723BA"/>
    <w:rsid w:val="00E725DF"/>
    <w:rsid w:val="00E7294D"/>
    <w:rsid w:val="00E73581"/>
    <w:rsid w:val="00E75172"/>
    <w:rsid w:val="00E75C16"/>
    <w:rsid w:val="00E77B26"/>
    <w:rsid w:val="00E82B3E"/>
    <w:rsid w:val="00E833F7"/>
    <w:rsid w:val="00E83BDF"/>
    <w:rsid w:val="00E85D34"/>
    <w:rsid w:val="00E86FCC"/>
    <w:rsid w:val="00E87A1D"/>
    <w:rsid w:val="00E90390"/>
    <w:rsid w:val="00E9094A"/>
    <w:rsid w:val="00E91D35"/>
    <w:rsid w:val="00E926A5"/>
    <w:rsid w:val="00E9492F"/>
    <w:rsid w:val="00E962CC"/>
    <w:rsid w:val="00EA114D"/>
    <w:rsid w:val="00EA17C3"/>
    <w:rsid w:val="00EA2CAA"/>
    <w:rsid w:val="00EA3864"/>
    <w:rsid w:val="00EA3A7F"/>
    <w:rsid w:val="00EA55A4"/>
    <w:rsid w:val="00EA6E5A"/>
    <w:rsid w:val="00EA7305"/>
    <w:rsid w:val="00EA7456"/>
    <w:rsid w:val="00EA7E15"/>
    <w:rsid w:val="00EA7F1C"/>
    <w:rsid w:val="00EB02C7"/>
    <w:rsid w:val="00EB15B6"/>
    <w:rsid w:val="00EB22B7"/>
    <w:rsid w:val="00EB2C9B"/>
    <w:rsid w:val="00EB3D06"/>
    <w:rsid w:val="00EB4916"/>
    <w:rsid w:val="00EB49C5"/>
    <w:rsid w:val="00EB57A0"/>
    <w:rsid w:val="00EB76D3"/>
    <w:rsid w:val="00EC001E"/>
    <w:rsid w:val="00EC00C9"/>
    <w:rsid w:val="00EC0DD9"/>
    <w:rsid w:val="00EC2649"/>
    <w:rsid w:val="00EC31ED"/>
    <w:rsid w:val="00EC54B8"/>
    <w:rsid w:val="00EC5836"/>
    <w:rsid w:val="00EC5BC1"/>
    <w:rsid w:val="00EC633C"/>
    <w:rsid w:val="00EC688C"/>
    <w:rsid w:val="00EC75DF"/>
    <w:rsid w:val="00ED0ABB"/>
    <w:rsid w:val="00ED12E3"/>
    <w:rsid w:val="00ED1942"/>
    <w:rsid w:val="00ED28D6"/>
    <w:rsid w:val="00ED2E5C"/>
    <w:rsid w:val="00ED426D"/>
    <w:rsid w:val="00ED495F"/>
    <w:rsid w:val="00ED4B04"/>
    <w:rsid w:val="00ED57EA"/>
    <w:rsid w:val="00ED5BD4"/>
    <w:rsid w:val="00EE037C"/>
    <w:rsid w:val="00EE07D3"/>
    <w:rsid w:val="00EE0868"/>
    <w:rsid w:val="00EE0B1D"/>
    <w:rsid w:val="00EE1996"/>
    <w:rsid w:val="00EE1C01"/>
    <w:rsid w:val="00EE22AF"/>
    <w:rsid w:val="00EF0171"/>
    <w:rsid w:val="00EF1B25"/>
    <w:rsid w:val="00EF1DA0"/>
    <w:rsid w:val="00EF2BDC"/>
    <w:rsid w:val="00EF4747"/>
    <w:rsid w:val="00EF4BF8"/>
    <w:rsid w:val="00EF5A86"/>
    <w:rsid w:val="00EF6632"/>
    <w:rsid w:val="00EF6B11"/>
    <w:rsid w:val="00F0033C"/>
    <w:rsid w:val="00F02253"/>
    <w:rsid w:val="00F03C2E"/>
    <w:rsid w:val="00F0456F"/>
    <w:rsid w:val="00F04A66"/>
    <w:rsid w:val="00F04B4B"/>
    <w:rsid w:val="00F0516C"/>
    <w:rsid w:val="00F05BB6"/>
    <w:rsid w:val="00F067A2"/>
    <w:rsid w:val="00F074B0"/>
    <w:rsid w:val="00F07B9E"/>
    <w:rsid w:val="00F07D8E"/>
    <w:rsid w:val="00F10A1E"/>
    <w:rsid w:val="00F1116F"/>
    <w:rsid w:val="00F1263A"/>
    <w:rsid w:val="00F12E8B"/>
    <w:rsid w:val="00F139C5"/>
    <w:rsid w:val="00F15B77"/>
    <w:rsid w:val="00F17EF0"/>
    <w:rsid w:val="00F21236"/>
    <w:rsid w:val="00F21B0F"/>
    <w:rsid w:val="00F220C7"/>
    <w:rsid w:val="00F24837"/>
    <w:rsid w:val="00F25204"/>
    <w:rsid w:val="00F2575F"/>
    <w:rsid w:val="00F25A20"/>
    <w:rsid w:val="00F2700F"/>
    <w:rsid w:val="00F27565"/>
    <w:rsid w:val="00F27CED"/>
    <w:rsid w:val="00F3031B"/>
    <w:rsid w:val="00F310D4"/>
    <w:rsid w:val="00F31D5A"/>
    <w:rsid w:val="00F33975"/>
    <w:rsid w:val="00F33DE9"/>
    <w:rsid w:val="00F35E6D"/>
    <w:rsid w:val="00F35EF4"/>
    <w:rsid w:val="00F3619A"/>
    <w:rsid w:val="00F36305"/>
    <w:rsid w:val="00F368A5"/>
    <w:rsid w:val="00F37A3A"/>
    <w:rsid w:val="00F40AAA"/>
    <w:rsid w:val="00F40BA7"/>
    <w:rsid w:val="00F40F9D"/>
    <w:rsid w:val="00F41ACD"/>
    <w:rsid w:val="00F41CFB"/>
    <w:rsid w:val="00F4360E"/>
    <w:rsid w:val="00F46CB6"/>
    <w:rsid w:val="00F4756D"/>
    <w:rsid w:val="00F47DDA"/>
    <w:rsid w:val="00F47DE8"/>
    <w:rsid w:val="00F50328"/>
    <w:rsid w:val="00F50E2C"/>
    <w:rsid w:val="00F5115E"/>
    <w:rsid w:val="00F51DDC"/>
    <w:rsid w:val="00F542C1"/>
    <w:rsid w:val="00F544CB"/>
    <w:rsid w:val="00F5467E"/>
    <w:rsid w:val="00F546C8"/>
    <w:rsid w:val="00F54E8F"/>
    <w:rsid w:val="00F550E3"/>
    <w:rsid w:val="00F554D3"/>
    <w:rsid w:val="00F55E73"/>
    <w:rsid w:val="00F55EDA"/>
    <w:rsid w:val="00F56C80"/>
    <w:rsid w:val="00F5704D"/>
    <w:rsid w:val="00F5729E"/>
    <w:rsid w:val="00F60092"/>
    <w:rsid w:val="00F6088A"/>
    <w:rsid w:val="00F61C18"/>
    <w:rsid w:val="00F65F4B"/>
    <w:rsid w:val="00F66123"/>
    <w:rsid w:val="00F66680"/>
    <w:rsid w:val="00F67A69"/>
    <w:rsid w:val="00F70BFF"/>
    <w:rsid w:val="00F70C9D"/>
    <w:rsid w:val="00F72C4A"/>
    <w:rsid w:val="00F73200"/>
    <w:rsid w:val="00F73C7E"/>
    <w:rsid w:val="00F73E08"/>
    <w:rsid w:val="00F74CD9"/>
    <w:rsid w:val="00F7788E"/>
    <w:rsid w:val="00F80A7B"/>
    <w:rsid w:val="00F80E5D"/>
    <w:rsid w:val="00F81E78"/>
    <w:rsid w:val="00F83916"/>
    <w:rsid w:val="00F851CE"/>
    <w:rsid w:val="00F8549C"/>
    <w:rsid w:val="00F91219"/>
    <w:rsid w:val="00F912FD"/>
    <w:rsid w:val="00F9212D"/>
    <w:rsid w:val="00F92444"/>
    <w:rsid w:val="00F9393E"/>
    <w:rsid w:val="00F9465D"/>
    <w:rsid w:val="00F96FD0"/>
    <w:rsid w:val="00F97A78"/>
    <w:rsid w:val="00FA09CE"/>
    <w:rsid w:val="00FA0B20"/>
    <w:rsid w:val="00FA1480"/>
    <w:rsid w:val="00FA2436"/>
    <w:rsid w:val="00FA24E7"/>
    <w:rsid w:val="00FA2A34"/>
    <w:rsid w:val="00FA2A40"/>
    <w:rsid w:val="00FA5EE6"/>
    <w:rsid w:val="00FA7956"/>
    <w:rsid w:val="00FB0824"/>
    <w:rsid w:val="00FB2FCB"/>
    <w:rsid w:val="00FB3650"/>
    <w:rsid w:val="00FB4C9C"/>
    <w:rsid w:val="00FB5BE6"/>
    <w:rsid w:val="00FB6172"/>
    <w:rsid w:val="00FB6E87"/>
    <w:rsid w:val="00FB7C55"/>
    <w:rsid w:val="00FC1074"/>
    <w:rsid w:val="00FC1884"/>
    <w:rsid w:val="00FC371D"/>
    <w:rsid w:val="00FC5F0B"/>
    <w:rsid w:val="00FC6528"/>
    <w:rsid w:val="00FD2100"/>
    <w:rsid w:val="00FD436C"/>
    <w:rsid w:val="00FD446D"/>
    <w:rsid w:val="00FD4F2C"/>
    <w:rsid w:val="00FD6394"/>
    <w:rsid w:val="00FD6CE5"/>
    <w:rsid w:val="00FD6E91"/>
    <w:rsid w:val="00FD6FE9"/>
    <w:rsid w:val="00FE0E6C"/>
    <w:rsid w:val="00FE1CDC"/>
    <w:rsid w:val="00FE3512"/>
    <w:rsid w:val="00FE70C3"/>
    <w:rsid w:val="00FF1A8B"/>
    <w:rsid w:val="00FF2AD9"/>
    <w:rsid w:val="00FF308D"/>
    <w:rsid w:val="00FF359F"/>
    <w:rsid w:val="00FF3DCF"/>
    <w:rsid w:val="00FF492C"/>
    <w:rsid w:val="00FF4A21"/>
    <w:rsid w:val="00FF5AA3"/>
    <w:rsid w:val="00FF5AD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53953"/>
    <o:shapelayout v:ext="edit">
      <o:idmap v:ext="edit" data="1"/>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00B3"/>
    <w:pPr>
      <w:jc w:val="both"/>
    </w:pPr>
    <w:rPr>
      <w:rFonts w:ascii="Calibri" w:hAnsi="Calibri" w:cs="Arial"/>
      <w:sz w:val="24"/>
      <w:szCs w:val="24"/>
    </w:rPr>
  </w:style>
  <w:style w:type="paragraph" w:styleId="Heading1">
    <w:name w:val="heading 1"/>
    <w:basedOn w:val="Normal"/>
    <w:next w:val="Normal"/>
    <w:link w:val="Heading1Char"/>
    <w:uiPriority w:val="9"/>
    <w:qFormat/>
    <w:rsid w:val="001B204E"/>
    <w:pPr>
      <w:ind w:left="720" w:hanging="720"/>
      <w:outlineLvl w:val="0"/>
    </w:pPr>
    <w:rPr>
      <w:b/>
      <w:caps/>
      <w:sz w:val="32"/>
    </w:rPr>
  </w:style>
  <w:style w:type="paragraph" w:styleId="Heading2">
    <w:name w:val="heading 2"/>
    <w:basedOn w:val="Normal"/>
    <w:next w:val="Normal"/>
    <w:link w:val="Heading2Char"/>
    <w:uiPriority w:val="9"/>
    <w:qFormat/>
    <w:rsid w:val="001B204E"/>
    <w:pPr>
      <w:outlineLvl w:val="1"/>
    </w:pPr>
    <w:rPr>
      <w:b/>
      <w:i/>
      <w:sz w:val="28"/>
    </w:rPr>
  </w:style>
  <w:style w:type="paragraph" w:styleId="Heading3">
    <w:name w:val="heading 3"/>
    <w:basedOn w:val="Normal"/>
    <w:next w:val="Normal"/>
    <w:link w:val="Heading3Char"/>
    <w:uiPriority w:val="9"/>
    <w:qFormat/>
    <w:rsid w:val="001F7361"/>
    <w:pPr>
      <w:outlineLvl w:val="2"/>
    </w:pPr>
    <w:rPr>
      <w:u w:val="single"/>
    </w:rPr>
  </w:style>
  <w:style w:type="paragraph" w:styleId="Heading4">
    <w:name w:val="heading 4"/>
    <w:basedOn w:val="Normal"/>
    <w:next w:val="Normal"/>
    <w:link w:val="Heading4Char"/>
    <w:uiPriority w:val="9"/>
    <w:qFormat/>
    <w:rsid w:val="00124A51"/>
    <w:pPr>
      <w:keepNext/>
      <w:spacing w:before="240" w:after="60"/>
      <w:outlineLvl w:val="3"/>
    </w:pPr>
    <w:rPr>
      <w:b/>
      <w:bCs/>
      <w:i/>
      <w:sz w:val="26"/>
      <w:szCs w:val="28"/>
    </w:rPr>
  </w:style>
  <w:style w:type="paragraph" w:styleId="Heading5">
    <w:name w:val="heading 5"/>
    <w:basedOn w:val="Normal"/>
    <w:next w:val="Normal"/>
    <w:link w:val="Heading5Char"/>
    <w:uiPriority w:val="9"/>
    <w:qFormat/>
    <w:rsid w:val="00124A51"/>
    <w:pPr>
      <w:spacing w:before="240" w:after="60"/>
      <w:outlineLvl w:val="4"/>
    </w:pPr>
    <w:rPr>
      <w:b/>
      <w:bCs/>
      <w:iCs/>
      <w:sz w:val="26"/>
      <w:szCs w:val="26"/>
    </w:rPr>
  </w:style>
  <w:style w:type="paragraph" w:styleId="Heading6">
    <w:name w:val="heading 6"/>
    <w:basedOn w:val="Normal"/>
    <w:next w:val="Normal"/>
    <w:link w:val="Heading6Char"/>
    <w:uiPriority w:val="9"/>
    <w:qFormat/>
    <w:rsid w:val="00124A51"/>
    <w:pPr>
      <w:spacing w:before="240" w:after="60"/>
      <w:outlineLvl w:val="5"/>
    </w:pPr>
    <w:rPr>
      <w:b/>
      <w:bCs/>
      <w:i/>
    </w:rPr>
  </w:style>
  <w:style w:type="paragraph" w:styleId="Heading7">
    <w:name w:val="heading 7"/>
    <w:basedOn w:val="Normal"/>
    <w:next w:val="Normal"/>
    <w:link w:val="Heading7Char"/>
    <w:uiPriority w:val="9"/>
    <w:qFormat/>
    <w:rsid w:val="00124A51"/>
    <w:pPr>
      <w:keepNext/>
      <w:jc w:val="center"/>
      <w:outlineLvl w:val="6"/>
    </w:pPr>
    <w:rPr>
      <w:b/>
      <w:sz w:val="20"/>
    </w:rPr>
  </w:style>
  <w:style w:type="paragraph" w:styleId="Heading8">
    <w:name w:val="heading 8"/>
    <w:basedOn w:val="Normal"/>
    <w:next w:val="Normal"/>
    <w:link w:val="Heading8Char"/>
    <w:uiPriority w:val="9"/>
    <w:qFormat/>
    <w:rsid w:val="00124A51"/>
    <w:pPr>
      <w:keepNext/>
      <w:jc w:val="right"/>
      <w:outlineLvl w:val="7"/>
    </w:pPr>
    <w:rPr>
      <w:b/>
    </w:rPr>
  </w:style>
  <w:style w:type="paragraph" w:styleId="Heading9">
    <w:name w:val="heading 9"/>
    <w:basedOn w:val="Normal"/>
    <w:next w:val="Normal"/>
    <w:link w:val="Heading9Char"/>
    <w:uiPriority w:val="9"/>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uiPriority w:val="9"/>
    <w:rsid w:val="00124A51"/>
    <w:rPr>
      <w:rFonts w:ascii="Arial" w:hAnsi="Arial"/>
      <w:b/>
      <w:snapToGrid w:val="0"/>
      <w:lang w:eastAsia="en-US"/>
    </w:rPr>
  </w:style>
  <w:style w:type="character" w:customStyle="1" w:styleId="Heading8Char">
    <w:name w:val="Heading 8 Char"/>
    <w:basedOn w:val="DefaultParagraphFont"/>
    <w:link w:val="Heading8"/>
    <w:uiPriority w:val="9"/>
    <w:rsid w:val="00124A51"/>
    <w:rPr>
      <w:b/>
      <w:snapToGrid w:val="0"/>
      <w:sz w:val="24"/>
      <w:lang w:eastAsia="en-US"/>
    </w:rPr>
  </w:style>
  <w:style w:type="character" w:customStyle="1" w:styleId="Heading9Char">
    <w:name w:val="Heading 9 Char"/>
    <w:basedOn w:val="DefaultParagraphFont"/>
    <w:link w:val="Heading9"/>
    <w:uiPriority w:val="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qFormat/>
    <w:rsid w:val="000D1BFC"/>
    <w:rPr>
      <w:b/>
      <w:sz w:val="20"/>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iPriority w:val="35"/>
    <w:unhideWhenUsed/>
    <w:qFormat/>
    <w:rsid w:val="00E16AD8"/>
    <w:pPr>
      <w:keepNext/>
      <w:keepLines/>
    </w:pPr>
    <w:rPr>
      <w:rFonts w:ascii="Arial Narrow" w:hAnsi="Arial Narrow"/>
      <w:b/>
      <w:bCs/>
      <w:sz w:val="20"/>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uiPriority w:val="35"/>
    <w:rsid w:val="00E16AD8"/>
    <w:rPr>
      <w:rFonts w:ascii="Arial Narrow" w:hAnsi="Arial Narrow" w:cs="Arial"/>
      <w:b/>
      <w:bCs/>
      <w:szCs w:val="18"/>
    </w:rPr>
  </w:style>
  <w:style w:type="paragraph" w:styleId="Title">
    <w:name w:val="Title"/>
    <w:basedOn w:val="Normal"/>
    <w:next w:val="Normal"/>
    <w:link w:val="TitleChar"/>
    <w:uiPriority w:val="10"/>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124A51"/>
    <w:rPr>
      <w:rFonts w:ascii="Cambria" w:hAnsi="Cambria"/>
      <w:b/>
      <w:bCs/>
      <w:snapToGrid w:val="0"/>
      <w:kern w:val="28"/>
      <w:sz w:val="32"/>
      <w:szCs w:val="32"/>
      <w:lang w:eastAsia="en-US"/>
    </w:rPr>
  </w:style>
  <w:style w:type="paragraph" w:styleId="BodyText">
    <w:name w:val="Body Text"/>
    <w:basedOn w:val="Normal"/>
    <w:link w:val="BodyTextChar"/>
    <w:uiPriority w:val="99"/>
    <w:rsid w:val="004B3DDB"/>
    <w:pPr>
      <w:jc w:val="left"/>
    </w:pPr>
  </w:style>
  <w:style w:type="character" w:customStyle="1" w:styleId="BodyTextChar">
    <w:name w:val="Body Text Char"/>
    <w:basedOn w:val="DefaultParagraphFont"/>
    <w:link w:val="BodyText"/>
    <w:uiPriority w:val="99"/>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Table Legend,Bullet1,Bullet 1,Bullet List,Section 5,ES Paragraph,PBAC ES Paragraph,PBAC normal points"/>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Table Legend Char,Bullet1 Char,Bullet 1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new style,HTAtableplain,PBAC table,MSD Table Grid"/>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8D10A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CommentText">
    <w:name w:val="annotation text"/>
    <w:aliases w:val="Comment Text Char Char Char,Comment Text Char Char"/>
    <w:basedOn w:val="Normal"/>
    <w:link w:val="CommentTextChar"/>
    <w:uiPriority w:val="99"/>
    <w:rsid w:val="00FD2100"/>
    <w:rPr>
      <w:rFonts w:ascii="Times New Roman" w:hAnsi="Times New Roman" w:cs="Times New Roman"/>
      <w:sz w:val="20"/>
    </w:rPr>
  </w:style>
  <w:style w:type="character" w:customStyle="1" w:styleId="CommentTextChar">
    <w:name w:val="Comment Text Char"/>
    <w:aliases w:val="Comment Text Char Char Char Char,Comment Text Char Char Char1"/>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uiPriority w:val="11"/>
    <w:rsid w:val="00B50DB8"/>
    <w:rPr>
      <w:lang w:eastAsia="en-US"/>
    </w:rPr>
  </w:style>
  <w:style w:type="paragraph" w:styleId="Subtitle">
    <w:name w:val="Subtitle"/>
    <w:basedOn w:val="Normal"/>
    <w:link w:val="SubtitleChar"/>
    <w:uiPriority w:val="11"/>
    <w:qFormat/>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536F42"/>
    <w:rPr>
      <w:color w:val="800080" w:themeColor="followedHyperlink"/>
      <w:u w:val="single"/>
    </w:rPr>
  </w:style>
  <w:style w:type="character" w:styleId="PageNumber">
    <w:name w:val="page number"/>
    <w:basedOn w:val="DefaultParagraphFont"/>
    <w:uiPriority w:val="99"/>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uiPriority w:val="99"/>
    <w:semiHidden/>
    <w:unhideWhenUsed/>
    <w:rsid w:val="00B34FE2"/>
    <w:rPr>
      <w:rFonts w:ascii="Tahoma" w:hAnsi="Tahoma" w:cs="Tahoma"/>
      <w:sz w:val="16"/>
      <w:szCs w:val="16"/>
    </w:rPr>
  </w:style>
  <w:style w:type="character" w:customStyle="1" w:styleId="BalloonTextChar">
    <w:name w:val="Balloon Text Char"/>
    <w:basedOn w:val="DefaultParagraphFont"/>
    <w:link w:val="BalloonText"/>
    <w:uiPriority w:val="99"/>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5"/>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uiPriority w:val="99"/>
    <w:rsid w:val="00D30D5B"/>
    <w:pPr>
      <w:numPr>
        <w:numId w:val="7"/>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customStyle="1" w:styleId="TableFigureFooter">
    <w:name w:val="Table/Figure Footer"/>
    <w:basedOn w:val="Normal"/>
    <w:link w:val="TableFigureFooterChar"/>
    <w:qFormat/>
    <w:rsid w:val="00093E39"/>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093E39"/>
    <w:rPr>
      <w:rFonts w:ascii="Arial Narrow" w:hAnsi="Arial Narrow" w:cs="Arial"/>
      <w:snapToGrid w:val="0"/>
      <w:sz w:val="18"/>
      <w:szCs w:val="22"/>
    </w:rPr>
  </w:style>
  <w:style w:type="paragraph" w:customStyle="1" w:styleId="3Bodytext">
    <w:name w:val="3. Body text"/>
    <w:basedOn w:val="ListParagraph"/>
    <w:link w:val="3BodytextChar"/>
    <w:qFormat/>
    <w:rsid w:val="00454E54"/>
    <w:pPr>
      <w:numPr>
        <w:numId w:val="0"/>
      </w:numPr>
      <w:ind w:left="862" w:hanging="720"/>
      <w:jc w:val="left"/>
    </w:pPr>
    <w:rPr>
      <w:rFonts w:eastAsiaTheme="minorHAnsi" w:cstheme="minorBidi"/>
      <w:snapToGrid/>
      <w:szCs w:val="22"/>
    </w:rPr>
  </w:style>
  <w:style w:type="character" w:customStyle="1" w:styleId="3BodytextChar">
    <w:name w:val="3. Body text Char"/>
    <w:basedOn w:val="DefaultParagraphFont"/>
    <w:link w:val="3Bodytext"/>
    <w:rsid w:val="00454E54"/>
    <w:rPr>
      <w:rFonts w:asciiTheme="minorHAnsi" w:eastAsiaTheme="minorHAnsi" w:hAnsiTheme="minorHAnsi" w:cstheme="minorBidi"/>
      <w:sz w:val="24"/>
      <w:szCs w:val="22"/>
    </w:rPr>
  </w:style>
  <w:style w:type="paragraph" w:styleId="FootnoteText">
    <w:name w:val="footnote text"/>
    <w:basedOn w:val="Normal"/>
    <w:link w:val="FootnoteTextChar"/>
    <w:uiPriority w:val="99"/>
    <w:unhideWhenUsed/>
    <w:rsid w:val="00010D2A"/>
    <w:rPr>
      <w:rFonts w:eastAsiaTheme="minorHAnsi" w:cstheme="minorBidi"/>
      <w:sz w:val="20"/>
      <w:szCs w:val="20"/>
      <w:lang w:eastAsia="en-US"/>
    </w:rPr>
  </w:style>
  <w:style w:type="character" w:customStyle="1" w:styleId="FootnoteTextChar">
    <w:name w:val="Footnote Text Char"/>
    <w:basedOn w:val="DefaultParagraphFont"/>
    <w:link w:val="FootnoteText"/>
    <w:uiPriority w:val="99"/>
    <w:rsid w:val="00010D2A"/>
    <w:rPr>
      <w:rFonts w:ascii="Calibri" w:eastAsiaTheme="minorHAnsi" w:hAnsi="Calibri" w:cstheme="minorBidi"/>
      <w:lang w:eastAsia="en-US"/>
    </w:rPr>
  </w:style>
  <w:style w:type="character" w:styleId="FootnoteReference">
    <w:name w:val="footnote reference"/>
    <w:basedOn w:val="DefaultParagraphFont"/>
    <w:uiPriority w:val="99"/>
    <w:unhideWhenUsed/>
    <w:rsid w:val="00010D2A"/>
    <w:rPr>
      <w:vertAlign w:val="superscript"/>
    </w:rPr>
  </w:style>
  <w:style w:type="character" w:customStyle="1" w:styleId="TableTextChar1">
    <w:name w:val="TableText Char"/>
    <w:link w:val="TableText1"/>
    <w:locked/>
    <w:rsid w:val="007E7AC8"/>
    <w:rPr>
      <w:iCs/>
      <w:szCs w:val="18"/>
    </w:rPr>
  </w:style>
  <w:style w:type="paragraph" w:customStyle="1" w:styleId="TableText1">
    <w:name w:val="TableText"/>
    <w:basedOn w:val="Normal"/>
    <w:link w:val="TableTextChar1"/>
    <w:qFormat/>
    <w:rsid w:val="007E7AC8"/>
    <w:pPr>
      <w:spacing w:before="40" w:after="40"/>
      <w:jc w:val="left"/>
    </w:pPr>
    <w:rPr>
      <w:rFonts w:ascii="Times New Roman" w:hAnsi="Times New Roman" w:cs="Times New Roman"/>
      <w:iCs/>
      <w:sz w:val="20"/>
      <w:szCs w:val="18"/>
    </w:rPr>
  </w:style>
  <w:style w:type="numbering" w:customStyle="1" w:styleId="CurrentList15">
    <w:name w:val="Current List15"/>
    <w:uiPriority w:val="99"/>
    <w:rsid w:val="005A0927"/>
    <w:pPr>
      <w:numPr>
        <w:numId w:val="10"/>
      </w:numPr>
    </w:pPr>
  </w:style>
  <w:style w:type="character" w:styleId="Strong">
    <w:name w:val="Strong"/>
    <w:basedOn w:val="DefaultParagraphFont"/>
    <w:uiPriority w:val="22"/>
    <w:qFormat/>
    <w:rsid w:val="005A0927"/>
    <w:rPr>
      <w:b/>
      <w:bCs/>
    </w:rPr>
  </w:style>
  <w:style w:type="paragraph" w:customStyle="1" w:styleId="TableNotes">
    <w:name w:val="Table Notes"/>
    <w:basedOn w:val="Normal"/>
    <w:link w:val="TableNotesChar"/>
    <w:qFormat/>
    <w:rsid w:val="005A0927"/>
    <w:pPr>
      <w:spacing w:after="40" w:line="276" w:lineRule="auto"/>
      <w:jc w:val="left"/>
    </w:pPr>
    <w:rPr>
      <w:rFonts w:eastAsiaTheme="majorEastAsia" w:cstheme="majorBidi"/>
      <w:sz w:val="16"/>
      <w:szCs w:val="22"/>
      <w:lang w:eastAsia="en-US" w:bidi="en-US"/>
    </w:rPr>
  </w:style>
  <w:style w:type="character" w:customStyle="1" w:styleId="TableNotesChar">
    <w:name w:val="Table Notes Char"/>
    <w:basedOn w:val="DefaultParagraphFont"/>
    <w:link w:val="TableNotes"/>
    <w:rsid w:val="005A0927"/>
    <w:rPr>
      <w:rFonts w:ascii="Calibri" w:eastAsiaTheme="majorEastAsia" w:hAnsi="Calibri" w:cstheme="majorBidi"/>
      <w:sz w:val="16"/>
      <w:szCs w:val="22"/>
      <w:lang w:eastAsia="en-US" w:bidi="en-US"/>
    </w:rPr>
  </w:style>
  <w:style w:type="paragraph" w:customStyle="1" w:styleId="Body">
    <w:name w:val="Body"/>
    <w:basedOn w:val="Normal"/>
    <w:link w:val="BodyChar"/>
    <w:qFormat/>
    <w:rsid w:val="005A0927"/>
    <w:pPr>
      <w:spacing w:before="120" w:after="200" w:line="276" w:lineRule="auto"/>
    </w:pPr>
    <w:rPr>
      <w:rFonts w:eastAsia="Calibri" w:cs="Calibri"/>
      <w:sz w:val="22"/>
      <w:szCs w:val="22"/>
      <w:lang w:eastAsia="en-US"/>
    </w:rPr>
  </w:style>
  <w:style w:type="character" w:customStyle="1" w:styleId="BodyChar">
    <w:name w:val="Body Char"/>
    <w:link w:val="Body"/>
    <w:rsid w:val="005A0927"/>
    <w:rPr>
      <w:rFonts w:ascii="Calibri" w:eastAsia="Calibri" w:hAnsi="Calibri" w:cs="Calibri"/>
      <w:sz w:val="22"/>
      <w:szCs w:val="22"/>
      <w:lang w:eastAsia="en-US"/>
    </w:rPr>
  </w:style>
  <w:style w:type="paragraph" w:customStyle="1" w:styleId="BodyText0">
    <w:name w:val="BodyText"/>
    <w:basedOn w:val="Normal"/>
    <w:link w:val="BodyTextChar0"/>
    <w:qFormat/>
    <w:rsid w:val="005A0927"/>
    <w:pPr>
      <w:spacing w:before="120" w:after="240" w:line="288" w:lineRule="auto"/>
    </w:pPr>
    <w:rPr>
      <w:rFonts w:cs="Tahoma"/>
      <w:sz w:val="22"/>
      <w:szCs w:val="22"/>
    </w:rPr>
  </w:style>
  <w:style w:type="character" w:customStyle="1" w:styleId="BodyTextChar0">
    <w:name w:val="BodyText Char"/>
    <w:basedOn w:val="DefaultParagraphFont"/>
    <w:link w:val="BodyText0"/>
    <w:rsid w:val="005A0927"/>
    <w:rPr>
      <w:rFonts w:ascii="Calibri" w:hAnsi="Calibri" w:cs="Tahoma"/>
      <w:sz w:val="22"/>
      <w:szCs w:val="22"/>
    </w:rPr>
  </w:style>
  <w:style w:type="character" w:customStyle="1" w:styleId="Heading1Char">
    <w:name w:val="Heading 1 Char"/>
    <w:basedOn w:val="DefaultParagraphFont"/>
    <w:link w:val="Heading1"/>
    <w:uiPriority w:val="9"/>
    <w:rsid w:val="00D02FE8"/>
    <w:rPr>
      <w:rFonts w:ascii="Calibri" w:hAnsi="Calibri" w:cs="Arial"/>
      <w:b/>
      <w:caps/>
      <w:sz w:val="32"/>
      <w:szCs w:val="24"/>
    </w:rPr>
  </w:style>
  <w:style w:type="character" w:customStyle="1" w:styleId="Heading3Char">
    <w:name w:val="Heading 3 Char"/>
    <w:basedOn w:val="DefaultParagraphFont"/>
    <w:link w:val="Heading3"/>
    <w:uiPriority w:val="9"/>
    <w:rsid w:val="00D02FE8"/>
    <w:rPr>
      <w:rFonts w:ascii="Calibri" w:hAnsi="Calibri" w:cs="Arial"/>
      <w:sz w:val="24"/>
      <w:szCs w:val="24"/>
      <w:u w:val="single"/>
    </w:rPr>
  </w:style>
  <w:style w:type="character" w:customStyle="1" w:styleId="Heading4Char">
    <w:name w:val="Heading 4 Char"/>
    <w:basedOn w:val="DefaultParagraphFont"/>
    <w:link w:val="Heading4"/>
    <w:uiPriority w:val="9"/>
    <w:rsid w:val="00D02FE8"/>
    <w:rPr>
      <w:rFonts w:ascii="Calibri" w:hAnsi="Calibri" w:cs="Arial"/>
      <w:b/>
      <w:bCs/>
      <w:i/>
      <w:sz w:val="26"/>
      <w:szCs w:val="28"/>
    </w:rPr>
  </w:style>
  <w:style w:type="character" w:customStyle="1" w:styleId="Heading5Char">
    <w:name w:val="Heading 5 Char"/>
    <w:basedOn w:val="DefaultParagraphFont"/>
    <w:link w:val="Heading5"/>
    <w:uiPriority w:val="9"/>
    <w:rsid w:val="00D02FE8"/>
    <w:rPr>
      <w:rFonts w:ascii="Calibri" w:hAnsi="Calibri" w:cs="Arial"/>
      <w:b/>
      <w:bCs/>
      <w:iCs/>
      <w:sz w:val="26"/>
      <w:szCs w:val="26"/>
    </w:rPr>
  </w:style>
  <w:style w:type="character" w:customStyle="1" w:styleId="Heading6Char">
    <w:name w:val="Heading 6 Char"/>
    <w:basedOn w:val="DefaultParagraphFont"/>
    <w:link w:val="Heading6"/>
    <w:uiPriority w:val="9"/>
    <w:rsid w:val="00D02FE8"/>
    <w:rPr>
      <w:rFonts w:ascii="Calibri" w:hAnsi="Calibri" w:cs="Arial"/>
      <w:b/>
      <w:bCs/>
      <w:i/>
      <w:sz w:val="24"/>
      <w:szCs w:val="24"/>
    </w:rPr>
  </w:style>
  <w:style w:type="paragraph" w:customStyle="1" w:styleId="TableFootnote">
    <w:name w:val="Table Footnote"/>
    <w:basedOn w:val="Normal"/>
    <w:qFormat/>
    <w:rsid w:val="00D02FE8"/>
    <w:pPr>
      <w:spacing w:after="240"/>
      <w:contextualSpacing/>
      <w:jc w:val="left"/>
    </w:pPr>
    <w:rPr>
      <w:rFonts w:eastAsia="Calibri"/>
      <w:i/>
      <w:sz w:val="16"/>
      <w:lang w:eastAsia="en-US"/>
    </w:rPr>
  </w:style>
  <w:style w:type="character" w:customStyle="1" w:styleId="UnresolvedMention1">
    <w:name w:val="Unresolved Mention1"/>
    <w:uiPriority w:val="99"/>
    <w:semiHidden/>
    <w:unhideWhenUsed/>
    <w:rsid w:val="00D02FE8"/>
    <w:rPr>
      <w:color w:val="605E5C"/>
      <w:shd w:val="clear" w:color="auto" w:fill="E1DFDD"/>
    </w:rPr>
  </w:style>
  <w:style w:type="numbering" w:customStyle="1" w:styleId="CurrentList17">
    <w:name w:val="Current List17"/>
    <w:uiPriority w:val="99"/>
    <w:rsid w:val="00D02FE8"/>
    <w:pPr>
      <w:numPr>
        <w:numId w:val="30"/>
      </w:numPr>
    </w:pPr>
  </w:style>
  <w:style w:type="paragraph" w:customStyle="1" w:styleId="EndNoteBibliography">
    <w:name w:val="EndNote Bibliography"/>
    <w:basedOn w:val="Normal"/>
    <w:link w:val="EndNoteBibliographyChar"/>
    <w:rsid w:val="00D02FE8"/>
    <w:pPr>
      <w:spacing w:after="240"/>
      <w:jc w:val="left"/>
    </w:pPr>
    <w:rPr>
      <w:rFonts w:eastAsia="Calibri" w:cs="Calibri"/>
      <w:lang w:val="en-US" w:eastAsia="en-US"/>
    </w:rPr>
  </w:style>
  <w:style w:type="character" w:customStyle="1" w:styleId="EndNoteBibliographyChar">
    <w:name w:val="EndNote Bibliography Char"/>
    <w:link w:val="EndNoteBibliography"/>
    <w:rsid w:val="00D02FE8"/>
    <w:rPr>
      <w:rFonts w:ascii="Calibri" w:eastAsia="Calibri" w:hAnsi="Calibri" w:cs="Calibri"/>
      <w:sz w:val="24"/>
      <w:szCs w:val="24"/>
      <w:lang w:val="en-US" w:eastAsia="en-US"/>
    </w:rPr>
  </w:style>
  <w:style w:type="paragraph" w:styleId="TableofFigures">
    <w:name w:val="table of figures"/>
    <w:basedOn w:val="Normal"/>
    <w:next w:val="Normal"/>
    <w:uiPriority w:val="99"/>
    <w:unhideWhenUsed/>
    <w:rsid w:val="00D02FE8"/>
    <w:pPr>
      <w:jc w:val="left"/>
    </w:pPr>
    <w:rPr>
      <w:rFonts w:eastAsia="Calibri"/>
      <w:lang w:eastAsia="en-US"/>
    </w:rPr>
  </w:style>
  <w:style w:type="paragraph" w:customStyle="1" w:styleId="ESHeading3">
    <w:name w:val="ES Heading 3"/>
    <w:basedOn w:val="Heading3"/>
    <w:next w:val="Normal"/>
    <w:link w:val="ESHeading3Char"/>
    <w:qFormat/>
    <w:rsid w:val="00D02FE8"/>
    <w:pPr>
      <w:keepNext/>
      <w:keepLines/>
      <w:numPr>
        <w:ilvl w:val="2"/>
        <w:numId w:val="16"/>
      </w:numPr>
      <w:spacing w:before="40" w:after="240"/>
      <w:jc w:val="left"/>
    </w:pPr>
    <w:rPr>
      <w:rFonts w:cs="Times New Roman"/>
      <w:b/>
      <w:color w:val="000000"/>
      <w:u w:val="none"/>
      <w:lang w:eastAsia="en-US"/>
    </w:rPr>
  </w:style>
  <w:style w:type="numbering" w:customStyle="1" w:styleId="CurrentList1">
    <w:name w:val="Current List1"/>
    <w:uiPriority w:val="99"/>
    <w:rsid w:val="00D02FE8"/>
    <w:pPr>
      <w:numPr>
        <w:numId w:val="14"/>
      </w:numPr>
    </w:pPr>
  </w:style>
  <w:style w:type="character" w:customStyle="1" w:styleId="ESHeading3Char">
    <w:name w:val="ES Heading 3 Char"/>
    <w:link w:val="ESHeading3"/>
    <w:rsid w:val="00D02FE8"/>
    <w:rPr>
      <w:rFonts w:ascii="Calibri" w:hAnsi="Calibri"/>
      <w:b/>
      <w:color w:val="000000"/>
      <w:sz w:val="24"/>
      <w:szCs w:val="24"/>
      <w:lang w:eastAsia="en-US"/>
    </w:rPr>
  </w:style>
  <w:style w:type="paragraph" w:customStyle="1" w:styleId="ESHeading4">
    <w:name w:val="ES Heading 4"/>
    <w:basedOn w:val="ESHeading3"/>
    <w:next w:val="Normal"/>
    <w:link w:val="ESHeading4Char"/>
    <w:qFormat/>
    <w:rsid w:val="00D02FE8"/>
    <w:pPr>
      <w:numPr>
        <w:ilvl w:val="3"/>
      </w:numPr>
    </w:pPr>
  </w:style>
  <w:style w:type="numbering" w:customStyle="1" w:styleId="CurrentList2">
    <w:name w:val="Current List2"/>
    <w:uiPriority w:val="99"/>
    <w:rsid w:val="00D02FE8"/>
    <w:pPr>
      <w:numPr>
        <w:numId w:val="15"/>
      </w:numPr>
    </w:pPr>
  </w:style>
  <w:style w:type="character" w:customStyle="1" w:styleId="ESHeading4Char">
    <w:name w:val="ES Heading 4 Char"/>
    <w:link w:val="ESHeading4"/>
    <w:rsid w:val="00D02FE8"/>
    <w:rPr>
      <w:rFonts w:ascii="Calibri" w:hAnsi="Calibri"/>
      <w:b/>
      <w:color w:val="000000"/>
      <w:sz w:val="24"/>
      <w:szCs w:val="24"/>
      <w:lang w:eastAsia="en-US"/>
    </w:rPr>
  </w:style>
  <w:style w:type="paragraph" w:styleId="ListBullet2">
    <w:name w:val="List Bullet 2"/>
    <w:basedOn w:val="Normal"/>
    <w:uiPriority w:val="99"/>
    <w:unhideWhenUsed/>
    <w:rsid w:val="00D02FE8"/>
    <w:pPr>
      <w:numPr>
        <w:numId w:val="13"/>
      </w:numPr>
      <w:spacing w:after="240"/>
      <w:contextualSpacing/>
      <w:jc w:val="left"/>
    </w:pPr>
    <w:rPr>
      <w:rFonts w:eastAsia="Calibri"/>
      <w:lang w:eastAsia="en-US"/>
    </w:rPr>
  </w:style>
  <w:style w:type="paragraph" w:styleId="ListBullet3">
    <w:name w:val="List Bullet 3"/>
    <w:basedOn w:val="Normal"/>
    <w:uiPriority w:val="99"/>
    <w:unhideWhenUsed/>
    <w:rsid w:val="00D02FE8"/>
    <w:pPr>
      <w:numPr>
        <w:numId w:val="12"/>
      </w:numPr>
      <w:spacing w:after="240"/>
      <w:contextualSpacing/>
      <w:jc w:val="left"/>
    </w:pPr>
    <w:rPr>
      <w:rFonts w:eastAsia="Calibri"/>
      <w:lang w:eastAsia="en-US"/>
    </w:rPr>
  </w:style>
  <w:style w:type="paragraph" w:styleId="ListBullet4">
    <w:name w:val="List Bullet 4"/>
    <w:basedOn w:val="Normal"/>
    <w:uiPriority w:val="99"/>
    <w:unhideWhenUsed/>
    <w:rsid w:val="00D02FE8"/>
    <w:pPr>
      <w:numPr>
        <w:numId w:val="11"/>
      </w:numPr>
      <w:spacing w:after="240"/>
      <w:contextualSpacing/>
      <w:jc w:val="left"/>
    </w:pPr>
    <w:rPr>
      <w:rFonts w:eastAsia="Calibri"/>
      <w:lang w:eastAsia="en-US"/>
    </w:rPr>
  </w:style>
  <w:style w:type="paragraph" w:customStyle="1" w:styleId="Heading1nonumber">
    <w:name w:val="Heading 1 (no number)"/>
    <w:basedOn w:val="Heading1"/>
    <w:next w:val="Normal"/>
    <w:link w:val="Heading1nonumberChar"/>
    <w:qFormat/>
    <w:rsid w:val="00D02FE8"/>
    <w:pPr>
      <w:keepNext/>
      <w:keepLines/>
      <w:pageBreakBefore/>
      <w:pBdr>
        <w:bottom w:val="single" w:sz="4" w:space="1" w:color="auto"/>
      </w:pBdr>
      <w:spacing w:before="240" w:after="240"/>
      <w:ind w:left="0" w:firstLine="0"/>
      <w:jc w:val="left"/>
    </w:pPr>
    <w:rPr>
      <w:rFonts w:ascii="Calibri Light" w:hAnsi="Calibri Light" w:cs="Times New Roman"/>
      <w:caps w:val="0"/>
      <w:color w:val="000000"/>
      <w:sz w:val="36"/>
      <w:szCs w:val="32"/>
      <w:lang w:eastAsia="en-US"/>
    </w:rPr>
  </w:style>
  <w:style w:type="numbering" w:customStyle="1" w:styleId="CurrentList3">
    <w:name w:val="Current List3"/>
    <w:uiPriority w:val="99"/>
    <w:rsid w:val="00D02FE8"/>
    <w:pPr>
      <w:numPr>
        <w:numId w:val="17"/>
      </w:numPr>
    </w:pPr>
  </w:style>
  <w:style w:type="character" w:customStyle="1" w:styleId="Heading1nonumberChar">
    <w:name w:val="Heading 1 (no number) Char"/>
    <w:link w:val="Heading1nonumber"/>
    <w:rsid w:val="00D02FE8"/>
    <w:rPr>
      <w:rFonts w:ascii="Calibri Light" w:hAnsi="Calibri Light"/>
      <w:b/>
      <w:color w:val="000000"/>
      <w:sz w:val="36"/>
      <w:szCs w:val="32"/>
      <w:lang w:eastAsia="en-US"/>
    </w:rPr>
  </w:style>
  <w:style w:type="numbering" w:customStyle="1" w:styleId="CurrentList4">
    <w:name w:val="Current List4"/>
    <w:uiPriority w:val="99"/>
    <w:rsid w:val="00D02FE8"/>
    <w:pPr>
      <w:numPr>
        <w:numId w:val="18"/>
      </w:numPr>
    </w:pPr>
  </w:style>
  <w:style w:type="numbering" w:customStyle="1" w:styleId="CurrentList5">
    <w:name w:val="Current List5"/>
    <w:uiPriority w:val="99"/>
    <w:rsid w:val="00D02FE8"/>
    <w:pPr>
      <w:numPr>
        <w:numId w:val="19"/>
      </w:numPr>
    </w:pPr>
  </w:style>
  <w:style w:type="numbering" w:customStyle="1" w:styleId="CurrentList6">
    <w:name w:val="Current List6"/>
    <w:uiPriority w:val="99"/>
    <w:rsid w:val="00D02FE8"/>
    <w:pPr>
      <w:numPr>
        <w:numId w:val="20"/>
      </w:numPr>
    </w:pPr>
  </w:style>
  <w:style w:type="numbering" w:customStyle="1" w:styleId="CurrentList7">
    <w:name w:val="Current List7"/>
    <w:uiPriority w:val="99"/>
    <w:rsid w:val="00D02FE8"/>
    <w:pPr>
      <w:numPr>
        <w:numId w:val="21"/>
      </w:numPr>
    </w:pPr>
  </w:style>
  <w:style w:type="numbering" w:customStyle="1" w:styleId="CurrentList8">
    <w:name w:val="Current List8"/>
    <w:uiPriority w:val="99"/>
    <w:rsid w:val="00D02FE8"/>
    <w:pPr>
      <w:numPr>
        <w:numId w:val="22"/>
      </w:numPr>
    </w:pPr>
  </w:style>
  <w:style w:type="numbering" w:customStyle="1" w:styleId="CurrentList9">
    <w:name w:val="Current List9"/>
    <w:uiPriority w:val="99"/>
    <w:rsid w:val="00D02FE8"/>
    <w:pPr>
      <w:numPr>
        <w:numId w:val="23"/>
      </w:numPr>
    </w:pPr>
  </w:style>
  <w:style w:type="numbering" w:customStyle="1" w:styleId="CurrentList10">
    <w:name w:val="Current List10"/>
    <w:uiPriority w:val="99"/>
    <w:rsid w:val="00D02FE8"/>
    <w:pPr>
      <w:numPr>
        <w:numId w:val="24"/>
      </w:numPr>
    </w:pPr>
  </w:style>
  <w:style w:type="numbering" w:customStyle="1" w:styleId="CurrentList11">
    <w:name w:val="Current List11"/>
    <w:uiPriority w:val="99"/>
    <w:rsid w:val="00D02FE8"/>
    <w:pPr>
      <w:numPr>
        <w:numId w:val="25"/>
      </w:numPr>
    </w:pPr>
  </w:style>
  <w:style w:type="numbering" w:customStyle="1" w:styleId="CurrentList12">
    <w:name w:val="Current List12"/>
    <w:uiPriority w:val="99"/>
    <w:rsid w:val="00D02FE8"/>
    <w:pPr>
      <w:numPr>
        <w:numId w:val="26"/>
      </w:numPr>
    </w:pPr>
  </w:style>
  <w:style w:type="numbering" w:customStyle="1" w:styleId="CurrentList13">
    <w:name w:val="Current List13"/>
    <w:uiPriority w:val="99"/>
    <w:rsid w:val="00D02FE8"/>
    <w:pPr>
      <w:numPr>
        <w:numId w:val="27"/>
      </w:numPr>
    </w:pPr>
  </w:style>
  <w:style w:type="numbering" w:customStyle="1" w:styleId="CurrentList14">
    <w:name w:val="Current List14"/>
    <w:uiPriority w:val="99"/>
    <w:rsid w:val="00D02FE8"/>
    <w:pPr>
      <w:numPr>
        <w:numId w:val="28"/>
      </w:numPr>
    </w:pPr>
  </w:style>
  <w:style w:type="numbering" w:customStyle="1" w:styleId="CurrentList16">
    <w:name w:val="Current List16"/>
    <w:uiPriority w:val="99"/>
    <w:rsid w:val="00D02FE8"/>
    <w:pPr>
      <w:numPr>
        <w:numId w:val="29"/>
      </w:numPr>
    </w:pPr>
  </w:style>
  <w:style w:type="numbering" w:customStyle="1" w:styleId="CurrentList18">
    <w:name w:val="Current List18"/>
    <w:uiPriority w:val="99"/>
    <w:rsid w:val="00D02FE8"/>
    <w:pPr>
      <w:numPr>
        <w:numId w:val="31"/>
      </w:numPr>
    </w:pPr>
  </w:style>
  <w:style w:type="numbering" w:customStyle="1" w:styleId="CurrentList19">
    <w:name w:val="Current List19"/>
    <w:uiPriority w:val="99"/>
    <w:rsid w:val="00D02FE8"/>
    <w:pPr>
      <w:numPr>
        <w:numId w:val="32"/>
      </w:numPr>
    </w:pPr>
  </w:style>
  <w:style w:type="paragraph" w:customStyle="1" w:styleId="Heading50">
    <w:name w:val="Heading5"/>
    <w:basedOn w:val="Normal"/>
    <w:uiPriority w:val="99"/>
    <w:qFormat/>
    <w:rsid w:val="00D02FE8"/>
    <w:pPr>
      <w:keepNext/>
      <w:tabs>
        <w:tab w:val="left" w:pos="1430"/>
      </w:tabs>
      <w:spacing w:before="120" w:after="120"/>
      <w:outlineLvl w:val="4"/>
    </w:pPr>
    <w:rPr>
      <w:rFonts w:cs="Times New Roman"/>
      <w:bCs/>
      <w:i/>
      <w:sz w:val="22"/>
      <w:szCs w:val="32"/>
      <w:lang w:eastAsia="en-US"/>
    </w:rPr>
  </w:style>
  <w:style w:type="character" w:styleId="PlaceholderText">
    <w:name w:val="Placeholder Text"/>
    <w:basedOn w:val="DefaultParagraphFont"/>
    <w:uiPriority w:val="99"/>
    <w:semiHidden/>
    <w:rsid w:val="00D02FE8"/>
    <w:rPr>
      <w:color w:val="808080"/>
    </w:rPr>
  </w:style>
  <w:style w:type="paragraph" w:customStyle="1" w:styleId="Heading40">
    <w:name w:val="Heading4"/>
    <w:basedOn w:val="Normal"/>
    <w:link w:val="Heading4Char0"/>
    <w:uiPriority w:val="99"/>
    <w:qFormat/>
    <w:rsid w:val="00D02FE8"/>
    <w:pPr>
      <w:keepNext/>
      <w:tabs>
        <w:tab w:val="left" w:pos="1430"/>
      </w:tabs>
      <w:spacing w:before="120" w:after="120"/>
      <w:outlineLvl w:val="3"/>
    </w:pPr>
    <w:rPr>
      <w:rFonts w:ascii="Arial Bold" w:hAnsi="Arial Bold" w:cs="Times New Roman"/>
      <w:b/>
      <w:bCs/>
      <w:i/>
      <w:sz w:val="22"/>
      <w:szCs w:val="32"/>
      <w:lang w:eastAsia="en-US"/>
    </w:rPr>
  </w:style>
  <w:style w:type="character" w:customStyle="1" w:styleId="Heading4Char0">
    <w:name w:val="Heading4 Char"/>
    <w:link w:val="Heading40"/>
    <w:uiPriority w:val="99"/>
    <w:locked/>
    <w:rsid w:val="00D02FE8"/>
    <w:rPr>
      <w:rFonts w:ascii="Arial Bold" w:hAnsi="Arial Bold"/>
      <w:b/>
      <w:bCs/>
      <w:i/>
      <w:sz w:val="22"/>
      <w:szCs w:val="32"/>
      <w:lang w:eastAsia="en-US"/>
    </w:rPr>
  </w:style>
  <w:style w:type="paragraph" w:customStyle="1" w:styleId="Style4">
    <w:name w:val="Style4"/>
    <w:basedOn w:val="Normal"/>
    <w:link w:val="Style4Char"/>
    <w:qFormat/>
    <w:rsid w:val="00D02FE8"/>
    <w:pPr>
      <w:keepNext/>
      <w:keepLines/>
      <w:spacing w:before="40" w:line="259" w:lineRule="auto"/>
      <w:jc w:val="left"/>
      <w:outlineLvl w:val="1"/>
    </w:pPr>
    <w:rPr>
      <w:rFonts w:asciiTheme="minorHAnsi" w:eastAsiaTheme="majorEastAsia" w:hAnsiTheme="minorHAnsi" w:cstheme="majorBidi"/>
      <w:b/>
      <w:sz w:val="28"/>
      <w:szCs w:val="26"/>
      <w:lang w:eastAsia="en-US"/>
    </w:rPr>
  </w:style>
  <w:style w:type="paragraph" w:customStyle="1" w:styleId="Style5">
    <w:name w:val="Style5"/>
    <w:basedOn w:val="Heading3"/>
    <w:link w:val="Style5Char"/>
    <w:qFormat/>
    <w:rsid w:val="00D02FE8"/>
    <w:pPr>
      <w:keepNext/>
      <w:keepLines/>
      <w:spacing w:before="40" w:line="259" w:lineRule="auto"/>
      <w:jc w:val="left"/>
    </w:pPr>
    <w:rPr>
      <w:rFonts w:asciiTheme="majorHAnsi" w:eastAsiaTheme="majorEastAsia" w:hAnsiTheme="majorHAnsi" w:cstheme="majorBidi"/>
      <w:b/>
      <w:color w:val="243F60" w:themeColor="accent1" w:themeShade="7F"/>
      <w:lang w:eastAsia="en-US"/>
    </w:rPr>
  </w:style>
  <w:style w:type="character" w:customStyle="1" w:styleId="Style4Char">
    <w:name w:val="Style4 Char"/>
    <w:basedOn w:val="DefaultParagraphFont"/>
    <w:link w:val="Style4"/>
    <w:rsid w:val="00D02FE8"/>
    <w:rPr>
      <w:rFonts w:asciiTheme="minorHAnsi" w:eastAsiaTheme="majorEastAsia" w:hAnsiTheme="minorHAnsi" w:cstheme="majorBidi"/>
      <w:b/>
      <w:sz w:val="28"/>
      <w:szCs w:val="26"/>
      <w:lang w:eastAsia="en-US"/>
    </w:rPr>
  </w:style>
  <w:style w:type="character" w:customStyle="1" w:styleId="Style5Char">
    <w:name w:val="Style5 Char"/>
    <w:basedOn w:val="Heading3Char"/>
    <w:link w:val="Style5"/>
    <w:rsid w:val="00D02FE8"/>
    <w:rPr>
      <w:rFonts w:asciiTheme="majorHAnsi" w:eastAsiaTheme="majorEastAsia" w:hAnsiTheme="majorHAnsi" w:cstheme="majorBidi"/>
      <w:b/>
      <w:color w:val="243F60" w:themeColor="accent1" w:themeShade="7F"/>
      <w:sz w:val="24"/>
      <w:szCs w:val="24"/>
      <w:u w:val="single"/>
      <w:lang w:eastAsia="en-US"/>
    </w:rPr>
  </w:style>
  <w:style w:type="paragraph" w:customStyle="1" w:styleId="Style1">
    <w:name w:val="Style1"/>
    <w:basedOn w:val="Heading1"/>
    <w:link w:val="Style1Char"/>
    <w:qFormat/>
    <w:rsid w:val="00D02FE8"/>
    <w:pPr>
      <w:keepNext/>
      <w:keepLines/>
      <w:spacing w:before="240" w:line="259" w:lineRule="auto"/>
      <w:ind w:left="0" w:firstLine="0"/>
      <w:jc w:val="left"/>
    </w:pPr>
    <w:rPr>
      <w:rFonts w:asciiTheme="majorHAnsi" w:eastAsiaTheme="majorEastAsia" w:hAnsiTheme="majorHAnsi" w:cstheme="majorBidi"/>
      <w:caps w:val="0"/>
      <w:color w:val="365F91" w:themeColor="accent1" w:themeShade="BF"/>
      <w:sz w:val="28"/>
      <w:szCs w:val="32"/>
      <w:lang w:eastAsia="en-US"/>
    </w:rPr>
  </w:style>
  <w:style w:type="character" w:customStyle="1" w:styleId="Style1Char">
    <w:name w:val="Style1 Char"/>
    <w:basedOn w:val="Heading1Char"/>
    <w:link w:val="Style1"/>
    <w:rsid w:val="00D02FE8"/>
    <w:rPr>
      <w:rFonts w:asciiTheme="majorHAnsi" w:eastAsiaTheme="majorEastAsia" w:hAnsiTheme="majorHAnsi" w:cstheme="majorBidi"/>
      <w:b/>
      <w:caps w:val="0"/>
      <w:color w:val="365F91" w:themeColor="accent1" w:themeShade="BF"/>
      <w:sz w:val="28"/>
      <w:szCs w:val="32"/>
      <w:lang w:eastAsia="en-US"/>
    </w:rPr>
  </w:style>
  <w:style w:type="paragraph" w:customStyle="1" w:styleId="Style2">
    <w:name w:val="Style2"/>
    <w:basedOn w:val="Heading2"/>
    <w:link w:val="Style2Char"/>
    <w:qFormat/>
    <w:rsid w:val="00D02FE8"/>
    <w:pPr>
      <w:keepNext/>
      <w:keepLines/>
      <w:spacing w:before="40" w:line="259" w:lineRule="auto"/>
      <w:jc w:val="left"/>
    </w:pPr>
    <w:rPr>
      <w:rFonts w:asciiTheme="majorHAnsi" w:eastAsiaTheme="majorEastAsia" w:hAnsiTheme="majorHAnsi" w:cstheme="majorBidi"/>
      <w:b w:val="0"/>
      <w:i w:val="0"/>
      <w:color w:val="365F91" w:themeColor="accent1" w:themeShade="BF"/>
      <w:sz w:val="26"/>
      <w:szCs w:val="26"/>
      <w:lang w:eastAsia="en-US"/>
    </w:rPr>
  </w:style>
  <w:style w:type="paragraph" w:customStyle="1" w:styleId="Style3">
    <w:name w:val="Style3"/>
    <w:basedOn w:val="Style2"/>
    <w:link w:val="Style3Char"/>
    <w:qFormat/>
    <w:rsid w:val="00D02FE8"/>
    <w:rPr>
      <w:rFonts w:ascii="Arial" w:hAnsi="Arial"/>
      <w:b/>
    </w:rPr>
  </w:style>
  <w:style w:type="character" w:customStyle="1" w:styleId="Style2Char">
    <w:name w:val="Style2 Char"/>
    <w:basedOn w:val="Heading2Char"/>
    <w:link w:val="Style2"/>
    <w:rsid w:val="00D02FE8"/>
    <w:rPr>
      <w:rFonts w:asciiTheme="majorHAnsi" w:eastAsiaTheme="majorEastAsia" w:hAnsiTheme="majorHAnsi" w:cstheme="majorBidi"/>
      <w:b w:val="0"/>
      <w:i w:val="0"/>
      <w:snapToGrid/>
      <w:color w:val="365F91" w:themeColor="accent1" w:themeShade="BF"/>
      <w:sz w:val="26"/>
      <w:szCs w:val="26"/>
      <w:lang w:eastAsia="en-US"/>
    </w:rPr>
  </w:style>
  <w:style w:type="character" w:customStyle="1" w:styleId="Style3Char">
    <w:name w:val="Style3 Char"/>
    <w:basedOn w:val="Style2Char"/>
    <w:link w:val="Style3"/>
    <w:rsid w:val="00D02FE8"/>
    <w:rPr>
      <w:rFonts w:ascii="Arial" w:eastAsiaTheme="majorEastAsia" w:hAnsi="Arial" w:cstheme="majorBidi"/>
      <w:b/>
      <w:i w:val="0"/>
      <w:snapToGrid/>
      <w:color w:val="365F91" w:themeColor="accent1" w:themeShade="BF"/>
      <w:sz w:val="26"/>
      <w:szCs w:val="26"/>
      <w:lang w:eastAsia="en-US"/>
    </w:rPr>
  </w:style>
  <w:style w:type="paragraph" w:customStyle="1" w:styleId="Style6">
    <w:name w:val="Style6"/>
    <w:basedOn w:val="FootnoteText"/>
    <w:next w:val="FootnoteText"/>
    <w:link w:val="Style6Char"/>
    <w:qFormat/>
    <w:rsid w:val="00D02FE8"/>
    <w:pPr>
      <w:jc w:val="left"/>
    </w:pPr>
    <w:rPr>
      <w:rFonts w:asciiTheme="minorHAnsi" w:hAnsiTheme="minorHAnsi"/>
    </w:rPr>
  </w:style>
  <w:style w:type="character" w:customStyle="1" w:styleId="Style6Char">
    <w:name w:val="Style6 Char"/>
    <w:basedOn w:val="FootnoteTextChar"/>
    <w:link w:val="Style6"/>
    <w:rsid w:val="00D02FE8"/>
    <w:rPr>
      <w:rFonts w:asciiTheme="minorHAnsi" w:eastAsiaTheme="minorHAnsi" w:hAnsiTheme="minorHAnsi" w:cstheme="minorBidi"/>
      <w:lang w:eastAsia="en-US"/>
    </w:rPr>
  </w:style>
  <w:style w:type="paragraph" w:customStyle="1" w:styleId="Style7">
    <w:name w:val="Style7"/>
    <w:basedOn w:val="Style6"/>
    <w:link w:val="Style7Char"/>
    <w:qFormat/>
    <w:rsid w:val="00D02FE8"/>
    <w:rPr>
      <w:rFonts w:asciiTheme="majorHAnsi" w:hAnsiTheme="majorHAnsi"/>
      <w:b/>
      <w:sz w:val="24"/>
    </w:rPr>
  </w:style>
  <w:style w:type="character" w:customStyle="1" w:styleId="Style7Char">
    <w:name w:val="Style7 Char"/>
    <w:basedOn w:val="Style6Char"/>
    <w:link w:val="Style7"/>
    <w:rsid w:val="00D02FE8"/>
    <w:rPr>
      <w:rFonts w:asciiTheme="majorHAnsi" w:eastAsiaTheme="minorHAnsi" w:hAnsiTheme="majorHAnsi" w:cstheme="minorBidi"/>
      <w:b/>
      <w:sz w:val="24"/>
      <w:lang w:eastAsia="en-US"/>
    </w:rPr>
  </w:style>
  <w:style w:type="paragraph" w:customStyle="1" w:styleId="Table">
    <w:name w:val="Table"/>
    <w:basedOn w:val="Normal"/>
    <w:uiPriority w:val="99"/>
    <w:qFormat/>
    <w:rsid w:val="00D02FE8"/>
    <w:pPr>
      <w:jc w:val="left"/>
    </w:pPr>
    <w:rPr>
      <w:rFonts w:eastAsiaTheme="majorEastAsia" w:cstheme="majorBidi"/>
      <w:sz w:val="20"/>
      <w:szCs w:val="22"/>
      <w:lang w:eastAsia="en-US" w:bidi="en-US"/>
    </w:rPr>
  </w:style>
  <w:style w:type="character" w:customStyle="1" w:styleId="NormalFont">
    <w:name w:val="Normal Font"/>
    <w:basedOn w:val="DefaultParagraphFont"/>
    <w:uiPriority w:val="99"/>
    <w:qFormat/>
    <w:rsid w:val="00D02FE8"/>
    <w:rPr>
      <w:rFonts w:ascii="Calibri" w:hAnsi="Calibri" w:cs="Times New Roman"/>
      <w:sz w:val="24"/>
    </w:rPr>
  </w:style>
  <w:style w:type="paragraph" w:customStyle="1" w:styleId="TableFigNotes0">
    <w:name w:val="TableFigNotes+0"/>
    <w:basedOn w:val="Normal"/>
    <w:uiPriority w:val="4"/>
    <w:rsid w:val="00D02FE8"/>
    <w:pPr>
      <w:keepNext/>
      <w:keepLines/>
      <w:jc w:val="left"/>
    </w:pPr>
    <w:rPr>
      <w:rFonts w:cs="Tahoma"/>
      <w:color w:val="000000"/>
      <w:sz w:val="16"/>
      <w:szCs w:val="18"/>
    </w:rPr>
  </w:style>
  <w:style w:type="character" w:customStyle="1" w:styleId="Mention1">
    <w:name w:val="Mention1"/>
    <w:basedOn w:val="DefaultParagraphFont"/>
    <w:uiPriority w:val="99"/>
    <w:unhideWhenUsed/>
    <w:rsid w:val="00D02FE8"/>
    <w:rPr>
      <w:color w:val="2B579A"/>
      <w:shd w:val="clear" w:color="auto" w:fill="E1DFDD"/>
    </w:rPr>
  </w:style>
  <w:style w:type="character" w:customStyle="1" w:styleId="A5">
    <w:name w:val="A5"/>
    <w:uiPriority w:val="99"/>
    <w:rsid w:val="00D02FE8"/>
    <w:rPr>
      <w:rFonts w:cs="ScalaLancetPro"/>
      <w:color w:val="000000"/>
      <w:sz w:val="9"/>
      <w:szCs w:val="9"/>
    </w:rPr>
  </w:style>
  <w:style w:type="character" w:customStyle="1" w:styleId="UnresolvedMention11">
    <w:name w:val="Unresolved Mention11"/>
    <w:uiPriority w:val="99"/>
    <w:semiHidden/>
    <w:unhideWhenUsed/>
    <w:rsid w:val="009412C8"/>
    <w:rPr>
      <w:color w:val="605E5C"/>
      <w:shd w:val="clear" w:color="auto" w:fill="E1DFDD"/>
    </w:rPr>
  </w:style>
  <w:style w:type="character" w:customStyle="1" w:styleId="Mention11">
    <w:name w:val="Mention11"/>
    <w:basedOn w:val="DefaultParagraphFont"/>
    <w:uiPriority w:val="99"/>
    <w:unhideWhenUsed/>
    <w:rsid w:val="009412C8"/>
    <w:rPr>
      <w:color w:val="2B579A"/>
      <w:shd w:val="clear" w:color="auto" w:fill="E1DFDD"/>
    </w:rPr>
  </w:style>
  <w:style w:type="table" w:customStyle="1" w:styleId="CMATableTemplate1">
    <w:name w:val="CMA Table Template1"/>
    <w:basedOn w:val="TableNormal"/>
    <w:next w:val="TableGrid"/>
    <w:uiPriority w:val="39"/>
    <w:rsid w:val="00941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semiHidden/>
    <w:unhideWhenUsed/>
    <w:rsid w:val="00BE22DD"/>
    <w:rPr>
      <w:vertAlign w:val="superscript"/>
    </w:rPr>
  </w:style>
  <w:style w:type="character" w:customStyle="1" w:styleId="UnresolvedMention2">
    <w:name w:val="Unresolved Mention2"/>
    <w:basedOn w:val="DefaultParagraphFont"/>
    <w:uiPriority w:val="99"/>
    <w:semiHidden/>
    <w:unhideWhenUsed/>
    <w:rsid w:val="0021370B"/>
    <w:rPr>
      <w:color w:val="605E5C"/>
      <w:shd w:val="clear" w:color="auto" w:fill="E1DFDD"/>
    </w:rPr>
  </w:style>
  <w:style w:type="character" w:customStyle="1" w:styleId="label-">
    <w:name w:val="label-"/>
    <w:basedOn w:val="DefaultParagraphFont"/>
    <w:rsid w:val="000557C9"/>
  </w:style>
  <w:style w:type="character" w:styleId="UnresolvedMention">
    <w:name w:val="Unresolved Mention"/>
    <w:basedOn w:val="DefaultParagraphFont"/>
    <w:uiPriority w:val="99"/>
    <w:semiHidden/>
    <w:unhideWhenUsed/>
    <w:rsid w:val="00321B6E"/>
    <w:rPr>
      <w:color w:val="605E5C"/>
      <w:shd w:val="clear" w:color="auto" w:fill="E1DFDD"/>
    </w:rPr>
  </w:style>
  <w:style w:type="paragraph" w:customStyle="1" w:styleId="3-SubsectionHeading">
    <w:name w:val="3-Subsection Heading"/>
    <w:basedOn w:val="Heading2"/>
    <w:next w:val="Normal"/>
    <w:link w:val="3-SubsectionHeadingChar"/>
    <w:qFormat/>
    <w:rsid w:val="005D1E8B"/>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5D1E8B"/>
    <w:rPr>
      <w:rFonts w:asciiTheme="minorHAnsi" w:eastAsiaTheme="majorEastAsia" w:hAnsiTheme="minorHAnsi" w:cstheme="majorBidi"/>
      <w:b/>
      <w:i/>
      <w:snapToGrid/>
      <w:spacing w:val="5"/>
      <w:kern w:val="28"/>
      <w:sz w:val="28"/>
      <w:szCs w:val="36"/>
      <w:lang w:eastAsia="en-US"/>
    </w:rPr>
  </w:style>
  <w:style w:type="paragraph" w:customStyle="1" w:styleId="2Sections">
    <w:name w:val="2. Sections"/>
    <w:qFormat/>
    <w:rsid w:val="007636EB"/>
    <w:pPr>
      <w:spacing w:before="240" w:after="120"/>
      <w:ind w:left="720" w:hanging="720"/>
      <w:outlineLvl w:val="0"/>
    </w:pPr>
    <w:rPr>
      <w:rFonts w:asciiTheme="minorHAnsi" w:hAnsiTheme="minorHAnsi" w:cs="Arial"/>
      <w:b/>
      <w:snapToGrid w:val="0"/>
      <w:sz w:val="32"/>
      <w:szCs w:val="32"/>
      <w:lang w:eastAsia="en-US"/>
    </w:rPr>
  </w:style>
  <w:style w:type="paragraph" w:customStyle="1" w:styleId="Bodytextitalics">
    <w:name w:val="Body text italics"/>
    <w:basedOn w:val="BodyText"/>
    <w:qFormat/>
    <w:rsid w:val="007636EB"/>
    <w:pPr>
      <w:spacing w:after="120"/>
      <w:ind w:left="1146" w:hanging="720"/>
    </w:pPr>
    <w:rPr>
      <w:rFonts w:asciiTheme="minorHAnsi" w:eastAsiaTheme="minorHAnsi" w:hAnsiTheme="minorHAnsi" w:cstheme="minorBidi"/>
      <w: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924">
      <w:bodyDiv w:val="1"/>
      <w:marLeft w:val="0"/>
      <w:marRight w:val="0"/>
      <w:marTop w:val="0"/>
      <w:marBottom w:val="0"/>
      <w:divBdr>
        <w:top w:val="none" w:sz="0" w:space="0" w:color="auto"/>
        <w:left w:val="none" w:sz="0" w:space="0" w:color="auto"/>
        <w:bottom w:val="none" w:sz="0" w:space="0" w:color="auto"/>
        <w:right w:val="none" w:sz="0" w:space="0" w:color="auto"/>
      </w:divBdr>
    </w:div>
    <w:div w:id="12583897">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84177645">
      <w:bodyDiv w:val="1"/>
      <w:marLeft w:val="0"/>
      <w:marRight w:val="0"/>
      <w:marTop w:val="0"/>
      <w:marBottom w:val="0"/>
      <w:divBdr>
        <w:top w:val="none" w:sz="0" w:space="0" w:color="auto"/>
        <w:left w:val="none" w:sz="0" w:space="0" w:color="auto"/>
        <w:bottom w:val="none" w:sz="0" w:space="0" w:color="auto"/>
        <w:right w:val="none" w:sz="0" w:space="0" w:color="auto"/>
      </w:divBdr>
    </w:div>
    <w:div w:id="210265797">
      <w:bodyDiv w:val="1"/>
      <w:marLeft w:val="0"/>
      <w:marRight w:val="0"/>
      <w:marTop w:val="0"/>
      <w:marBottom w:val="0"/>
      <w:divBdr>
        <w:top w:val="none" w:sz="0" w:space="0" w:color="auto"/>
        <w:left w:val="none" w:sz="0" w:space="0" w:color="auto"/>
        <w:bottom w:val="none" w:sz="0" w:space="0" w:color="auto"/>
        <w:right w:val="none" w:sz="0" w:space="0" w:color="auto"/>
      </w:divBdr>
    </w:div>
    <w:div w:id="296762448">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36277753">
      <w:bodyDiv w:val="1"/>
      <w:marLeft w:val="0"/>
      <w:marRight w:val="0"/>
      <w:marTop w:val="0"/>
      <w:marBottom w:val="0"/>
      <w:divBdr>
        <w:top w:val="none" w:sz="0" w:space="0" w:color="auto"/>
        <w:left w:val="none" w:sz="0" w:space="0" w:color="auto"/>
        <w:bottom w:val="none" w:sz="0" w:space="0" w:color="auto"/>
        <w:right w:val="none" w:sz="0" w:space="0" w:color="auto"/>
      </w:divBdr>
    </w:div>
    <w:div w:id="345794942">
      <w:bodyDiv w:val="1"/>
      <w:marLeft w:val="0"/>
      <w:marRight w:val="0"/>
      <w:marTop w:val="0"/>
      <w:marBottom w:val="0"/>
      <w:divBdr>
        <w:top w:val="none" w:sz="0" w:space="0" w:color="auto"/>
        <w:left w:val="none" w:sz="0" w:space="0" w:color="auto"/>
        <w:bottom w:val="none" w:sz="0" w:space="0" w:color="auto"/>
        <w:right w:val="none" w:sz="0" w:space="0" w:color="auto"/>
      </w:divBdr>
    </w:div>
    <w:div w:id="399988408">
      <w:bodyDiv w:val="1"/>
      <w:marLeft w:val="0"/>
      <w:marRight w:val="0"/>
      <w:marTop w:val="0"/>
      <w:marBottom w:val="0"/>
      <w:divBdr>
        <w:top w:val="none" w:sz="0" w:space="0" w:color="auto"/>
        <w:left w:val="none" w:sz="0" w:space="0" w:color="auto"/>
        <w:bottom w:val="none" w:sz="0" w:space="0" w:color="auto"/>
        <w:right w:val="none" w:sz="0" w:space="0" w:color="auto"/>
      </w:divBdr>
    </w:div>
    <w:div w:id="463430796">
      <w:bodyDiv w:val="1"/>
      <w:marLeft w:val="0"/>
      <w:marRight w:val="0"/>
      <w:marTop w:val="0"/>
      <w:marBottom w:val="0"/>
      <w:divBdr>
        <w:top w:val="none" w:sz="0" w:space="0" w:color="auto"/>
        <w:left w:val="none" w:sz="0" w:space="0" w:color="auto"/>
        <w:bottom w:val="none" w:sz="0" w:space="0" w:color="auto"/>
        <w:right w:val="none" w:sz="0" w:space="0" w:color="auto"/>
      </w:divBdr>
    </w:div>
    <w:div w:id="469401529">
      <w:bodyDiv w:val="1"/>
      <w:marLeft w:val="0"/>
      <w:marRight w:val="0"/>
      <w:marTop w:val="0"/>
      <w:marBottom w:val="0"/>
      <w:divBdr>
        <w:top w:val="none" w:sz="0" w:space="0" w:color="auto"/>
        <w:left w:val="none" w:sz="0" w:space="0" w:color="auto"/>
        <w:bottom w:val="none" w:sz="0" w:space="0" w:color="auto"/>
        <w:right w:val="none" w:sz="0" w:space="0" w:color="auto"/>
      </w:divBdr>
    </w:div>
    <w:div w:id="492718721">
      <w:bodyDiv w:val="1"/>
      <w:marLeft w:val="0"/>
      <w:marRight w:val="0"/>
      <w:marTop w:val="0"/>
      <w:marBottom w:val="0"/>
      <w:divBdr>
        <w:top w:val="none" w:sz="0" w:space="0" w:color="auto"/>
        <w:left w:val="none" w:sz="0" w:space="0" w:color="auto"/>
        <w:bottom w:val="none" w:sz="0" w:space="0" w:color="auto"/>
        <w:right w:val="none" w:sz="0" w:space="0" w:color="auto"/>
      </w:divBdr>
    </w:div>
    <w:div w:id="496727914">
      <w:bodyDiv w:val="1"/>
      <w:marLeft w:val="0"/>
      <w:marRight w:val="0"/>
      <w:marTop w:val="0"/>
      <w:marBottom w:val="0"/>
      <w:divBdr>
        <w:top w:val="none" w:sz="0" w:space="0" w:color="auto"/>
        <w:left w:val="none" w:sz="0" w:space="0" w:color="auto"/>
        <w:bottom w:val="none" w:sz="0" w:space="0" w:color="auto"/>
        <w:right w:val="none" w:sz="0" w:space="0" w:color="auto"/>
      </w:divBdr>
    </w:div>
    <w:div w:id="559636597">
      <w:bodyDiv w:val="1"/>
      <w:marLeft w:val="0"/>
      <w:marRight w:val="0"/>
      <w:marTop w:val="0"/>
      <w:marBottom w:val="0"/>
      <w:divBdr>
        <w:top w:val="none" w:sz="0" w:space="0" w:color="auto"/>
        <w:left w:val="none" w:sz="0" w:space="0" w:color="auto"/>
        <w:bottom w:val="none" w:sz="0" w:space="0" w:color="auto"/>
        <w:right w:val="none" w:sz="0" w:space="0" w:color="auto"/>
      </w:divBdr>
    </w:div>
    <w:div w:id="562638487">
      <w:bodyDiv w:val="1"/>
      <w:marLeft w:val="0"/>
      <w:marRight w:val="0"/>
      <w:marTop w:val="0"/>
      <w:marBottom w:val="0"/>
      <w:divBdr>
        <w:top w:val="none" w:sz="0" w:space="0" w:color="auto"/>
        <w:left w:val="none" w:sz="0" w:space="0" w:color="auto"/>
        <w:bottom w:val="none" w:sz="0" w:space="0" w:color="auto"/>
        <w:right w:val="none" w:sz="0" w:space="0" w:color="auto"/>
      </w:divBdr>
    </w:div>
    <w:div w:id="574240507">
      <w:bodyDiv w:val="1"/>
      <w:marLeft w:val="0"/>
      <w:marRight w:val="0"/>
      <w:marTop w:val="0"/>
      <w:marBottom w:val="0"/>
      <w:divBdr>
        <w:top w:val="none" w:sz="0" w:space="0" w:color="auto"/>
        <w:left w:val="none" w:sz="0" w:space="0" w:color="auto"/>
        <w:bottom w:val="none" w:sz="0" w:space="0" w:color="auto"/>
        <w:right w:val="none" w:sz="0" w:space="0" w:color="auto"/>
      </w:divBdr>
    </w:div>
    <w:div w:id="612133572">
      <w:bodyDiv w:val="1"/>
      <w:marLeft w:val="0"/>
      <w:marRight w:val="0"/>
      <w:marTop w:val="0"/>
      <w:marBottom w:val="0"/>
      <w:divBdr>
        <w:top w:val="none" w:sz="0" w:space="0" w:color="auto"/>
        <w:left w:val="none" w:sz="0" w:space="0" w:color="auto"/>
        <w:bottom w:val="none" w:sz="0" w:space="0" w:color="auto"/>
        <w:right w:val="none" w:sz="0" w:space="0" w:color="auto"/>
      </w:divBdr>
    </w:div>
    <w:div w:id="618495067">
      <w:bodyDiv w:val="1"/>
      <w:marLeft w:val="0"/>
      <w:marRight w:val="0"/>
      <w:marTop w:val="0"/>
      <w:marBottom w:val="0"/>
      <w:divBdr>
        <w:top w:val="none" w:sz="0" w:space="0" w:color="auto"/>
        <w:left w:val="none" w:sz="0" w:space="0" w:color="auto"/>
        <w:bottom w:val="none" w:sz="0" w:space="0" w:color="auto"/>
        <w:right w:val="none" w:sz="0" w:space="0" w:color="auto"/>
      </w:divBdr>
    </w:div>
    <w:div w:id="630746722">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841700694">
      <w:bodyDiv w:val="1"/>
      <w:marLeft w:val="0"/>
      <w:marRight w:val="0"/>
      <w:marTop w:val="0"/>
      <w:marBottom w:val="0"/>
      <w:divBdr>
        <w:top w:val="none" w:sz="0" w:space="0" w:color="auto"/>
        <w:left w:val="none" w:sz="0" w:space="0" w:color="auto"/>
        <w:bottom w:val="none" w:sz="0" w:space="0" w:color="auto"/>
        <w:right w:val="none" w:sz="0" w:space="0" w:color="auto"/>
      </w:divBdr>
    </w:div>
    <w:div w:id="896598331">
      <w:bodyDiv w:val="1"/>
      <w:marLeft w:val="0"/>
      <w:marRight w:val="0"/>
      <w:marTop w:val="0"/>
      <w:marBottom w:val="0"/>
      <w:divBdr>
        <w:top w:val="none" w:sz="0" w:space="0" w:color="auto"/>
        <w:left w:val="none" w:sz="0" w:space="0" w:color="auto"/>
        <w:bottom w:val="none" w:sz="0" w:space="0" w:color="auto"/>
        <w:right w:val="none" w:sz="0" w:space="0" w:color="auto"/>
      </w:divBdr>
    </w:div>
    <w:div w:id="982007617">
      <w:bodyDiv w:val="1"/>
      <w:marLeft w:val="0"/>
      <w:marRight w:val="0"/>
      <w:marTop w:val="0"/>
      <w:marBottom w:val="0"/>
      <w:divBdr>
        <w:top w:val="none" w:sz="0" w:space="0" w:color="auto"/>
        <w:left w:val="none" w:sz="0" w:space="0" w:color="auto"/>
        <w:bottom w:val="none" w:sz="0" w:space="0" w:color="auto"/>
        <w:right w:val="none" w:sz="0" w:space="0" w:color="auto"/>
      </w:divBdr>
    </w:div>
    <w:div w:id="1001464462">
      <w:bodyDiv w:val="1"/>
      <w:marLeft w:val="0"/>
      <w:marRight w:val="0"/>
      <w:marTop w:val="0"/>
      <w:marBottom w:val="0"/>
      <w:divBdr>
        <w:top w:val="none" w:sz="0" w:space="0" w:color="auto"/>
        <w:left w:val="none" w:sz="0" w:space="0" w:color="auto"/>
        <w:bottom w:val="none" w:sz="0" w:space="0" w:color="auto"/>
        <w:right w:val="none" w:sz="0" w:space="0" w:color="auto"/>
      </w:divBdr>
    </w:div>
    <w:div w:id="1029722035">
      <w:bodyDiv w:val="1"/>
      <w:marLeft w:val="0"/>
      <w:marRight w:val="0"/>
      <w:marTop w:val="0"/>
      <w:marBottom w:val="0"/>
      <w:divBdr>
        <w:top w:val="none" w:sz="0" w:space="0" w:color="auto"/>
        <w:left w:val="none" w:sz="0" w:space="0" w:color="auto"/>
        <w:bottom w:val="none" w:sz="0" w:space="0" w:color="auto"/>
        <w:right w:val="none" w:sz="0" w:space="0" w:color="auto"/>
      </w:divBdr>
    </w:div>
    <w:div w:id="1044479683">
      <w:bodyDiv w:val="1"/>
      <w:marLeft w:val="0"/>
      <w:marRight w:val="0"/>
      <w:marTop w:val="0"/>
      <w:marBottom w:val="0"/>
      <w:divBdr>
        <w:top w:val="none" w:sz="0" w:space="0" w:color="auto"/>
        <w:left w:val="none" w:sz="0" w:space="0" w:color="auto"/>
        <w:bottom w:val="none" w:sz="0" w:space="0" w:color="auto"/>
        <w:right w:val="none" w:sz="0" w:space="0" w:color="auto"/>
      </w:divBdr>
    </w:div>
    <w:div w:id="1080758632">
      <w:bodyDiv w:val="1"/>
      <w:marLeft w:val="0"/>
      <w:marRight w:val="0"/>
      <w:marTop w:val="0"/>
      <w:marBottom w:val="0"/>
      <w:divBdr>
        <w:top w:val="none" w:sz="0" w:space="0" w:color="auto"/>
        <w:left w:val="none" w:sz="0" w:space="0" w:color="auto"/>
        <w:bottom w:val="none" w:sz="0" w:space="0" w:color="auto"/>
        <w:right w:val="none" w:sz="0" w:space="0" w:color="auto"/>
      </w:divBdr>
    </w:div>
    <w:div w:id="1124078399">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27100">
      <w:bodyDiv w:val="1"/>
      <w:marLeft w:val="0"/>
      <w:marRight w:val="0"/>
      <w:marTop w:val="0"/>
      <w:marBottom w:val="0"/>
      <w:divBdr>
        <w:top w:val="none" w:sz="0" w:space="0" w:color="auto"/>
        <w:left w:val="none" w:sz="0" w:space="0" w:color="auto"/>
        <w:bottom w:val="none" w:sz="0" w:space="0" w:color="auto"/>
        <w:right w:val="none" w:sz="0" w:space="0" w:color="auto"/>
      </w:divBdr>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187451495">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328436331">
      <w:bodyDiv w:val="1"/>
      <w:marLeft w:val="0"/>
      <w:marRight w:val="0"/>
      <w:marTop w:val="0"/>
      <w:marBottom w:val="0"/>
      <w:divBdr>
        <w:top w:val="none" w:sz="0" w:space="0" w:color="auto"/>
        <w:left w:val="none" w:sz="0" w:space="0" w:color="auto"/>
        <w:bottom w:val="none" w:sz="0" w:space="0" w:color="auto"/>
        <w:right w:val="none" w:sz="0" w:space="0" w:color="auto"/>
      </w:divBdr>
    </w:div>
    <w:div w:id="1368874146">
      <w:bodyDiv w:val="1"/>
      <w:marLeft w:val="0"/>
      <w:marRight w:val="0"/>
      <w:marTop w:val="0"/>
      <w:marBottom w:val="0"/>
      <w:divBdr>
        <w:top w:val="none" w:sz="0" w:space="0" w:color="auto"/>
        <w:left w:val="none" w:sz="0" w:space="0" w:color="auto"/>
        <w:bottom w:val="none" w:sz="0" w:space="0" w:color="auto"/>
        <w:right w:val="none" w:sz="0" w:space="0" w:color="auto"/>
      </w:divBdr>
    </w:div>
    <w:div w:id="1380208572">
      <w:bodyDiv w:val="1"/>
      <w:marLeft w:val="0"/>
      <w:marRight w:val="0"/>
      <w:marTop w:val="0"/>
      <w:marBottom w:val="0"/>
      <w:divBdr>
        <w:top w:val="none" w:sz="0" w:space="0" w:color="auto"/>
        <w:left w:val="none" w:sz="0" w:space="0" w:color="auto"/>
        <w:bottom w:val="none" w:sz="0" w:space="0" w:color="auto"/>
        <w:right w:val="none" w:sz="0" w:space="0" w:color="auto"/>
      </w:divBdr>
    </w:div>
    <w:div w:id="1394742254">
      <w:bodyDiv w:val="1"/>
      <w:marLeft w:val="0"/>
      <w:marRight w:val="0"/>
      <w:marTop w:val="0"/>
      <w:marBottom w:val="0"/>
      <w:divBdr>
        <w:top w:val="none" w:sz="0" w:space="0" w:color="auto"/>
        <w:left w:val="none" w:sz="0" w:space="0" w:color="auto"/>
        <w:bottom w:val="none" w:sz="0" w:space="0" w:color="auto"/>
        <w:right w:val="none" w:sz="0" w:space="0" w:color="auto"/>
      </w:divBdr>
    </w:div>
    <w:div w:id="1436828386">
      <w:bodyDiv w:val="1"/>
      <w:marLeft w:val="0"/>
      <w:marRight w:val="0"/>
      <w:marTop w:val="0"/>
      <w:marBottom w:val="0"/>
      <w:divBdr>
        <w:top w:val="none" w:sz="0" w:space="0" w:color="auto"/>
        <w:left w:val="none" w:sz="0" w:space="0" w:color="auto"/>
        <w:bottom w:val="none" w:sz="0" w:space="0" w:color="auto"/>
        <w:right w:val="none" w:sz="0" w:space="0" w:color="auto"/>
      </w:divBdr>
    </w:div>
    <w:div w:id="1477647213">
      <w:bodyDiv w:val="1"/>
      <w:marLeft w:val="0"/>
      <w:marRight w:val="0"/>
      <w:marTop w:val="0"/>
      <w:marBottom w:val="0"/>
      <w:divBdr>
        <w:top w:val="none" w:sz="0" w:space="0" w:color="auto"/>
        <w:left w:val="none" w:sz="0" w:space="0" w:color="auto"/>
        <w:bottom w:val="none" w:sz="0" w:space="0" w:color="auto"/>
        <w:right w:val="none" w:sz="0" w:space="0" w:color="auto"/>
      </w:divBdr>
    </w:div>
    <w:div w:id="1477917563">
      <w:bodyDiv w:val="1"/>
      <w:marLeft w:val="0"/>
      <w:marRight w:val="0"/>
      <w:marTop w:val="0"/>
      <w:marBottom w:val="0"/>
      <w:divBdr>
        <w:top w:val="none" w:sz="0" w:space="0" w:color="auto"/>
        <w:left w:val="none" w:sz="0" w:space="0" w:color="auto"/>
        <w:bottom w:val="none" w:sz="0" w:space="0" w:color="auto"/>
        <w:right w:val="none" w:sz="0" w:space="0" w:color="auto"/>
      </w:divBdr>
    </w:div>
    <w:div w:id="1489789842">
      <w:bodyDiv w:val="1"/>
      <w:marLeft w:val="0"/>
      <w:marRight w:val="0"/>
      <w:marTop w:val="0"/>
      <w:marBottom w:val="0"/>
      <w:divBdr>
        <w:top w:val="none" w:sz="0" w:space="0" w:color="auto"/>
        <w:left w:val="none" w:sz="0" w:space="0" w:color="auto"/>
        <w:bottom w:val="none" w:sz="0" w:space="0" w:color="auto"/>
        <w:right w:val="none" w:sz="0" w:space="0" w:color="auto"/>
      </w:divBdr>
    </w:div>
    <w:div w:id="1675108487">
      <w:bodyDiv w:val="1"/>
      <w:marLeft w:val="0"/>
      <w:marRight w:val="0"/>
      <w:marTop w:val="0"/>
      <w:marBottom w:val="0"/>
      <w:divBdr>
        <w:top w:val="none" w:sz="0" w:space="0" w:color="auto"/>
        <w:left w:val="none" w:sz="0" w:space="0" w:color="auto"/>
        <w:bottom w:val="none" w:sz="0" w:space="0" w:color="auto"/>
        <w:right w:val="none" w:sz="0" w:space="0" w:color="auto"/>
      </w:divBdr>
    </w:div>
    <w:div w:id="1850411155">
      <w:bodyDiv w:val="1"/>
      <w:marLeft w:val="0"/>
      <w:marRight w:val="0"/>
      <w:marTop w:val="0"/>
      <w:marBottom w:val="0"/>
      <w:divBdr>
        <w:top w:val="none" w:sz="0" w:space="0" w:color="auto"/>
        <w:left w:val="none" w:sz="0" w:space="0" w:color="auto"/>
        <w:bottom w:val="none" w:sz="0" w:space="0" w:color="auto"/>
        <w:right w:val="none" w:sz="0" w:space="0" w:color="auto"/>
      </w:divBdr>
    </w:div>
    <w:div w:id="1916620856">
      <w:bodyDiv w:val="1"/>
      <w:marLeft w:val="0"/>
      <w:marRight w:val="0"/>
      <w:marTop w:val="0"/>
      <w:marBottom w:val="0"/>
      <w:divBdr>
        <w:top w:val="none" w:sz="0" w:space="0" w:color="auto"/>
        <w:left w:val="none" w:sz="0" w:space="0" w:color="auto"/>
        <w:bottom w:val="none" w:sz="0" w:space="0" w:color="auto"/>
        <w:right w:val="none" w:sz="0" w:space="0" w:color="auto"/>
      </w:divBdr>
    </w:div>
    <w:div w:id="1945455546">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79452065">
      <w:bodyDiv w:val="1"/>
      <w:marLeft w:val="0"/>
      <w:marRight w:val="0"/>
      <w:marTop w:val="0"/>
      <w:marBottom w:val="0"/>
      <w:divBdr>
        <w:top w:val="none" w:sz="0" w:space="0" w:color="auto"/>
        <w:left w:val="none" w:sz="0" w:space="0" w:color="auto"/>
        <w:bottom w:val="none" w:sz="0" w:space="0" w:color="auto"/>
        <w:right w:val="none" w:sz="0" w:space="0" w:color="auto"/>
      </w:divBdr>
    </w:div>
    <w:div w:id="2123458031">
      <w:bodyDiv w:val="1"/>
      <w:marLeft w:val="0"/>
      <w:marRight w:val="0"/>
      <w:marTop w:val="0"/>
      <w:marBottom w:val="0"/>
      <w:divBdr>
        <w:top w:val="none" w:sz="0" w:space="0" w:color="auto"/>
        <w:left w:val="none" w:sz="0" w:space="0" w:color="auto"/>
        <w:bottom w:val="none" w:sz="0" w:space="0" w:color="auto"/>
        <w:right w:val="none" w:sz="0" w:space="0" w:color="auto"/>
      </w:divBdr>
    </w:div>
    <w:div w:id="2130857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5FFA0-BC3A-4FA3-914D-39D85D3CC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12226</Words>
  <Characters>69691</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2024-02-27T01:34:00Z</dcterms:created>
  <dcterms:modified xsi:type="dcterms:W3CDTF">2024-03-01T00:41:00Z</dcterms:modified>
</cp:coreProperties>
</file>