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49418" w14:textId="53E1F758" w:rsidR="004A2800" w:rsidRPr="00D07E3A" w:rsidRDefault="004A2800" w:rsidP="00377DDE">
      <w:pPr>
        <w:pStyle w:val="1-MainHeading"/>
        <w:ind w:left="851" w:hanging="851"/>
      </w:pPr>
      <w:bookmarkStart w:id="0" w:name="_Toc124949402"/>
      <w:r w:rsidRPr="00D07E3A">
        <w:t>4.</w:t>
      </w:r>
      <w:r w:rsidR="001E18CB" w:rsidRPr="00D07E3A">
        <w:t>03</w:t>
      </w:r>
      <w:r w:rsidRPr="00D07E3A">
        <w:tab/>
        <w:t>VARICELLA ZOSTER VIRUS RECOMBINANT VACCINE,</w:t>
      </w:r>
      <w:r w:rsidRPr="00D07E3A">
        <w:br/>
        <w:t xml:space="preserve">Injection [1 vial] &amp; adjuvant substance diluent [0.5 mL vial], </w:t>
      </w:r>
      <w:r w:rsidRPr="00D07E3A">
        <w:br/>
        <w:t>Shingrix®,</w:t>
      </w:r>
      <w:r w:rsidRPr="00D07E3A">
        <w:br/>
        <w:t>GlaxoSmithKline Australia Pty Ltd.</w:t>
      </w:r>
      <w:bookmarkStart w:id="1" w:name="_Toc22897637"/>
      <w:bookmarkEnd w:id="0"/>
    </w:p>
    <w:bookmarkEnd w:id="1"/>
    <w:p w14:paraId="08D20C01" w14:textId="2245B5A1" w:rsidR="004A2800" w:rsidRPr="00D07E3A" w:rsidRDefault="002D75DE" w:rsidP="004A2800">
      <w:pPr>
        <w:pStyle w:val="2-SectionHeading"/>
      </w:pPr>
      <w:r w:rsidRPr="00D07E3A">
        <w:t xml:space="preserve">Background </w:t>
      </w:r>
    </w:p>
    <w:p w14:paraId="620E7298" w14:textId="7A83A75A" w:rsidR="004A2800" w:rsidRPr="00D07E3A" w:rsidRDefault="004A2800" w:rsidP="004A2800">
      <w:pPr>
        <w:pStyle w:val="3-BodyText"/>
      </w:pPr>
      <w:bookmarkStart w:id="2" w:name="_Ref150243887"/>
      <w:r w:rsidRPr="00D07E3A">
        <w:t xml:space="preserve">At its March 2023 meeting, </w:t>
      </w:r>
      <w:r w:rsidR="002D4C82" w:rsidRPr="00D07E3A">
        <w:t xml:space="preserve">the PBAC recommended that varicella zoster virus recombinant vaccine (RZV) be a designated vaccine for the purposes of the </w:t>
      </w:r>
      <w:r w:rsidR="002D4C82" w:rsidRPr="00D07E3A">
        <w:rPr>
          <w:i/>
          <w:iCs/>
        </w:rPr>
        <w:t>National Health Act 1953</w:t>
      </w:r>
      <w:r w:rsidR="002D4C82" w:rsidRPr="00D07E3A">
        <w:t xml:space="preserve"> for non-Indigenous individuals aged 70 years, Aboriginal and Torres Strait Islander individuals aged ≥ 50 years and immunocompromised individuals aged ≥ 18 years with conditions at high risk of HZ infection (as defined by ATAGI in its post-submission advice). T</w:t>
      </w:r>
      <w:r w:rsidRPr="00D07E3A">
        <w:t xml:space="preserve">he PBAC deferred a decision for a broader population of immunocompromised individuals aged ≥ 18 years at increased risk of HZ infection to seek further ATAGI advice on the appropriate definition of this population. </w:t>
      </w:r>
      <w:r w:rsidR="002D4C82" w:rsidRPr="00971F34">
        <w:t>The PBAC did not recommend RZV for non-Indigenous individuals aged 65 to 69 years and aged ≥ 71 years.</w:t>
      </w:r>
      <w:bookmarkEnd w:id="2"/>
    </w:p>
    <w:p w14:paraId="0467B4A7" w14:textId="23981D6E" w:rsidR="002D4C82" w:rsidRPr="00D07E3A" w:rsidRDefault="002D4C82" w:rsidP="004A2800">
      <w:pPr>
        <w:pStyle w:val="3-BodyText"/>
      </w:pPr>
      <w:bookmarkStart w:id="3" w:name="_Ref150243890"/>
      <w:r w:rsidRPr="00D07E3A">
        <w:t xml:space="preserve">At its July 2023 meeting, the PBAC recommended that RZV be a designated vaccine for the purposes of the </w:t>
      </w:r>
      <w:r w:rsidRPr="00D07E3A">
        <w:rPr>
          <w:i/>
          <w:iCs/>
        </w:rPr>
        <w:t>National Health Act 1953</w:t>
      </w:r>
      <w:r w:rsidRPr="00D07E3A">
        <w:t xml:space="preserve">, for individuals aged 65 years </w:t>
      </w:r>
      <w:r w:rsidR="009428D0" w:rsidRPr="00D07E3A">
        <w:t xml:space="preserve">of age </w:t>
      </w:r>
      <w:r w:rsidRPr="00D07E3A">
        <w:t>(primary program) and older (catch-up program).</w:t>
      </w:r>
      <w:bookmarkEnd w:id="3"/>
    </w:p>
    <w:p w14:paraId="32A8BB7A" w14:textId="6C6883BF" w:rsidR="004A2800" w:rsidRPr="00D07E3A" w:rsidRDefault="004A2800" w:rsidP="004A2800">
      <w:pPr>
        <w:pStyle w:val="3-BodyText"/>
      </w:pPr>
      <w:bookmarkStart w:id="4" w:name="_Ref150167364"/>
      <w:r w:rsidRPr="00D07E3A">
        <w:t>On 1 November 2023</w:t>
      </w:r>
      <w:r w:rsidR="006367A6" w:rsidRPr="00D07E3A">
        <w:rPr>
          <w:rStyle w:val="FootnoteReference"/>
        </w:rPr>
        <w:footnoteReference w:id="1"/>
      </w:r>
      <w:r w:rsidRPr="00D07E3A">
        <w:t>, RZV w</w:t>
      </w:r>
      <w:r w:rsidR="009428D0" w:rsidRPr="00D07E3A">
        <w:t>as</w:t>
      </w:r>
      <w:r w:rsidRPr="00D07E3A">
        <w:t xml:space="preserve"> included on the NIP for:</w:t>
      </w:r>
      <w:bookmarkEnd w:id="4"/>
    </w:p>
    <w:p w14:paraId="23E3CC2E" w14:textId="5A5AA221" w:rsidR="004A2800" w:rsidRPr="00D07E3A" w:rsidRDefault="007A7D59" w:rsidP="009561E0">
      <w:pPr>
        <w:pStyle w:val="3-BodyText"/>
        <w:numPr>
          <w:ilvl w:val="0"/>
          <w:numId w:val="2"/>
        </w:numPr>
        <w:ind w:left="1134"/>
      </w:pPr>
      <w:r w:rsidRPr="00D07E3A">
        <w:t>People aged 65 years and older;</w:t>
      </w:r>
    </w:p>
    <w:p w14:paraId="1B2622E4" w14:textId="149480E3" w:rsidR="004A2800" w:rsidRPr="00D07E3A" w:rsidRDefault="00C05AB6" w:rsidP="009561E0">
      <w:pPr>
        <w:pStyle w:val="3-BodyText"/>
        <w:numPr>
          <w:ilvl w:val="0"/>
          <w:numId w:val="2"/>
        </w:numPr>
        <w:ind w:left="1134"/>
      </w:pPr>
      <w:r w:rsidRPr="00D07E3A">
        <w:t>Aboriginal and Torres Strait Islander</w:t>
      </w:r>
      <w:r w:rsidR="007A7D59" w:rsidRPr="00D07E3A">
        <w:t xml:space="preserve"> people aged 50 years and older;</w:t>
      </w:r>
    </w:p>
    <w:p w14:paraId="319F7BC2" w14:textId="65158F46" w:rsidR="004A2800" w:rsidRPr="00D07E3A" w:rsidRDefault="007A7D59" w:rsidP="009561E0">
      <w:pPr>
        <w:pStyle w:val="3-BodyText"/>
        <w:numPr>
          <w:ilvl w:val="0"/>
          <w:numId w:val="2"/>
        </w:numPr>
        <w:ind w:left="1134"/>
      </w:pPr>
      <w:r w:rsidRPr="00D07E3A">
        <w:t xml:space="preserve">Immunocompromised people aged 18 years and older with the following medical conditions (i) haemopoietic stem cell transplant (ii) solid organ transplant (iii) haematological malignancy and (iv) advanced or untreated HIV. </w:t>
      </w:r>
    </w:p>
    <w:p w14:paraId="2EEFDE74" w14:textId="09A5D5D2" w:rsidR="002D4C82" w:rsidRPr="00D07E3A" w:rsidRDefault="00E06907" w:rsidP="002D4C82">
      <w:pPr>
        <w:pStyle w:val="3-BodyText"/>
      </w:pPr>
      <w:r w:rsidRPr="00D07E3A">
        <w:t xml:space="preserve">In response to the PBAC’s March 2023 deferral for the broader population of immunocompromised individuals at increased risk of HZ infection, </w:t>
      </w:r>
      <w:r w:rsidR="002D4C82" w:rsidRPr="00D07E3A">
        <w:t>ATAGI provided advice</w:t>
      </w:r>
      <w:r w:rsidRPr="00D07E3A">
        <w:t xml:space="preserve"> in September 2023</w:t>
      </w:r>
      <w:r w:rsidR="002D4C82" w:rsidRPr="00D07E3A">
        <w:t xml:space="preserve"> which outlined a number of additional conditions and immunosuppressive therapies which it considered conferred a moderate </w:t>
      </w:r>
      <w:r w:rsidR="00AE6851" w:rsidRPr="00D07E3A">
        <w:t xml:space="preserve">or </w:t>
      </w:r>
      <w:r w:rsidR="002D4C82" w:rsidRPr="00D07E3A">
        <w:t xml:space="preserve">high risk for HZ, both categories which ATAGI considered appropriate for funded vaccination with RZV. </w:t>
      </w:r>
    </w:p>
    <w:p w14:paraId="669F60D6" w14:textId="11254E3C" w:rsidR="007A7D59" w:rsidRPr="00D07E3A" w:rsidRDefault="002102F6" w:rsidP="007A7D59">
      <w:pPr>
        <w:pStyle w:val="3-BodyText"/>
      </w:pPr>
      <w:r w:rsidRPr="00D07E3A">
        <w:t xml:space="preserve">The nationally negotiated price </w:t>
      </w:r>
      <w:r w:rsidR="00110CD1" w:rsidRPr="00D07E3A">
        <w:t xml:space="preserve">(NNP) </w:t>
      </w:r>
      <w:r w:rsidR="008B62F3" w:rsidRPr="00D07E3A">
        <w:t xml:space="preserve">(as recommended by the PBAC) </w:t>
      </w:r>
      <w:r w:rsidRPr="00D07E3A">
        <w:t>for people aged 65 years and older is $</w:t>
      </w:r>
      <w:r w:rsidR="00447F02" w:rsidRPr="00FE6944">
        <w:rPr>
          <w:color w:val="000000"/>
          <w:w w:val="15"/>
          <w:shd w:val="solid" w:color="000000" w:fill="000000"/>
          <w:fitText w:val="-20" w:id="-1032144128"/>
          <w14:textFill>
            <w14:solidFill>
              <w14:srgbClr w14:val="000000">
                <w14:alpha w14:val="100000"/>
              </w14:srgbClr>
            </w14:solidFill>
          </w14:textFill>
        </w:rPr>
        <w:t xml:space="preserve">|  </w:t>
      </w:r>
      <w:r w:rsidR="00447F02" w:rsidRPr="00FE6944">
        <w:rPr>
          <w:color w:val="000000"/>
          <w:spacing w:val="-69"/>
          <w:w w:val="15"/>
          <w:shd w:val="solid" w:color="000000" w:fill="000000"/>
          <w:fitText w:val="-20" w:id="-1032144128"/>
          <w14:textFill>
            <w14:solidFill>
              <w14:srgbClr w14:val="000000">
                <w14:alpha w14:val="100000"/>
              </w14:srgbClr>
            </w14:solidFill>
          </w14:textFill>
        </w:rPr>
        <w:t>|</w:t>
      </w:r>
      <w:r w:rsidR="00447F02" w:rsidRPr="00447F02">
        <w:t xml:space="preserve"> </w:t>
      </w:r>
      <w:r w:rsidRPr="00D07E3A">
        <w:t>per dose</w:t>
      </w:r>
      <w:r w:rsidR="008B62F3" w:rsidRPr="00D07E3A">
        <w:t>. F</w:t>
      </w:r>
      <w:r w:rsidRPr="00D07E3A">
        <w:t xml:space="preserve">or </w:t>
      </w:r>
      <w:r w:rsidR="00110CD1" w:rsidRPr="00D07E3A">
        <w:t>people aged 70 years,</w:t>
      </w:r>
      <w:r w:rsidR="00C05AB6" w:rsidRPr="00D07E3A">
        <w:t xml:space="preserve"> Aboriginal and Torres Strait </w:t>
      </w:r>
      <w:r w:rsidR="00C05AB6" w:rsidRPr="00D07E3A">
        <w:lastRenderedPageBreak/>
        <w:t>Islander</w:t>
      </w:r>
      <w:r w:rsidR="00110CD1" w:rsidRPr="00D07E3A">
        <w:t xml:space="preserve"> people </w:t>
      </w:r>
      <w:r w:rsidR="00D53B32" w:rsidRPr="00D07E3A">
        <w:t xml:space="preserve">aged 50 years and older </w:t>
      </w:r>
      <w:r w:rsidR="00110CD1" w:rsidRPr="00D07E3A">
        <w:t>and immunocompromised people</w:t>
      </w:r>
      <w:r w:rsidR="00D21C97" w:rsidRPr="00D07E3A">
        <w:t xml:space="preserve"> </w:t>
      </w:r>
      <w:r w:rsidR="00110CD1" w:rsidRPr="00D07E3A">
        <w:t>aged 18 years and older</w:t>
      </w:r>
      <w:r w:rsidR="00E06907" w:rsidRPr="00D07E3A">
        <w:t xml:space="preserve"> (as outlined in paragraph </w:t>
      </w:r>
      <w:r w:rsidR="00E06907" w:rsidRPr="00D07E3A">
        <w:fldChar w:fldCharType="begin"/>
      </w:r>
      <w:r w:rsidR="00E06907" w:rsidRPr="00D07E3A">
        <w:instrText xml:space="preserve"> REF _Ref150167364 \r \h </w:instrText>
      </w:r>
      <w:r w:rsidR="00E06907" w:rsidRPr="00D07E3A">
        <w:fldChar w:fldCharType="separate"/>
      </w:r>
      <w:r w:rsidR="00FE6944">
        <w:t>1.3</w:t>
      </w:r>
      <w:r w:rsidR="00E06907" w:rsidRPr="00D07E3A">
        <w:fldChar w:fldCharType="end"/>
      </w:r>
      <w:r w:rsidR="00E06907" w:rsidRPr="00D07E3A">
        <w:t>)</w:t>
      </w:r>
      <w:r w:rsidR="00110CD1" w:rsidRPr="00D07E3A">
        <w:t xml:space="preserve"> the NNP is $</w:t>
      </w:r>
      <w:r w:rsidR="00447F02" w:rsidRPr="00FE6944">
        <w:rPr>
          <w:color w:val="000000"/>
          <w:w w:val="15"/>
          <w:shd w:val="solid" w:color="000000" w:fill="000000"/>
          <w:fitText w:val="-20" w:id="-1032144127"/>
          <w14:textFill>
            <w14:solidFill>
              <w14:srgbClr w14:val="000000">
                <w14:alpha w14:val="100000"/>
              </w14:srgbClr>
            </w14:solidFill>
          </w14:textFill>
        </w:rPr>
        <w:t xml:space="preserve">|  </w:t>
      </w:r>
      <w:r w:rsidR="00447F02" w:rsidRPr="00FE6944">
        <w:rPr>
          <w:color w:val="000000"/>
          <w:spacing w:val="-69"/>
          <w:w w:val="15"/>
          <w:shd w:val="solid" w:color="000000" w:fill="000000"/>
          <w:fitText w:val="-20" w:id="-1032144127"/>
          <w14:textFill>
            <w14:solidFill>
              <w14:srgbClr w14:val="000000">
                <w14:alpha w14:val="100000"/>
              </w14:srgbClr>
            </w14:solidFill>
          </w14:textFill>
        </w:rPr>
        <w:t>|</w:t>
      </w:r>
      <w:r w:rsidR="00110CD1" w:rsidRPr="00D07E3A">
        <w:t xml:space="preserve">. </w:t>
      </w:r>
    </w:p>
    <w:p w14:paraId="5F2EB9B5" w14:textId="325DCBA2" w:rsidR="00474CFE" w:rsidRPr="00D07E3A" w:rsidRDefault="00474CFE" w:rsidP="004A2800">
      <w:pPr>
        <w:pStyle w:val="2-SectionHeading"/>
      </w:pPr>
      <w:r w:rsidRPr="00D07E3A">
        <w:t>Requested listing</w:t>
      </w:r>
    </w:p>
    <w:p w14:paraId="5359D44D" w14:textId="46459808" w:rsidR="00474CFE" w:rsidRPr="00D07E3A" w:rsidRDefault="00474CFE" w:rsidP="00474CFE">
      <w:pPr>
        <w:pStyle w:val="3-BodyText"/>
      </w:pPr>
      <w:bookmarkStart w:id="5" w:name="_Ref150245529"/>
      <w:r w:rsidRPr="00D07E3A">
        <w:t>The sponsor proposed the following criteria for RZV</w:t>
      </w:r>
      <w:bookmarkEnd w:id="5"/>
      <w:r w:rsidR="00D07E3A">
        <w:t xml:space="preserve">. </w:t>
      </w:r>
    </w:p>
    <w:tbl>
      <w:tblPr>
        <w:tblW w:w="5000" w:type="pct"/>
        <w:tblCellMar>
          <w:left w:w="28" w:type="dxa"/>
          <w:right w:w="28" w:type="dxa"/>
        </w:tblCellMar>
        <w:tblLook w:val="0000" w:firstRow="0" w:lastRow="0" w:firstColumn="0" w:lastColumn="0" w:noHBand="0" w:noVBand="0"/>
      </w:tblPr>
      <w:tblGrid>
        <w:gridCol w:w="2323"/>
        <w:gridCol w:w="841"/>
        <w:gridCol w:w="1152"/>
        <w:gridCol w:w="4710"/>
      </w:tblGrid>
      <w:tr w:rsidR="00474CFE" w:rsidRPr="00D07E3A" w14:paraId="3BDFB2C3" w14:textId="77777777" w:rsidTr="00B964B0">
        <w:trPr>
          <w:cantSplit/>
          <w:trHeight w:val="70"/>
        </w:trPr>
        <w:tc>
          <w:tcPr>
            <w:tcW w:w="1287" w:type="pct"/>
            <w:tcBorders>
              <w:top w:val="single" w:sz="4" w:space="0" w:color="auto"/>
              <w:bottom w:val="single" w:sz="4" w:space="0" w:color="auto"/>
            </w:tcBorders>
            <w:vAlign w:val="center"/>
          </w:tcPr>
          <w:p w14:paraId="39ED8618" w14:textId="77777777" w:rsidR="00474CFE" w:rsidRPr="00D07E3A" w:rsidRDefault="00474CFE" w:rsidP="00474CFE">
            <w:pPr>
              <w:widowControl w:val="0"/>
              <w:spacing w:after="0" w:line="240" w:lineRule="auto"/>
              <w:rPr>
                <w:rFonts w:ascii="Arial Narrow" w:eastAsia="Times New Roman" w:hAnsi="Arial Narrow" w:cstheme="minorHAnsi"/>
                <w:b/>
                <w:sz w:val="20"/>
                <w:lang w:eastAsia="en-AU"/>
              </w:rPr>
            </w:pPr>
            <w:r w:rsidRPr="00D07E3A">
              <w:rPr>
                <w:rFonts w:ascii="Arial Narrow" w:eastAsia="Times New Roman" w:hAnsi="Arial Narrow" w:cstheme="minorHAnsi"/>
                <w:b/>
                <w:sz w:val="20"/>
                <w:lang w:eastAsia="en-AU"/>
              </w:rPr>
              <w:t>Vaccine and the circumstances in which vaccine may be provided</w:t>
            </w:r>
          </w:p>
        </w:tc>
        <w:tc>
          <w:tcPr>
            <w:tcW w:w="466" w:type="pct"/>
            <w:tcBorders>
              <w:top w:val="single" w:sz="4" w:space="0" w:color="auto"/>
              <w:bottom w:val="single" w:sz="4" w:space="0" w:color="auto"/>
            </w:tcBorders>
            <w:vAlign w:val="center"/>
          </w:tcPr>
          <w:p w14:paraId="683E2520" w14:textId="77777777" w:rsidR="00474CFE" w:rsidRPr="00D07E3A" w:rsidRDefault="00474CFE" w:rsidP="00474CFE">
            <w:pPr>
              <w:widowControl w:val="0"/>
              <w:spacing w:after="0" w:line="240" w:lineRule="auto"/>
              <w:rPr>
                <w:rFonts w:ascii="Arial Narrow" w:eastAsia="Times New Roman" w:hAnsi="Arial Narrow" w:cstheme="minorHAnsi"/>
                <w:b/>
                <w:sz w:val="20"/>
                <w:lang w:eastAsia="en-AU"/>
              </w:rPr>
            </w:pPr>
            <w:r w:rsidRPr="00D07E3A">
              <w:rPr>
                <w:rFonts w:ascii="Arial Narrow" w:eastAsia="Times New Roman" w:hAnsi="Arial Narrow" w:cstheme="minorHAnsi"/>
                <w:b/>
                <w:sz w:val="20"/>
                <w:lang w:eastAsia="en-AU"/>
              </w:rPr>
              <w:t>Brand</w:t>
            </w:r>
          </w:p>
        </w:tc>
        <w:tc>
          <w:tcPr>
            <w:tcW w:w="638" w:type="pct"/>
            <w:tcBorders>
              <w:top w:val="single" w:sz="4" w:space="0" w:color="auto"/>
              <w:bottom w:val="single" w:sz="4" w:space="0" w:color="auto"/>
            </w:tcBorders>
            <w:vAlign w:val="center"/>
          </w:tcPr>
          <w:p w14:paraId="332337BC" w14:textId="77777777" w:rsidR="00474CFE" w:rsidRPr="00D07E3A" w:rsidRDefault="00474CFE" w:rsidP="00474CFE">
            <w:pPr>
              <w:widowControl w:val="0"/>
              <w:spacing w:after="0" w:line="240" w:lineRule="auto"/>
              <w:rPr>
                <w:rFonts w:ascii="Arial Narrow" w:eastAsia="Times New Roman" w:hAnsi="Arial Narrow" w:cstheme="minorHAnsi"/>
                <w:b/>
                <w:sz w:val="20"/>
                <w:lang w:eastAsia="en-AU"/>
              </w:rPr>
            </w:pPr>
            <w:r w:rsidRPr="00D07E3A">
              <w:rPr>
                <w:rFonts w:ascii="Arial Narrow" w:eastAsia="Times New Roman" w:hAnsi="Arial Narrow" w:cstheme="minorHAnsi"/>
                <w:b/>
                <w:sz w:val="20"/>
                <w:lang w:eastAsia="en-AU"/>
              </w:rPr>
              <w:t>Formulation</w:t>
            </w:r>
          </w:p>
        </w:tc>
        <w:tc>
          <w:tcPr>
            <w:tcW w:w="2609" w:type="pct"/>
            <w:tcBorders>
              <w:top w:val="single" w:sz="4" w:space="0" w:color="auto"/>
              <w:bottom w:val="single" w:sz="4" w:space="0" w:color="auto"/>
            </w:tcBorders>
            <w:vAlign w:val="center"/>
          </w:tcPr>
          <w:p w14:paraId="691DEB7B" w14:textId="77777777" w:rsidR="00474CFE" w:rsidRPr="00D07E3A" w:rsidRDefault="00474CFE" w:rsidP="00474CFE">
            <w:pPr>
              <w:widowControl w:val="0"/>
              <w:spacing w:after="0" w:line="240" w:lineRule="auto"/>
              <w:rPr>
                <w:rFonts w:ascii="Arial Narrow" w:eastAsia="Times New Roman" w:hAnsi="Arial Narrow" w:cstheme="minorHAnsi"/>
                <w:b/>
                <w:sz w:val="20"/>
                <w:lang w:eastAsia="en-AU"/>
              </w:rPr>
            </w:pPr>
            <w:r w:rsidRPr="00D07E3A">
              <w:rPr>
                <w:rFonts w:ascii="Arial Narrow" w:eastAsia="Times New Roman" w:hAnsi="Arial Narrow" w:cstheme="minorHAnsi"/>
                <w:b/>
                <w:sz w:val="20"/>
                <w:lang w:eastAsia="en-AU"/>
              </w:rPr>
              <w:t>Number and timing of doses</w:t>
            </w:r>
          </w:p>
        </w:tc>
      </w:tr>
      <w:tr w:rsidR="00474CFE" w:rsidRPr="00D07E3A" w14:paraId="7C2A97DC" w14:textId="77777777" w:rsidTr="00B964B0">
        <w:trPr>
          <w:cantSplit/>
          <w:trHeight w:val="846"/>
        </w:trPr>
        <w:tc>
          <w:tcPr>
            <w:tcW w:w="1287" w:type="pct"/>
            <w:tcBorders>
              <w:top w:val="single" w:sz="4" w:space="0" w:color="auto"/>
              <w:bottom w:val="single" w:sz="4" w:space="0" w:color="auto"/>
            </w:tcBorders>
            <w:vAlign w:val="center"/>
          </w:tcPr>
          <w:p w14:paraId="0FD9BDF5" w14:textId="77777777" w:rsidR="00474CFE" w:rsidRPr="00D07E3A" w:rsidRDefault="00474CFE" w:rsidP="00474CFE">
            <w:pPr>
              <w:widowControl w:val="0"/>
              <w:spacing w:after="0" w:line="240" w:lineRule="auto"/>
              <w:rPr>
                <w:rFonts w:ascii="Arial Narrow" w:eastAsiaTheme="majorEastAsia" w:hAnsi="Arial Narrow" w:cstheme="minorHAnsi"/>
                <w:bCs/>
                <w:sz w:val="20"/>
                <w:szCs w:val="20"/>
              </w:rPr>
            </w:pPr>
            <w:r w:rsidRPr="00D07E3A">
              <w:rPr>
                <w:rFonts w:ascii="Arial Narrow" w:eastAsiaTheme="majorEastAsia" w:hAnsi="Arial Narrow" w:cstheme="minorHAnsi"/>
                <w:bCs/>
                <w:sz w:val="20"/>
                <w:szCs w:val="20"/>
              </w:rPr>
              <w:t>Recombinant varicella zoster virus glycoprotein E antigen (AS01</w:t>
            </w:r>
            <w:r w:rsidRPr="00D07E3A">
              <w:rPr>
                <w:rFonts w:ascii="Arial Narrow" w:eastAsiaTheme="majorEastAsia" w:hAnsi="Arial Narrow" w:cstheme="minorHAnsi"/>
                <w:bCs/>
                <w:sz w:val="20"/>
                <w:szCs w:val="20"/>
                <w:vertAlign w:val="subscript"/>
              </w:rPr>
              <w:t>B</w:t>
            </w:r>
            <w:r w:rsidRPr="00D07E3A">
              <w:rPr>
                <w:rFonts w:ascii="Arial Narrow" w:eastAsiaTheme="majorEastAsia" w:hAnsi="Arial Narrow" w:cstheme="minorHAnsi"/>
                <w:bCs/>
                <w:sz w:val="20"/>
                <w:szCs w:val="20"/>
              </w:rPr>
              <w:t xml:space="preserve"> Adjuvanted) vaccine</w:t>
            </w:r>
          </w:p>
        </w:tc>
        <w:tc>
          <w:tcPr>
            <w:tcW w:w="466" w:type="pct"/>
            <w:tcBorders>
              <w:top w:val="single" w:sz="4" w:space="0" w:color="auto"/>
              <w:bottom w:val="single" w:sz="4" w:space="0" w:color="auto"/>
            </w:tcBorders>
            <w:vAlign w:val="center"/>
          </w:tcPr>
          <w:p w14:paraId="2F590EB0" w14:textId="77777777" w:rsidR="00474CFE" w:rsidRPr="00D07E3A" w:rsidRDefault="00474CFE" w:rsidP="00474CFE">
            <w:pPr>
              <w:widowControl w:val="0"/>
              <w:spacing w:after="0" w:line="240" w:lineRule="auto"/>
              <w:rPr>
                <w:rFonts w:ascii="Arial Narrow" w:eastAsiaTheme="majorEastAsia" w:hAnsi="Arial Narrow" w:cstheme="minorHAnsi"/>
                <w:bCs/>
                <w:sz w:val="20"/>
                <w:szCs w:val="20"/>
              </w:rPr>
            </w:pPr>
            <w:r w:rsidRPr="00D07E3A">
              <w:rPr>
                <w:rFonts w:ascii="Arial Narrow" w:eastAsiaTheme="majorEastAsia" w:hAnsi="Arial Narrow" w:cstheme="minorHAnsi"/>
                <w:bCs/>
                <w:sz w:val="20"/>
                <w:szCs w:val="20"/>
              </w:rPr>
              <w:t>Shingrix</w:t>
            </w:r>
          </w:p>
        </w:tc>
        <w:tc>
          <w:tcPr>
            <w:tcW w:w="638" w:type="pct"/>
            <w:tcBorders>
              <w:top w:val="single" w:sz="4" w:space="0" w:color="auto"/>
              <w:bottom w:val="single" w:sz="4" w:space="0" w:color="auto"/>
            </w:tcBorders>
            <w:vAlign w:val="center"/>
          </w:tcPr>
          <w:p w14:paraId="06952FA3" w14:textId="77777777" w:rsidR="00474CFE" w:rsidRPr="00D07E3A" w:rsidRDefault="00474CFE" w:rsidP="00474CFE">
            <w:pPr>
              <w:widowControl w:val="0"/>
              <w:spacing w:after="0" w:line="240" w:lineRule="auto"/>
              <w:rPr>
                <w:rFonts w:ascii="Arial Narrow" w:hAnsi="Arial Narrow" w:cstheme="minorHAnsi"/>
                <w:sz w:val="20"/>
              </w:rPr>
            </w:pPr>
            <w:r w:rsidRPr="00D07E3A">
              <w:rPr>
                <w:rFonts w:ascii="Arial Narrow" w:eastAsiaTheme="majorEastAsia" w:hAnsi="Arial Narrow" w:cstheme="minorHAnsi"/>
                <w:bCs/>
                <w:sz w:val="20"/>
                <w:szCs w:val="20"/>
              </w:rPr>
              <w:t>Powder and suspension for injection, 0.5 mL</w:t>
            </w:r>
          </w:p>
        </w:tc>
        <w:tc>
          <w:tcPr>
            <w:tcW w:w="2609" w:type="pct"/>
            <w:tcBorders>
              <w:top w:val="single" w:sz="4" w:space="0" w:color="auto"/>
              <w:bottom w:val="single" w:sz="4" w:space="0" w:color="auto"/>
            </w:tcBorders>
            <w:vAlign w:val="center"/>
          </w:tcPr>
          <w:p w14:paraId="24512E73" w14:textId="6C4CA040" w:rsidR="00474CFE" w:rsidRPr="00D07E3A" w:rsidRDefault="00474CFE" w:rsidP="00474CFE">
            <w:pPr>
              <w:pStyle w:val="Tabletext"/>
              <w:widowControl w:val="0"/>
              <w:numPr>
                <w:ilvl w:val="0"/>
                <w:numId w:val="19"/>
              </w:numPr>
              <w:ind w:left="334" w:hanging="283"/>
              <w:rPr>
                <w:rFonts w:cstheme="minorHAnsi"/>
                <w:b/>
                <w:bCs/>
              </w:rPr>
            </w:pPr>
            <w:r w:rsidRPr="00D07E3A">
              <w:rPr>
                <w:rFonts w:cstheme="minorHAnsi"/>
              </w:rPr>
              <w:t>unless paragraph (b) applies, 2 primary doses with the second dose given 2 to 6 months after the first dose</w:t>
            </w:r>
          </w:p>
          <w:p w14:paraId="596FA806" w14:textId="6F40B36D" w:rsidR="00474CFE" w:rsidRPr="00D07E3A" w:rsidRDefault="00474CFE" w:rsidP="00474CFE">
            <w:pPr>
              <w:pStyle w:val="Tabletext"/>
              <w:widowControl w:val="0"/>
              <w:numPr>
                <w:ilvl w:val="0"/>
                <w:numId w:val="19"/>
              </w:numPr>
              <w:ind w:left="334" w:hanging="283"/>
              <w:rPr>
                <w:rFonts w:cstheme="minorHAnsi"/>
                <w:b/>
                <w:bCs/>
              </w:rPr>
            </w:pPr>
            <w:r w:rsidRPr="00D07E3A">
              <w:rPr>
                <w:rFonts w:cstheme="minorHAnsi"/>
                <w:snapToGrid/>
              </w:rPr>
              <w:t>For persons who are immunodeficient, immunosuppressed or likely to become immunosuppressed due to known disease or therapy, 2 primary doses can be given 1 to 2 months</w:t>
            </w:r>
            <w:r w:rsidRPr="00D07E3A" w:rsidDel="00B359E6">
              <w:rPr>
                <w:rFonts w:cstheme="minorHAnsi"/>
                <w:snapToGrid/>
              </w:rPr>
              <w:t xml:space="preserve"> </w:t>
            </w:r>
            <w:r w:rsidRPr="00D07E3A">
              <w:rPr>
                <w:rFonts w:cstheme="minorHAnsi"/>
                <w:snapToGrid/>
              </w:rPr>
              <w:t xml:space="preserve">apart </w:t>
            </w:r>
          </w:p>
          <w:p w14:paraId="2B8DDB80" w14:textId="3C795A1B" w:rsidR="00474CFE" w:rsidRPr="00D07E3A" w:rsidRDefault="00474CFE" w:rsidP="00474CFE">
            <w:pPr>
              <w:pStyle w:val="Tabletext"/>
              <w:widowControl w:val="0"/>
              <w:numPr>
                <w:ilvl w:val="0"/>
                <w:numId w:val="19"/>
              </w:numPr>
              <w:ind w:left="334" w:hanging="283"/>
              <w:rPr>
                <w:rFonts w:cstheme="minorBidi"/>
                <w:b/>
              </w:rPr>
            </w:pPr>
            <w:r w:rsidRPr="00D07E3A">
              <w:rPr>
                <w:rFonts w:cstheme="minorBidi"/>
                <w:snapToGrid/>
              </w:rPr>
              <w:t>Those eligible populations who have received one dose privately ca</w:t>
            </w:r>
            <w:r w:rsidR="00971F34">
              <w:rPr>
                <w:rFonts w:cstheme="minorBidi"/>
                <w:snapToGrid/>
              </w:rPr>
              <w:t>n</w:t>
            </w:r>
            <w:r w:rsidRPr="00D07E3A">
              <w:rPr>
                <w:rFonts w:cstheme="minorBidi"/>
                <w:snapToGrid/>
              </w:rPr>
              <w:t xml:space="preserve"> receive their second dose on the NIP</w:t>
            </w:r>
          </w:p>
        </w:tc>
      </w:tr>
      <w:tr w:rsidR="00474CFE" w:rsidRPr="00D07E3A" w14:paraId="49C24DFB" w14:textId="77777777" w:rsidTr="00B964B0">
        <w:trPr>
          <w:cantSplit/>
          <w:trHeight w:val="1554"/>
        </w:trPr>
        <w:tc>
          <w:tcPr>
            <w:tcW w:w="5000" w:type="pct"/>
            <w:gridSpan w:val="4"/>
            <w:tcBorders>
              <w:top w:val="single" w:sz="4" w:space="0" w:color="auto"/>
              <w:bottom w:val="single" w:sz="4" w:space="0" w:color="auto"/>
            </w:tcBorders>
            <w:vAlign w:val="center"/>
          </w:tcPr>
          <w:p w14:paraId="0910D560" w14:textId="77777777" w:rsidR="00474CFE" w:rsidRPr="00D07E3A" w:rsidRDefault="00474CFE" w:rsidP="00B964B0">
            <w:pPr>
              <w:pStyle w:val="Tabletext"/>
              <w:widowControl w:val="0"/>
              <w:rPr>
                <w:rFonts w:cstheme="minorHAnsi"/>
                <w:b/>
                <w:bCs/>
              </w:rPr>
            </w:pPr>
            <w:r w:rsidRPr="00D07E3A">
              <w:rPr>
                <w:rFonts w:cstheme="minorHAnsi"/>
                <w:b/>
                <w:bCs/>
              </w:rPr>
              <w:t>Circumstances</w:t>
            </w:r>
          </w:p>
          <w:p w14:paraId="65D6807D" w14:textId="77777777" w:rsidR="00474CFE" w:rsidRPr="00D07E3A" w:rsidRDefault="00474CFE" w:rsidP="00B964B0">
            <w:pPr>
              <w:widowControl w:val="0"/>
              <w:spacing w:after="0" w:line="240" w:lineRule="auto"/>
              <w:rPr>
                <w:rStyle w:val="normaltextrun"/>
                <w:rFonts w:ascii="Arial Narrow" w:hAnsi="Arial Narrow"/>
                <w:sz w:val="20"/>
                <w:szCs w:val="20"/>
              </w:rPr>
            </w:pPr>
            <w:r w:rsidRPr="00D07E3A">
              <w:rPr>
                <w:rFonts w:ascii="Arial Narrow" w:hAnsi="Arial Narrow"/>
                <w:sz w:val="20"/>
                <w:szCs w:val="20"/>
              </w:rPr>
              <w:t>Vaccine may be provided to a person who:</w:t>
            </w:r>
          </w:p>
          <w:p w14:paraId="710C3996" w14:textId="77777777" w:rsidR="00474CFE" w:rsidRPr="00D07E3A" w:rsidRDefault="00474CFE" w:rsidP="00B964B0">
            <w:pPr>
              <w:pStyle w:val="paragraph"/>
              <w:widowControl w:val="0"/>
              <w:spacing w:before="0" w:beforeAutospacing="0" w:after="0" w:afterAutospacing="0"/>
              <w:ind w:left="360"/>
              <w:textAlignment w:val="baseline"/>
              <w:rPr>
                <w:rFonts w:ascii="Arial Narrow" w:hAnsi="Arial Narrow" w:cs="Calibri"/>
                <w:sz w:val="20"/>
                <w:szCs w:val="20"/>
              </w:rPr>
            </w:pPr>
            <w:r w:rsidRPr="00D07E3A">
              <w:rPr>
                <w:rStyle w:val="normaltextrun"/>
                <w:rFonts w:ascii="Arial Narrow" w:hAnsi="Arial Narrow" w:cs="Calibri"/>
                <w:b/>
                <w:bCs/>
                <w:sz w:val="20"/>
                <w:szCs w:val="20"/>
              </w:rPr>
              <w:t>(a)</w:t>
            </w:r>
            <w:r w:rsidRPr="00D07E3A">
              <w:rPr>
                <w:rStyle w:val="normaltextrun"/>
                <w:rFonts w:ascii="Arial Narrow" w:hAnsi="Arial Narrow" w:cs="Calibri"/>
                <w:sz w:val="20"/>
                <w:szCs w:val="20"/>
              </w:rPr>
              <w:t xml:space="preserve"> is at least 65 years of age; or</w:t>
            </w:r>
          </w:p>
          <w:p w14:paraId="7D0A2B32" w14:textId="77777777" w:rsidR="00474CFE" w:rsidRPr="00D07E3A" w:rsidRDefault="00474CFE" w:rsidP="00B964B0">
            <w:pPr>
              <w:pStyle w:val="paragraph"/>
              <w:widowControl w:val="0"/>
              <w:spacing w:before="0" w:beforeAutospacing="0" w:after="0" w:afterAutospacing="0"/>
              <w:ind w:left="360"/>
              <w:textAlignment w:val="baseline"/>
              <w:rPr>
                <w:rFonts w:ascii="Arial Narrow" w:hAnsi="Arial Narrow" w:cs="Calibri"/>
                <w:sz w:val="20"/>
                <w:szCs w:val="20"/>
              </w:rPr>
            </w:pPr>
            <w:r w:rsidRPr="00D07E3A">
              <w:rPr>
                <w:rStyle w:val="normaltextrun"/>
                <w:rFonts w:ascii="Arial Narrow" w:hAnsi="Arial Narrow" w:cs="Calibri"/>
                <w:b/>
                <w:bCs/>
                <w:sz w:val="20"/>
                <w:szCs w:val="20"/>
              </w:rPr>
              <w:t xml:space="preserve">(b) </w:t>
            </w:r>
            <w:r w:rsidRPr="00D07E3A">
              <w:rPr>
                <w:rStyle w:val="normaltextrun"/>
                <w:rFonts w:ascii="Arial Narrow" w:hAnsi="Arial Narrow" w:cs="Calibri"/>
                <w:sz w:val="20"/>
                <w:szCs w:val="20"/>
              </w:rPr>
              <w:t>is an Aboriginal and Torres Strait Islander individual who is at least 50 years</w:t>
            </w:r>
            <w:r w:rsidRPr="00D07E3A" w:rsidDel="00B359E6">
              <w:rPr>
                <w:rStyle w:val="normaltextrun"/>
                <w:rFonts w:ascii="Arial Narrow" w:hAnsi="Arial Narrow" w:cs="Calibri"/>
                <w:sz w:val="20"/>
                <w:szCs w:val="20"/>
              </w:rPr>
              <w:t xml:space="preserve"> of</w:t>
            </w:r>
            <w:r w:rsidRPr="00D07E3A">
              <w:rPr>
                <w:rStyle w:val="normaltextrun"/>
                <w:rFonts w:ascii="Arial Narrow" w:hAnsi="Arial Narrow" w:cs="Calibri"/>
                <w:sz w:val="20"/>
                <w:szCs w:val="20"/>
              </w:rPr>
              <w:t xml:space="preserve"> age; or</w:t>
            </w:r>
          </w:p>
          <w:p w14:paraId="0A28192D" w14:textId="77777777" w:rsidR="00474CFE" w:rsidRPr="00D07E3A" w:rsidRDefault="00474CFE" w:rsidP="00B964B0">
            <w:pPr>
              <w:widowControl w:val="0"/>
              <w:spacing w:after="0" w:line="240" w:lineRule="auto"/>
              <w:ind w:left="360"/>
              <w:rPr>
                <w:rFonts w:ascii="Arial Narrow" w:hAnsi="Arial Narrow"/>
                <w:sz w:val="20"/>
                <w:szCs w:val="20"/>
              </w:rPr>
            </w:pPr>
            <w:r w:rsidRPr="00D07E3A">
              <w:rPr>
                <w:rFonts w:ascii="Arial Narrow" w:hAnsi="Arial Narrow"/>
                <w:b/>
                <w:bCs/>
                <w:sz w:val="20"/>
                <w:szCs w:val="20"/>
              </w:rPr>
              <w:t>(c)</w:t>
            </w:r>
            <w:r w:rsidRPr="00D07E3A">
              <w:rPr>
                <w:rFonts w:ascii="Arial Narrow" w:hAnsi="Arial Narrow"/>
                <w:sz w:val="20"/>
                <w:szCs w:val="20"/>
              </w:rPr>
              <w:t xml:space="preserve"> is at least 18 years of age and considered at increased risk of herpes zoster,</w:t>
            </w:r>
          </w:p>
          <w:p w14:paraId="3F5A7823" w14:textId="77777777" w:rsidR="00474CFE" w:rsidRPr="00D07E3A" w:rsidRDefault="00474CFE" w:rsidP="00474CFE">
            <w:pPr>
              <w:pStyle w:val="ListParagraph"/>
              <w:widowControl w:val="0"/>
              <w:numPr>
                <w:ilvl w:val="1"/>
                <w:numId w:val="15"/>
              </w:numPr>
              <w:spacing w:after="0" w:line="240" w:lineRule="auto"/>
              <w:ind w:left="1246" w:hanging="283"/>
              <w:contextualSpacing w:val="0"/>
              <w:rPr>
                <w:rFonts w:ascii="Arial Narrow" w:hAnsi="Arial Narrow"/>
                <w:b/>
                <w:bCs/>
                <w:sz w:val="20"/>
                <w:szCs w:val="20"/>
              </w:rPr>
            </w:pPr>
            <w:r w:rsidRPr="00D07E3A">
              <w:rPr>
                <w:rFonts w:ascii="Arial Narrow" w:hAnsi="Arial Narrow"/>
                <w:sz w:val="20"/>
                <w:szCs w:val="20"/>
              </w:rPr>
              <w:t xml:space="preserve">due to an underlying </w:t>
            </w:r>
            <w:r w:rsidRPr="00D07E3A">
              <w:rPr>
                <w:rFonts w:ascii="Arial Narrow" w:eastAsia="Calibri" w:hAnsi="Arial Narrow" w:cs="Calibri"/>
                <w:color w:val="000000" w:themeColor="text1"/>
                <w:sz w:val="20"/>
                <w:szCs w:val="20"/>
              </w:rPr>
              <w:t xml:space="preserve">condition and/or immunomodulatory/immunosuppressive treatments </w:t>
            </w:r>
            <w:r w:rsidRPr="00D07E3A">
              <w:rPr>
                <w:rFonts w:ascii="Arial Narrow" w:hAnsi="Arial Narrow" w:cstheme="minorHAnsi"/>
                <w:sz w:val="20"/>
                <w:szCs w:val="20"/>
              </w:rPr>
              <w:t>as specified in subsection 7; or</w:t>
            </w:r>
          </w:p>
          <w:p w14:paraId="0CBFB7AD" w14:textId="77777777" w:rsidR="00474CFE" w:rsidRPr="00D07E3A" w:rsidRDefault="00474CFE" w:rsidP="00474CFE">
            <w:pPr>
              <w:pStyle w:val="ListParagraph"/>
              <w:widowControl w:val="0"/>
              <w:numPr>
                <w:ilvl w:val="1"/>
                <w:numId w:val="15"/>
              </w:numPr>
              <w:spacing w:after="0" w:line="240" w:lineRule="auto"/>
              <w:ind w:left="1246" w:hanging="283"/>
              <w:contextualSpacing w:val="0"/>
              <w:rPr>
                <w:rFonts w:ascii="Arial Narrow" w:hAnsi="Arial Narrow"/>
                <w:b/>
                <w:bCs/>
                <w:sz w:val="20"/>
                <w:szCs w:val="20"/>
              </w:rPr>
            </w:pPr>
            <w:r w:rsidRPr="00D07E3A">
              <w:rPr>
                <w:rFonts w:ascii="Arial Narrow" w:hAnsi="Arial Narrow"/>
                <w:sz w:val="20"/>
                <w:szCs w:val="20"/>
              </w:rPr>
              <w:t>due</w:t>
            </w:r>
            <w:r w:rsidRPr="00D07E3A">
              <w:rPr>
                <w:rFonts w:ascii="Arial Narrow" w:hAnsi="Arial Narrow" w:cstheme="minorHAnsi"/>
                <w:sz w:val="20"/>
                <w:szCs w:val="20"/>
              </w:rPr>
              <w:t xml:space="preserve"> to treatment with systemic corticosteroids (≥ 10 mg/day prednisolone equivalent dose) and considered by the treating physician to be at comparable risk to an individual in paragraph i.; or</w:t>
            </w:r>
          </w:p>
          <w:p w14:paraId="31F61CF9" w14:textId="77777777" w:rsidR="00474CFE" w:rsidRPr="00D07E3A" w:rsidRDefault="00474CFE" w:rsidP="00474CFE">
            <w:pPr>
              <w:pStyle w:val="ListParagraph"/>
              <w:widowControl w:val="0"/>
              <w:numPr>
                <w:ilvl w:val="1"/>
                <w:numId w:val="15"/>
              </w:numPr>
              <w:spacing w:after="0" w:line="240" w:lineRule="auto"/>
              <w:ind w:left="1246" w:hanging="283"/>
              <w:contextualSpacing w:val="0"/>
              <w:rPr>
                <w:rFonts w:ascii="Arial Narrow" w:hAnsi="Arial Narrow"/>
                <w:b/>
                <w:sz w:val="20"/>
                <w:szCs w:val="20"/>
              </w:rPr>
            </w:pPr>
            <w:r w:rsidRPr="00D07E3A">
              <w:rPr>
                <w:rFonts w:ascii="Arial Narrow" w:eastAsia="Calibri" w:hAnsi="Arial Narrow" w:cs="Calibri"/>
                <w:color w:val="000000" w:themeColor="text1"/>
                <w:sz w:val="20"/>
                <w:szCs w:val="20"/>
              </w:rPr>
              <w:t xml:space="preserve">as </w:t>
            </w:r>
            <w:r w:rsidRPr="00D07E3A">
              <w:rPr>
                <w:rFonts w:ascii="Arial Narrow" w:hAnsi="Arial Narrow"/>
                <w:sz w:val="20"/>
                <w:szCs w:val="20"/>
              </w:rPr>
              <w:t>determined</w:t>
            </w:r>
            <w:r w:rsidRPr="00D07E3A">
              <w:rPr>
                <w:rFonts w:ascii="Arial Narrow" w:eastAsia="Calibri" w:hAnsi="Arial Narrow" w:cs="Calibri"/>
                <w:color w:val="000000" w:themeColor="text1"/>
                <w:sz w:val="20"/>
                <w:szCs w:val="20"/>
              </w:rPr>
              <w:t xml:space="preserve"> by the treating physician to be at comparable risk to an individual in paragraph i.</w:t>
            </w:r>
          </w:p>
        </w:tc>
      </w:tr>
    </w:tbl>
    <w:p w14:paraId="409AE8B4" w14:textId="1A67BABB" w:rsidR="002D4C82" w:rsidRPr="00D07E3A" w:rsidRDefault="002D4C82" w:rsidP="001508C5">
      <w:pPr>
        <w:ind w:firstLine="720"/>
        <w:rPr>
          <w:rFonts w:asciiTheme="minorHAnsi" w:hAnsiTheme="minorHAnsi"/>
          <w:i/>
        </w:rPr>
      </w:pPr>
      <w:r w:rsidRPr="00D07E3A">
        <w:rPr>
          <w:rFonts w:asciiTheme="minorHAnsi" w:hAnsiTheme="minorHAnsi"/>
          <w:i/>
        </w:rPr>
        <w:t>For more detail on PBAC’s view, see section 4 PBAC outcome.</w:t>
      </w:r>
    </w:p>
    <w:p w14:paraId="708618C9" w14:textId="2321B523" w:rsidR="004A2800" w:rsidRPr="00D07E3A" w:rsidRDefault="00D548B6" w:rsidP="004A2800">
      <w:pPr>
        <w:pStyle w:val="2-SectionHeading"/>
      </w:pPr>
      <w:r w:rsidRPr="00D07E3A">
        <w:t>Consideration of the evidence</w:t>
      </w:r>
    </w:p>
    <w:p w14:paraId="494CBDA1" w14:textId="77777777" w:rsidR="00577540" w:rsidRPr="00D07E3A" w:rsidRDefault="00577540" w:rsidP="00577540">
      <w:pPr>
        <w:keepNext/>
        <w:spacing w:before="120" w:after="120"/>
        <w:outlineLvl w:val="1"/>
        <w:rPr>
          <w:rFonts w:asciiTheme="minorHAnsi" w:eastAsiaTheme="majorEastAsia" w:hAnsiTheme="minorHAnsi" w:cstheme="majorBidi"/>
          <w:b/>
          <w:i/>
          <w:spacing w:val="5"/>
          <w:kern w:val="28"/>
          <w:sz w:val="28"/>
          <w:szCs w:val="36"/>
        </w:rPr>
      </w:pPr>
      <w:r w:rsidRPr="00D07E3A">
        <w:rPr>
          <w:rFonts w:asciiTheme="minorHAnsi" w:eastAsiaTheme="majorEastAsia" w:hAnsiTheme="minorHAnsi" w:cstheme="majorBidi"/>
          <w:b/>
          <w:i/>
          <w:spacing w:val="5"/>
          <w:kern w:val="28"/>
          <w:sz w:val="28"/>
          <w:szCs w:val="36"/>
        </w:rPr>
        <w:t>Sponsor hearing</w:t>
      </w:r>
    </w:p>
    <w:p w14:paraId="28639019" w14:textId="4FAA721E" w:rsidR="00105937" w:rsidRPr="00D07E3A" w:rsidRDefault="000E54D1" w:rsidP="009A13BC">
      <w:pPr>
        <w:pStyle w:val="3-BodyText"/>
      </w:pPr>
      <w:r w:rsidRPr="00D07E3A">
        <w:rPr>
          <w:rFonts w:ascii="Calibri" w:hAnsi="Calibri" w:cs="Calibri"/>
          <w:bCs/>
        </w:rPr>
        <w:t>There was no hearing for this item</w:t>
      </w:r>
      <w:r w:rsidRPr="00D07E3A">
        <w:t>.</w:t>
      </w:r>
    </w:p>
    <w:p w14:paraId="07152B95" w14:textId="0A17CAC4" w:rsidR="00923D4A" w:rsidRPr="00D07E3A" w:rsidRDefault="00923D4A" w:rsidP="00923D4A">
      <w:pPr>
        <w:keepNext/>
        <w:spacing w:before="120" w:after="120"/>
        <w:outlineLvl w:val="1"/>
        <w:rPr>
          <w:rFonts w:asciiTheme="minorHAnsi" w:eastAsiaTheme="majorEastAsia" w:hAnsiTheme="minorHAnsi" w:cstheme="majorBidi"/>
          <w:b/>
          <w:i/>
          <w:spacing w:val="5"/>
          <w:kern w:val="28"/>
          <w:sz w:val="28"/>
          <w:szCs w:val="36"/>
        </w:rPr>
      </w:pPr>
      <w:r w:rsidRPr="00D07E3A">
        <w:rPr>
          <w:rFonts w:asciiTheme="minorHAnsi" w:eastAsiaTheme="majorEastAsia" w:hAnsiTheme="minorHAnsi" w:cstheme="majorBidi"/>
          <w:b/>
          <w:i/>
          <w:spacing w:val="5"/>
          <w:kern w:val="28"/>
          <w:sz w:val="28"/>
          <w:szCs w:val="36"/>
        </w:rPr>
        <w:t>Consumer comments</w:t>
      </w:r>
    </w:p>
    <w:p w14:paraId="2F264D59" w14:textId="30E9E3AC" w:rsidR="00692DA2" w:rsidRPr="00D07E3A" w:rsidRDefault="000E54D1" w:rsidP="00923D4A">
      <w:pPr>
        <w:pStyle w:val="3-BodyText"/>
      </w:pPr>
      <w:r w:rsidRPr="00D07E3A">
        <w:rPr>
          <w:bCs/>
        </w:rPr>
        <w:t>The PBAC noted and welcomed the input from health care professionals (1) and organisations (</w:t>
      </w:r>
      <w:r w:rsidR="00692DA2" w:rsidRPr="00D07E3A">
        <w:rPr>
          <w:bCs/>
        </w:rPr>
        <w:t>6</w:t>
      </w:r>
      <w:r w:rsidRPr="00D07E3A">
        <w:rPr>
          <w:bCs/>
        </w:rPr>
        <w:t>) via the Consumer Comments facility on the PBS website</w:t>
      </w:r>
      <w:r w:rsidR="00D07E3A">
        <w:rPr>
          <w:bCs/>
        </w:rPr>
        <w:t xml:space="preserve">. </w:t>
      </w:r>
      <w:r w:rsidRPr="00D07E3A">
        <w:rPr>
          <w:bCs/>
        </w:rPr>
        <w:t xml:space="preserve">The </w:t>
      </w:r>
      <w:r w:rsidR="00692DA2" w:rsidRPr="00D07E3A">
        <w:rPr>
          <w:bCs/>
        </w:rPr>
        <w:t xml:space="preserve">health care professional noted that RZV is a more effective vaccine than the live varicella zoster vaccine and can be used in immunocompromised individuals which is a significant advantage. The health care professional considered the current cost of RZV </w:t>
      </w:r>
      <w:r w:rsidR="00782B32" w:rsidRPr="00D07E3A">
        <w:rPr>
          <w:bCs/>
        </w:rPr>
        <w:t xml:space="preserve">on the private market </w:t>
      </w:r>
      <w:r w:rsidR="00692DA2" w:rsidRPr="00D07E3A">
        <w:rPr>
          <w:bCs/>
        </w:rPr>
        <w:t xml:space="preserve">to be a disadvantage. </w:t>
      </w:r>
    </w:p>
    <w:p w14:paraId="4E85C78F" w14:textId="14D6A6FE" w:rsidR="00692DA2" w:rsidRPr="00D07E3A" w:rsidRDefault="00692DA2" w:rsidP="00692DA2">
      <w:pPr>
        <w:pStyle w:val="3-BodyText"/>
      </w:pPr>
      <w:r w:rsidRPr="00D07E3A">
        <w:t xml:space="preserve">The PBAC noted and welcomed the input from the Australian Rheumatology Association (ARA), Multiple Sclerosis </w:t>
      </w:r>
      <w:r w:rsidR="005122C5" w:rsidRPr="00D07E3A">
        <w:t xml:space="preserve">(MS) </w:t>
      </w:r>
      <w:r w:rsidRPr="00D07E3A">
        <w:t>Australia, Crohn’s and Colitis Australia</w:t>
      </w:r>
      <w:r w:rsidR="005122C5" w:rsidRPr="00D07E3A">
        <w:t xml:space="preserve"> (CCA)</w:t>
      </w:r>
      <w:r w:rsidRPr="00D07E3A">
        <w:t xml:space="preserve">, Lung Foundation Australia, Immunisation Coalition Scientific Advisory Committee and Kidney Health Australia. </w:t>
      </w:r>
    </w:p>
    <w:p w14:paraId="0D1C1B9B" w14:textId="16E59C4A" w:rsidR="00692DA2" w:rsidRPr="00D07E3A" w:rsidRDefault="00692DA2" w:rsidP="00692DA2">
      <w:pPr>
        <w:pStyle w:val="3-BodyText"/>
      </w:pPr>
      <w:r w:rsidRPr="00D07E3A">
        <w:t>The ARA noted that while all immunocompromised patients are at higher risk, the reactivation of varicella zoster virus is the most concerning infective complication in people treated with Janus kinase inhibitors, which places rheumatology patients taking this class of medicines at even greater risk. The ARA noted there are disease-associated risks e.g., SLE, inflammatory myositis and RA, that are independent of age and medication-related risk. The ARA stated it understands including diseases with a spectrum of activity is challenging, but would like to highlight for consideration in future iterations the risk of the patients who would be excluded solely based on age in the current proposal.</w:t>
      </w:r>
    </w:p>
    <w:p w14:paraId="01A97444" w14:textId="25982485" w:rsidR="005122C5" w:rsidRPr="00D07E3A" w:rsidRDefault="005122C5" w:rsidP="005122C5">
      <w:pPr>
        <w:pStyle w:val="3-BodyText"/>
      </w:pPr>
      <w:r w:rsidRPr="00D07E3A">
        <w:t>MS Australia noted some people with MS are considered to be severely immunocompromised because of medications they may be receiving to treat their MS. MS Australia noted RZV offers an effective, inactivated vaccine suitable for the wider immunocompromised population over the age of 18, including individuals with MS on specific disease modifying therapies. The organisation strongly supported its inclusion on the NIP for the broader immunocompromised population over the age of 18 years.</w:t>
      </w:r>
    </w:p>
    <w:p w14:paraId="58BDBF9B" w14:textId="1269CDE3" w:rsidR="005122C5" w:rsidRPr="00D07E3A" w:rsidRDefault="005122C5" w:rsidP="005122C5">
      <w:pPr>
        <w:pStyle w:val="3-BodyText"/>
      </w:pPr>
      <w:r w:rsidRPr="00D07E3A">
        <w:t>CCA supported the inclusion of RZV on the NIP for vaccination of people living with Crohn’s disease and ulcerative colitis. CCA noted that people with</w:t>
      </w:r>
      <w:r w:rsidR="00971F34">
        <w:t xml:space="preserve"> inflammatory bowel disease</w:t>
      </w:r>
      <w:r w:rsidRPr="00D07E3A">
        <w:t xml:space="preserve"> </w:t>
      </w:r>
      <w:r w:rsidR="00971F34">
        <w:t>(</w:t>
      </w:r>
      <w:r w:rsidRPr="00D07E3A">
        <w:t>IBD</w:t>
      </w:r>
      <w:r w:rsidR="00971F34">
        <w:t>)</w:t>
      </w:r>
      <w:r w:rsidRPr="00D07E3A">
        <w:t xml:space="preserve"> are at higher risk of HZ infection than those who do not and people with IBD taking immunosuppressants are at even higher risk of HZ infection. </w:t>
      </w:r>
    </w:p>
    <w:p w14:paraId="6658C049" w14:textId="2B763B55" w:rsidR="005122C5" w:rsidRPr="00D07E3A" w:rsidRDefault="005122C5" w:rsidP="005122C5">
      <w:pPr>
        <w:pStyle w:val="3-BodyText"/>
      </w:pPr>
      <w:r w:rsidRPr="00D07E3A">
        <w:t>Lung Foundation Australia supported people with chronic obstructive pulmonary disease (COPD) being included in the population of immunocompromised individuals who can access RVZ on the NIP. The Foundation stated that preventing infection in people living with COPD is vital to reduce exacerbation of symptoms that can lead to hospitalisation and poorer prognosis.</w:t>
      </w:r>
    </w:p>
    <w:p w14:paraId="30FE24BA" w14:textId="67C35C32" w:rsidR="005122C5" w:rsidRDefault="005122C5" w:rsidP="005122C5">
      <w:pPr>
        <w:pStyle w:val="3-BodyText"/>
      </w:pPr>
      <w:r w:rsidRPr="00D07E3A">
        <w:t xml:space="preserve">Kidney Health Australia noted the importance of vaccination against HZ for people on dialysis and prior to transplantation. </w:t>
      </w:r>
    </w:p>
    <w:p w14:paraId="4CB4DAEE" w14:textId="6AAF7750" w:rsidR="00B77361" w:rsidRPr="00D07E3A" w:rsidRDefault="00B77361" w:rsidP="005122C5">
      <w:pPr>
        <w:pStyle w:val="3-BodyText"/>
      </w:pPr>
      <w:r w:rsidRPr="00B77361">
        <w:t xml:space="preserve">The Immunisation Coalition Scientific Advisory Committee wrote in support stating the vaccine was safer than live vaccines, could be given to those who are immunosuppressed and was more effective over a longer duration. </w:t>
      </w:r>
    </w:p>
    <w:p w14:paraId="1C4942B5" w14:textId="55033C05" w:rsidR="005122C5" w:rsidRPr="00D07E3A" w:rsidRDefault="005122C5" w:rsidP="005122C5">
      <w:pPr>
        <w:pStyle w:val="3-BodyText"/>
      </w:pPr>
      <w:r w:rsidRPr="00D07E3A">
        <w:t>The PBAC noted there were many comments regarding the high cost of RVZ</w:t>
      </w:r>
      <w:r w:rsidR="00FE657B" w:rsidRPr="00D07E3A">
        <w:t xml:space="preserve"> when privately funded</w:t>
      </w:r>
      <w:r w:rsidR="00D07E3A">
        <w:t xml:space="preserve">. </w:t>
      </w:r>
    </w:p>
    <w:p w14:paraId="7E0BAACA" w14:textId="058E4689" w:rsidR="009A13BC" w:rsidRPr="00D07E3A" w:rsidRDefault="00923D4A" w:rsidP="00923D4A">
      <w:pPr>
        <w:keepNext/>
        <w:spacing w:before="120" w:after="120"/>
        <w:outlineLvl w:val="1"/>
        <w:rPr>
          <w:rFonts w:asciiTheme="minorHAnsi" w:eastAsiaTheme="majorEastAsia" w:hAnsiTheme="minorHAnsi" w:cstheme="majorBidi"/>
          <w:b/>
          <w:i/>
          <w:spacing w:val="5"/>
          <w:kern w:val="28"/>
          <w:sz w:val="28"/>
          <w:szCs w:val="36"/>
        </w:rPr>
      </w:pPr>
      <w:r w:rsidRPr="00D07E3A">
        <w:rPr>
          <w:rFonts w:asciiTheme="minorHAnsi" w:eastAsiaTheme="majorEastAsia" w:hAnsiTheme="minorHAnsi" w:cstheme="majorBidi"/>
          <w:b/>
          <w:i/>
          <w:spacing w:val="5"/>
          <w:kern w:val="28"/>
          <w:sz w:val="28"/>
          <w:szCs w:val="36"/>
        </w:rPr>
        <w:t>ATAGI advice</w:t>
      </w:r>
      <w:r w:rsidR="008B682E" w:rsidRPr="00D07E3A">
        <w:rPr>
          <w:rFonts w:asciiTheme="minorHAnsi" w:eastAsiaTheme="majorEastAsia" w:hAnsiTheme="minorHAnsi" w:cstheme="majorBidi"/>
          <w:b/>
          <w:i/>
          <w:spacing w:val="5"/>
          <w:kern w:val="28"/>
          <w:sz w:val="28"/>
          <w:szCs w:val="36"/>
        </w:rPr>
        <w:t xml:space="preserve">: </w:t>
      </w:r>
      <w:r w:rsidR="001D523F" w:rsidRPr="00D07E3A">
        <w:rPr>
          <w:rFonts w:asciiTheme="minorHAnsi" w:eastAsiaTheme="majorEastAsia" w:hAnsiTheme="minorHAnsi" w:cstheme="majorBidi"/>
          <w:b/>
          <w:i/>
          <w:spacing w:val="5"/>
          <w:kern w:val="28"/>
          <w:sz w:val="28"/>
          <w:szCs w:val="36"/>
        </w:rPr>
        <w:t>September 2023</w:t>
      </w:r>
    </w:p>
    <w:p w14:paraId="285941BE" w14:textId="12CD7052" w:rsidR="003C7A73" w:rsidRPr="00D07E3A" w:rsidRDefault="003C7A73" w:rsidP="00923D4A">
      <w:pPr>
        <w:pStyle w:val="3-BodyText"/>
      </w:pPr>
      <w:r w:rsidRPr="00D07E3A">
        <w:rPr>
          <w:rFonts w:ascii="Calibri" w:eastAsia="Calibri" w:hAnsi="Calibri" w:cs="Calibri"/>
          <w:color w:val="000000" w:themeColor="text1"/>
        </w:rPr>
        <w:t xml:space="preserve">The ATAGI defined additional conditions </w:t>
      </w:r>
      <w:r w:rsidR="00AD5D70" w:rsidRPr="00D07E3A">
        <w:rPr>
          <w:rFonts w:ascii="Calibri" w:eastAsia="Calibri" w:hAnsi="Calibri" w:cs="Calibri"/>
          <w:color w:val="000000" w:themeColor="text1"/>
        </w:rPr>
        <w:t xml:space="preserve">and </w:t>
      </w:r>
      <w:r w:rsidRPr="00D07E3A">
        <w:rPr>
          <w:rFonts w:ascii="Calibri" w:eastAsia="Calibri" w:hAnsi="Calibri" w:cs="Calibri"/>
          <w:color w:val="000000" w:themeColor="text1"/>
        </w:rPr>
        <w:t>immunosuppressive therapies w</w:t>
      </w:r>
      <w:r w:rsidR="00FB1B13" w:rsidRPr="00D07E3A">
        <w:rPr>
          <w:rFonts w:ascii="Calibri" w:eastAsia="Calibri" w:hAnsi="Calibri" w:cs="Calibri"/>
          <w:color w:val="000000" w:themeColor="text1"/>
        </w:rPr>
        <w:t xml:space="preserve">ith </w:t>
      </w:r>
      <w:r w:rsidRPr="00D07E3A">
        <w:rPr>
          <w:rFonts w:ascii="Calibri" w:eastAsia="Calibri" w:hAnsi="Calibri" w:cs="Calibri"/>
          <w:color w:val="000000" w:themeColor="text1"/>
        </w:rPr>
        <w:t>a high risk</w:t>
      </w:r>
      <w:r w:rsidRPr="00D07E3A">
        <w:rPr>
          <w:rFonts w:ascii="Calibri" w:eastAsia="Calibri" w:hAnsi="Calibri" w:cs="Calibri"/>
          <w:b/>
          <w:bCs/>
          <w:color w:val="000000" w:themeColor="text1"/>
        </w:rPr>
        <w:t xml:space="preserve"> </w:t>
      </w:r>
      <w:r w:rsidRPr="00D07E3A">
        <w:rPr>
          <w:rFonts w:ascii="Calibri" w:eastAsia="Calibri" w:hAnsi="Calibri" w:cs="Calibri"/>
          <w:color w:val="000000" w:themeColor="text1"/>
        </w:rPr>
        <w:t>for HZ, a</w:t>
      </w:r>
      <w:r w:rsidR="00FB1B13" w:rsidRPr="00D07E3A">
        <w:rPr>
          <w:rFonts w:ascii="Calibri" w:eastAsia="Calibri" w:hAnsi="Calibri" w:cs="Calibri"/>
          <w:color w:val="000000" w:themeColor="text1"/>
        </w:rPr>
        <w:t xml:space="preserve">nd </w:t>
      </w:r>
      <w:r w:rsidRPr="00D07E3A">
        <w:rPr>
          <w:rFonts w:ascii="Calibri" w:eastAsia="Calibri" w:hAnsi="Calibri" w:cs="Calibri"/>
          <w:color w:val="000000" w:themeColor="text1"/>
        </w:rPr>
        <w:t>classified those which confer a moderate risk</w:t>
      </w:r>
      <w:r w:rsidRPr="00D07E3A">
        <w:rPr>
          <w:rFonts w:ascii="Calibri" w:eastAsia="Calibri" w:hAnsi="Calibri" w:cs="Calibri"/>
          <w:b/>
          <w:bCs/>
          <w:color w:val="000000" w:themeColor="text1"/>
        </w:rPr>
        <w:t>,</w:t>
      </w:r>
      <w:r w:rsidRPr="00D07E3A">
        <w:rPr>
          <w:rFonts w:ascii="Calibri" w:eastAsia="Calibri" w:hAnsi="Calibri" w:cs="Calibri"/>
          <w:color w:val="000000" w:themeColor="text1"/>
        </w:rPr>
        <w:t xml:space="preserve"> both categories which ATAGI considered appropriate for funded vaccination with RZV.</w:t>
      </w:r>
    </w:p>
    <w:p w14:paraId="7A7E6586" w14:textId="77777777" w:rsidR="00FE657B" w:rsidRPr="00D07E3A" w:rsidRDefault="00FE657B" w:rsidP="00FE657B">
      <w:pPr>
        <w:pStyle w:val="3-BodyText"/>
      </w:pPr>
      <w:r w:rsidRPr="00D07E3A">
        <w:t xml:space="preserve">The ATAGI sought the advice of the Australian Society of Clinical Immunology and Allergy and received submissions from key patient advocacy groups including the ARA. Expert opinion was supplemented with a review of available literature on immunocompromising conditions and immunosuppressive therapies, and risk of HZ. </w:t>
      </w:r>
    </w:p>
    <w:p w14:paraId="5E09B014" w14:textId="77777777" w:rsidR="00FE657B" w:rsidRPr="00D07E3A" w:rsidRDefault="00FE657B" w:rsidP="00FE657B">
      <w:pPr>
        <w:pStyle w:val="3-BodyText"/>
      </w:pPr>
      <w:r w:rsidRPr="00D07E3A">
        <w:t>The ATAGI advice stated the following considerations had been taken into account in evaluating the risks of HZ and identifying the appropriate population to consider for funding:</w:t>
      </w:r>
    </w:p>
    <w:p w14:paraId="34B4C669" w14:textId="77777777" w:rsidR="00FE657B" w:rsidRPr="00D07E3A" w:rsidRDefault="00FE657B" w:rsidP="00FE657B">
      <w:pPr>
        <w:pStyle w:val="3-BodyText"/>
        <w:numPr>
          <w:ilvl w:val="1"/>
          <w:numId w:val="10"/>
        </w:numPr>
        <w:ind w:left="1134" w:hanging="425"/>
      </w:pPr>
      <w:r w:rsidRPr="00D07E3A">
        <w:t>Age is one of the greatest determinants of individual risk, confounding the risk due to other causes.</w:t>
      </w:r>
    </w:p>
    <w:p w14:paraId="162C6724" w14:textId="77777777" w:rsidR="00FE657B" w:rsidRPr="00D07E3A" w:rsidRDefault="00FE657B" w:rsidP="00FE657B">
      <w:pPr>
        <w:pStyle w:val="3-BodyText"/>
        <w:numPr>
          <w:ilvl w:val="1"/>
          <w:numId w:val="10"/>
        </w:numPr>
        <w:ind w:left="1134" w:hanging="425"/>
      </w:pPr>
      <w:r w:rsidRPr="00D07E3A">
        <w:t>An individual’s risk may be determined by a multiplicity of differing factors including multiple therapies, comorbidities, their history of previous varicella infection or HZ, and age.</w:t>
      </w:r>
    </w:p>
    <w:p w14:paraId="407D7E02" w14:textId="77777777" w:rsidR="00FE657B" w:rsidRPr="00D07E3A" w:rsidRDefault="00FE657B" w:rsidP="00FE657B">
      <w:pPr>
        <w:pStyle w:val="3-BodyText"/>
        <w:numPr>
          <w:ilvl w:val="1"/>
          <w:numId w:val="10"/>
        </w:numPr>
        <w:ind w:left="1134" w:hanging="425"/>
      </w:pPr>
      <w:r w:rsidRPr="00D07E3A">
        <w:t xml:space="preserve">There is no standardised classification of levels of immunocompromise. </w:t>
      </w:r>
    </w:p>
    <w:p w14:paraId="2957F9D4" w14:textId="77777777" w:rsidR="00FE657B" w:rsidRPr="00D07E3A" w:rsidRDefault="00FE657B" w:rsidP="00FE657B">
      <w:pPr>
        <w:pStyle w:val="3-BodyText"/>
        <w:numPr>
          <w:ilvl w:val="1"/>
          <w:numId w:val="10"/>
        </w:numPr>
        <w:ind w:left="1134" w:hanging="425"/>
      </w:pPr>
      <w:r w:rsidRPr="00D07E3A">
        <w:t xml:space="preserve">The degree of immunocompromise may be related both to a patient’s underlying condition(s) (primary or acquired) or from their immunosuppressive therapies. </w:t>
      </w:r>
    </w:p>
    <w:p w14:paraId="2F181175" w14:textId="77777777" w:rsidR="00FE657B" w:rsidRPr="00D07E3A" w:rsidRDefault="00FE657B" w:rsidP="00FE657B">
      <w:pPr>
        <w:pStyle w:val="3-BodyText"/>
        <w:numPr>
          <w:ilvl w:val="1"/>
          <w:numId w:val="10"/>
        </w:numPr>
        <w:ind w:left="1134" w:hanging="425"/>
      </w:pPr>
      <w:r w:rsidRPr="00D07E3A">
        <w:t>The level of immunocompromise may change during various time periods of treatment, e.g. at treatment induction, during cycles of treatment, or during maintenance therapy.</w:t>
      </w:r>
    </w:p>
    <w:p w14:paraId="49628E5E" w14:textId="77777777" w:rsidR="00FE657B" w:rsidRPr="00D07E3A" w:rsidRDefault="00FE657B" w:rsidP="00FE657B">
      <w:pPr>
        <w:pStyle w:val="3-BodyText"/>
        <w:numPr>
          <w:ilvl w:val="1"/>
          <w:numId w:val="10"/>
        </w:numPr>
        <w:ind w:left="1134" w:hanging="425"/>
      </w:pPr>
      <w:r w:rsidRPr="00D07E3A">
        <w:t>The duration of immunocompromise, noting that some individuals may be immunocompromised only during a certain period of treatment while others with chronic conditions may remain immunocompromised over a long period.</w:t>
      </w:r>
    </w:p>
    <w:p w14:paraId="64FC9652" w14:textId="77777777" w:rsidR="00FE657B" w:rsidRPr="00D07E3A" w:rsidRDefault="00FE657B" w:rsidP="00FE657B">
      <w:pPr>
        <w:pStyle w:val="3-BodyText"/>
        <w:numPr>
          <w:ilvl w:val="1"/>
          <w:numId w:val="10"/>
        </w:numPr>
        <w:ind w:left="1134" w:hanging="425"/>
      </w:pPr>
      <w:r w:rsidRPr="00D07E3A">
        <w:t>The use of mitigation strategies such as antiviral prophylaxis with certain conditions.</w:t>
      </w:r>
    </w:p>
    <w:p w14:paraId="491FB064" w14:textId="77777777" w:rsidR="00FE657B" w:rsidRPr="00D07E3A" w:rsidRDefault="00FE657B" w:rsidP="00FE657B">
      <w:pPr>
        <w:pStyle w:val="3-BodyText"/>
        <w:numPr>
          <w:ilvl w:val="1"/>
          <w:numId w:val="10"/>
        </w:numPr>
        <w:ind w:left="1134" w:hanging="425"/>
      </w:pPr>
      <w:r w:rsidRPr="00D07E3A">
        <w:t xml:space="preserve">The expanding number of new immunosuppressive therapies, particularly biologic therapies, and their increasing usage, often with limited published evidence of their risk of HZ. </w:t>
      </w:r>
    </w:p>
    <w:p w14:paraId="27008CED" w14:textId="07D7D278" w:rsidR="00317EE2" w:rsidRPr="00D07E3A" w:rsidRDefault="003C7A73" w:rsidP="00923D4A">
      <w:pPr>
        <w:pStyle w:val="3-BodyText"/>
      </w:pPr>
      <w:r w:rsidRPr="00D07E3A">
        <w:rPr>
          <w:rFonts w:ascii="Calibri" w:eastAsia="Calibri" w:hAnsi="Calibri" w:cs="Calibri"/>
          <w:color w:val="000000" w:themeColor="text1"/>
        </w:rPr>
        <w:t xml:space="preserve">For each condition or therapy in </w:t>
      </w:r>
      <w:r w:rsidRPr="00D07E3A">
        <w:rPr>
          <w:rFonts w:ascii="Calibri" w:eastAsia="Calibri" w:hAnsi="Calibri" w:cs="Calibri"/>
          <w:color w:val="000000" w:themeColor="text1"/>
        </w:rPr>
        <w:fldChar w:fldCharType="begin"/>
      </w:r>
      <w:r w:rsidRPr="00D07E3A">
        <w:rPr>
          <w:rFonts w:ascii="Calibri" w:eastAsia="Calibri" w:hAnsi="Calibri" w:cs="Calibri"/>
          <w:color w:val="000000" w:themeColor="text1"/>
        </w:rPr>
        <w:instrText xml:space="preserve"> REF _Ref150243059 \h </w:instrText>
      </w:r>
      <w:r w:rsidRPr="00D07E3A">
        <w:rPr>
          <w:rFonts w:ascii="Calibri" w:eastAsia="Calibri" w:hAnsi="Calibri" w:cs="Calibri"/>
          <w:color w:val="000000" w:themeColor="text1"/>
        </w:rPr>
      </w:r>
      <w:r w:rsidRPr="00D07E3A">
        <w:rPr>
          <w:rFonts w:ascii="Calibri" w:eastAsia="Calibri" w:hAnsi="Calibri" w:cs="Calibri"/>
          <w:color w:val="000000" w:themeColor="text1"/>
        </w:rPr>
        <w:fldChar w:fldCharType="separate"/>
      </w:r>
      <w:r w:rsidR="00FE6944" w:rsidRPr="00D07E3A">
        <w:t xml:space="preserve">Table </w:t>
      </w:r>
      <w:r w:rsidR="00FE6944">
        <w:rPr>
          <w:noProof/>
        </w:rPr>
        <w:t>1</w:t>
      </w:r>
      <w:r w:rsidRPr="00D07E3A">
        <w:rPr>
          <w:rFonts w:ascii="Calibri" w:eastAsia="Calibri" w:hAnsi="Calibri" w:cs="Calibri"/>
          <w:color w:val="000000" w:themeColor="text1"/>
        </w:rPr>
        <w:fldChar w:fldCharType="end"/>
      </w:r>
      <w:r w:rsidRPr="00D07E3A">
        <w:rPr>
          <w:rFonts w:ascii="Calibri" w:eastAsia="Calibri" w:hAnsi="Calibri" w:cs="Calibri"/>
          <w:color w:val="000000" w:themeColor="text1"/>
        </w:rPr>
        <w:t>, the ATAGI considered the risk of herpes zoster to be sufficiently elevated compared to a person without that condition or therapy, or to the general population, as to warrant vaccination.</w:t>
      </w:r>
    </w:p>
    <w:p w14:paraId="4FE2C71D" w14:textId="45C894D5" w:rsidR="002510C5" w:rsidRPr="00D07E3A" w:rsidRDefault="00D6737E" w:rsidP="009561E0">
      <w:pPr>
        <w:pStyle w:val="Caption"/>
        <w:keepNext/>
        <w:keepLines/>
        <w:rPr>
          <w:color w:val="auto"/>
        </w:rPr>
      </w:pPr>
      <w:bookmarkStart w:id="6" w:name="_Ref150243059"/>
      <w:bookmarkStart w:id="7" w:name="_Hlk150679894"/>
      <w:r w:rsidRPr="00D07E3A">
        <w:rPr>
          <w:color w:val="auto"/>
        </w:rPr>
        <w:t xml:space="preserve">Table </w:t>
      </w:r>
      <w:r w:rsidRPr="00D07E3A">
        <w:rPr>
          <w:color w:val="auto"/>
        </w:rPr>
        <w:fldChar w:fldCharType="begin"/>
      </w:r>
      <w:r w:rsidRPr="00D07E3A">
        <w:rPr>
          <w:color w:val="auto"/>
        </w:rPr>
        <w:instrText xml:space="preserve"> SEQ Table \* ARABIC </w:instrText>
      </w:r>
      <w:r w:rsidRPr="00D07E3A">
        <w:rPr>
          <w:color w:val="auto"/>
        </w:rPr>
        <w:fldChar w:fldCharType="separate"/>
      </w:r>
      <w:r w:rsidR="00FE6944">
        <w:rPr>
          <w:noProof/>
          <w:color w:val="auto"/>
        </w:rPr>
        <w:t>1</w:t>
      </w:r>
      <w:r w:rsidRPr="00D07E3A">
        <w:rPr>
          <w:color w:val="auto"/>
        </w:rPr>
        <w:fldChar w:fldCharType="end"/>
      </w:r>
      <w:bookmarkEnd w:id="6"/>
      <w:r w:rsidRPr="00D07E3A">
        <w:rPr>
          <w:color w:val="auto"/>
        </w:rPr>
        <w:t xml:space="preserve">: </w:t>
      </w:r>
      <w:r w:rsidR="003C7A73" w:rsidRPr="00D07E3A">
        <w:rPr>
          <w:color w:val="auto"/>
        </w:rPr>
        <w:t>Conditions and therapies associated with an increased risk of herpes zoster and their estimated population sizes</w:t>
      </w:r>
      <w:r w:rsidR="00FE657B" w:rsidRPr="00D07E3A">
        <w:rPr>
          <w:color w:val="auto"/>
        </w:rPr>
        <w:t xml:space="preserve"> as defined by ATAGI</w:t>
      </w:r>
      <w:r w:rsidR="003C7A73" w:rsidRPr="00D07E3A">
        <w:rPr>
          <w:color w:val="auto"/>
        </w:rPr>
        <w:t xml:space="preserve">. </w:t>
      </w:r>
    </w:p>
    <w:tbl>
      <w:tblPr>
        <w:tblStyle w:val="TableGrid"/>
        <w:tblW w:w="5000" w:type="pct"/>
        <w:tblLook w:val="04A0" w:firstRow="1" w:lastRow="0" w:firstColumn="1" w:lastColumn="0" w:noHBand="0" w:noVBand="1"/>
        <w:tblCaption w:val="Table 1: Conditions and therapies associated with an increased risk of herpes zoster and their estimated population sizes as defined by ATAGI. "/>
      </w:tblPr>
      <w:tblGrid>
        <w:gridCol w:w="7509"/>
        <w:gridCol w:w="1507"/>
      </w:tblGrid>
      <w:tr w:rsidR="00512711" w:rsidRPr="00D07E3A" w14:paraId="4D42DD15" w14:textId="77777777" w:rsidTr="003C7A73">
        <w:tc>
          <w:tcPr>
            <w:tcW w:w="4164" w:type="pct"/>
          </w:tcPr>
          <w:p w14:paraId="0CE6911F" w14:textId="14484E9B" w:rsidR="00512711" w:rsidRPr="00D07E3A" w:rsidRDefault="003C7A73" w:rsidP="009561E0">
            <w:pPr>
              <w:pStyle w:val="3-BodyText"/>
              <w:keepNext/>
              <w:keepLines/>
              <w:numPr>
                <w:ilvl w:val="0"/>
                <w:numId w:val="0"/>
              </w:numPr>
              <w:rPr>
                <w:rFonts w:ascii="Arial Narrow" w:hAnsi="Arial Narrow"/>
                <w:b/>
                <w:bCs/>
                <w:sz w:val="20"/>
                <w:szCs w:val="20"/>
              </w:rPr>
            </w:pPr>
            <w:r w:rsidRPr="00D07E3A">
              <w:rPr>
                <w:rFonts w:ascii="Arial Narrow" w:hAnsi="Arial Narrow"/>
                <w:b/>
                <w:bCs/>
                <w:sz w:val="20"/>
                <w:szCs w:val="20"/>
              </w:rPr>
              <w:t>Condition or therapy</w:t>
            </w:r>
          </w:p>
        </w:tc>
        <w:tc>
          <w:tcPr>
            <w:tcW w:w="836" w:type="pct"/>
          </w:tcPr>
          <w:p w14:paraId="045A073D" w14:textId="46185E52" w:rsidR="00512711" w:rsidRPr="00D07E3A" w:rsidRDefault="003C7A73" w:rsidP="009561E0">
            <w:pPr>
              <w:pStyle w:val="3-BodyText"/>
              <w:keepNext/>
              <w:keepLines/>
              <w:numPr>
                <w:ilvl w:val="0"/>
                <w:numId w:val="0"/>
              </w:numPr>
              <w:rPr>
                <w:rFonts w:ascii="Arial Narrow" w:hAnsi="Arial Narrow"/>
                <w:b/>
                <w:bCs/>
                <w:sz w:val="20"/>
                <w:szCs w:val="20"/>
              </w:rPr>
            </w:pPr>
            <w:r w:rsidRPr="00D07E3A">
              <w:rPr>
                <w:rFonts w:ascii="Arial Narrow" w:hAnsi="Arial Narrow"/>
                <w:b/>
                <w:bCs/>
                <w:sz w:val="20"/>
                <w:szCs w:val="20"/>
              </w:rPr>
              <w:t>Population size</w:t>
            </w:r>
          </w:p>
        </w:tc>
      </w:tr>
      <w:tr w:rsidR="002C67C0" w:rsidRPr="00D07E3A" w14:paraId="305E5D4D" w14:textId="77777777" w:rsidTr="002C67C0">
        <w:tc>
          <w:tcPr>
            <w:tcW w:w="5000" w:type="pct"/>
            <w:gridSpan w:val="2"/>
          </w:tcPr>
          <w:p w14:paraId="002135D2" w14:textId="60FE3F74" w:rsidR="002C67C0" w:rsidRPr="00D07E3A" w:rsidRDefault="002C67C0" w:rsidP="009561E0">
            <w:pPr>
              <w:pStyle w:val="3-BodyText"/>
              <w:keepNext/>
              <w:keepLines/>
              <w:numPr>
                <w:ilvl w:val="0"/>
                <w:numId w:val="0"/>
              </w:numPr>
              <w:spacing w:after="0"/>
              <w:rPr>
                <w:rFonts w:ascii="Arial Narrow" w:hAnsi="Arial Narrow"/>
                <w:sz w:val="20"/>
                <w:szCs w:val="20"/>
              </w:rPr>
            </w:pPr>
            <w:r w:rsidRPr="00D07E3A">
              <w:rPr>
                <w:rFonts w:ascii="Arial Narrow" w:hAnsi="Arial Narrow"/>
                <w:b/>
                <w:bCs/>
                <w:sz w:val="20"/>
                <w:szCs w:val="20"/>
              </w:rPr>
              <w:t>Additional high risk conditions</w:t>
            </w:r>
          </w:p>
        </w:tc>
      </w:tr>
      <w:tr w:rsidR="00512711" w:rsidRPr="00D07E3A" w14:paraId="55401426" w14:textId="77777777" w:rsidTr="003C7A73">
        <w:tc>
          <w:tcPr>
            <w:tcW w:w="4164" w:type="pct"/>
          </w:tcPr>
          <w:p w14:paraId="4D6B1157" w14:textId="77777777" w:rsidR="00512711" w:rsidRPr="00D07E3A" w:rsidRDefault="00512711" w:rsidP="009561E0">
            <w:pPr>
              <w:keepNext/>
              <w:keepLines/>
              <w:rPr>
                <w:rStyle w:val="A9"/>
                <w:rFonts w:ascii="Arial Narrow" w:hAnsi="Arial Narrow" w:cstheme="minorBidi"/>
                <w:bCs/>
                <w:iCs/>
                <w:sz w:val="20"/>
                <w:szCs w:val="20"/>
              </w:rPr>
            </w:pPr>
            <w:r w:rsidRPr="00D07E3A">
              <w:rPr>
                <w:rStyle w:val="A9"/>
                <w:rFonts w:ascii="Arial Narrow" w:hAnsi="Arial Narrow"/>
                <w:bCs/>
                <w:iCs/>
                <w:sz w:val="20"/>
                <w:szCs w:val="20"/>
              </w:rPr>
              <w:t xml:space="preserve">Inborn errors of immunity with ongoing functional deficits including: </w:t>
            </w:r>
          </w:p>
          <w:p w14:paraId="1F850223" w14:textId="77777777" w:rsidR="00512711" w:rsidRPr="00D07E3A" w:rsidRDefault="00512711" w:rsidP="009561E0">
            <w:pPr>
              <w:pStyle w:val="ListParagraph"/>
              <w:keepNext/>
              <w:keepLines/>
              <w:numPr>
                <w:ilvl w:val="0"/>
                <w:numId w:val="11"/>
              </w:numPr>
              <w:ind w:left="318" w:hanging="318"/>
              <w:rPr>
                <w:rStyle w:val="A9"/>
                <w:rFonts w:ascii="Arial Narrow" w:hAnsi="Arial Narrow" w:cstheme="minorBidi"/>
                <w:bCs/>
                <w:iCs/>
                <w:sz w:val="20"/>
                <w:szCs w:val="20"/>
              </w:rPr>
            </w:pPr>
            <w:r w:rsidRPr="00D07E3A">
              <w:rPr>
                <w:rStyle w:val="A9"/>
                <w:rFonts w:ascii="Arial Narrow" w:hAnsi="Arial Narrow"/>
                <w:bCs/>
                <w:iCs/>
                <w:sz w:val="20"/>
                <w:szCs w:val="20"/>
              </w:rPr>
              <w:t xml:space="preserve">Humoral e.g. X-linked agammaglobulinemia </w:t>
            </w:r>
          </w:p>
          <w:p w14:paraId="4CAFAFC9" w14:textId="77777777" w:rsidR="00512711" w:rsidRPr="00D07E3A" w:rsidRDefault="00512711" w:rsidP="009561E0">
            <w:pPr>
              <w:pStyle w:val="ListParagraph"/>
              <w:keepNext/>
              <w:keepLines/>
              <w:numPr>
                <w:ilvl w:val="0"/>
                <w:numId w:val="11"/>
              </w:numPr>
              <w:ind w:left="318" w:hanging="318"/>
              <w:rPr>
                <w:rStyle w:val="A9"/>
                <w:rFonts w:ascii="Arial Narrow" w:hAnsi="Arial Narrow"/>
                <w:bCs/>
                <w:iCs/>
                <w:sz w:val="20"/>
                <w:szCs w:val="20"/>
              </w:rPr>
            </w:pPr>
            <w:r w:rsidRPr="00D07E3A">
              <w:rPr>
                <w:rStyle w:val="A9"/>
                <w:rFonts w:ascii="Arial Narrow" w:hAnsi="Arial Narrow"/>
                <w:bCs/>
                <w:iCs/>
                <w:sz w:val="20"/>
                <w:szCs w:val="20"/>
              </w:rPr>
              <w:t xml:space="preserve">Combined defects e.g. Severe Combined Immunodeficiency (SCID) </w:t>
            </w:r>
          </w:p>
          <w:p w14:paraId="0AF79F45" w14:textId="77777777" w:rsidR="00512711" w:rsidRPr="00D07E3A" w:rsidRDefault="00512711" w:rsidP="009561E0">
            <w:pPr>
              <w:pStyle w:val="ListParagraph"/>
              <w:keepNext/>
              <w:keepLines/>
              <w:numPr>
                <w:ilvl w:val="0"/>
                <w:numId w:val="11"/>
              </w:numPr>
              <w:ind w:left="318" w:hanging="318"/>
              <w:rPr>
                <w:rStyle w:val="A9"/>
                <w:rFonts w:ascii="Arial Narrow" w:hAnsi="Arial Narrow"/>
                <w:bCs/>
                <w:iCs/>
                <w:sz w:val="20"/>
                <w:szCs w:val="20"/>
              </w:rPr>
            </w:pPr>
            <w:r w:rsidRPr="00D07E3A">
              <w:rPr>
                <w:rStyle w:val="A9"/>
                <w:rFonts w:ascii="Arial Narrow" w:hAnsi="Arial Narrow"/>
                <w:bCs/>
                <w:iCs/>
                <w:sz w:val="20"/>
                <w:szCs w:val="20"/>
              </w:rPr>
              <w:t xml:space="preserve">Phagocytic disorders e.g. Chronic Granulomatous Disease (CGD) </w:t>
            </w:r>
          </w:p>
          <w:p w14:paraId="5D243FD0" w14:textId="58A5C719" w:rsidR="00512711" w:rsidRPr="00D07E3A" w:rsidRDefault="00512711" w:rsidP="009561E0">
            <w:pPr>
              <w:pStyle w:val="ListParagraph"/>
              <w:keepNext/>
              <w:keepLines/>
              <w:numPr>
                <w:ilvl w:val="0"/>
                <w:numId w:val="11"/>
              </w:numPr>
              <w:ind w:left="318" w:hanging="318"/>
              <w:rPr>
                <w:rFonts w:ascii="Arial Narrow" w:hAnsi="Arial Narrow"/>
                <w:sz w:val="20"/>
                <w:szCs w:val="20"/>
              </w:rPr>
            </w:pPr>
            <w:r w:rsidRPr="00D07E3A">
              <w:rPr>
                <w:rStyle w:val="A9"/>
                <w:rFonts w:ascii="Arial Narrow" w:hAnsi="Arial Narrow"/>
                <w:bCs/>
                <w:iCs/>
                <w:sz w:val="20"/>
                <w:szCs w:val="20"/>
              </w:rPr>
              <w:t>Other inborn errors of immunity except complement disorders, hereditary angioedema (HAE) and IgA deficiency (considered lower risk).</w:t>
            </w:r>
          </w:p>
        </w:tc>
        <w:tc>
          <w:tcPr>
            <w:tcW w:w="836" w:type="pct"/>
          </w:tcPr>
          <w:p w14:paraId="52B102DA" w14:textId="641BF8D1" w:rsidR="00512711" w:rsidRPr="00D07E3A" w:rsidRDefault="00512711" w:rsidP="009561E0">
            <w:pPr>
              <w:pStyle w:val="3-BodyText"/>
              <w:keepNext/>
              <w:keepLines/>
              <w:numPr>
                <w:ilvl w:val="0"/>
                <w:numId w:val="0"/>
              </w:numPr>
              <w:rPr>
                <w:rFonts w:ascii="Arial Narrow" w:hAnsi="Arial Narrow"/>
                <w:bCs/>
                <w:sz w:val="20"/>
                <w:szCs w:val="20"/>
              </w:rPr>
            </w:pPr>
            <w:r w:rsidRPr="00D07E3A">
              <w:rPr>
                <w:rStyle w:val="A9"/>
                <w:rFonts w:ascii="Arial Narrow" w:hAnsi="Arial Narrow"/>
                <w:bCs/>
                <w:sz w:val="20"/>
                <w:szCs w:val="20"/>
              </w:rPr>
              <w:t>16,700</w:t>
            </w:r>
          </w:p>
        </w:tc>
      </w:tr>
      <w:tr w:rsidR="00512711" w:rsidRPr="00D07E3A" w14:paraId="579CF37A" w14:textId="77777777" w:rsidTr="003C7A73">
        <w:tc>
          <w:tcPr>
            <w:tcW w:w="4164" w:type="pct"/>
          </w:tcPr>
          <w:p w14:paraId="5B13A83F" w14:textId="4EBE5A53" w:rsidR="00512711" w:rsidRPr="00D07E3A" w:rsidRDefault="00512711" w:rsidP="009561E0">
            <w:pPr>
              <w:keepNext/>
              <w:keepLines/>
              <w:rPr>
                <w:rStyle w:val="A9"/>
                <w:rFonts w:ascii="Arial Narrow" w:hAnsi="Arial Narrow"/>
                <w:bCs/>
                <w:iCs/>
                <w:sz w:val="20"/>
                <w:szCs w:val="20"/>
              </w:rPr>
            </w:pPr>
            <w:r w:rsidRPr="00D07E3A">
              <w:rPr>
                <w:rStyle w:val="A9"/>
                <w:rFonts w:ascii="Arial Narrow" w:hAnsi="Arial Narrow"/>
                <w:bCs/>
                <w:iCs/>
                <w:sz w:val="20"/>
                <w:szCs w:val="20"/>
              </w:rPr>
              <w:t>End stage renal disease/renal failure/chronic kidney disease on dialysis</w:t>
            </w:r>
          </w:p>
        </w:tc>
        <w:tc>
          <w:tcPr>
            <w:tcW w:w="836" w:type="pct"/>
          </w:tcPr>
          <w:p w14:paraId="1C2A57D3" w14:textId="488A3618" w:rsidR="00512711" w:rsidRPr="00D07E3A" w:rsidRDefault="00512711" w:rsidP="009561E0">
            <w:pPr>
              <w:pStyle w:val="3-BodyText"/>
              <w:keepNext/>
              <w:keepLines/>
              <w:numPr>
                <w:ilvl w:val="0"/>
                <w:numId w:val="0"/>
              </w:numPr>
              <w:rPr>
                <w:rStyle w:val="A9"/>
                <w:rFonts w:ascii="Arial Narrow" w:eastAsiaTheme="minorHAnsi" w:hAnsi="Arial Narrow"/>
                <w:bCs/>
                <w:iCs/>
                <w:snapToGrid/>
                <w:sz w:val="20"/>
                <w:szCs w:val="20"/>
                <w:lang w:eastAsia="en-US"/>
              </w:rPr>
            </w:pPr>
            <w:r w:rsidRPr="00D07E3A">
              <w:rPr>
                <w:rStyle w:val="A9"/>
                <w:rFonts w:ascii="Arial Narrow" w:eastAsiaTheme="minorHAnsi" w:hAnsi="Arial Narrow"/>
                <w:bCs/>
                <w:iCs/>
                <w:snapToGrid/>
                <w:sz w:val="20"/>
                <w:szCs w:val="20"/>
                <w:lang w:eastAsia="en-US"/>
              </w:rPr>
              <w:t>28,542</w:t>
            </w:r>
          </w:p>
        </w:tc>
      </w:tr>
      <w:tr w:rsidR="002C67C0" w:rsidRPr="00D07E3A" w14:paraId="5340E537" w14:textId="77777777" w:rsidTr="002C67C0">
        <w:tc>
          <w:tcPr>
            <w:tcW w:w="5000" w:type="pct"/>
            <w:gridSpan w:val="2"/>
          </w:tcPr>
          <w:p w14:paraId="155E8562" w14:textId="3A88C221" w:rsidR="002C67C0" w:rsidRPr="00D07E3A" w:rsidRDefault="002C67C0" w:rsidP="009561E0">
            <w:pPr>
              <w:pStyle w:val="3-BodyText"/>
              <w:keepNext/>
              <w:keepLines/>
              <w:numPr>
                <w:ilvl w:val="0"/>
                <w:numId w:val="0"/>
              </w:numPr>
              <w:spacing w:after="0"/>
              <w:rPr>
                <w:b/>
              </w:rPr>
            </w:pPr>
            <w:r w:rsidRPr="00D07E3A">
              <w:rPr>
                <w:rFonts w:ascii="Arial Narrow" w:hAnsi="Arial Narrow"/>
                <w:b/>
                <w:bCs/>
                <w:sz w:val="20"/>
                <w:szCs w:val="20"/>
              </w:rPr>
              <w:t>Additional high risk therapies</w:t>
            </w:r>
          </w:p>
        </w:tc>
      </w:tr>
      <w:tr w:rsidR="00512711" w:rsidRPr="00D07E3A" w14:paraId="759BEE0A" w14:textId="77777777" w:rsidTr="003C7A73">
        <w:tc>
          <w:tcPr>
            <w:tcW w:w="4164" w:type="pct"/>
          </w:tcPr>
          <w:p w14:paraId="7D40CC19" w14:textId="77777777" w:rsidR="00512711" w:rsidRPr="00D07E3A" w:rsidRDefault="00512711" w:rsidP="009561E0">
            <w:pPr>
              <w:keepNext/>
              <w:keepLines/>
              <w:rPr>
                <w:rFonts w:ascii="Arial Narrow" w:hAnsi="Arial Narrow"/>
                <w:bCs/>
                <w:i/>
                <w:sz w:val="20"/>
                <w:szCs w:val="20"/>
              </w:rPr>
            </w:pPr>
            <w:r w:rsidRPr="00D07E3A">
              <w:rPr>
                <w:rFonts w:ascii="Arial Narrow" w:hAnsi="Arial Narrow"/>
                <w:bCs/>
                <w:iCs/>
                <w:sz w:val="20"/>
                <w:szCs w:val="20"/>
              </w:rPr>
              <w:t>B and T-cell targeted monoclonal antibody therapies, currently or within the last 6 months, including</w:t>
            </w:r>
            <w:r w:rsidRPr="00D07E3A">
              <w:rPr>
                <w:rFonts w:ascii="Arial Narrow" w:hAnsi="Arial Narrow"/>
                <w:bCs/>
                <w:i/>
                <w:sz w:val="20"/>
                <w:szCs w:val="20"/>
              </w:rPr>
              <w:t xml:space="preserve">: </w:t>
            </w:r>
          </w:p>
          <w:p w14:paraId="39E2CA47" w14:textId="77777777" w:rsidR="00512711" w:rsidRPr="00D07E3A" w:rsidRDefault="00512711" w:rsidP="009561E0">
            <w:pPr>
              <w:pStyle w:val="ListParagraph"/>
              <w:keepNext/>
              <w:keepLines/>
              <w:numPr>
                <w:ilvl w:val="0"/>
                <w:numId w:val="11"/>
              </w:numPr>
              <w:ind w:left="318" w:hanging="318"/>
              <w:rPr>
                <w:rStyle w:val="A9"/>
                <w:rFonts w:ascii="Arial Narrow" w:hAnsi="Arial Narrow"/>
                <w:bCs/>
                <w:iCs/>
                <w:sz w:val="20"/>
                <w:szCs w:val="20"/>
              </w:rPr>
            </w:pPr>
            <w:r w:rsidRPr="00D07E3A">
              <w:rPr>
                <w:rStyle w:val="A9"/>
                <w:rFonts w:ascii="Arial Narrow" w:hAnsi="Arial Narrow"/>
                <w:bCs/>
                <w:iCs/>
                <w:sz w:val="20"/>
                <w:szCs w:val="20"/>
              </w:rPr>
              <w:t xml:space="preserve">anti-CD20 </w:t>
            </w:r>
          </w:p>
          <w:p w14:paraId="4C76CE8C" w14:textId="77777777" w:rsidR="00512711" w:rsidRPr="00D07E3A" w:rsidRDefault="00512711" w:rsidP="009561E0">
            <w:pPr>
              <w:pStyle w:val="ListParagraph"/>
              <w:keepNext/>
              <w:keepLines/>
              <w:numPr>
                <w:ilvl w:val="0"/>
                <w:numId w:val="11"/>
              </w:numPr>
              <w:ind w:left="318" w:hanging="318"/>
              <w:rPr>
                <w:rStyle w:val="A9"/>
                <w:rFonts w:ascii="Arial Narrow" w:hAnsi="Arial Narrow"/>
                <w:bCs/>
                <w:iCs/>
                <w:sz w:val="20"/>
                <w:szCs w:val="20"/>
              </w:rPr>
            </w:pPr>
            <w:r w:rsidRPr="00D07E3A">
              <w:rPr>
                <w:rStyle w:val="A9"/>
                <w:rFonts w:ascii="Arial Narrow" w:hAnsi="Arial Narrow"/>
                <w:bCs/>
                <w:iCs/>
                <w:sz w:val="20"/>
                <w:szCs w:val="20"/>
              </w:rPr>
              <w:t xml:space="preserve">anti B-cell activating factor (BAFF) </w:t>
            </w:r>
          </w:p>
          <w:p w14:paraId="04DEB903" w14:textId="77777777" w:rsidR="00512711" w:rsidRPr="00D07E3A" w:rsidRDefault="00512711" w:rsidP="009561E0">
            <w:pPr>
              <w:pStyle w:val="ListParagraph"/>
              <w:keepNext/>
              <w:keepLines/>
              <w:numPr>
                <w:ilvl w:val="0"/>
                <w:numId w:val="11"/>
              </w:numPr>
              <w:ind w:left="318" w:hanging="318"/>
              <w:rPr>
                <w:rStyle w:val="A9"/>
                <w:rFonts w:ascii="Arial Narrow" w:hAnsi="Arial Narrow"/>
                <w:bCs/>
                <w:iCs/>
                <w:sz w:val="20"/>
                <w:szCs w:val="20"/>
              </w:rPr>
            </w:pPr>
            <w:r w:rsidRPr="00D07E3A">
              <w:rPr>
                <w:rStyle w:val="A9"/>
                <w:rFonts w:ascii="Arial Narrow" w:hAnsi="Arial Narrow"/>
                <w:bCs/>
                <w:iCs/>
                <w:sz w:val="20"/>
                <w:szCs w:val="20"/>
              </w:rPr>
              <w:t xml:space="preserve">anti-CD52 </w:t>
            </w:r>
          </w:p>
          <w:p w14:paraId="28204DED" w14:textId="6F6C6DFF" w:rsidR="00512711" w:rsidRPr="00D07E3A" w:rsidRDefault="00512711" w:rsidP="009561E0">
            <w:pPr>
              <w:pStyle w:val="ListParagraph"/>
              <w:keepNext/>
              <w:keepLines/>
              <w:numPr>
                <w:ilvl w:val="0"/>
                <w:numId w:val="11"/>
              </w:numPr>
              <w:ind w:left="318" w:hanging="318"/>
              <w:rPr>
                <w:rStyle w:val="A9"/>
                <w:rFonts w:ascii="Arial Narrow" w:hAnsi="Arial Narrow"/>
                <w:bCs/>
                <w:iCs/>
                <w:sz w:val="20"/>
                <w:szCs w:val="20"/>
              </w:rPr>
            </w:pPr>
            <w:r w:rsidRPr="00D07E3A">
              <w:rPr>
                <w:rStyle w:val="A9"/>
                <w:rFonts w:ascii="Arial Narrow" w:hAnsi="Arial Narrow"/>
                <w:bCs/>
                <w:iCs/>
                <w:sz w:val="20"/>
                <w:szCs w:val="20"/>
              </w:rPr>
              <w:t>Anti-thymocyte globulin</w:t>
            </w:r>
          </w:p>
        </w:tc>
        <w:tc>
          <w:tcPr>
            <w:tcW w:w="836" w:type="pct"/>
          </w:tcPr>
          <w:p w14:paraId="7A5A3597" w14:textId="0CE128DF" w:rsidR="00512711" w:rsidRPr="00D07E3A" w:rsidRDefault="00512711" w:rsidP="009561E0">
            <w:pPr>
              <w:pStyle w:val="3-BodyText"/>
              <w:keepNext/>
              <w:keepLines/>
              <w:numPr>
                <w:ilvl w:val="0"/>
                <w:numId w:val="0"/>
              </w:numPr>
              <w:rPr>
                <w:rStyle w:val="A9"/>
                <w:rFonts w:ascii="Arial Narrow" w:eastAsiaTheme="minorHAnsi" w:hAnsi="Arial Narrow"/>
                <w:bCs/>
                <w:iCs/>
                <w:snapToGrid/>
                <w:sz w:val="20"/>
                <w:szCs w:val="20"/>
                <w:lang w:eastAsia="en-US"/>
              </w:rPr>
            </w:pPr>
            <w:r w:rsidRPr="00D07E3A">
              <w:rPr>
                <w:rFonts w:ascii="Arial Narrow" w:hAnsi="Arial Narrow"/>
                <w:bCs/>
                <w:iCs/>
                <w:sz w:val="20"/>
                <w:szCs w:val="20"/>
              </w:rPr>
              <w:t>19,750</w:t>
            </w:r>
          </w:p>
        </w:tc>
      </w:tr>
      <w:tr w:rsidR="00512711" w:rsidRPr="00D07E3A" w14:paraId="30453F9B" w14:textId="77777777" w:rsidTr="003C7A73">
        <w:tc>
          <w:tcPr>
            <w:tcW w:w="4164" w:type="pct"/>
          </w:tcPr>
          <w:p w14:paraId="1113A0BB" w14:textId="77777777" w:rsidR="00512711" w:rsidRPr="00D07E3A" w:rsidRDefault="00512711" w:rsidP="009561E0">
            <w:pPr>
              <w:keepNext/>
              <w:keepLines/>
              <w:rPr>
                <w:rFonts w:ascii="Arial Narrow" w:hAnsi="Arial Narrow"/>
                <w:bCs/>
                <w:iCs/>
                <w:sz w:val="20"/>
                <w:szCs w:val="20"/>
              </w:rPr>
            </w:pPr>
            <w:r w:rsidRPr="00D07E3A">
              <w:rPr>
                <w:rFonts w:ascii="Arial Narrow" w:hAnsi="Arial Narrow"/>
                <w:bCs/>
                <w:iCs/>
                <w:sz w:val="20"/>
                <w:szCs w:val="20"/>
              </w:rPr>
              <w:t xml:space="preserve">Conventional immunosuppressive agents currently or within the last 6 months, such as: </w:t>
            </w:r>
          </w:p>
          <w:p w14:paraId="3909ECBE" w14:textId="77777777" w:rsidR="00512711" w:rsidRPr="00D07E3A" w:rsidRDefault="00512711" w:rsidP="009561E0">
            <w:pPr>
              <w:pStyle w:val="ListParagraph"/>
              <w:keepNext/>
              <w:keepLines/>
              <w:numPr>
                <w:ilvl w:val="0"/>
                <w:numId w:val="12"/>
              </w:numPr>
              <w:ind w:left="318" w:hanging="318"/>
              <w:rPr>
                <w:rFonts w:ascii="Arial Narrow" w:hAnsi="Arial Narrow"/>
                <w:bCs/>
                <w:iCs/>
                <w:sz w:val="20"/>
                <w:szCs w:val="20"/>
              </w:rPr>
            </w:pPr>
            <w:r w:rsidRPr="00D07E3A">
              <w:rPr>
                <w:rFonts w:ascii="Arial Narrow" w:hAnsi="Arial Narrow"/>
                <w:bCs/>
                <w:iCs/>
                <w:sz w:val="20"/>
                <w:szCs w:val="20"/>
              </w:rPr>
              <w:t xml:space="preserve">high dose methotrexate ≥20mg per week (oral and subcutaneous) </w:t>
            </w:r>
          </w:p>
          <w:p w14:paraId="4CCC0173" w14:textId="77777777" w:rsidR="00512711" w:rsidRPr="00D07E3A" w:rsidRDefault="00512711" w:rsidP="009561E0">
            <w:pPr>
              <w:pStyle w:val="ListParagraph"/>
              <w:keepNext/>
              <w:keepLines/>
              <w:numPr>
                <w:ilvl w:val="0"/>
                <w:numId w:val="12"/>
              </w:numPr>
              <w:ind w:left="318" w:hanging="318"/>
              <w:rPr>
                <w:rFonts w:ascii="Arial Narrow" w:hAnsi="Arial Narrow"/>
                <w:bCs/>
                <w:iCs/>
                <w:sz w:val="20"/>
                <w:szCs w:val="20"/>
              </w:rPr>
            </w:pPr>
            <w:r w:rsidRPr="00D07E3A">
              <w:rPr>
                <w:rFonts w:ascii="Arial Narrow" w:hAnsi="Arial Narrow"/>
                <w:bCs/>
                <w:iCs/>
                <w:sz w:val="20"/>
                <w:szCs w:val="20"/>
              </w:rPr>
              <w:t xml:space="preserve">azathioprine ≥3.0mg/kg/day </w:t>
            </w:r>
          </w:p>
          <w:p w14:paraId="49607D1B" w14:textId="77777777" w:rsidR="00512711" w:rsidRPr="00D07E3A" w:rsidRDefault="00512711" w:rsidP="009561E0">
            <w:pPr>
              <w:pStyle w:val="ListParagraph"/>
              <w:keepNext/>
              <w:keepLines/>
              <w:numPr>
                <w:ilvl w:val="0"/>
                <w:numId w:val="12"/>
              </w:numPr>
              <w:ind w:left="318" w:hanging="318"/>
              <w:rPr>
                <w:rFonts w:ascii="Arial Narrow" w:hAnsi="Arial Narrow"/>
                <w:bCs/>
                <w:iCs/>
                <w:sz w:val="20"/>
                <w:szCs w:val="20"/>
              </w:rPr>
            </w:pPr>
            <w:r w:rsidRPr="00D07E3A">
              <w:rPr>
                <w:rFonts w:ascii="Arial Narrow" w:hAnsi="Arial Narrow"/>
                <w:bCs/>
                <w:iCs/>
                <w:sz w:val="20"/>
                <w:szCs w:val="20"/>
              </w:rPr>
              <w:t>6-mercaptopurine ≥1.5mg/kg/day</w:t>
            </w:r>
          </w:p>
          <w:p w14:paraId="15AC56F8" w14:textId="77777777" w:rsidR="00512711" w:rsidRPr="00D07E3A" w:rsidRDefault="00512711" w:rsidP="009561E0">
            <w:pPr>
              <w:pStyle w:val="ListParagraph"/>
              <w:keepNext/>
              <w:keepLines/>
              <w:numPr>
                <w:ilvl w:val="0"/>
                <w:numId w:val="12"/>
              </w:numPr>
              <w:ind w:left="318" w:hanging="318"/>
              <w:rPr>
                <w:rFonts w:ascii="Arial Narrow" w:hAnsi="Arial Narrow"/>
                <w:bCs/>
                <w:iCs/>
                <w:sz w:val="20"/>
                <w:szCs w:val="20"/>
              </w:rPr>
            </w:pPr>
            <w:r w:rsidRPr="00D07E3A">
              <w:rPr>
                <w:rFonts w:ascii="Arial Narrow" w:hAnsi="Arial Narrow"/>
                <w:bCs/>
                <w:iCs/>
                <w:sz w:val="20"/>
                <w:szCs w:val="20"/>
              </w:rPr>
              <w:t>mycophenolate ≥1g/day</w:t>
            </w:r>
          </w:p>
          <w:p w14:paraId="0F9119A0" w14:textId="77777777" w:rsidR="00512711" w:rsidRPr="00D07E3A" w:rsidRDefault="00512711" w:rsidP="009561E0">
            <w:pPr>
              <w:pStyle w:val="ListParagraph"/>
              <w:keepNext/>
              <w:keepLines/>
              <w:numPr>
                <w:ilvl w:val="0"/>
                <w:numId w:val="12"/>
              </w:numPr>
              <w:ind w:left="318" w:hanging="318"/>
              <w:rPr>
                <w:rFonts w:ascii="Arial Narrow" w:hAnsi="Arial Narrow"/>
                <w:bCs/>
                <w:iCs/>
                <w:sz w:val="20"/>
                <w:szCs w:val="20"/>
              </w:rPr>
            </w:pPr>
            <w:r w:rsidRPr="00D07E3A">
              <w:rPr>
                <w:rFonts w:ascii="Arial Narrow" w:hAnsi="Arial Narrow"/>
                <w:bCs/>
                <w:iCs/>
                <w:sz w:val="20"/>
                <w:szCs w:val="20"/>
              </w:rPr>
              <w:t xml:space="preserve">cyclophosphamide </w:t>
            </w:r>
          </w:p>
          <w:p w14:paraId="4C90C513" w14:textId="77777777" w:rsidR="00512711" w:rsidRPr="00D07E3A" w:rsidRDefault="00512711" w:rsidP="009561E0">
            <w:pPr>
              <w:pStyle w:val="ListParagraph"/>
              <w:keepNext/>
              <w:keepLines/>
              <w:numPr>
                <w:ilvl w:val="0"/>
                <w:numId w:val="12"/>
              </w:numPr>
              <w:ind w:left="318" w:hanging="318"/>
              <w:rPr>
                <w:rFonts w:ascii="Arial Narrow" w:hAnsi="Arial Narrow"/>
                <w:bCs/>
                <w:iCs/>
                <w:sz w:val="20"/>
                <w:szCs w:val="20"/>
              </w:rPr>
            </w:pPr>
            <w:r w:rsidRPr="00D07E3A">
              <w:rPr>
                <w:rFonts w:ascii="Arial Narrow" w:hAnsi="Arial Narrow"/>
                <w:bCs/>
                <w:iCs/>
                <w:sz w:val="20"/>
                <w:szCs w:val="20"/>
              </w:rPr>
              <w:t>systemic calcineurin inhibitors (tacrolimus, cyclosporin)</w:t>
            </w:r>
          </w:p>
          <w:p w14:paraId="68E53B59" w14:textId="77777777" w:rsidR="00512711" w:rsidRPr="00D07E3A" w:rsidRDefault="00512711" w:rsidP="009561E0">
            <w:pPr>
              <w:pStyle w:val="ListParagraph"/>
              <w:keepNext/>
              <w:keepLines/>
              <w:numPr>
                <w:ilvl w:val="0"/>
                <w:numId w:val="12"/>
              </w:numPr>
              <w:ind w:left="318" w:hanging="318"/>
              <w:rPr>
                <w:rFonts w:ascii="Arial Narrow" w:hAnsi="Arial Narrow"/>
                <w:bCs/>
                <w:iCs/>
                <w:sz w:val="20"/>
                <w:szCs w:val="20"/>
              </w:rPr>
            </w:pPr>
            <w:r w:rsidRPr="00D07E3A">
              <w:rPr>
                <w:rFonts w:ascii="Arial Narrow" w:hAnsi="Arial Narrow"/>
                <w:bCs/>
                <w:iCs/>
                <w:sz w:val="20"/>
                <w:szCs w:val="20"/>
              </w:rPr>
              <w:t>mTOR inhibitors</w:t>
            </w:r>
          </w:p>
          <w:p w14:paraId="751CF248" w14:textId="59C8B994" w:rsidR="00512711" w:rsidRPr="00D07E3A" w:rsidRDefault="00512711" w:rsidP="009561E0">
            <w:pPr>
              <w:pStyle w:val="ListParagraph"/>
              <w:keepNext/>
              <w:keepLines/>
              <w:numPr>
                <w:ilvl w:val="0"/>
                <w:numId w:val="12"/>
              </w:numPr>
              <w:ind w:left="318" w:hanging="318"/>
              <w:rPr>
                <w:rFonts w:ascii="Arial Narrow" w:hAnsi="Arial Narrow"/>
                <w:bCs/>
                <w:iCs/>
                <w:sz w:val="20"/>
                <w:szCs w:val="20"/>
              </w:rPr>
            </w:pPr>
            <w:r w:rsidRPr="00D07E3A">
              <w:rPr>
                <w:rFonts w:ascii="Arial Narrow" w:hAnsi="Arial Narrow"/>
                <w:bCs/>
                <w:iCs/>
                <w:sz w:val="20"/>
                <w:szCs w:val="20"/>
              </w:rPr>
              <w:t>Purine analogues (cladribine)</w:t>
            </w:r>
          </w:p>
        </w:tc>
        <w:tc>
          <w:tcPr>
            <w:tcW w:w="836" w:type="pct"/>
          </w:tcPr>
          <w:p w14:paraId="72879CAE" w14:textId="7F568506" w:rsidR="00512711" w:rsidRPr="00D07E3A" w:rsidRDefault="00512711" w:rsidP="009561E0">
            <w:pPr>
              <w:keepNext/>
              <w:keepLines/>
              <w:rPr>
                <w:rFonts w:ascii="Arial Narrow" w:hAnsi="Arial Narrow"/>
                <w:sz w:val="20"/>
                <w:szCs w:val="20"/>
              </w:rPr>
            </w:pPr>
            <w:r w:rsidRPr="00D07E3A">
              <w:rPr>
                <w:rFonts w:ascii="Arial Narrow" w:hAnsi="Arial Narrow"/>
                <w:sz w:val="20"/>
                <w:szCs w:val="20"/>
              </w:rPr>
              <w:t>71,085</w:t>
            </w:r>
          </w:p>
        </w:tc>
      </w:tr>
      <w:tr w:rsidR="00512711" w:rsidRPr="00D07E3A" w14:paraId="55292076" w14:textId="77777777" w:rsidTr="003C7A73">
        <w:tc>
          <w:tcPr>
            <w:tcW w:w="4164" w:type="pct"/>
          </w:tcPr>
          <w:p w14:paraId="02D72E92" w14:textId="151C8EA1" w:rsidR="00512711" w:rsidRPr="00D07E3A" w:rsidRDefault="00512711" w:rsidP="009561E0">
            <w:pPr>
              <w:keepNext/>
              <w:keepLines/>
              <w:rPr>
                <w:rStyle w:val="A9"/>
                <w:rFonts w:ascii="Arial Narrow" w:hAnsi="Arial Narrow"/>
                <w:bCs/>
                <w:iCs/>
                <w:sz w:val="20"/>
                <w:szCs w:val="20"/>
              </w:rPr>
            </w:pPr>
            <w:r w:rsidRPr="00D07E3A">
              <w:rPr>
                <w:rFonts w:ascii="Arial Narrow" w:hAnsi="Arial Narrow"/>
                <w:bCs/>
                <w:iCs/>
                <w:sz w:val="20"/>
                <w:szCs w:val="20"/>
              </w:rPr>
              <w:t xml:space="preserve">Biologic therapies (except those listed as moderate or lower risk), currently or within the last 6 months, such as tumour necrosis factor inhibitors (TNFi), T-cell co-stimulation modulators (e.g. Abatacept), soluble TNF receptors, Type I Interferon receptor inhibitors, proteasome inhibitors </w:t>
            </w:r>
          </w:p>
        </w:tc>
        <w:tc>
          <w:tcPr>
            <w:tcW w:w="836" w:type="pct"/>
          </w:tcPr>
          <w:p w14:paraId="14225635" w14:textId="03986339" w:rsidR="00512711" w:rsidRPr="00D07E3A" w:rsidRDefault="00512711" w:rsidP="009561E0">
            <w:pPr>
              <w:pStyle w:val="3-BodyText"/>
              <w:keepNext/>
              <w:keepLines/>
              <w:numPr>
                <w:ilvl w:val="0"/>
                <w:numId w:val="0"/>
              </w:numPr>
              <w:rPr>
                <w:rStyle w:val="A9"/>
                <w:rFonts w:ascii="Arial Narrow" w:eastAsiaTheme="minorHAnsi" w:hAnsi="Arial Narrow"/>
                <w:bCs/>
                <w:iCs/>
                <w:snapToGrid/>
                <w:sz w:val="20"/>
                <w:szCs w:val="20"/>
                <w:lang w:eastAsia="en-US"/>
              </w:rPr>
            </w:pPr>
            <w:r w:rsidRPr="00D07E3A">
              <w:rPr>
                <w:rFonts w:ascii="Arial Narrow" w:hAnsi="Arial Narrow"/>
                <w:bCs/>
                <w:iCs/>
                <w:sz w:val="20"/>
                <w:szCs w:val="20"/>
              </w:rPr>
              <w:t>72,231</w:t>
            </w:r>
          </w:p>
        </w:tc>
      </w:tr>
      <w:tr w:rsidR="00512711" w:rsidRPr="00D07E3A" w14:paraId="55214C96" w14:textId="77777777" w:rsidTr="003C7A73">
        <w:tc>
          <w:tcPr>
            <w:tcW w:w="4164" w:type="pct"/>
          </w:tcPr>
          <w:p w14:paraId="70397B23" w14:textId="7984071B" w:rsidR="00512711" w:rsidRPr="00D07E3A" w:rsidRDefault="00512711" w:rsidP="009561E0">
            <w:pPr>
              <w:keepNext/>
              <w:keepLines/>
              <w:rPr>
                <w:rFonts w:ascii="Arial Narrow" w:hAnsi="Arial Narrow"/>
                <w:bCs/>
                <w:iCs/>
                <w:sz w:val="20"/>
                <w:szCs w:val="20"/>
              </w:rPr>
            </w:pPr>
            <w:r w:rsidRPr="00D07E3A">
              <w:rPr>
                <w:rFonts w:ascii="Arial Narrow" w:hAnsi="Arial Narrow"/>
                <w:bCs/>
                <w:iCs/>
                <w:sz w:val="20"/>
                <w:szCs w:val="20"/>
              </w:rPr>
              <w:t>Immunomodulatory drugs including Sphingosine-1-phosphate receptor modulators within the last 6 months</w:t>
            </w:r>
          </w:p>
        </w:tc>
        <w:tc>
          <w:tcPr>
            <w:tcW w:w="836" w:type="pct"/>
          </w:tcPr>
          <w:p w14:paraId="6835ED17" w14:textId="5911973C" w:rsidR="00512711" w:rsidRPr="00D07E3A" w:rsidRDefault="00512711" w:rsidP="009561E0">
            <w:pPr>
              <w:pStyle w:val="3-BodyText"/>
              <w:keepNext/>
              <w:keepLines/>
              <w:numPr>
                <w:ilvl w:val="0"/>
                <w:numId w:val="0"/>
              </w:numPr>
              <w:rPr>
                <w:rFonts w:ascii="Arial Narrow" w:hAnsi="Arial Narrow"/>
                <w:bCs/>
                <w:iCs/>
                <w:sz w:val="20"/>
                <w:szCs w:val="20"/>
              </w:rPr>
            </w:pPr>
            <w:r w:rsidRPr="00D07E3A">
              <w:rPr>
                <w:rFonts w:ascii="Arial Narrow" w:hAnsi="Arial Narrow"/>
                <w:bCs/>
                <w:iCs/>
                <w:sz w:val="20"/>
                <w:szCs w:val="20"/>
              </w:rPr>
              <w:t>4,913</w:t>
            </w:r>
          </w:p>
        </w:tc>
      </w:tr>
      <w:tr w:rsidR="00512711" w:rsidRPr="00D07E3A" w14:paraId="69D404BA" w14:textId="77777777" w:rsidTr="003C7A73">
        <w:tc>
          <w:tcPr>
            <w:tcW w:w="4164" w:type="pct"/>
          </w:tcPr>
          <w:p w14:paraId="2FCDF3A9" w14:textId="05C6508E" w:rsidR="00512711" w:rsidRPr="00D07E3A" w:rsidRDefault="00512711" w:rsidP="009561E0">
            <w:pPr>
              <w:keepNext/>
              <w:keepLines/>
              <w:rPr>
                <w:rFonts w:ascii="Arial Narrow" w:hAnsi="Arial Narrow"/>
                <w:bCs/>
                <w:iCs/>
                <w:sz w:val="20"/>
                <w:szCs w:val="20"/>
              </w:rPr>
            </w:pPr>
            <w:r w:rsidRPr="00D07E3A">
              <w:rPr>
                <w:rFonts w:ascii="Arial Narrow" w:hAnsi="Arial Narrow"/>
                <w:bCs/>
                <w:iCs/>
                <w:sz w:val="20"/>
                <w:szCs w:val="20"/>
              </w:rPr>
              <w:t>Oral small molecule targeted therapies, currently or within the last 6 months including Bruton’s tyrosine kinase (BTK) inhibitors, Janus kinase (JAK) inhibitors, BCR-ABL inhibitors</w:t>
            </w:r>
          </w:p>
        </w:tc>
        <w:tc>
          <w:tcPr>
            <w:tcW w:w="836" w:type="pct"/>
          </w:tcPr>
          <w:p w14:paraId="0B096E3E" w14:textId="240D0A2A" w:rsidR="00512711" w:rsidRPr="00D07E3A" w:rsidRDefault="00512711" w:rsidP="009561E0">
            <w:pPr>
              <w:pStyle w:val="3-BodyText"/>
              <w:keepNext/>
              <w:keepLines/>
              <w:numPr>
                <w:ilvl w:val="0"/>
                <w:numId w:val="0"/>
              </w:numPr>
              <w:rPr>
                <w:rFonts w:ascii="Arial Narrow" w:hAnsi="Arial Narrow"/>
                <w:bCs/>
                <w:iCs/>
                <w:sz w:val="20"/>
                <w:szCs w:val="20"/>
              </w:rPr>
            </w:pPr>
            <w:r w:rsidRPr="00D07E3A">
              <w:rPr>
                <w:rFonts w:ascii="Arial Narrow" w:hAnsi="Arial Narrow"/>
                <w:bCs/>
                <w:iCs/>
                <w:sz w:val="20"/>
                <w:szCs w:val="20"/>
              </w:rPr>
              <w:t>31,496</w:t>
            </w:r>
          </w:p>
        </w:tc>
      </w:tr>
      <w:tr w:rsidR="003C7A73" w:rsidRPr="00D07E3A" w14:paraId="08196A8E" w14:textId="77777777" w:rsidTr="003C7A73">
        <w:tc>
          <w:tcPr>
            <w:tcW w:w="4164" w:type="pct"/>
          </w:tcPr>
          <w:p w14:paraId="36EC35FB" w14:textId="5A5E2CA1" w:rsidR="003C7A73" w:rsidRPr="00D07E3A" w:rsidRDefault="003C7A73" w:rsidP="009561E0">
            <w:pPr>
              <w:keepNext/>
              <w:keepLines/>
              <w:rPr>
                <w:rFonts w:ascii="Arial Narrow" w:hAnsi="Arial Narrow"/>
                <w:b/>
                <w:iCs/>
                <w:sz w:val="20"/>
                <w:szCs w:val="20"/>
              </w:rPr>
            </w:pPr>
            <w:r w:rsidRPr="00D07E3A">
              <w:rPr>
                <w:rFonts w:ascii="Arial Narrow" w:hAnsi="Arial Narrow"/>
                <w:b/>
                <w:iCs/>
                <w:sz w:val="20"/>
                <w:szCs w:val="20"/>
              </w:rPr>
              <w:t>Total</w:t>
            </w:r>
            <w:r w:rsidR="00AD5D70" w:rsidRPr="00D07E3A">
              <w:rPr>
                <w:rFonts w:ascii="Arial Narrow" w:hAnsi="Arial Narrow"/>
                <w:b/>
                <w:iCs/>
                <w:sz w:val="20"/>
                <w:szCs w:val="20"/>
              </w:rPr>
              <w:t xml:space="preserve"> additional high risk individuals</w:t>
            </w:r>
          </w:p>
        </w:tc>
        <w:tc>
          <w:tcPr>
            <w:tcW w:w="836" w:type="pct"/>
          </w:tcPr>
          <w:p w14:paraId="1EDFBB19" w14:textId="43DFC1B2" w:rsidR="003C7A73" w:rsidRPr="00D07E3A" w:rsidRDefault="00AD5D70" w:rsidP="009561E0">
            <w:pPr>
              <w:pStyle w:val="3-BodyText"/>
              <w:keepNext/>
              <w:keepLines/>
              <w:numPr>
                <w:ilvl w:val="0"/>
                <w:numId w:val="0"/>
              </w:numPr>
              <w:rPr>
                <w:rFonts w:ascii="Arial Narrow" w:hAnsi="Arial Narrow"/>
                <w:b/>
                <w:iCs/>
                <w:sz w:val="20"/>
                <w:szCs w:val="20"/>
              </w:rPr>
            </w:pPr>
            <w:r w:rsidRPr="00D07E3A">
              <w:rPr>
                <w:rFonts w:ascii="Arial Narrow" w:hAnsi="Arial Narrow"/>
                <w:b/>
                <w:iCs/>
                <w:sz w:val="20"/>
                <w:szCs w:val="20"/>
              </w:rPr>
              <w:t>244,717</w:t>
            </w:r>
          </w:p>
        </w:tc>
      </w:tr>
      <w:tr w:rsidR="002C67C0" w:rsidRPr="00D07E3A" w14:paraId="34FA23BC" w14:textId="77777777" w:rsidTr="002C67C0">
        <w:tc>
          <w:tcPr>
            <w:tcW w:w="5000" w:type="pct"/>
            <w:gridSpan w:val="2"/>
          </w:tcPr>
          <w:p w14:paraId="1134E321" w14:textId="7B4BD257" w:rsidR="002C67C0" w:rsidRPr="00D07E3A" w:rsidRDefault="002C67C0" w:rsidP="009561E0">
            <w:pPr>
              <w:pStyle w:val="3-BodyText"/>
              <w:keepNext/>
              <w:keepLines/>
              <w:numPr>
                <w:ilvl w:val="0"/>
                <w:numId w:val="0"/>
              </w:numPr>
              <w:spacing w:after="0"/>
              <w:rPr>
                <w:rFonts w:ascii="Arial Narrow" w:hAnsi="Arial Narrow"/>
                <w:b/>
                <w:iCs/>
                <w:sz w:val="20"/>
                <w:szCs w:val="20"/>
              </w:rPr>
            </w:pPr>
            <w:r w:rsidRPr="00D07E3A">
              <w:rPr>
                <w:rFonts w:ascii="Arial Narrow" w:hAnsi="Arial Narrow"/>
                <w:b/>
                <w:iCs/>
                <w:sz w:val="20"/>
                <w:szCs w:val="20"/>
              </w:rPr>
              <w:t>Moderate risk therapies</w:t>
            </w:r>
          </w:p>
        </w:tc>
      </w:tr>
      <w:tr w:rsidR="00AA5FA5" w:rsidRPr="00D07E3A" w14:paraId="561C143F" w14:textId="77777777" w:rsidTr="003C7A73">
        <w:trPr>
          <w:trHeight w:val="452"/>
        </w:trPr>
        <w:tc>
          <w:tcPr>
            <w:tcW w:w="4164" w:type="pct"/>
          </w:tcPr>
          <w:p w14:paraId="145A8695" w14:textId="77777777" w:rsidR="00AA5FA5" w:rsidRPr="00D07E3A" w:rsidRDefault="00AA5FA5" w:rsidP="009561E0">
            <w:pPr>
              <w:keepNext/>
              <w:keepLines/>
              <w:rPr>
                <w:rFonts w:ascii="Arial Narrow" w:hAnsi="Arial Narrow"/>
                <w:bCs/>
                <w:iCs/>
                <w:sz w:val="20"/>
                <w:szCs w:val="20"/>
              </w:rPr>
            </w:pPr>
            <w:r w:rsidRPr="00D07E3A">
              <w:rPr>
                <w:rFonts w:ascii="Arial Narrow" w:hAnsi="Arial Narrow"/>
                <w:bCs/>
                <w:iCs/>
                <w:sz w:val="20"/>
                <w:szCs w:val="20"/>
              </w:rPr>
              <w:t>Immunosuppressive therapy for solid organ tumours, currently or within the last 6 months:</w:t>
            </w:r>
          </w:p>
          <w:p w14:paraId="28B103E5" w14:textId="1FFF10A0" w:rsidR="00AA5FA5" w:rsidRPr="00D07E3A" w:rsidRDefault="00AA5FA5" w:rsidP="009561E0">
            <w:pPr>
              <w:pStyle w:val="ListParagraph"/>
              <w:keepNext/>
              <w:keepLines/>
              <w:numPr>
                <w:ilvl w:val="1"/>
                <w:numId w:val="13"/>
              </w:numPr>
              <w:rPr>
                <w:rFonts w:ascii="Arial Narrow" w:hAnsi="Arial Narrow"/>
                <w:bCs/>
                <w:iCs/>
                <w:sz w:val="20"/>
                <w:szCs w:val="20"/>
              </w:rPr>
            </w:pPr>
            <w:r w:rsidRPr="00D07E3A">
              <w:rPr>
                <w:rFonts w:ascii="Arial Narrow" w:hAnsi="Arial Narrow"/>
                <w:bCs/>
                <w:iCs/>
                <w:sz w:val="20"/>
                <w:szCs w:val="20"/>
              </w:rPr>
              <w:t>conventional chemotherapy</w:t>
            </w:r>
          </w:p>
        </w:tc>
        <w:tc>
          <w:tcPr>
            <w:tcW w:w="836" w:type="pct"/>
          </w:tcPr>
          <w:p w14:paraId="29EF22F0" w14:textId="23B7946E" w:rsidR="00AA5FA5" w:rsidRPr="00D07E3A" w:rsidRDefault="00AA5FA5" w:rsidP="009561E0">
            <w:pPr>
              <w:keepNext/>
              <w:keepLines/>
              <w:rPr>
                <w:rFonts w:ascii="Arial Narrow" w:hAnsi="Arial Narrow"/>
                <w:bCs/>
                <w:iCs/>
                <w:sz w:val="20"/>
                <w:szCs w:val="20"/>
              </w:rPr>
            </w:pPr>
            <w:r w:rsidRPr="00D07E3A">
              <w:rPr>
                <w:rFonts w:ascii="Arial Narrow" w:hAnsi="Arial Narrow"/>
                <w:bCs/>
                <w:iCs/>
                <w:sz w:val="20"/>
                <w:szCs w:val="20"/>
              </w:rPr>
              <w:t>60,338</w:t>
            </w:r>
          </w:p>
        </w:tc>
      </w:tr>
      <w:tr w:rsidR="00AA5FA5" w:rsidRPr="00D07E3A" w14:paraId="2369C257" w14:textId="77777777" w:rsidTr="003C7A73">
        <w:tc>
          <w:tcPr>
            <w:tcW w:w="4164" w:type="pct"/>
          </w:tcPr>
          <w:p w14:paraId="572DA3E0" w14:textId="3CC0E5AD" w:rsidR="00AA5FA5" w:rsidRPr="00D07E3A" w:rsidRDefault="002C67C0" w:rsidP="009561E0">
            <w:pPr>
              <w:pStyle w:val="2-SectionHeading"/>
              <w:keepLines/>
              <w:numPr>
                <w:ilvl w:val="0"/>
                <w:numId w:val="0"/>
              </w:numPr>
              <w:spacing w:before="0" w:after="0"/>
              <w:rPr>
                <w:rFonts w:ascii="Arial Narrow" w:hAnsi="Arial Narrow"/>
                <w:b w:val="0"/>
                <w:bCs/>
                <w:iCs/>
                <w:sz w:val="20"/>
                <w:szCs w:val="20"/>
              </w:rPr>
            </w:pPr>
            <w:r w:rsidRPr="00D07E3A">
              <w:rPr>
                <w:rFonts w:ascii="Arial Narrow" w:hAnsi="Arial Narrow"/>
                <w:b w:val="0"/>
                <w:bCs/>
                <w:iCs/>
                <w:sz w:val="20"/>
                <w:szCs w:val="20"/>
              </w:rPr>
              <w:t>I</w:t>
            </w:r>
            <w:r w:rsidR="00AA5FA5" w:rsidRPr="00D07E3A">
              <w:rPr>
                <w:rFonts w:ascii="Arial Narrow" w:hAnsi="Arial Narrow"/>
                <w:b w:val="0"/>
                <w:bCs/>
                <w:iCs/>
                <w:sz w:val="20"/>
                <w:szCs w:val="20"/>
              </w:rPr>
              <w:t>nterleukin (IL) inhibitors (except those listed as moderate or lower risk), currently or within the last 6 months, including Anti-IL1 antibodies, Anti-IL4/13 antibodies, Anti-IL5 antibodies, Anti-IL6 antibodies, IL-6 receptor inhibitors</w:t>
            </w:r>
          </w:p>
        </w:tc>
        <w:tc>
          <w:tcPr>
            <w:tcW w:w="836" w:type="pct"/>
          </w:tcPr>
          <w:p w14:paraId="0CF4B8FF" w14:textId="67A39C50" w:rsidR="00AA5FA5" w:rsidRPr="00D07E3A" w:rsidRDefault="00AA5FA5" w:rsidP="009561E0">
            <w:pPr>
              <w:keepNext/>
              <w:keepLines/>
              <w:rPr>
                <w:rFonts w:ascii="Arial Narrow" w:hAnsi="Arial Narrow"/>
                <w:bCs/>
                <w:iCs/>
                <w:sz w:val="20"/>
                <w:szCs w:val="20"/>
              </w:rPr>
            </w:pPr>
            <w:r w:rsidRPr="00D07E3A">
              <w:rPr>
                <w:rFonts w:ascii="Arial Narrow" w:hAnsi="Arial Narrow"/>
                <w:bCs/>
                <w:iCs/>
                <w:sz w:val="20"/>
                <w:szCs w:val="20"/>
              </w:rPr>
              <w:t>23,063</w:t>
            </w:r>
          </w:p>
        </w:tc>
      </w:tr>
      <w:tr w:rsidR="003C7A73" w:rsidRPr="00D07E3A" w14:paraId="1BA7DE81" w14:textId="77777777" w:rsidTr="003C7A73">
        <w:tc>
          <w:tcPr>
            <w:tcW w:w="4164" w:type="pct"/>
          </w:tcPr>
          <w:p w14:paraId="09273932" w14:textId="19ED177A" w:rsidR="003C7A73" w:rsidRPr="00D07E3A" w:rsidRDefault="003C7A73" w:rsidP="009561E0">
            <w:pPr>
              <w:pStyle w:val="2-SectionHeading"/>
              <w:keepLines/>
              <w:numPr>
                <w:ilvl w:val="0"/>
                <w:numId w:val="0"/>
              </w:numPr>
              <w:spacing w:before="0" w:after="0"/>
              <w:rPr>
                <w:rFonts w:ascii="Arial Narrow" w:hAnsi="Arial Narrow"/>
                <w:iCs/>
                <w:sz w:val="20"/>
                <w:szCs w:val="20"/>
              </w:rPr>
            </w:pPr>
            <w:r w:rsidRPr="00D07E3A">
              <w:rPr>
                <w:rFonts w:ascii="Arial Narrow" w:hAnsi="Arial Narrow"/>
                <w:iCs/>
                <w:sz w:val="20"/>
                <w:szCs w:val="20"/>
              </w:rPr>
              <w:t>Total</w:t>
            </w:r>
            <w:r w:rsidR="00AD5D70" w:rsidRPr="00D07E3A">
              <w:rPr>
                <w:rFonts w:ascii="Arial Narrow" w:hAnsi="Arial Narrow"/>
                <w:iCs/>
                <w:sz w:val="20"/>
                <w:szCs w:val="20"/>
              </w:rPr>
              <w:t xml:space="preserve"> moderate risk individuals</w:t>
            </w:r>
          </w:p>
        </w:tc>
        <w:tc>
          <w:tcPr>
            <w:tcW w:w="836" w:type="pct"/>
          </w:tcPr>
          <w:p w14:paraId="40C9E01F" w14:textId="1C2DB313" w:rsidR="003C7A73" w:rsidRPr="00D07E3A" w:rsidRDefault="00AD5D70" w:rsidP="009561E0">
            <w:pPr>
              <w:keepNext/>
              <w:keepLines/>
              <w:rPr>
                <w:rFonts w:ascii="Arial Narrow" w:hAnsi="Arial Narrow"/>
                <w:b/>
                <w:iCs/>
                <w:sz w:val="20"/>
                <w:szCs w:val="20"/>
              </w:rPr>
            </w:pPr>
            <w:r w:rsidRPr="00D07E3A">
              <w:rPr>
                <w:rFonts w:ascii="Arial Narrow" w:hAnsi="Arial Narrow"/>
                <w:b/>
                <w:iCs/>
                <w:sz w:val="20"/>
                <w:szCs w:val="20"/>
              </w:rPr>
              <w:t>83,401</w:t>
            </w:r>
          </w:p>
        </w:tc>
      </w:tr>
    </w:tbl>
    <w:bookmarkEnd w:id="7"/>
    <w:p w14:paraId="5F197DDE" w14:textId="76A81A61" w:rsidR="002510C5" w:rsidRPr="00D07E3A" w:rsidRDefault="00BC03D2" w:rsidP="002510C5">
      <w:pPr>
        <w:pStyle w:val="3-BodyText"/>
        <w:numPr>
          <w:ilvl w:val="0"/>
          <w:numId w:val="0"/>
        </w:numPr>
        <w:rPr>
          <w:rFonts w:ascii="Arial Narrow" w:hAnsi="Arial Narrow"/>
          <w:sz w:val="20"/>
          <w:szCs w:val="20"/>
        </w:rPr>
      </w:pPr>
      <w:r>
        <w:rPr>
          <w:rFonts w:ascii="Arial Narrow" w:hAnsi="Arial Narrow"/>
          <w:sz w:val="20"/>
          <w:szCs w:val="20"/>
        </w:rPr>
        <w:t>Source: Table 1, September 2023 ATAGI advice</w:t>
      </w:r>
    </w:p>
    <w:p w14:paraId="6FE0DF66" w14:textId="1BB230EC" w:rsidR="000E54D1" w:rsidRPr="00D07E3A" w:rsidRDefault="00AD5D70" w:rsidP="00AD5D70">
      <w:pPr>
        <w:pStyle w:val="3-BodyText"/>
      </w:pPr>
      <w:r w:rsidRPr="00D07E3A">
        <w:t>The ATAGI noted that</w:t>
      </w:r>
      <w:r w:rsidR="000E54D1" w:rsidRPr="00D07E3A">
        <w:t xml:space="preserve"> all population estimates </w:t>
      </w:r>
      <w:r w:rsidRPr="00D07E3A">
        <w:t xml:space="preserve">presented in </w:t>
      </w:r>
      <w:r w:rsidRPr="00D07E3A">
        <w:fldChar w:fldCharType="begin"/>
      </w:r>
      <w:r w:rsidRPr="00D07E3A">
        <w:instrText xml:space="preserve"> REF _Ref150243059 \h </w:instrText>
      </w:r>
      <w:r w:rsidRPr="00D07E3A">
        <w:fldChar w:fldCharType="separate"/>
      </w:r>
      <w:r w:rsidR="00FE6944" w:rsidRPr="00D07E3A">
        <w:t xml:space="preserve">Table </w:t>
      </w:r>
      <w:r w:rsidR="00FE6944">
        <w:rPr>
          <w:noProof/>
        </w:rPr>
        <w:t>1</w:t>
      </w:r>
      <w:r w:rsidRPr="00D07E3A">
        <w:fldChar w:fldCharType="end"/>
      </w:r>
      <w:r w:rsidRPr="00D07E3A">
        <w:t xml:space="preserve"> </w:t>
      </w:r>
      <w:r w:rsidR="000E54D1" w:rsidRPr="00D07E3A">
        <w:t>include th</w:t>
      </w:r>
      <w:r w:rsidRPr="00D07E3A">
        <w:t>e</w:t>
      </w:r>
      <w:r w:rsidR="000E54D1" w:rsidRPr="00D07E3A">
        <w:t xml:space="preserve"> population</w:t>
      </w:r>
      <w:r w:rsidRPr="00D07E3A">
        <w:t xml:space="preserve">s previously recommended by the PBAC (as outlined in paragraphs </w:t>
      </w:r>
      <w:r w:rsidRPr="00D07E3A">
        <w:fldChar w:fldCharType="begin"/>
      </w:r>
      <w:r w:rsidRPr="00D07E3A">
        <w:instrText xml:space="preserve"> REF _Ref150243887 \r \h </w:instrText>
      </w:r>
      <w:r w:rsidRPr="00D07E3A">
        <w:fldChar w:fldCharType="separate"/>
      </w:r>
      <w:r w:rsidR="00FE6944">
        <w:t>1.1</w:t>
      </w:r>
      <w:r w:rsidRPr="00D07E3A">
        <w:fldChar w:fldCharType="end"/>
      </w:r>
      <w:r w:rsidRPr="00D07E3A">
        <w:t xml:space="preserve"> and </w:t>
      </w:r>
      <w:r w:rsidRPr="00D07E3A">
        <w:fldChar w:fldCharType="begin"/>
      </w:r>
      <w:r w:rsidRPr="00D07E3A">
        <w:instrText xml:space="preserve"> REF _Ref150243890 \r \h </w:instrText>
      </w:r>
      <w:r w:rsidRPr="00D07E3A">
        <w:fldChar w:fldCharType="separate"/>
      </w:r>
      <w:r w:rsidR="00FE6944">
        <w:t>1.2</w:t>
      </w:r>
      <w:r w:rsidRPr="00D07E3A">
        <w:fldChar w:fldCharType="end"/>
      </w:r>
      <w:r w:rsidRPr="00D07E3A">
        <w:t>)</w:t>
      </w:r>
      <w:r w:rsidR="000E54D1" w:rsidRPr="00D07E3A">
        <w:t xml:space="preserve">. Other limitations include: </w:t>
      </w:r>
    </w:p>
    <w:p w14:paraId="62DA7DF5" w14:textId="7DA74366" w:rsidR="000E54D1" w:rsidRPr="00D07E3A" w:rsidRDefault="000E54D1" w:rsidP="00474CFE">
      <w:pPr>
        <w:pStyle w:val="3-BodyText"/>
        <w:numPr>
          <w:ilvl w:val="1"/>
          <w:numId w:val="13"/>
        </w:numPr>
        <w:ind w:left="1134" w:hanging="425"/>
      </w:pPr>
      <w:r w:rsidRPr="00D07E3A">
        <w:t xml:space="preserve">potential over-estimation due to </w:t>
      </w:r>
      <w:r w:rsidR="00FB1B13" w:rsidRPr="00D07E3A">
        <w:t xml:space="preserve">individuals being included in counts for their condition and their therapy and individuals </w:t>
      </w:r>
      <w:r w:rsidRPr="00D07E3A">
        <w:t>receiving multiple eligible therapies</w:t>
      </w:r>
      <w:r w:rsidR="00FB1B13" w:rsidRPr="00D07E3A">
        <w:t>;</w:t>
      </w:r>
    </w:p>
    <w:p w14:paraId="731F1DF5" w14:textId="14D190D3" w:rsidR="000E54D1" w:rsidRPr="00D07E3A" w:rsidRDefault="000E54D1" w:rsidP="00474CFE">
      <w:pPr>
        <w:pStyle w:val="3-BodyText"/>
        <w:numPr>
          <w:ilvl w:val="1"/>
          <w:numId w:val="13"/>
        </w:numPr>
        <w:ind w:left="1134" w:hanging="425"/>
      </w:pPr>
      <w:r w:rsidRPr="00D07E3A">
        <w:t>potential underestimation due to patients receiving immunosuppressive therapies not funded under the PBS</w:t>
      </w:r>
      <w:r w:rsidR="00FB1B13" w:rsidRPr="00D07E3A">
        <w:t>;</w:t>
      </w:r>
    </w:p>
    <w:p w14:paraId="0BCD26CF" w14:textId="36C62D80" w:rsidR="000E54D1" w:rsidRPr="00D07E3A" w:rsidRDefault="000E54D1" w:rsidP="00474CFE">
      <w:pPr>
        <w:pStyle w:val="3-BodyText"/>
        <w:numPr>
          <w:ilvl w:val="1"/>
          <w:numId w:val="13"/>
        </w:numPr>
        <w:ind w:left="1134" w:hanging="425"/>
      </w:pPr>
      <w:r w:rsidRPr="00D07E3A">
        <w:t xml:space="preserve">certain medications have immunosuppressive effects related to the dose received, and estimated numbers are likely overestimated due to inclusion of individuals receiving low doses which may not be sufficiently immunosuppressive </w:t>
      </w:r>
      <w:r w:rsidR="00FE657B" w:rsidRPr="00D07E3A">
        <w:t>i.e.,</w:t>
      </w:r>
      <w:r w:rsidRPr="00D07E3A">
        <w:t xml:space="preserve"> it is not possible to obtain accurate unique population numbers for some conventional immunosuppressants with dose threshold-related inclusion in the high/moderate risk groups. </w:t>
      </w:r>
    </w:p>
    <w:p w14:paraId="546ACCB5" w14:textId="4C2CFBE8" w:rsidR="00AD5D70" w:rsidRPr="00D07E3A" w:rsidRDefault="00AD5D70" w:rsidP="00923D4A">
      <w:pPr>
        <w:pStyle w:val="3-BodyText"/>
      </w:pPr>
      <w:r w:rsidRPr="00D07E3A">
        <w:t xml:space="preserve">The </w:t>
      </w:r>
      <w:r w:rsidR="000E54D1" w:rsidRPr="00D07E3A">
        <w:t>ATAGI acknowledge</w:t>
      </w:r>
      <w:r w:rsidRPr="00D07E3A">
        <w:t>d</w:t>
      </w:r>
      <w:r w:rsidR="000E54D1" w:rsidRPr="00D07E3A">
        <w:t xml:space="preserve"> that there may be additional conditions or categories that contain immunocompromised individuals, but these are expected to involve small numbers of individuals. </w:t>
      </w:r>
    </w:p>
    <w:p w14:paraId="1C120C05" w14:textId="52AC14F8" w:rsidR="00923D4A" w:rsidRPr="00D07E3A" w:rsidRDefault="00FB1B13" w:rsidP="00923D4A">
      <w:pPr>
        <w:pStyle w:val="3-BodyText"/>
      </w:pPr>
      <w:r w:rsidRPr="00D07E3A">
        <w:t>The ATAGI advised that w</w:t>
      </w:r>
      <w:r w:rsidR="000E54D1" w:rsidRPr="00D07E3A">
        <w:t>here new medications become available within a class of therapy</w:t>
      </w:r>
      <w:r w:rsidR="00971F34">
        <w:t xml:space="preserve"> included in the determination</w:t>
      </w:r>
      <w:r w:rsidR="000E54D1" w:rsidRPr="00D07E3A">
        <w:t xml:space="preserve">, they </w:t>
      </w:r>
      <w:r w:rsidR="00971F34">
        <w:t xml:space="preserve">will </w:t>
      </w:r>
      <w:r w:rsidR="000E54D1" w:rsidRPr="00D07E3A">
        <w:t xml:space="preserve">be automatically included in the list of eligible therapies for funded </w:t>
      </w:r>
      <w:r w:rsidR="00AD5D70" w:rsidRPr="00D07E3A">
        <w:t>RZV</w:t>
      </w:r>
      <w:r w:rsidR="000E54D1" w:rsidRPr="00D07E3A">
        <w:t>.</w:t>
      </w:r>
      <w:r w:rsidR="00971F34">
        <w:t xml:space="preserve"> The PBAC noted </w:t>
      </w:r>
      <w:r w:rsidR="00BC03D2">
        <w:t xml:space="preserve">additional </w:t>
      </w:r>
      <w:r w:rsidR="00971F34">
        <w:t>advice</w:t>
      </w:r>
      <w:r w:rsidR="00BC03D2">
        <w:t xml:space="preserve"> (from ATAGI and PBAC)</w:t>
      </w:r>
      <w:r w:rsidR="00971F34">
        <w:t xml:space="preserve"> will be required to include a new medication class in the determination. </w:t>
      </w:r>
    </w:p>
    <w:p w14:paraId="5A676764" w14:textId="3B34DD1C" w:rsidR="000E54D1" w:rsidRPr="00D07E3A" w:rsidRDefault="00AD5D70" w:rsidP="000E54D1">
      <w:pPr>
        <w:pStyle w:val="3-BodyText"/>
      </w:pPr>
      <w:r w:rsidRPr="00D07E3A">
        <w:t xml:space="preserve">The ATAGI amended the </w:t>
      </w:r>
      <w:r w:rsidR="00407B45" w:rsidRPr="00D07E3A">
        <w:t xml:space="preserve">description </w:t>
      </w:r>
      <w:r w:rsidR="0032246E">
        <w:t xml:space="preserve">used to identify </w:t>
      </w:r>
      <w:r w:rsidR="0032246E" w:rsidRPr="0032246E">
        <w:t xml:space="preserve">the cohort of people living with HIV </w:t>
      </w:r>
      <w:r w:rsidR="0032246E">
        <w:t>that it considered should be eligible for RZV on the NIP, including changing the CD+ cell count from &lt; 250</w:t>
      </w:r>
      <w:r w:rsidR="00F757D2">
        <w:t xml:space="preserve"> </w:t>
      </w:r>
      <w:r w:rsidR="0032246E">
        <w:t>/</w:t>
      </w:r>
      <w:r w:rsidR="00F757D2">
        <w:t xml:space="preserve"> </w:t>
      </w:r>
      <w:r w:rsidR="0032246E" w:rsidRPr="00D07E3A">
        <w:rPr>
          <w:rStyle w:val="A9"/>
          <w:rFonts w:cs="Arial"/>
          <w:color w:val="auto"/>
          <w:sz w:val="24"/>
          <w:szCs w:val="24"/>
        </w:rPr>
        <w:t>μ</w:t>
      </w:r>
      <w:r w:rsidR="000E51E6">
        <w:rPr>
          <w:rStyle w:val="A9"/>
          <w:rFonts w:cs="Arial"/>
          <w:color w:val="auto"/>
          <w:sz w:val="24"/>
          <w:szCs w:val="24"/>
        </w:rPr>
        <w:t>L</w:t>
      </w:r>
      <w:r w:rsidR="0032246E">
        <w:rPr>
          <w:rStyle w:val="A9"/>
          <w:rFonts w:cs="Arial"/>
          <w:color w:val="auto"/>
          <w:sz w:val="24"/>
          <w:szCs w:val="24"/>
        </w:rPr>
        <w:t xml:space="preserve"> to &lt; 200 </w:t>
      </w:r>
      <w:r w:rsidR="0032246E" w:rsidRPr="00D07E3A">
        <w:t>/</w:t>
      </w:r>
      <w:r w:rsidR="00F757D2">
        <w:t xml:space="preserve"> </w:t>
      </w:r>
      <w:r w:rsidR="0032246E" w:rsidRPr="00D07E3A">
        <w:rPr>
          <w:rStyle w:val="A9"/>
          <w:rFonts w:cs="Arial"/>
          <w:color w:val="auto"/>
          <w:sz w:val="24"/>
          <w:szCs w:val="24"/>
        </w:rPr>
        <w:t>μ</w:t>
      </w:r>
      <w:r w:rsidR="000E51E6">
        <w:rPr>
          <w:rStyle w:val="A9"/>
          <w:rFonts w:cs="Arial"/>
          <w:color w:val="auto"/>
          <w:sz w:val="24"/>
          <w:szCs w:val="24"/>
        </w:rPr>
        <w:t>L</w:t>
      </w:r>
      <w:r w:rsidR="0032246E">
        <w:rPr>
          <w:rStyle w:val="A9"/>
          <w:rFonts w:cs="Arial"/>
          <w:color w:val="auto"/>
          <w:sz w:val="24"/>
          <w:szCs w:val="24"/>
        </w:rPr>
        <w:t xml:space="preserve"> (discussed further in paragraph </w:t>
      </w:r>
      <w:r w:rsidR="0032246E">
        <w:rPr>
          <w:rStyle w:val="A9"/>
          <w:rFonts w:cs="Arial"/>
          <w:color w:val="auto"/>
          <w:sz w:val="24"/>
          <w:szCs w:val="24"/>
        </w:rPr>
        <w:fldChar w:fldCharType="begin"/>
      </w:r>
      <w:r w:rsidR="0032246E">
        <w:rPr>
          <w:rStyle w:val="A9"/>
          <w:rFonts w:cs="Arial"/>
          <w:color w:val="auto"/>
          <w:sz w:val="24"/>
          <w:szCs w:val="24"/>
        </w:rPr>
        <w:instrText xml:space="preserve"> REF _Ref151643230 \r \h </w:instrText>
      </w:r>
      <w:r w:rsidR="0032246E">
        <w:rPr>
          <w:rStyle w:val="A9"/>
          <w:rFonts w:cs="Arial"/>
          <w:color w:val="auto"/>
          <w:sz w:val="24"/>
          <w:szCs w:val="24"/>
        </w:rPr>
      </w:r>
      <w:r w:rsidR="0032246E">
        <w:rPr>
          <w:rStyle w:val="A9"/>
          <w:rFonts w:cs="Arial"/>
          <w:color w:val="auto"/>
          <w:sz w:val="24"/>
          <w:szCs w:val="24"/>
        </w:rPr>
        <w:fldChar w:fldCharType="separate"/>
      </w:r>
      <w:r w:rsidR="00FE6944">
        <w:rPr>
          <w:rStyle w:val="A9"/>
          <w:rFonts w:cs="Arial"/>
          <w:color w:val="auto"/>
          <w:sz w:val="24"/>
          <w:szCs w:val="24"/>
        </w:rPr>
        <w:t>3.31</w:t>
      </w:r>
      <w:r w:rsidR="0032246E">
        <w:rPr>
          <w:rStyle w:val="A9"/>
          <w:rFonts w:cs="Arial"/>
          <w:color w:val="auto"/>
          <w:sz w:val="24"/>
          <w:szCs w:val="24"/>
        </w:rPr>
        <w:fldChar w:fldCharType="end"/>
      </w:r>
      <w:r w:rsidR="0032246E">
        <w:rPr>
          <w:rStyle w:val="A9"/>
          <w:rFonts w:cs="Arial"/>
          <w:color w:val="auto"/>
          <w:sz w:val="24"/>
          <w:szCs w:val="24"/>
        </w:rPr>
        <w:t>)</w:t>
      </w:r>
      <w:r w:rsidR="0032246E">
        <w:t>.</w:t>
      </w:r>
      <w:r w:rsidR="0032246E">
        <w:rPr>
          <w:rStyle w:val="A9"/>
          <w:rFonts w:cs="Arial"/>
          <w:color w:val="auto"/>
          <w:sz w:val="24"/>
          <w:szCs w:val="24"/>
        </w:rPr>
        <w:t xml:space="preserve"> The ATAGI also </w:t>
      </w:r>
      <w:r w:rsidRPr="00D07E3A">
        <w:rPr>
          <w:rStyle w:val="A9"/>
          <w:rFonts w:cs="Arial"/>
          <w:color w:val="auto"/>
          <w:sz w:val="24"/>
          <w:szCs w:val="24"/>
        </w:rPr>
        <w:t xml:space="preserve">included individuals who have received </w:t>
      </w:r>
      <w:r w:rsidR="000E54D1" w:rsidRPr="00D07E3A">
        <w:t>chimeric antigen receptor T-cell therapy</w:t>
      </w:r>
      <w:r w:rsidR="00407B45" w:rsidRPr="00D07E3A">
        <w:t xml:space="preserve"> in the list of cellular therapies</w:t>
      </w:r>
      <w:r w:rsidRPr="00D07E3A">
        <w:t xml:space="preserve">. </w:t>
      </w:r>
    </w:p>
    <w:p w14:paraId="369D7C91" w14:textId="60CA0C4E" w:rsidR="00FE657B" w:rsidRPr="00D07E3A" w:rsidRDefault="00AD5D70" w:rsidP="00D6737E">
      <w:pPr>
        <w:pStyle w:val="3-BodyText"/>
      </w:pPr>
      <w:r w:rsidRPr="00D07E3A">
        <w:t xml:space="preserve">The </w:t>
      </w:r>
      <w:r w:rsidR="00D6737E" w:rsidRPr="00D07E3A">
        <w:t xml:space="preserve">ATAGI also defined a group with lower risk for HZ who are still recommended for, and would benefit from </w:t>
      </w:r>
      <w:r w:rsidRPr="00D07E3A">
        <w:t>RZV</w:t>
      </w:r>
      <w:r w:rsidR="00D6737E" w:rsidRPr="00D07E3A">
        <w:t>, but for whom funded vaccination is considered of lesser priority at present</w:t>
      </w:r>
      <w:r w:rsidR="00FE657B" w:rsidRPr="00D07E3A">
        <w:t xml:space="preserve"> (</w:t>
      </w:r>
      <w:r w:rsidR="00FE657B" w:rsidRPr="00D07E3A">
        <w:fldChar w:fldCharType="begin"/>
      </w:r>
      <w:r w:rsidR="00FE657B" w:rsidRPr="00D07E3A">
        <w:instrText xml:space="preserve"> REF _Ref150680507 \h </w:instrText>
      </w:r>
      <w:r w:rsidR="00FE657B" w:rsidRPr="00D07E3A">
        <w:fldChar w:fldCharType="separate"/>
      </w:r>
      <w:r w:rsidR="00FE6944" w:rsidRPr="00D07E3A">
        <w:t xml:space="preserve">Table </w:t>
      </w:r>
      <w:r w:rsidR="00FE6944">
        <w:rPr>
          <w:noProof/>
        </w:rPr>
        <w:t>2</w:t>
      </w:r>
      <w:r w:rsidR="00FE657B" w:rsidRPr="00D07E3A">
        <w:fldChar w:fldCharType="end"/>
      </w:r>
      <w:r w:rsidR="00FE657B" w:rsidRPr="00D07E3A">
        <w:t>)</w:t>
      </w:r>
      <w:r w:rsidR="00D6737E" w:rsidRPr="00D07E3A">
        <w:t>.</w:t>
      </w:r>
    </w:p>
    <w:p w14:paraId="4439B3D4" w14:textId="3DF9AA3A" w:rsidR="00FE657B" w:rsidRPr="00D07E3A" w:rsidRDefault="00FE657B" w:rsidP="00321930">
      <w:pPr>
        <w:pStyle w:val="Caption"/>
        <w:keepNext/>
        <w:keepLines/>
        <w:rPr>
          <w:color w:val="auto"/>
        </w:rPr>
      </w:pPr>
      <w:bookmarkStart w:id="8" w:name="_Ref150680507"/>
      <w:r w:rsidRPr="00D07E3A">
        <w:rPr>
          <w:color w:val="auto"/>
        </w:rPr>
        <w:t xml:space="preserve">Table </w:t>
      </w:r>
      <w:r w:rsidRPr="00D07E3A">
        <w:rPr>
          <w:color w:val="auto"/>
        </w:rPr>
        <w:fldChar w:fldCharType="begin"/>
      </w:r>
      <w:r w:rsidRPr="00D07E3A">
        <w:rPr>
          <w:color w:val="auto"/>
        </w:rPr>
        <w:instrText xml:space="preserve"> SEQ Table \* ARABIC </w:instrText>
      </w:r>
      <w:r w:rsidRPr="00D07E3A">
        <w:rPr>
          <w:color w:val="auto"/>
        </w:rPr>
        <w:fldChar w:fldCharType="separate"/>
      </w:r>
      <w:r w:rsidR="00FE6944">
        <w:rPr>
          <w:noProof/>
          <w:color w:val="auto"/>
        </w:rPr>
        <w:t>2</w:t>
      </w:r>
      <w:r w:rsidRPr="00D07E3A">
        <w:rPr>
          <w:color w:val="auto"/>
        </w:rPr>
        <w:fldChar w:fldCharType="end"/>
      </w:r>
      <w:bookmarkEnd w:id="8"/>
      <w:r w:rsidRPr="00D07E3A">
        <w:rPr>
          <w:color w:val="auto"/>
        </w:rPr>
        <w:t xml:space="preserve">: Conditions and therapies associated with a lower risk of herpes zoster and their estimated population sizes as defined by ATAGI. </w:t>
      </w:r>
    </w:p>
    <w:tbl>
      <w:tblPr>
        <w:tblStyle w:val="TableGrid"/>
        <w:tblW w:w="5000" w:type="pct"/>
        <w:tblLook w:val="04A0" w:firstRow="1" w:lastRow="0" w:firstColumn="1" w:lastColumn="0" w:noHBand="0" w:noVBand="1"/>
        <w:tblCaption w:val="Table 2: Conditions and therapies associated with a lower risk of herpes zoster and their estimated population sizes as defined by ATAGI. "/>
      </w:tblPr>
      <w:tblGrid>
        <w:gridCol w:w="7509"/>
        <w:gridCol w:w="1507"/>
      </w:tblGrid>
      <w:tr w:rsidR="00FE657B" w:rsidRPr="00D07E3A" w14:paraId="5292FDC7" w14:textId="77777777" w:rsidTr="00944F89">
        <w:tc>
          <w:tcPr>
            <w:tcW w:w="4164" w:type="pct"/>
          </w:tcPr>
          <w:p w14:paraId="74B49B49" w14:textId="77777777" w:rsidR="00FE657B" w:rsidRPr="00D07E3A" w:rsidRDefault="00FE657B" w:rsidP="00321930">
            <w:pPr>
              <w:pStyle w:val="3-BodyText"/>
              <w:keepNext/>
              <w:keepLines/>
              <w:numPr>
                <w:ilvl w:val="0"/>
                <w:numId w:val="0"/>
              </w:numPr>
              <w:rPr>
                <w:rFonts w:ascii="Arial Narrow" w:hAnsi="Arial Narrow"/>
                <w:b/>
                <w:bCs/>
                <w:sz w:val="20"/>
                <w:szCs w:val="20"/>
              </w:rPr>
            </w:pPr>
            <w:r w:rsidRPr="00D07E3A">
              <w:rPr>
                <w:rFonts w:ascii="Arial Narrow" w:hAnsi="Arial Narrow"/>
                <w:b/>
                <w:bCs/>
                <w:sz w:val="20"/>
                <w:szCs w:val="20"/>
              </w:rPr>
              <w:t>Condition or therapy</w:t>
            </w:r>
          </w:p>
        </w:tc>
        <w:tc>
          <w:tcPr>
            <w:tcW w:w="836" w:type="pct"/>
          </w:tcPr>
          <w:p w14:paraId="4FB64677" w14:textId="77777777" w:rsidR="00FE657B" w:rsidRPr="00D07E3A" w:rsidRDefault="00FE657B" w:rsidP="00321930">
            <w:pPr>
              <w:pStyle w:val="3-BodyText"/>
              <w:keepNext/>
              <w:keepLines/>
              <w:numPr>
                <w:ilvl w:val="0"/>
                <w:numId w:val="0"/>
              </w:numPr>
              <w:rPr>
                <w:rFonts w:ascii="Arial Narrow" w:hAnsi="Arial Narrow"/>
                <w:b/>
                <w:bCs/>
                <w:sz w:val="20"/>
                <w:szCs w:val="20"/>
              </w:rPr>
            </w:pPr>
            <w:r w:rsidRPr="00D07E3A">
              <w:rPr>
                <w:rFonts w:ascii="Arial Narrow" w:hAnsi="Arial Narrow"/>
                <w:b/>
                <w:bCs/>
                <w:sz w:val="20"/>
                <w:szCs w:val="20"/>
              </w:rPr>
              <w:t>Population size</w:t>
            </w:r>
          </w:p>
        </w:tc>
      </w:tr>
      <w:tr w:rsidR="00FE657B" w:rsidRPr="00D07E3A" w14:paraId="0F1A9E5B" w14:textId="77777777" w:rsidTr="00944F89">
        <w:tc>
          <w:tcPr>
            <w:tcW w:w="5000" w:type="pct"/>
            <w:gridSpan w:val="2"/>
          </w:tcPr>
          <w:p w14:paraId="65C34428" w14:textId="3582371A" w:rsidR="00FE657B" w:rsidRPr="00D07E3A" w:rsidRDefault="00FE657B" w:rsidP="00321930">
            <w:pPr>
              <w:pStyle w:val="3-BodyText"/>
              <w:keepNext/>
              <w:keepLines/>
              <w:numPr>
                <w:ilvl w:val="0"/>
                <w:numId w:val="0"/>
              </w:numPr>
              <w:spacing w:after="0"/>
              <w:rPr>
                <w:rFonts w:ascii="Arial Narrow" w:hAnsi="Arial Narrow"/>
                <w:sz w:val="20"/>
                <w:szCs w:val="20"/>
              </w:rPr>
            </w:pPr>
            <w:r w:rsidRPr="00D07E3A">
              <w:rPr>
                <w:rFonts w:ascii="Arial Narrow" w:hAnsi="Arial Narrow"/>
                <w:b/>
                <w:bCs/>
                <w:sz w:val="20"/>
                <w:szCs w:val="20"/>
              </w:rPr>
              <w:t>Lower risk conditions</w:t>
            </w:r>
          </w:p>
        </w:tc>
      </w:tr>
      <w:tr w:rsidR="00FE657B" w:rsidRPr="00D07E3A" w14:paraId="049FAD94" w14:textId="77777777" w:rsidTr="00BC03D2">
        <w:tc>
          <w:tcPr>
            <w:tcW w:w="4164" w:type="pct"/>
          </w:tcPr>
          <w:p w14:paraId="5292738E" w14:textId="77777777" w:rsidR="00FE657B" w:rsidRPr="00D07E3A" w:rsidRDefault="00FE657B" w:rsidP="00321930">
            <w:pPr>
              <w:keepNext/>
              <w:keepLines/>
              <w:rPr>
                <w:rFonts w:ascii="Arial Narrow" w:eastAsia="Times New Roman" w:hAnsi="Arial Narrow" w:cs="Arial"/>
                <w:snapToGrid w:val="0"/>
                <w:sz w:val="20"/>
                <w:szCs w:val="20"/>
                <w:lang w:eastAsia="en-AU"/>
              </w:rPr>
            </w:pPr>
            <w:r w:rsidRPr="00D07E3A">
              <w:rPr>
                <w:rFonts w:ascii="Arial Narrow" w:eastAsia="Times New Roman" w:hAnsi="Arial Narrow" w:cs="Arial"/>
                <w:snapToGrid w:val="0"/>
                <w:sz w:val="20"/>
                <w:szCs w:val="20"/>
                <w:lang w:eastAsia="en-AU"/>
              </w:rPr>
              <w:t>Lower risk inborn errors of immunity</w:t>
            </w:r>
          </w:p>
          <w:p w14:paraId="3C1DFED9" w14:textId="7864007E" w:rsidR="00FE657B" w:rsidRPr="00D07E3A" w:rsidRDefault="00FE657B" w:rsidP="00321930">
            <w:pPr>
              <w:pStyle w:val="ListParagraph"/>
              <w:keepNext/>
              <w:keepLines/>
              <w:numPr>
                <w:ilvl w:val="1"/>
                <w:numId w:val="11"/>
              </w:numPr>
              <w:rPr>
                <w:rFonts w:ascii="Arial Narrow" w:hAnsi="Arial Narrow"/>
                <w:bCs/>
                <w:iCs/>
                <w:sz w:val="20"/>
                <w:szCs w:val="20"/>
              </w:rPr>
            </w:pPr>
            <w:r w:rsidRPr="00D07E3A">
              <w:rPr>
                <w:rStyle w:val="A9"/>
                <w:rFonts w:ascii="Arial Narrow" w:hAnsi="Arial Narrow"/>
                <w:bCs/>
                <w:iCs/>
                <w:sz w:val="20"/>
                <w:szCs w:val="20"/>
              </w:rPr>
              <w:t xml:space="preserve">Complement disorders including </w:t>
            </w:r>
            <w:r w:rsidRPr="00D07E3A">
              <w:rPr>
                <w:rFonts w:ascii="Arial Narrow" w:hAnsi="Arial Narrow"/>
                <w:bCs/>
                <w:iCs/>
                <w:sz w:val="20"/>
                <w:szCs w:val="20"/>
              </w:rPr>
              <w:t>HAE</w:t>
            </w:r>
          </w:p>
          <w:p w14:paraId="3F766680" w14:textId="6DAA5F7C" w:rsidR="00FE657B" w:rsidRPr="00D07E3A" w:rsidRDefault="00FE657B" w:rsidP="00321930">
            <w:pPr>
              <w:pStyle w:val="ListParagraph"/>
              <w:keepNext/>
              <w:keepLines/>
              <w:numPr>
                <w:ilvl w:val="1"/>
                <w:numId w:val="11"/>
              </w:numPr>
              <w:rPr>
                <w:rFonts w:ascii="Arial Narrow" w:hAnsi="Arial Narrow"/>
                <w:bCs/>
                <w:iCs/>
                <w:sz w:val="20"/>
                <w:szCs w:val="20"/>
              </w:rPr>
            </w:pPr>
            <w:r w:rsidRPr="00D07E3A">
              <w:rPr>
                <w:rFonts w:ascii="Arial Narrow" w:hAnsi="Arial Narrow"/>
                <w:bCs/>
                <w:iCs/>
                <w:sz w:val="20"/>
                <w:szCs w:val="20"/>
              </w:rPr>
              <w:t>IgA deficiency</w:t>
            </w:r>
          </w:p>
        </w:tc>
        <w:tc>
          <w:tcPr>
            <w:tcW w:w="836" w:type="pct"/>
            <w:vAlign w:val="center"/>
          </w:tcPr>
          <w:p w14:paraId="3C4712BE" w14:textId="23FBF572" w:rsidR="00FE657B" w:rsidRPr="00D07E3A" w:rsidRDefault="00FE657B" w:rsidP="00321930">
            <w:pPr>
              <w:pStyle w:val="3-BodyText"/>
              <w:keepNext/>
              <w:keepLines/>
              <w:numPr>
                <w:ilvl w:val="0"/>
                <w:numId w:val="0"/>
              </w:numPr>
              <w:jc w:val="left"/>
              <w:rPr>
                <w:rFonts w:ascii="Arial Narrow" w:hAnsi="Arial Narrow"/>
                <w:bCs/>
                <w:sz w:val="20"/>
                <w:szCs w:val="20"/>
              </w:rPr>
            </w:pPr>
            <w:r w:rsidRPr="00D07E3A">
              <w:rPr>
                <w:rFonts w:ascii="Arial Narrow" w:hAnsi="Arial Narrow"/>
                <w:bCs/>
                <w:sz w:val="20"/>
                <w:szCs w:val="20"/>
              </w:rPr>
              <w:t>48,090</w:t>
            </w:r>
          </w:p>
        </w:tc>
      </w:tr>
      <w:tr w:rsidR="00FE657B" w:rsidRPr="00D07E3A" w14:paraId="2C3CBF33" w14:textId="77777777" w:rsidTr="00944F89">
        <w:tc>
          <w:tcPr>
            <w:tcW w:w="5000" w:type="pct"/>
            <w:gridSpan w:val="2"/>
          </w:tcPr>
          <w:p w14:paraId="1288FC1E" w14:textId="155B990E" w:rsidR="00FE657B" w:rsidRPr="00D07E3A" w:rsidRDefault="00FE657B" w:rsidP="00321930">
            <w:pPr>
              <w:pStyle w:val="3-BodyText"/>
              <w:keepNext/>
              <w:keepLines/>
              <w:numPr>
                <w:ilvl w:val="0"/>
                <w:numId w:val="0"/>
              </w:numPr>
              <w:spacing w:after="0"/>
              <w:rPr>
                <w:rFonts w:ascii="Arial Narrow" w:hAnsi="Arial Narrow"/>
                <w:b/>
                <w:sz w:val="20"/>
                <w:szCs w:val="20"/>
              </w:rPr>
            </w:pPr>
            <w:r w:rsidRPr="00D07E3A">
              <w:rPr>
                <w:rFonts w:ascii="Arial Narrow" w:hAnsi="Arial Narrow"/>
                <w:b/>
                <w:bCs/>
                <w:sz w:val="20"/>
                <w:szCs w:val="20"/>
              </w:rPr>
              <w:t>Lower risk therapies</w:t>
            </w:r>
          </w:p>
        </w:tc>
      </w:tr>
      <w:tr w:rsidR="00BC03D2" w:rsidRPr="00D07E3A" w14:paraId="035AB94F" w14:textId="77777777" w:rsidTr="00BC03D2">
        <w:tc>
          <w:tcPr>
            <w:tcW w:w="4164" w:type="pct"/>
          </w:tcPr>
          <w:p w14:paraId="40B49227" w14:textId="7F9A8581" w:rsidR="00BC03D2" w:rsidRPr="00D07E3A" w:rsidRDefault="00BC03D2" w:rsidP="00321930">
            <w:pPr>
              <w:keepNext/>
              <w:keepLines/>
              <w:rPr>
                <w:rFonts w:ascii="Arial Narrow" w:hAnsi="Arial Narrow"/>
                <w:bCs/>
                <w:iCs/>
                <w:sz w:val="20"/>
                <w:szCs w:val="20"/>
              </w:rPr>
            </w:pPr>
            <w:r w:rsidRPr="00D07E3A">
              <w:rPr>
                <w:rFonts w:ascii="Arial Narrow" w:hAnsi="Arial Narrow"/>
                <w:bCs/>
                <w:iCs/>
                <w:sz w:val="20"/>
                <w:szCs w:val="20"/>
              </w:rPr>
              <w:t>Lower risk biologic therapies currently or within the last 6 months:</w:t>
            </w:r>
          </w:p>
          <w:p w14:paraId="6A57B603" w14:textId="77777777" w:rsidR="00BC03D2" w:rsidRPr="00D07E3A" w:rsidRDefault="00BC03D2" w:rsidP="00321930">
            <w:pPr>
              <w:pStyle w:val="ListParagraph"/>
              <w:keepNext/>
              <w:keepLines/>
              <w:numPr>
                <w:ilvl w:val="0"/>
                <w:numId w:val="11"/>
              </w:numPr>
              <w:ind w:left="458" w:hanging="458"/>
              <w:rPr>
                <w:rFonts w:ascii="Arial Narrow" w:hAnsi="Arial Narrow"/>
                <w:bCs/>
                <w:iCs/>
                <w:sz w:val="20"/>
                <w:szCs w:val="20"/>
              </w:rPr>
            </w:pPr>
            <w:r w:rsidRPr="00D07E3A">
              <w:rPr>
                <w:rFonts w:ascii="Arial Narrow" w:hAnsi="Arial Narrow"/>
                <w:bCs/>
                <w:iCs/>
                <w:sz w:val="20"/>
                <w:szCs w:val="20"/>
              </w:rPr>
              <w:t>Anti-integrins e.g. natalizumab and vedolizumab,</w:t>
            </w:r>
          </w:p>
          <w:p w14:paraId="41EE74BF" w14:textId="77777777" w:rsidR="00BC03D2" w:rsidRPr="00D07E3A" w:rsidRDefault="00BC03D2" w:rsidP="00321930">
            <w:pPr>
              <w:pStyle w:val="ListParagraph"/>
              <w:keepNext/>
              <w:keepLines/>
              <w:numPr>
                <w:ilvl w:val="0"/>
                <w:numId w:val="11"/>
              </w:numPr>
              <w:ind w:left="458" w:hanging="458"/>
              <w:rPr>
                <w:rFonts w:ascii="Arial Narrow" w:hAnsi="Arial Narrow"/>
                <w:bCs/>
                <w:iCs/>
                <w:sz w:val="20"/>
                <w:szCs w:val="20"/>
              </w:rPr>
            </w:pPr>
            <w:r w:rsidRPr="00D07E3A">
              <w:rPr>
                <w:rFonts w:ascii="Arial Narrow" w:hAnsi="Arial Narrow"/>
                <w:bCs/>
                <w:iCs/>
                <w:sz w:val="20"/>
                <w:szCs w:val="20"/>
              </w:rPr>
              <w:t>Anti-IgE antibodies</w:t>
            </w:r>
          </w:p>
          <w:p w14:paraId="4F0B93DA" w14:textId="74018D30" w:rsidR="00BC03D2" w:rsidRPr="00D07E3A" w:rsidRDefault="00BC03D2" w:rsidP="00321930">
            <w:pPr>
              <w:pStyle w:val="ListParagraph"/>
              <w:keepNext/>
              <w:keepLines/>
              <w:numPr>
                <w:ilvl w:val="0"/>
                <w:numId w:val="11"/>
              </w:numPr>
              <w:ind w:left="458" w:hanging="458"/>
              <w:rPr>
                <w:rStyle w:val="A9"/>
                <w:rFonts w:ascii="Arial Narrow" w:hAnsi="Arial Narrow"/>
                <w:bCs/>
                <w:iCs/>
                <w:sz w:val="20"/>
                <w:szCs w:val="20"/>
              </w:rPr>
            </w:pPr>
            <w:r w:rsidRPr="00D07E3A">
              <w:rPr>
                <w:rFonts w:ascii="Arial Narrow" w:hAnsi="Arial Narrow"/>
                <w:bCs/>
                <w:iCs/>
                <w:sz w:val="20"/>
                <w:szCs w:val="20"/>
              </w:rPr>
              <w:t>Anti-complement antibodies</w:t>
            </w:r>
          </w:p>
        </w:tc>
        <w:tc>
          <w:tcPr>
            <w:tcW w:w="836" w:type="pct"/>
            <w:vMerge w:val="restart"/>
            <w:vAlign w:val="center"/>
          </w:tcPr>
          <w:p w14:paraId="0A33E166" w14:textId="0C1D4CA3" w:rsidR="00BC03D2" w:rsidRPr="00D07E3A" w:rsidRDefault="00BC03D2" w:rsidP="00321930">
            <w:pPr>
              <w:pStyle w:val="3-BodyText"/>
              <w:keepNext/>
              <w:keepLines/>
              <w:numPr>
                <w:ilvl w:val="0"/>
                <w:numId w:val="0"/>
              </w:numPr>
              <w:jc w:val="left"/>
              <w:rPr>
                <w:rStyle w:val="A9"/>
                <w:rFonts w:ascii="Arial Narrow" w:eastAsiaTheme="minorHAnsi" w:hAnsi="Arial Narrow"/>
                <w:bCs/>
                <w:iCs/>
                <w:snapToGrid/>
                <w:sz w:val="20"/>
                <w:szCs w:val="20"/>
                <w:lang w:eastAsia="en-US"/>
              </w:rPr>
            </w:pPr>
            <w:r>
              <w:rPr>
                <w:rStyle w:val="A9"/>
                <w:rFonts w:ascii="Arial Narrow" w:eastAsiaTheme="minorHAnsi" w:hAnsi="Arial Narrow"/>
                <w:bCs/>
                <w:iCs/>
                <w:snapToGrid/>
                <w:sz w:val="20"/>
                <w:szCs w:val="20"/>
                <w:lang w:eastAsia="en-US"/>
              </w:rPr>
              <w:t>2</w:t>
            </w:r>
            <w:r>
              <w:rPr>
                <w:rStyle w:val="A9"/>
                <w:rFonts w:ascii="Arial Narrow" w:eastAsiaTheme="minorHAnsi" w:hAnsi="Arial Narrow"/>
                <w:bCs/>
                <w:iCs/>
                <w:sz w:val="20"/>
                <w:szCs w:val="20"/>
              </w:rPr>
              <w:t>87,312</w:t>
            </w:r>
          </w:p>
        </w:tc>
      </w:tr>
      <w:tr w:rsidR="00BC03D2" w:rsidRPr="00D07E3A" w14:paraId="5C8F34DE" w14:textId="77777777" w:rsidTr="00944F89">
        <w:tc>
          <w:tcPr>
            <w:tcW w:w="4164" w:type="pct"/>
          </w:tcPr>
          <w:p w14:paraId="7BBD1A22" w14:textId="77777777" w:rsidR="00BC03D2" w:rsidRPr="00D07E3A" w:rsidRDefault="00BC03D2" w:rsidP="00321930">
            <w:pPr>
              <w:keepNext/>
              <w:keepLines/>
              <w:rPr>
                <w:rFonts w:ascii="Arial Narrow" w:hAnsi="Arial Narrow"/>
                <w:bCs/>
                <w:iCs/>
                <w:sz w:val="20"/>
                <w:szCs w:val="20"/>
              </w:rPr>
            </w:pPr>
            <w:r w:rsidRPr="00D07E3A">
              <w:rPr>
                <w:rFonts w:ascii="Arial Narrow" w:hAnsi="Arial Narrow"/>
                <w:bCs/>
                <w:iCs/>
                <w:sz w:val="20"/>
                <w:szCs w:val="20"/>
              </w:rPr>
              <w:t>Lower risk interleukin inhibitors</w:t>
            </w:r>
            <w:r w:rsidRPr="00D07E3A">
              <w:rPr>
                <w:rFonts w:ascii="Arial Narrow" w:hAnsi="Arial Narrow"/>
                <w:bCs/>
                <w:iCs/>
                <w:sz w:val="20"/>
                <w:szCs w:val="20"/>
                <w:vertAlign w:val="superscript"/>
              </w:rPr>
              <w:t>†</w:t>
            </w:r>
            <w:r w:rsidRPr="00D07E3A">
              <w:rPr>
                <w:rFonts w:ascii="Arial Narrow" w:hAnsi="Arial Narrow"/>
                <w:bCs/>
                <w:iCs/>
                <w:sz w:val="20"/>
                <w:szCs w:val="20"/>
              </w:rPr>
              <w:t>, currently or within the last 6 months:</w:t>
            </w:r>
          </w:p>
          <w:p w14:paraId="513D7A69" w14:textId="77777777" w:rsidR="00BC03D2" w:rsidRPr="00D07E3A" w:rsidRDefault="00BC03D2" w:rsidP="00321930">
            <w:pPr>
              <w:pStyle w:val="ListParagraph"/>
              <w:keepNext/>
              <w:keepLines/>
              <w:numPr>
                <w:ilvl w:val="0"/>
                <w:numId w:val="25"/>
              </w:numPr>
              <w:rPr>
                <w:rFonts w:ascii="Arial Narrow" w:hAnsi="Arial Narrow"/>
                <w:bCs/>
                <w:iCs/>
                <w:sz w:val="20"/>
                <w:szCs w:val="20"/>
              </w:rPr>
            </w:pPr>
            <w:r w:rsidRPr="00D07E3A">
              <w:rPr>
                <w:rFonts w:ascii="Arial Narrow" w:hAnsi="Arial Narrow"/>
                <w:bCs/>
                <w:iCs/>
                <w:sz w:val="20"/>
                <w:szCs w:val="20"/>
              </w:rPr>
              <w:t xml:space="preserve">anti-IL17 antibodies, </w:t>
            </w:r>
          </w:p>
          <w:p w14:paraId="6EFAF6B1" w14:textId="77777777" w:rsidR="00BC03D2" w:rsidRPr="00D07E3A" w:rsidRDefault="00BC03D2" w:rsidP="00321930">
            <w:pPr>
              <w:pStyle w:val="ListParagraph"/>
              <w:keepNext/>
              <w:keepLines/>
              <w:numPr>
                <w:ilvl w:val="0"/>
                <w:numId w:val="25"/>
              </w:numPr>
              <w:rPr>
                <w:rFonts w:ascii="Arial Narrow" w:hAnsi="Arial Narrow"/>
                <w:bCs/>
                <w:iCs/>
                <w:sz w:val="20"/>
                <w:szCs w:val="20"/>
              </w:rPr>
            </w:pPr>
            <w:r w:rsidRPr="00D07E3A">
              <w:rPr>
                <w:rFonts w:ascii="Arial Narrow" w:hAnsi="Arial Narrow"/>
                <w:bCs/>
                <w:iCs/>
                <w:sz w:val="20"/>
                <w:szCs w:val="20"/>
              </w:rPr>
              <w:t xml:space="preserve">anti-IL 12/23 antibodies, </w:t>
            </w:r>
          </w:p>
          <w:p w14:paraId="3442B62C" w14:textId="77777777" w:rsidR="00BC03D2" w:rsidRPr="00D07E3A" w:rsidRDefault="00BC03D2" w:rsidP="00321930">
            <w:pPr>
              <w:pStyle w:val="ListParagraph"/>
              <w:keepNext/>
              <w:keepLines/>
              <w:numPr>
                <w:ilvl w:val="0"/>
                <w:numId w:val="25"/>
              </w:numPr>
              <w:rPr>
                <w:rFonts w:ascii="Arial Narrow" w:hAnsi="Arial Narrow"/>
                <w:bCs/>
                <w:iCs/>
                <w:sz w:val="20"/>
                <w:szCs w:val="20"/>
              </w:rPr>
            </w:pPr>
            <w:r w:rsidRPr="00D07E3A">
              <w:rPr>
                <w:rFonts w:ascii="Arial Narrow" w:hAnsi="Arial Narrow"/>
                <w:bCs/>
                <w:iCs/>
                <w:sz w:val="20"/>
                <w:szCs w:val="20"/>
              </w:rPr>
              <w:t xml:space="preserve">anti-IL23 antibodies, and </w:t>
            </w:r>
          </w:p>
          <w:p w14:paraId="2E2496DC" w14:textId="2478402D" w:rsidR="00BC03D2" w:rsidRPr="00D07E3A" w:rsidRDefault="00BC03D2" w:rsidP="00321930">
            <w:pPr>
              <w:pStyle w:val="ListParagraph"/>
              <w:keepNext/>
              <w:keepLines/>
              <w:numPr>
                <w:ilvl w:val="0"/>
                <w:numId w:val="25"/>
              </w:numPr>
              <w:rPr>
                <w:rFonts w:ascii="Arial Narrow" w:hAnsi="Arial Narrow"/>
                <w:bCs/>
                <w:iCs/>
                <w:sz w:val="20"/>
                <w:szCs w:val="20"/>
              </w:rPr>
            </w:pPr>
            <w:r w:rsidRPr="00D07E3A">
              <w:rPr>
                <w:rFonts w:ascii="Arial Narrow" w:hAnsi="Arial Narrow"/>
                <w:bCs/>
                <w:iCs/>
                <w:sz w:val="20"/>
                <w:szCs w:val="20"/>
              </w:rPr>
              <w:t>anti-IL31 antibodies.</w:t>
            </w:r>
          </w:p>
        </w:tc>
        <w:tc>
          <w:tcPr>
            <w:tcW w:w="836" w:type="pct"/>
            <w:vMerge/>
          </w:tcPr>
          <w:p w14:paraId="4CBC47F8" w14:textId="48B53EC0" w:rsidR="00BC03D2" w:rsidRPr="00D07E3A" w:rsidRDefault="00BC03D2" w:rsidP="00321930">
            <w:pPr>
              <w:keepNext/>
              <w:keepLines/>
              <w:rPr>
                <w:rFonts w:ascii="Arial Narrow" w:hAnsi="Arial Narrow"/>
                <w:bCs/>
                <w:iCs/>
                <w:sz w:val="20"/>
                <w:szCs w:val="20"/>
              </w:rPr>
            </w:pPr>
          </w:p>
        </w:tc>
      </w:tr>
      <w:tr w:rsidR="00BC03D2" w:rsidRPr="00D07E3A" w14:paraId="0EADB50B" w14:textId="77777777" w:rsidTr="00944F89">
        <w:tc>
          <w:tcPr>
            <w:tcW w:w="4164" w:type="pct"/>
          </w:tcPr>
          <w:p w14:paraId="096FAE71" w14:textId="77777777" w:rsidR="00BC03D2" w:rsidRPr="00D07E3A" w:rsidRDefault="00BC03D2" w:rsidP="00321930">
            <w:pPr>
              <w:keepNext/>
              <w:keepLines/>
              <w:rPr>
                <w:rFonts w:ascii="Arial Narrow" w:hAnsi="Arial Narrow"/>
                <w:bCs/>
                <w:iCs/>
                <w:sz w:val="20"/>
                <w:szCs w:val="20"/>
              </w:rPr>
            </w:pPr>
            <w:r w:rsidRPr="00D07E3A">
              <w:rPr>
                <w:rFonts w:ascii="Arial Narrow" w:hAnsi="Arial Narrow"/>
                <w:bCs/>
                <w:iCs/>
                <w:sz w:val="20"/>
                <w:szCs w:val="20"/>
              </w:rPr>
              <w:t>Conventional immunosuppressants/immunomodulatory drugs currently or within the last 6 months including:</w:t>
            </w:r>
          </w:p>
          <w:p w14:paraId="1C83D7DB" w14:textId="77777777" w:rsidR="00BC03D2" w:rsidRPr="00D07E3A" w:rsidRDefault="00BC03D2" w:rsidP="00321930">
            <w:pPr>
              <w:pStyle w:val="ListParagraph"/>
              <w:keepNext/>
              <w:keepLines/>
              <w:numPr>
                <w:ilvl w:val="0"/>
                <w:numId w:val="25"/>
              </w:numPr>
              <w:rPr>
                <w:rFonts w:ascii="Arial Narrow" w:hAnsi="Arial Narrow"/>
                <w:bCs/>
                <w:iCs/>
                <w:sz w:val="20"/>
                <w:szCs w:val="20"/>
              </w:rPr>
            </w:pPr>
            <w:r w:rsidRPr="00D07E3A">
              <w:rPr>
                <w:rFonts w:ascii="Arial Narrow" w:hAnsi="Arial Narrow"/>
                <w:bCs/>
                <w:iCs/>
                <w:sz w:val="20"/>
                <w:szCs w:val="20"/>
              </w:rPr>
              <w:t>Hydroxychloroquine</w:t>
            </w:r>
          </w:p>
          <w:p w14:paraId="08FCA5E2" w14:textId="77777777" w:rsidR="00BC03D2" w:rsidRPr="00D07E3A" w:rsidRDefault="00BC03D2" w:rsidP="00321930">
            <w:pPr>
              <w:pStyle w:val="ListParagraph"/>
              <w:keepNext/>
              <w:keepLines/>
              <w:numPr>
                <w:ilvl w:val="0"/>
                <w:numId w:val="25"/>
              </w:numPr>
              <w:rPr>
                <w:rFonts w:ascii="Arial Narrow" w:hAnsi="Arial Narrow"/>
                <w:bCs/>
                <w:iCs/>
                <w:sz w:val="20"/>
                <w:szCs w:val="20"/>
              </w:rPr>
            </w:pPr>
            <w:r w:rsidRPr="00D07E3A">
              <w:rPr>
                <w:rFonts w:ascii="Arial Narrow" w:hAnsi="Arial Narrow"/>
                <w:bCs/>
                <w:iCs/>
                <w:sz w:val="20"/>
                <w:szCs w:val="20"/>
              </w:rPr>
              <w:t>Leflunomide</w:t>
            </w:r>
          </w:p>
          <w:p w14:paraId="5F7480DA" w14:textId="77777777" w:rsidR="00BC03D2" w:rsidRPr="00D07E3A" w:rsidRDefault="00BC03D2" w:rsidP="00321930">
            <w:pPr>
              <w:pStyle w:val="ListParagraph"/>
              <w:keepNext/>
              <w:keepLines/>
              <w:numPr>
                <w:ilvl w:val="0"/>
                <w:numId w:val="25"/>
              </w:numPr>
              <w:rPr>
                <w:rFonts w:ascii="Arial Narrow" w:hAnsi="Arial Narrow"/>
                <w:bCs/>
                <w:iCs/>
                <w:sz w:val="20"/>
                <w:szCs w:val="20"/>
              </w:rPr>
            </w:pPr>
            <w:r w:rsidRPr="00D07E3A">
              <w:rPr>
                <w:rFonts w:ascii="Arial Narrow" w:hAnsi="Arial Narrow"/>
                <w:bCs/>
                <w:iCs/>
                <w:sz w:val="20"/>
                <w:szCs w:val="20"/>
              </w:rPr>
              <w:t>Penicillamine</w:t>
            </w:r>
          </w:p>
          <w:p w14:paraId="13801C6A" w14:textId="77777777" w:rsidR="00BC03D2" w:rsidRPr="00D07E3A" w:rsidRDefault="00BC03D2" w:rsidP="00321930">
            <w:pPr>
              <w:pStyle w:val="ListParagraph"/>
              <w:keepNext/>
              <w:keepLines/>
              <w:numPr>
                <w:ilvl w:val="0"/>
                <w:numId w:val="25"/>
              </w:numPr>
              <w:rPr>
                <w:rFonts w:ascii="Arial Narrow" w:hAnsi="Arial Narrow"/>
                <w:bCs/>
                <w:iCs/>
                <w:sz w:val="20"/>
                <w:szCs w:val="20"/>
              </w:rPr>
            </w:pPr>
            <w:r w:rsidRPr="00D07E3A">
              <w:rPr>
                <w:rFonts w:ascii="Arial Narrow" w:hAnsi="Arial Narrow"/>
                <w:bCs/>
                <w:iCs/>
                <w:sz w:val="20"/>
                <w:szCs w:val="20"/>
              </w:rPr>
              <w:t>Auranofin</w:t>
            </w:r>
          </w:p>
          <w:p w14:paraId="21741F5A" w14:textId="34CED398" w:rsidR="00BC03D2" w:rsidRPr="00D07E3A" w:rsidRDefault="00BC03D2" w:rsidP="00321930">
            <w:pPr>
              <w:pStyle w:val="ListParagraph"/>
              <w:keepNext/>
              <w:keepLines/>
              <w:numPr>
                <w:ilvl w:val="0"/>
                <w:numId w:val="25"/>
              </w:numPr>
              <w:rPr>
                <w:rStyle w:val="A9"/>
                <w:rFonts w:ascii="Arial Narrow" w:hAnsi="Arial Narrow"/>
                <w:bCs/>
                <w:iCs/>
                <w:sz w:val="20"/>
                <w:szCs w:val="20"/>
              </w:rPr>
            </w:pPr>
            <w:r w:rsidRPr="00D07E3A">
              <w:rPr>
                <w:rFonts w:ascii="Arial Narrow" w:hAnsi="Arial Narrow"/>
                <w:bCs/>
                <w:iCs/>
                <w:sz w:val="20"/>
                <w:szCs w:val="20"/>
              </w:rPr>
              <w:t>Aminosalicylates e.g. sulfasalazine</w:t>
            </w:r>
          </w:p>
        </w:tc>
        <w:tc>
          <w:tcPr>
            <w:tcW w:w="836" w:type="pct"/>
            <w:vMerge/>
          </w:tcPr>
          <w:p w14:paraId="7EE38D64" w14:textId="27504441" w:rsidR="00BC03D2" w:rsidRPr="00D07E3A" w:rsidRDefault="00BC03D2" w:rsidP="00321930">
            <w:pPr>
              <w:keepNext/>
              <w:keepLines/>
              <w:rPr>
                <w:rStyle w:val="A9"/>
                <w:rFonts w:ascii="Arial Narrow" w:hAnsi="Arial Narrow"/>
                <w:bCs/>
                <w:iCs/>
                <w:sz w:val="20"/>
                <w:szCs w:val="20"/>
              </w:rPr>
            </w:pPr>
          </w:p>
        </w:tc>
      </w:tr>
      <w:tr w:rsidR="00BC03D2" w:rsidRPr="00D07E3A" w14:paraId="53C7777A" w14:textId="77777777" w:rsidTr="00944F89">
        <w:tc>
          <w:tcPr>
            <w:tcW w:w="4164" w:type="pct"/>
          </w:tcPr>
          <w:p w14:paraId="53091C0A" w14:textId="77777777" w:rsidR="00BC03D2" w:rsidRPr="00D07E3A" w:rsidRDefault="00BC03D2" w:rsidP="00321930">
            <w:pPr>
              <w:keepNext/>
              <w:keepLines/>
              <w:rPr>
                <w:rFonts w:ascii="Arial Narrow" w:hAnsi="Arial Narrow"/>
                <w:bCs/>
                <w:iCs/>
                <w:sz w:val="20"/>
                <w:szCs w:val="20"/>
              </w:rPr>
            </w:pPr>
            <w:r w:rsidRPr="00D07E3A">
              <w:rPr>
                <w:rFonts w:ascii="Arial Narrow" w:hAnsi="Arial Narrow"/>
                <w:bCs/>
                <w:iCs/>
                <w:sz w:val="20"/>
                <w:szCs w:val="20"/>
              </w:rPr>
              <w:t>Solid organ tumours currently or within the last 6 months, receiving other active therapy including:</w:t>
            </w:r>
          </w:p>
          <w:p w14:paraId="1F85852D" w14:textId="004A647C" w:rsidR="00BC03D2" w:rsidRPr="00D07E3A" w:rsidRDefault="00BC03D2" w:rsidP="00321930">
            <w:pPr>
              <w:pStyle w:val="ListParagraph"/>
              <w:keepNext/>
              <w:keepLines/>
              <w:numPr>
                <w:ilvl w:val="0"/>
                <w:numId w:val="25"/>
              </w:numPr>
              <w:rPr>
                <w:rFonts w:ascii="Arial Narrow" w:hAnsi="Arial Narrow"/>
                <w:bCs/>
                <w:iCs/>
                <w:sz w:val="20"/>
                <w:szCs w:val="20"/>
              </w:rPr>
            </w:pPr>
            <w:r w:rsidRPr="00D07E3A">
              <w:rPr>
                <w:rFonts w:ascii="Arial Narrow" w:hAnsi="Arial Narrow"/>
                <w:bCs/>
                <w:iCs/>
                <w:sz w:val="20"/>
                <w:szCs w:val="20"/>
              </w:rPr>
              <w:t xml:space="preserve">Kinase inhibitors (e.g. ALK inhibitors, CDK inhibitors) </w:t>
            </w:r>
          </w:p>
          <w:p w14:paraId="708A3C26" w14:textId="72300D7D" w:rsidR="00BC03D2" w:rsidRPr="00BC03D2" w:rsidRDefault="00BC03D2" w:rsidP="00321930">
            <w:pPr>
              <w:pStyle w:val="ListParagraph"/>
              <w:keepNext/>
              <w:keepLines/>
              <w:numPr>
                <w:ilvl w:val="0"/>
                <w:numId w:val="25"/>
              </w:numPr>
              <w:rPr>
                <w:rFonts w:ascii="Arial Narrow" w:hAnsi="Arial Narrow"/>
                <w:bCs/>
                <w:iCs/>
                <w:sz w:val="20"/>
                <w:szCs w:val="20"/>
              </w:rPr>
            </w:pPr>
            <w:r w:rsidRPr="00D07E3A">
              <w:rPr>
                <w:rFonts w:ascii="Arial Narrow" w:hAnsi="Arial Narrow"/>
                <w:bCs/>
                <w:iCs/>
                <w:sz w:val="20"/>
                <w:szCs w:val="20"/>
              </w:rPr>
              <w:t>Immune checkpoint inhibitors</w:t>
            </w:r>
          </w:p>
        </w:tc>
        <w:tc>
          <w:tcPr>
            <w:tcW w:w="836" w:type="pct"/>
            <w:vMerge/>
          </w:tcPr>
          <w:p w14:paraId="02328282" w14:textId="62F81624" w:rsidR="00BC03D2" w:rsidRPr="00D07E3A" w:rsidRDefault="00BC03D2" w:rsidP="00321930">
            <w:pPr>
              <w:keepNext/>
              <w:keepLines/>
            </w:pPr>
          </w:p>
        </w:tc>
      </w:tr>
      <w:tr w:rsidR="00BC03D2" w:rsidRPr="00D07E3A" w14:paraId="43991D05" w14:textId="77777777" w:rsidTr="00BC03D2">
        <w:tc>
          <w:tcPr>
            <w:tcW w:w="4164" w:type="pct"/>
          </w:tcPr>
          <w:p w14:paraId="01F06F31" w14:textId="34B13738" w:rsidR="00BC03D2" w:rsidRPr="00BC03D2" w:rsidRDefault="00BC03D2" w:rsidP="00321930">
            <w:pPr>
              <w:pStyle w:val="ListParagraph"/>
              <w:keepNext/>
              <w:keepLines/>
              <w:numPr>
                <w:ilvl w:val="0"/>
                <w:numId w:val="25"/>
              </w:numPr>
              <w:rPr>
                <w:rFonts w:ascii="Arial Narrow" w:hAnsi="Arial Narrow"/>
                <w:bCs/>
                <w:iCs/>
                <w:sz w:val="20"/>
                <w:szCs w:val="20"/>
              </w:rPr>
            </w:pPr>
            <w:r w:rsidRPr="00BC03D2">
              <w:rPr>
                <w:rFonts w:ascii="Arial Narrow" w:hAnsi="Arial Narrow"/>
                <w:bCs/>
                <w:iCs/>
                <w:sz w:val="20"/>
                <w:szCs w:val="20"/>
              </w:rPr>
              <w:t>radiotherapy (alone, without concurrent or sequential chemotherapy)</w:t>
            </w:r>
          </w:p>
        </w:tc>
        <w:tc>
          <w:tcPr>
            <w:tcW w:w="836" w:type="pct"/>
          </w:tcPr>
          <w:p w14:paraId="7FE65D60" w14:textId="780B5442" w:rsidR="00BC03D2" w:rsidRPr="00D07E3A" w:rsidRDefault="00BC03D2" w:rsidP="00321930">
            <w:pPr>
              <w:keepNext/>
              <w:keepLines/>
              <w:rPr>
                <w:rFonts w:ascii="Arial Narrow" w:hAnsi="Arial Narrow"/>
                <w:bCs/>
                <w:iCs/>
                <w:sz w:val="20"/>
                <w:szCs w:val="20"/>
              </w:rPr>
            </w:pPr>
            <w:r w:rsidRPr="00D07E3A">
              <w:rPr>
                <w:rFonts w:ascii="Arial Narrow" w:hAnsi="Arial Narrow" w:cs="Calibri"/>
                <w:bCs/>
                <w:iCs/>
                <w:color w:val="000000" w:themeColor="text1"/>
                <w:sz w:val="20"/>
                <w:szCs w:val="20"/>
              </w:rPr>
              <w:t>73,797</w:t>
            </w:r>
          </w:p>
        </w:tc>
      </w:tr>
      <w:tr w:rsidR="00FE657B" w:rsidRPr="00D07E3A" w14:paraId="4FE43950" w14:textId="77777777" w:rsidTr="00BC03D2">
        <w:tc>
          <w:tcPr>
            <w:tcW w:w="4164" w:type="pct"/>
          </w:tcPr>
          <w:p w14:paraId="3C82A7C2" w14:textId="62F54CCE" w:rsidR="00FE657B" w:rsidRPr="00D07E3A" w:rsidRDefault="00FE657B" w:rsidP="00321930">
            <w:pPr>
              <w:keepNext/>
              <w:keepLines/>
              <w:rPr>
                <w:rFonts w:ascii="Arial Narrow" w:hAnsi="Arial Narrow"/>
                <w:b/>
                <w:iCs/>
                <w:sz w:val="20"/>
                <w:szCs w:val="20"/>
              </w:rPr>
            </w:pPr>
            <w:r w:rsidRPr="00D07E3A">
              <w:rPr>
                <w:rFonts w:ascii="Arial Narrow" w:hAnsi="Arial Narrow"/>
                <w:b/>
                <w:iCs/>
                <w:sz w:val="20"/>
                <w:szCs w:val="20"/>
              </w:rPr>
              <w:t xml:space="preserve">Total lower risk population </w:t>
            </w:r>
          </w:p>
        </w:tc>
        <w:tc>
          <w:tcPr>
            <w:tcW w:w="836" w:type="pct"/>
            <w:vAlign w:val="center"/>
          </w:tcPr>
          <w:p w14:paraId="7B6A8EB2" w14:textId="175B6C7F" w:rsidR="00FE657B" w:rsidRPr="00D07E3A" w:rsidRDefault="00FE657B" w:rsidP="00321930">
            <w:pPr>
              <w:pStyle w:val="3-BodyText"/>
              <w:keepNext/>
              <w:keepLines/>
              <w:numPr>
                <w:ilvl w:val="0"/>
                <w:numId w:val="0"/>
              </w:numPr>
              <w:spacing w:after="0"/>
              <w:jc w:val="left"/>
              <w:rPr>
                <w:rFonts w:ascii="Arial Narrow" w:hAnsi="Arial Narrow"/>
                <w:b/>
                <w:iCs/>
                <w:sz w:val="20"/>
                <w:szCs w:val="20"/>
              </w:rPr>
            </w:pPr>
            <w:r w:rsidRPr="00D07E3A">
              <w:rPr>
                <w:rFonts w:ascii="Arial Narrow" w:hAnsi="Arial Narrow"/>
                <w:b/>
                <w:iCs/>
                <w:sz w:val="20"/>
                <w:szCs w:val="20"/>
              </w:rPr>
              <w:t>4</w:t>
            </w:r>
            <w:r w:rsidR="00BC03D2">
              <w:rPr>
                <w:rFonts w:ascii="Arial Narrow" w:hAnsi="Arial Narrow"/>
                <w:b/>
                <w:iCs/>
                <w:sz w:val="20"/>
                <w:szCs w:val="20"/>
              </w:rPr>
              <w:t>09,200</w:t>
            </w:r>
          </w:p>
        </w:tc>
      </w:tr>
    </w:tbl>
    <w:p w14:paraId="46A4CAA4" w14:textId="5763B408" w:rsidR="00FE657B" w:rsidRPr="00D07E3A" w:rsidRDefault="00FE657B" w:rsidP="00BC03D2">
      <w:pPr>
        <w:pStyle w:val="3-BodyText"/>
        <w:numPr>
          <w:ilvl w:val="0"/>
          <w:numId w:val="0"/>
        </w:numPr>
        <w:spacing w:after="0"/>
        <w:rPr>
          <w:rFonts w:ascii="Arial Narrow" w:hAnsi="Arial Narrow"/>
          <w:sz w:val="18"/>
          <w:szCs w:val="18"/>
        </w:rPr>
      </w:pPr>
      <w:r w:rsidRPr="00D07E3A">
        <w:rPr>
          <w:rFonts w:ascii="Arial Narrow" w:hAnsi="Arial Narrow"/>
          <w:sz w:val="18"/>
          <w:szCs w:val="18"/>
        </w:rPr>
        <w:t>ALK = anaplastic lymphoma kinase; CDK = cyclin dependent kinase</w:t>
      </w:r>
      <w:r w:rsidR="00407B45" w:rsidRPr="00D07E3A">
        <w:rPr>
          <w:rFonts w:ascii="Arial Narrow" w:hAnsi="Arial Narrow"/>
          <w:sz w:val="18"/>
          <w:szCs w:val="18"/>
        </w:rPr>
        <w:t>; HAE = hereditary angioedema; IgE = immunoglobulin E; IL = interleukin</w:t>
      </w:r>
    </w:p>
    <w:p w14:paraId="78356CE2" w14:textId="40FD9614" w:rsidR="00FE657B" w:rsidRPr="00D07E3A" w:rsidRDefault="00BC03D2" w:rsidP="00FE657B">
      <w:pPr>
        <w:pStyle w:val="3-BodyText"/>
        <w:numPr>
          <w:ilvl w:val="0"/>
          <w:numId w:val="0"/>
        </w:numPr>
        <w:rPr>
          <w:rFonts w:ascii="Arial Narrow" w:hAnsi="Arial Narrow"/>
          <w:sz w:val="20"/>
          <w:szCs w:val="20"/>
        </w:rPr>
      </w:pPr>
      <w:r>
        <w:rPr>
          <w:rFonts w:ascii="Arial Narrow" w:hAnsi="Arial Narrow"/>
          <w:sz w:val="20"/>
          <w:szCs w:val="20"/>
        </w:rPr>
        <w:t xml:space="preserve">Source: Table 1, September 2023 ATAGI advice </w:t>
      </w:r>
    </w:p>
    <w:p w14:paraId="01314B15" w14:textId="03F90228" w:rsidR="00D6737E" w:rsidRPr="00D07E3A" w:rsidRDefault="00D6737E" w:rsidP="00D6737E">
      <w:pPr>
        <w:keepNext/>
        <w:spacing w:before="120" w:after="120"/>
        <w:outlineLvl w:val="1"/>
        <w:rPr>
          <w:rFonts w:asciiTheme="minorHAnsi" w:eastAsiaTheme="majorEastAsia" w:hAnsiTheme="minorHAnsi" w:cstheme="majorBidi"/>
          <w:b/>
          <w:i/>
          <w:spacing w:val="5"/>
          <w:kern w:val="28"/>
          <w:sz w:val="28"/>
          <w:szCs w:val="36"/>
        </w:rPr>
      </w:pPr>
      <w:r w:rsidRPr="00D07E3A">
        <w:rPr>
          <w:rFonts w:asciiTheme="minorHAnsi" w:eastAsiaTheme="majorEastAsia" w:hAnsiTheme="minorHAnsi" w:cstheme="majorBidi"/>
          <w:b/>
          <w:i/>
          <w:spacing w:val="5"/>
          <w:kern w:val="28"/>
          <w:sz w:val="28"/>
          <w:szCs w:val="36"/>
        </w:rPr>
        <w:t xml:space="preserve">Information provided by the </w:t>
      </w:r>
      <w:r w:rsidR="0045309C" w:rsidRPr="00D07E3A">
        <w:rPr>
          <w:rFonts w:asciiTheme="minorHAnsi" w:eastAsiaTheme="majorEastAsia" w:hAnsiTheme="minorHAnsi" w:cstheme="majorBidi"/>
          <w:b/>
          <w:i/>
          <w:spacing w:val="5"/>
          <w:kern w:val="28"/>
          <w:sz w:val="28"/>
          <w:szCs w:val="36"/>
        </w:rPr>
        <w:t>s</w:t>
      </w:r>
      <w:r w:rsidRPr="00D07E3A">
        <w:rPr>
          <w:rFonts w:asciiTheme="minorHAnsi" w:eastAsiaTheme="majorEastAsia" w:hAnsiTheme="minorHAnsi" w:cstheme="majorBidi"/>
          <w:b/>
          <w:i/>
          <w:spacing w:val="5"/>
          <w:kern w:val="28"/>
          <w:sz w:val="28"/>
          <w:szCs w:val="36"/>
        </w:rPr>
        <w:t xml:space="preserve">ponsor </w:t>
      </w:r>
    </w:p>
    <w:p w14:paraId="42CFFAE0" w14:textId="39CC096F" w:rsidR="00500C50" w:rsidRPr="00D07E3A" w:rsidRDefault="00C05AB6" w:rsidP="00500C50">
      <w:pPr>
        <w:pStyle w:val="3-BodyText"/>
      </w:pPr>
      <w:r w:rsidRPr="00D07E3A">
        <w:rPr>
          <w:rFonts w:eastAsiaTheme="majorEastAsia"/>
        </w:rPr>
        <w:t xml:space="preserve">The sponsor provided input on the expanded list of cohorts identified by ATAGI and information to support the cost-effectiveness and associated financial implications for the NIP as requested by the PBAC in March 2023. </w:t>
      </w:r>
      <w:r w:rsidR="00500C50" w:rsidRPr="00D07E3A">
        <w:t xml:space="preserve">Further ATAGI advice was sought following receipt of information from the sponsor. </w:t>
      </w:r>
    </w:p>
    <w:p w14:paraId="09126E96" w14:textId="303E1353" w:rsidR="00CD6588" w:rsidRPr="00D07E3A" w:rsidRDefault="00CD6588" w:rsidP="00D6737E">
      <w:pPr>
        <w:pStyle w:val="3-BodyText"/>
        <w:rPr>
          <w:rFonts w:eastAsiaTheme="majorEastAsia"/>
        </w:rPr>
      </w:pPr>
      <w:r w:rsidRPr="00D07E3A">
        <w:rPr>
          <w:rFonts w:eastAsiaTheme="majorEastAsia"/>
        </w:rPr>
        <w:t>The sponsor proposed a cost per dose of $</w:t>
      </w:r>
      <w:r w:rsidR="00447F02" w:rsidRPr="00447F02">
        <w:rPr>
          <w:rFonts w:eastAsiaTheme="majorEastAsia"/>
          <w:color w:val="000000"/>
          <w:w w:val="60"/>
          <w:shd w:val="solid" w:color="000000" w:fill="000000"/>
          <w:fitText w:val="470" w:id="-1032144126"/>
          <w14:textFill>
            <w14:solidFill>
              <w14:srgbClr w14:val="000000">
                <w14:alpha w14:val="100000"/>
              </w14:srgbClr>
            </w14:solidFill>
          </w14:textFill>
        </w:rPr>
        <w:t>|||  ||</w:t>
      </w:r>
      <w:r w:rsidR="00447F02" w:rsidRPr="00447F02">
        <w:rPr>
          <w:rFonts w:eastAsiaTheme="majorEastAsia"/>
          <w:color w:val="000000"/>
          <w:spacing w:val="6"/>
          <w:w w:val="60"/>
          <w:shd w:val="solid" w:color="000000" w:fill="000000"/>
          <w:fitText w:val="470" w:id="-1032144126"/>
          <w14:textFill>
            <w14:solidFill>
              <w14:srgbClr w14:val="000000">
                <w14:alpha w14:val="100000"/>
              </w14:srgbClr>
            </w14:solidFill>
          </w14:textFill>
        </w:rPr>
        <w:t>|</w:t>
      </w:r>
      <w:r w:rsidR="00447F02" w:rsidRPr="00447F02">
        <w:rPr>
          <w:rFonts w:eastAsiaTheme="majorEastAsia"/>
        </w:rPr>
        <w:t xml:space="preserve"> </w:t>
      </w:r>
      <w:r w:rsidRPr="00D07E3A">
        <w:rPr>
          <w:rFonts w:eastAsiaTheme="majorEastAsia"/>
        </w:rPr>
        <w:t>for the high risk population and $</w:t>
      </w:r>
      <w:r w:rsidR="00447F02" w:rsidRPr="00FE6944">
        <w:rPr>
          <w:rFonts w:eastAsiaTheme="majorEastAsia"/>
          <w:color w:val="000000"/>
          <w:w w:val="15"/>
          <w:shd w:val="solid" w:color="000000" w:fill="000000"/>
          <w:fitText w:val="-20" w:id="-1032144125"/>
          <w14:textFill>
            <w14:solidFill>
              <w14:srgbClr w14:val="000000">
                <w14:alpha w14:val="100000"/>
              </w14:srgbClr>
            </w14:solidFill>
          </w14:textFill>
        </w:rPr>
        <w:t xml:space="preserve">|  </w:t>
      </w:r>
      <w:r w:rsidR="00447F02" w:rsidRPr="00FE6944">
        <w:rPr>
          <w:rFonts w:eastAsiaTheme="majorEastAsia"/>
          <w:color w:val="000000"/>
          <w:spacing w:val="-69"/>
          <w:w w:val="15"/>
          <w:shd w:val="solid" w:color="000000" w:fill="000000"/>
          <w:fitText w:val="-20" w:id="-1032144125"/>
          <w14:textFill>
            <w14:solidFill>
              <w14:srgbClr w14:val="000000">
                <w14:alpha w14:val="100000"/>
              </w14:srgbClr>
            </w14:solidFill>
          </w14:textFill>
        </w:rPr>
        <w:t>|</w:t>
      </w:r>
      <w:r w:rsidR="00447F02" w:rsidRPr="00447F02">
        <w:rPr>
          <w:rFonts w:eastAsiaTheme="majorEastAsia"/>
        </w:rPr>
        <w:t xml:space="preserve"> </w:t>
      </w:r>
      <w:r w:rsidRPr="00D07E3A">
        <w:rPr>
          <w:rFonts w:eastAsiaTheme="majorEastAsia"/>
        </w:rPr>
        <w:t xml:space="preserve">for the moderate risk population. The sponsor stated that given the paucity of evidence to inform a cost-effectiveness model in the numerous sub-populations of adults at increased risk of HZ identified by ATAGI, previous recommendations from the March 2023 PBAC meeting and July 2023 PBAC meeting were used as a frame of reference for cost-effectiveness within the proposed additional cohorts. </w:t>
      </w:r>
    </w:p>
    <w:p w14:paraId="25444F66" w14:textId="7D6D478E" w:rsidR="00DA0D39" w:rsidRPr="00D07E3A" w:rsidRDefault="00DA0D39" w:rsidP="00DA0D39">
      <w:pPr>
        <w:pStyle w:val="3-BodyText"/>
        <w:rPr>
          <w:rFonts w:eastAsiaTheme="majorEastAsia"/>
        </w:rPr>
      </w:pPr>
      <w:r w:rsidRPr="00D07E3A">
        <w:rPr>
          <w:rFonts w:eastAsiaTheme="majorEastAsia"/>
        </w:rPr>
        <w:t>The</w:t>
      </w:r>
      <w:r w:rsidR="00CE1122" w:rsidRPr="00D07E3A">
        <w:rPr>
          <w:rFonts w:eastAsiaTheme="majorEastAsia"/>
        </w:rPr>
        <w:t xml:space="preserve"> sponsor’s</w:t>
      </w:r>
      <w:r w:rsidRPr="00D07E3A">
        <w:rPr>
          <w:rFonts w:eastAsiaTheme="majorEastAsia"/>
        </w:rPr>
        <w:t xml:space="preserve"> </w:t>
      </w:r>
      <w:r w:rsidR="00CE1122" w:rsidRPr="00D07E3A">
        <w:rPr>
          <w:rFonts w:eastAsiaTheme="majorEastAsia"/>
        </w:rPr>
        <w:t xml:space="preserve">estimated </w:t>
      </w:r>
      <w:r w:rsidR="0022090B" w:rsidRPr="00D07E3A">
        <w:rPr>
          <w:rFonts w:eastAsiaTheme="majorEastAsia"/>
        </w:rPr>
        <w:t xml:space="preserve">total </w:t>
      </w:r>
      <w:r w:rsidRPr="00D07E3A">
        <w:rPr>
          <w:rFonts w:eastAsiaTheme="majorEastAsia"/>
        </w:rPr>
        <w:t xml:space="preserve">number of moderate and high risk individuals eligible for vaccination was largely consistent with the ATAGI estimates with the exception of the inclusion of </w:t>
      </w:r>
      <w:r w:rsidR="00D12038" w:rsidRPr="00D12038">
        <w:rPr>
          <w:rFonts w:eastAsiaTheme="majorEastAsia"/>
        </w:rPr>
        <w:t>40,000 to &lt; 50,000</w:t>
      </w:r>
      <w:r w:rsidR="00D12038">
        <w:rPr>
          <w:rFonts w:eastAsiaTheme="majorEastAsia"/>
        </w:rPr>
        <w:t xml:space="preserve"> </w:t>
      </w:r>
      <w:r w:rsidRPr="00D07E3A">
        <w:rPr>
          <w:rFonts w:eastAsiaTheme="majorEastAsia"/>
        </w:rPr>
        <w:t xml:space="preserve">high risk individuals estimated to be on high dose methotrexate. </w:t>
      </w:r>
    </w:p>
    <w:p w14:paraId="5216EB39" w14:textId="7CE14DEF" w:rsidR="00DA0D39" w:rsidRPr="00D07E3A" w:rsidRDefault="00DA0D39" w:rsidP="00D6737E">
      <w:pPr>
        <w:pStyle w:val="3-BodyText"/>
        <w:rPr>
          <w:rFonts w:eastAsiaTheme="majorEastAsia"/>
        </w:rPr>
      </w:pPr>
      <w:r w:rsidRPr="00D07E3A">
        <w:rPr>
          <w:rFonts w:eastAsiaTheme="majorEastAsia"/>
        </w:rPr>
        <w:t>The assumed growth in the number of eligible individuals in the high risk cohort was 3.7% to 3.8% per year and in the moderate risk cohort was 4.4% per year (compared to no growth assumed for the high risk cohort recommended in March 2023)</w:t>
      </w:r>
      <w:r w:rsidR="00D07E3A">
        <w:rPr>
          <w:rFonts w:eastAsiaTheme="majorEastAsia"/>
        </w:rPr>
        <w:t xml:space="preserve">. </w:t>
      </w:r>
      <w:r w:rsidRPr="00D07E3A">
        <w:rPr>
          <w:rFonts w:eastAsiaTheme="majorEastAsia"/>
        </w:rPr>
        <w:t xml:space="preserve">Other assumptions were consistent with the high risk cohort recommended in March 2023. </w:t>
      </w:r>
    </w:p>
    <w:p w14:paraId="2037420F" w14:textId="109326F0" w:rsidR="00DA0D39" w:rsidRPr="00D07E3A" w:rsidRDefault="00DA0D39" w:rsidP="00DA0D39">
      <w:pPr>
        <w:pStyle w:val="3-BodyText"/>
        <w:rPr>
          <w:rFonts w:eastAsiaTheme="majorEastAsia"/>
        </w:rPr>
      </w:pPr>
      <w:r w:rsidRPr="00D07E3A">
        <w:rPr>
          <w:rFonts w:eastAsiaTheme="majorEastAsia"/>
        </w:rPr>
        <w:t xml:space="preserve">The PBAC noted the estimates in Table 2 include </w:t>
      </w:r>
      <w:r w:rsidR="00CE1122" w:rsidRPr="00D07E3A">
        <w:rPr>
          <w:rFonts w:eastAsiaTheme="majorEastAsia"/>
        </w:rPr>
        <w:t>non-</w:t>
      </w:r>
      <w:r w:rsidR="00DE1005" w:rsidRPr="00D07E3A">
        <w:rPr>
          <w:rFonts w:eastAsiaTheme="majorEastAsia"/>
        </w:rPr>
        <w:t>I</w:t>
      </w:r>
      <w:r w:rsidR="00CE1122" w:rsidRPr="00D07E3A">
        <w:rPr>
          <w:rFonts w:eastAsiaTheme="majorEastAsia"/>
        </w:rPr>
        <w:t xml:space="preserve">ndigenous </w:t>
      </w:r>
      <w:r w:rsidRPr="00D07E3A">
        <w:rPr>
          <w:rFonts w:eastAsiaTheme="majorEastAsia"/>
        </w:rPr>
        <w:t>people aged 65 years</w:t>
      </w:r>
      <w:r w:rsidR="00CE1122" w:rsidRPr="00D07E3A">
        <w:rPr>
          <w:rFonts w:eastAsiaTheme="majorEastAsia"/>
        </w:rPr>
        <w:t xml:space="preserve"> and older</w:t>
      </w:r>
      <w:r w:rsidRPr="00D07E3A">
        <w:rPr>
          <w:rFonts w:eastAsiaTheme="majorEastAsia"/>
        </w:rPr>
        <w:t xml:space="preserve"> and Aboriginal and Torres Strait Islander people aged 50 years and older who are able to access RZV on the NIP from 1 November 2023. </w:t>
      </w:r>
    </w:p>
    <w:p w14:paraId="2C3F94B0" w14:textId="17DAA652" w:rsidR="00F36958" w:rsidRPr="0034533F" w:rsidRDefault="00DA0D39" w:rsidP="0034533F">
      <w:pPr>
        <w:pStyle w:val="3-BodyText"/>
        <w:rPr>
          <w:rFonts w:eastAsiaTheme="majorEastAsia"/>
        </w:rPr>
      </w:pPr>
      <w:r w:rsidRPr="00D07E3A">
        <w:rPr>
          <w:rFonts w:eastAsiaTheme="majorEastAsia"/>
        </w:rPr>
        <w:t>For the high and moderate risk cohorts (as defined by ATAG</w:t>
      </w:r>
      <w:r w:rsidR="000C6F0F" w:rsidRPr="00D07E3A">
        <w:rPr>
          <w:rFonts w:eastAsiaTheme="majorEastAsia"/>
        </w:rPr>
        <w:t>I, plus the additional high dose methotrexate population</w:t>
      </w:r>
      <w:r w:rsidRPr="00D07E3A">
        <w:rPr>
          <w:rFonts w:eastAsiaTheme="majorEastAsia"/>
        </w:rPr>
        <w:t xml:space="preserve">), over six years, there were an estimated </w:t>
      </w:r>
      <w:r w:rsidR="005C46D9">
        <w:rPr>
          <w:rFonts w:eastAsiaTheme="majorEastAsia"/>
        </w:rPr>
        <w:t>300,000 to &lt; 400,000</w:t>
      </w:r>
      <w:r w:rsidR="00797660" w:rsidRPr="00D07E3A">
        <w:rPr>
          <w:rStyle w:val="FootnoteReference"/>
          <w:rFonts w:eastAsiaTheme="majorEastAsia"/>
        </w:rPr>
        <w:footnoteReference w:id="2"/>
      </w:r>
      <w:r w:rsidRPr="00D07E3A">
        <w:rPr>
          <w:rFonts w:eastAsiaTheme="majorEastAsia"/>
        </w:rPr>
        <w:t xml:space="preserve"> persons vaccinated and </w:t>
      </w:r>
      <w:r w:rsidR="005C46D9">
        <w:rPr>
          <w:rFonts w:eastAsiaTheme="majorEastAsia"/>
        </w:rPr>
        <w:t>500,000 to &lt; 600,000</w:t>
      </w:r>
      <w:r w:rsidRPr="00D07E3A">
        <w:rPr>
          <w:rFonts w:eastAsiaTheme="majorEastAsia"/>
        </w:rPr>
        <w:t xml:space="preserve"> doses administered. Applying the effective prices to each risk group resulted in a cost to NIP of $</w:t>
      </w:r>
      <w:r w:rsidR="0034533F" w:rsidRPr="0034533F">
        <w:rPr>
          <w:rFonts w:eastAsiaTheme="majorEastAsia"/>
        </w:rPr>
        <w:t>90 million to &lt; $100 million</w:t>
      </w:r>
      <w:r w:rsidRPr="0034533F">
        <w:rPr>
          <w:rFonts w:eastAsiaTheme="majorEastAsia"/>
        </w:rPr>
        <w:t xml:space="preserve">. These cohorts replaced </w:t>
      </w:r>
      <w:r w:rsidR="005C46D9" w:rsidRPr="0034533F">
        <w:rPr>
          <w:rFonts w:eastAsiaTheme="majorEastAsia"/>
        </w:rPr>
        <w:t>100,000 to &lt; 200,000</w:t>
      </w:r>
      <w:r w:rsidR="00797660" w:rsidRPr="00D07E3A">
        <w:rPr>
          <w:rStyle w:val="FootnoteReference"/>
          <w:rFonts w:eastAsiaTheme="majorEastAsia"/>
        </w:rPr>
        <w:footnoteReference w:id="3"/>
      </w:r>
      <w:r w:rsidRPr="0034533F">
        <w:rPr>
          <w:rFonts w:eastAsiaTheme="majorEastAsia"/>
        </w:rPr>
        <w:t xml:space="preserve"> persons within the existing recommended NIP populations who are projected to receive </w:t>
      </w:r>
      <w:r w:rsidR="000C6F0F" w:rsidRPr="0034533F">
        <w:rPr>
          <w:rFonts w:eastAsiaTheme="majorEastAsia"/>
        </w:rPr>
        <w:t>RZV</w:t>
      </w:r>
      <w:r w:rsidRPr="0034533F">
        <w:rPr>
          <w:rFonts w:eastAsiaTheme="majorEastAsia"/>
        </w:rPr>
        <w:t xml:space="preserve">, resulting in a total offset of </w:t>
      </w:r>
      <w:r w:rsidR="005C46D9" w:rsidRPr="0034533F">
        <w:rPr>
          <w:rFonts w:eastAsiaTheme="majorEastAsia"/>
        </w:rPr>
        <w:t>100,000 to &lt; 200,000</w:t>
      </w:r>
      <w:r w:rsidRPr="0034533F">
        <w:rPr>
          <w:rFonts w:eastAsiaTheme="majorEastAsia"/>
        </w:rPr>
        <w:t xml:space="preserve"> doses and cost to NIP of $</w:t>
      </w:r>
      <w:r w:rsidR="0034533F" w:rsidRPr="0034533F">
        <w:rPr>
          <w:rFonts w:eastAsiaTheme="majorEastAsia"/>
        </w:rPr>
        <w:t>20 million to &lt; $30 million</w:t>
      </w:r>
      <w:r w:rsidRPr="0034533F">
        <w:rPr>
          <w:rFonts w:eastAsiaTheme="majorEastAsia"/>
        </w:rPr>
        <w:t xml:space="preserve">. The final incremental impact of the ATAGI base case was an additional </w:t>
      </w:r>
      <w:r w:rsidR="005C46D9" w:rsidRPr="0034533F">
        <w:rPr>
          <w:rFonts w:eastAsiaTheme="majorEastAsia"/>
        </w:rPr>
        <w:t>200,000 to &lt; 300,000</w:t>
      </w:r>
      <w:r w:rsidRPr="0034533F">
        <w:rPr>
          <w:rFonts w:eastAsiaTheme="majorEastAsia"/>
        </w:rPr>
        <w:t xml:space="preserve"> persons vaccinated, </w:t>
      </w:r>
      <w:r w:rsidR="005C46D9" w:rsidRPr="0034533F">
        <w:rPr>
          <w:rFonts w:eastAsiaTheme="majorEastAsia"/>
        </w:rPr>
        <w:t>300,000 to &lt; 400,000</w:t>
      </w:r>
      <w:r w:rsidRPr="0034533F">
        <w:rPr>
          <w:rFonts w:eastAsiaTheme="majorEastAsia"/>
        </w:rPr>
        <w:t xml:space="preserve"> doses administered, and a cost to </w:t>
      </w:r>
      <w:r w:rsidR="00FB1B13" w:rsidRPr="0034533F">
        <w:rPr>
          <w:rFonts w:eastAsiaTheme="majorEastAsia"/>
        </w:rPr>
        <w:t xml:space="preserve">the </w:t>
      </w:r>
      <w:r w:rsidRPr="0034533F">
        <w:rPr>
          <w:rFonts w:eastAsiaTheme="majorEastAsia"/>
        </w:rPr>
        <w:t>NIP of $</w:t>
      </w:r>
      <w:r w:rsidR="0034533F" w:rsidRPr="0034533F">
        <w:rPr>
          <w:rFonts w:eastAsiaTheme="majorEastAsia"/>
        </w:rPr>
        <w:t>60 million to &lt; $70 million</w:t>
      </w:r>
      <w:r w:rsidRPr="0034533F">
        <w:rPr>
          <w:rFonts w:eastAsiaTheme="majorEastAsia"/>
        </w:rPr>
        <w:t>.</w:t>
      </w:r>
      <w:r w:rsidR="00C95FD6" w:rsidRPr="0034533F">
        <w:rPr>
          <w:rFonts w:eastAsiaTheme="majorEastAsia"/>
        </w:rPr>
        <w:t xml:space="preserve"> </w:t>
      </w:r>
    </w:p>
    <w:p w14:paraId="129D433C" w14:textId="77777777" w:rsidR="00FE6944" w:rsidRPr="00FE6944" w:rsidRDefault="00F36958" w:rsidP="00FE6944">
      <w:pPr>
        <w:pStyle w:val="3-BodyText"/>
        <w:rPr>
          <w:rFonts w:eastAsiaTheme="majorEastAsia"/>
        </w:rPr>
      </w:pPr>
      <w:bookmarkStart w:id="9" w:name="_Ref150846587"/>
      <w:r w:rsidRPr="00D07E3A">
        <w:rPr>
          <w:rFonts w:eastAsiaTheme="majorEastAsia"/>
        </w:rPr>
        <w:t xml:space="preserve">The PBAC noted the financial estimates presented in </w:t>
      </w:r>
      <w:r w:rsidRPr="00D07E3A">
        <w:rPr>
          <w:rFonts w:eastAsiaTheme="majorEastAsia"/>
        </w:rPr>
        <w:fldChar w:fldCharType="begin"/>
      </w:r>
      <w:r w:rsidRPr="00D07E3A">
        <w:rPr>
          <w:rFonts w:eastAsiaTheme="majorEastAsia"/>
        </w:rPr>
        <w:instrText xml:space="preserve"> REF _Ref150243059 \h </w:instrText>
      </w:r>
      <w:r w:rsidRPr="00D07E3A">
        <w:rPr>
          <w:rFonts w:eastAsiaTheme="majorEastAsia"/>
        </w:rPr>
      </w:r>
      <w:r w:rsidRPr="00D07E3A">
        <w:rPr>
          <w:rFonts w:eastAsiaTheme="majorEastAsia"/>
        </w:rPr>
        <w:fldChar w:fldCharType="separate"/>
      </w:r>
      <w:r w:rsidR="00FE6944" w:rsidRPr="00D07E3A">
        <w:t xml:space="preserve">Table </w:t>
      </w:r>
      <w:r w:rsidR="00FE6944">
        <w:rPr>
          <w:noProof/>
        </w:rPr>
        <w:t>1</w:t>
      </w:r>
      <w:r w:rsidRPr="00D07E3A">
        <w:rPr>
          <w:rFonts w:eastAsiaTheme="majorEastAsia"/>
        </w:rPr>
        <w:fldChar w:fldCharType="end"/>
      </w:r>
      <w:r w:rsidRPr="00D07E3A">
        <w:rPr>
          <w:rFonts w:eastAsiaTheme="majorEastAsia"/>
        </w:rPr>
        <w:t xml:space="preserve"> include high and moderate risk non-Indigenous individuals over 65 years of age and Aboriginal and Torres Strait Islander individuals over 50 years of age who currently have access to RZV on the NIP</w:t>
      </w:r>
      <w:r w:rsidR="00D07E3A">
        <w:rPr>
          <w:rFonts w:eastAsiaTheme="majorEastAsia"/>
        </w:rPr>
        <w:t xml:space="preserve">. </w:t>
      </w:r>
      <w:r w:rsidR="00407B45" w:rsidRPr="00D07E3A">
        <w:rPr>
          <w:rFonts w:eastAsiaTheme="majorEastAsia"/>
        </w:rPr>
        <w:t xml:space="preserve">A summary of the number of vaccinated individuals in the current and new cohort is provided in </w:t>
      </w:r>
      <w:r w:rsidR="00407B45" w:rsidRPr="00D07E3A">
        <w:rPr>
          <w:rFonts w:eastAsiaTheme="majorEastAsia"/>
        </w:rPr>
        <w:fldChar w:fldCharType="begin"/>
      </w:r>
      <w:r w:rsidR="00407B45" w:rsidRPr="00D07E3A">
        <w:rPr>
          <w:rFonts w:eastAsiaTheme="majorEastAsia"/>
        </w:rPr>
        <w:instrText xml:space="preserve"> REF _Ref150845589 \h  \* MERGEFORMAT </w:instrText>
      </w:r>
      <w:r w:rsidR="00407B45" w:rsidRPr="00D07E3A">
        <w:rPr>
          <w:rFonts w:eastAsiaTheme="majorEastAsia"/>
        </w:rPr>
      </w:r>
      <w:r w:rsidR="00407B45" w:rsidRPr="00D07E3A">
        <w:rPr>
          <w:rFonts w:eastAsiaTheme="majorEastAsia"/>
        </w:rPr>
        <w:fldChar w:fldCharType="separate"/>
      </w:r>
      <w:r w:rsidR="00FE6944" w:rsidRPr="00FE6944">
        <w:rPr>
          <w:rFonts w:eastAsiaTheme="majorEastAsia"/>
        </w:rPr>
        <w:br w:type="page"/>
      </w:r>
    </w:p>
    <w:p w14:paraId="3654AE7D" w14:textId="62D28D33" w:rsidR="00DA0D39" w:rsidRPr="00D07E3A" w:rsidRDefault="00FE6944" w:rsidP="00F36958">
      <w:pPr>
        <w:pStyle w:val="3-BodyText"/>
        <w:rPr>
          <w:rFonts w:eastAsiaTheme="majorEastAsia"/>
        </w:rPr>
      </w:pPr>
      <w:r w:rsidRPr="00FE6944">
        <w:rPr>
          <w:rFonts w:eastAsiaTheme="majorEastAsia"/>
        </w:rPr>
        <w:t>Table</w:t>
      </w:r>
      <w:r w:rsidRPr="00D07E3A">
        <w:rPr>
          <w:rFonts w:ascii="Arial Narrow" w:eastAsiaTheme="minorHAnsi" w:hAnsi="Arial Narrow" w:cs="Times New Roman"/>
          <w:b/>
          <w:bCs/>
          <w:snapToGrid/>
          <w:sz w:val="20"/>
          <w:szCs w:val="20"/>
          <w:lang w:eastAsia="en-US"/>
        </w:rPr>
        <w:t xml:space="preserve"> </w:t>
      </w:r>
      <w:r>
        <w:rPr>
          <w:rFonts w:ascii="Arial Narrow" w:eastAsiaTheme="minorHAnsi" w:hAnsi="Arial Narrow" w:cs="Times New Roman"/>
          <w:b/>
          <w:bCs/>
          <w:noProof/>
          <w:snapToGrid/>
          <w:sz w:val="20"/>
          <w:szCs w:val="20"/>
          <w:lang w:eastAsia="en-US"/>
        </w:rPr>
        <w:t>3</w:t>
      </w:r>
      <w:r w:rsidR="00407B45" w:rsidRPr="00D07E3A">
        <w:rPr>
          <w:rFonts w:eastAsiaTheme="majorEastAsia"/>
        </w:rPr>
        <w:fldChar w:fldCharType="end"/>
      </w:r>
      <w:r w:rsidR="00407B45" w:rsidRPr="00D07E3A">
        <w:rPr>
          <w:rFonts w:eastAsiaTheme="majorEastAsia"/>
        </w:rPr>
        <w:t xml:space="preserve">. </w:t>
      </w:r>
      <w:r w:rsidR="00F36958" w:rsidRPr="00D07E3A">
        <w:rPr>
          <w:rFonts w:eastAsiaTheme="majorEastAsia"/>
        </w:rPr>
        <w:t>Additionally, t</w:t>
      </w:r>
      <w:r w:rsidR="00C95FD6" w:rsidRPr="00D07E3A">
        <w:rPr>
          <w:rFonts w:eastAsiaTheme="majorEastAsia"/>
        </w:rPr>
        <w:t>he PBAC noted</w:t>
      </w:r>
      <w:r w:rsidR="00F36958" w:rsidRPr="00D07E3A">
        <w:rPr>
          <w:rFonts w:eastAsiaTheme="majorEastAsia"/>
        </w:rPr>
        <w:t xml:space="preserve"> </w:t>
      </w:r>
      <w:r w:rsidR="00C95FD6" w:rsidRPr="00D07E3A">
        <w:rPr>
          <w:rFonts w:eastAsiaTheme="majorEastAsia"/>
        </w:rPr>
        <w:t xml:space="preserve">individuals over 65 years of age </w:t>
      </w:r>
      <w:r w:rsidR="00FB1B13" w:rsidRPr="00D07E3A">
        <w:rPr>
          <w:rFonts w:eastAsiaTheme="majorEastAsia"/>
        </w:rPr>
        <w:t xml:space="preserve">that met the high risk criteria were </w:t>
      </w:r>
      <w:r w:rsidR="00F36958" w:rsidRPr="00D07E3A">
        <w:rPr>
          <w:rFonts w:eastAsiaTheme="majorEastAsia"/>
        </w:rPr>
        <w:t xml:space="preserve">included in the financial estimates for the additional cohort at </w:t>
      </w:r>
      <w:r w:rsidR="00FB1B13" w:rsidRPr="00D07E3A">
        <w:rPr>
          <w:rFonts w:eastAsiaTheme="majorEastAsia"/>
        </w:rPr>
        <w:t>$</w:t>
      </w:r>
      <w:r w:rsidR="00447F02" w:rsidRPr="00FE6944">
        <w:rPr>
          <w:rFonts w:eastAsiaTheme="majorEastAsia"/>
          <w:color w:val="000000"/>
          <w:w w:val="15"/>
          <w:shd w:val="solid" w:color="000000" w:fill="000000"/>
          <w:fitText w:val="-20" w:id="-1032144124"/>
          <w14:textFill>
            <w14:solidFill>
              <w14:srgbClr w14:val="000000">
                <w14:alpha w14:val="100000"/>
              </w14:srgbClr>
            </w14:solidFill>
          </w14:textFill>
        </w:rPr>
        <w:t xml:space="preserve">|  </w:t>
      </w:r>
      <w:r w:rsidR="00447F02" w:rsidRPr="00FE6944">
        <w:rPr>
          <w:rFonts w:eastAsiaTheme="majorEastAsia"/>
          <w:color w:val="000000"/>
          <w:spacing w:val="-69"/>
          <w:w w:val="15"/>
          <w:shd w:val="solid" w:color="000000" w:fill="000000"/>
          <w:fitText w:val="-20" w:id="-1032144124"/>
          <w14:textFill>
            <w14:solidFill>
              <w14:srgbClr w14:val="000000">
                <w14:alpha w14:val="100000"/>
              </w14:srgbClr>
            </w14:solidFill>
          </w14:textFill>
        </w:rPr>
        <w:t>|</w:t>
      </w:r>
      <w:r w:rsidR="00FB1B13" w:rsidRPr="00D07E3A">
        <w:rPr>
          <w:rFonts w:eastAsiaTheme="majorEastAsia"/>
        </w:rPr>
        <w:t xml:space="preserve"> per dose</w:t>
      </w:r>
      <w:r w:rsidR="00037D2F" w:rsidRPr="00D07E3A">
        <w:rPr>
          <w:rFonts w:eastAsiaTheme="majorEastAsia"/>
        </w:rPr>
        <w:t xml:space="preserve">, </w:t>
      </w:r>
      <w:r w:rsidR="00F36958" w:rsidRPr="00D07E3A">
        <w:rPr>
          <w:rFonts w:eastAsiaTheme="majorEastAsia"/>
        </w:rPr>
        <w:t xml:space="preserve">and offset in the existing cohort at </w:t>
      </w:r>
      <w:r w:rsidR="00FB1B13" w:rsidRPr="00D07E3A">
        <w:rPr>
          <w:rFonts w:eastAsiaTheme="majorEastAsia"/>
        </w:rPr>
        <w:t>$</w:t>
      </w:r>
      <w:r w:rsidR="00447F02" w:rsidRPr="00FE6944">
        <w:rPr>
          <w:rFonts w:eastAsiaTheme="majorEastAsia"/>
          <w:color w:val="000000"/>
          <w:w w:val="15"/>
          <w:shd w:val="solid" w:color="000000" w:fill="000000"/>
          <w:fitText w:val="-20" w:id="-1032144123"/>
          <w14:textFill>
            <w14:solidFill>
              <w14:srgbClr w14:val="000000">
                <w14:alpha w14:val="100000"/>
              </w14:srgbClr>
            </w14:solidFill>
          </w14:textFill>
        </w:rPr>
        <w:t xml:space="preserve">|  </w:t>
      </w:r>
      <w:r w:rsidR="00447F02" w:rsidRPr="00FE6944">
        <w:rPr>
          <w:rFonts w:eastAsiaTheme="majorEastAsia"/>
          <w:color w:val="000000"/>
          <w:spacing w:val="-69"/>
          <w:w w:val="15"/>
          <w:shd w:val="solid" w:color="000000" w:fill="000000"/>
          <w:fitText w:val="-20" w:id="-1032144123"/>
          <w14:textFill>
            <w14:solidFill>
              <w14:srgbClr w14:val="000000">
                <w14:alpha w14:val="100000"/>
              </w14:srgbClr>
            </w14:solidFill>
          </w14:textFill>
        </w:rPr>
        <w:t>|</w:t>
      </w:r>
      <w:r w:rsidR="00447F02" w:rsidRPr="00447F02">
        <w:rPr>
          <w:rFonts w:eastAsiaTheme="majorEastAsia"/>
        </w:rPr>
        <w:t xml:space="preserve"> </w:t>
      </w:r>
      <w:r w:rsidR="00FB1B13" w:rsidRPr="00D07E3A">
        <w:rPr>
          <w:rFonts w:eastAsiaTheme="majorEastAsia"/>
        </w:rPr>
        <w:t>per dose</w:t>
      </w:r>
      <w:r w:rsidR="00C95FD6" w:rsidRPr="00D07E3A">
        <w:rPr>
          <w:rFonts w:eastAsiaTheme="majorEastAsia"/>
        </w:rPr>
        <w:t>.</w:t>
      </w:r>
      <w:r w:rsidR="00037D2F" w:rsidRPr="00D07E3A">
        <w:rPr>
          <w:rFonts w:eastAsiaTheme="majorEastAsia"/>
        </w:rPr>
        <w:t xml:space="preserve"> </w:t>
      </w:r>
      <w:r w:rsidR="00F36958" w:rsidRPr="00D07E3A">
        <w:rPr>
          <w:rFonts w:eastAsiaTheme="majorEastAsia"/>
        </w:rPr>
        <w:t xml:space="preserve">Therefore, the PBAC considered the stated incremental cost </w:t>
      </w:r>
      <w:r w:rsidR="00F36958" w:rsidRPr="005C46D9">
        <w:rPr>
          <w:rFonts w:eastAsiaTheme="majorEastAsia"/>
        </w:rPr>
        <w:t>of $</w:t>
      </w:r>
      <w:r w:rsidR="0034533F" w:rsidRPr="0034533F">
        <w:rPr>
          <w:rFonts w:eastAsiaTheme="majorEastAsia"/>
        </w:rPr>
        <w:t>60 million to &lt; $70 millio</w:t>
      </w:r>
      <w:r w:rsidR="005B0BF3">
        <w:rPr>
          <w:rFonts w:eastAsiaTheme="majorEastAsia"/>
        </w:rPr>
        <w:t xml:space="preserve">n </w:t>
      </w:r>
      <w:r w:rsidR="00F36958" w:rsidRPr="00D07E3A">
        <w:rPr>
          <w:rFonts w:eastAsiaTheme="majorEastAsia"/>
        </w:rPr>
        <w:t>was substantially overestimated</w:t>
      </w:r>
      <w:r w:rsidR="00037D2F" w:rsidRPr="00D07E3A">
        <w:rPr>
          <w:rFonts w:eastAsiaTheme="majorEastAsia"/>
        </w:rPr>
        <w:t>.</w:t>
      </w:r>
      <w:bookmarkEnd w:id="9"/>
      <w:r w:rsidR="00C95FD6" w:rsidRPr="00D07E3A">
        <w:rPr>
          <w:rFonts w:eastAsiaTheme="majorEastAsia"/>
        </w:rPr>
        <w:t xml:space="preserve"> </w:t>
      </w:r>
    </w:p>
    <w:p w14:paraId="18DBD704" w14:textId="77777777" w:rsidR="00655089" w:rsidRDefault="00655089">
      <w:pPr>
        <w:rPr>
          <w:rFonts w:ascii="Arial Narrow" w:hAnsi="Arial Narrow"/>
          <w:b/>
          <w:bCs/>
          <w:sz w:val="20"/>
          <w:szCs w:val="20"/>
        </w:rPr>
      </w:pPr>
      <w:bookmarkStart w:id="10" w:name="_Ref150845589"/>
      <w:r>
        <w:rPr>
          <w:rFonts w:ascii="Arial Narrow" w:hAnsi="Arial Narrow"/>
          <w:b/>
          <w:bCs/>
          <w:sz w:val="20"/>
          <w:szCs w:val="20"/>
        </w:rPr>
        <w:br w:type="page"/>
      </w:r>
    </w:p>
    <w:p w14:paraId="0029487D" w14:textId="2BC47D20" w:rsidR="00BE2D84" w:rsidRPr="00D07E3A" w:rsidRDefault="00BE2D84" w:rsidP="00321930">
      <w:pPr>
        <w:pStyle w:val="3-BodyText"/>
        <w:keepNext/>
        <w:keepLines/>
        <w:numPr>
          <w:ilvl w:val="0"/>
          <w:numId w:val="0"/>
        </w:numPr>
        <w:spacing w:after="0"/>
        <w:rPr>
          <w:rFonts w:ascii="Arial Narrow" w:eastAsiaTheme="minorHAnsi" w:hAnsi="Arial Narrow" w:cs="Times New Roman"/>
          <w:b/>
          <w:bCs/>
          <w:snapToGrid/>
          <w:sz w:val="20"/>
          <w:szCs w:val="20"/>
          <w:lang w:eastAsia="en-US"/>
        </w:rPr>
      </w:pPr>
      <w:r w:rsidRPr="00D07E3A">
        <w:rPr>
          <w:rFonts w:ascii="Arial Narrow" w:eastAsiaTheme="minorHAnsi" w:hAnsi="Arial Narrow" w:cs="Times New Roman"/>
          <w:b/>
          <w:bCs/>
          <w:snapToGrid/>
          <w:sz w:val="20"/>
          <w:szCs w:val="20"/>
          <w:lang w:eastAsia="en-US"/>
        </w:rPr>
        <w:t xml:space="preserve">Table </w:t>
      </w:r>
      <w:r w:rsidRPr="00D07E3A">
        <w:rPr>
          <w:rFonts w:ascii="Arial Narrow" w:eastAsiaTheme="minorHAnsi" w:hAnsi="Arial Narrow" w:cs="Times New Roman"/>
          <w:b/>
          <w:bCs/>
          <w:snapToGrid/>
          <w:sz w:val="20"/>
          <w:szCs w:val="20"/>
          <w:lang w:eastAsia="en-US"/>
        </w:rPr>
        <w:fldChar w:fldCharType="begin"/>
      </w:r>
      <w:r w:rsidRPr="00D07E3A">
        <w:rPr>
          <w:rFonts w:ascii="Arial Narrow" w:eastAsiaTheme="minorHAnsi" w:hAnsi="Arial Narrow" w:cs="Times New Roman"/>
          <w:b/>
          <w:bCs/>
          <w:snapToGrid/>
          <w:sz w:val="20"/>
          <w:szCs w:val="20"/>
          <w:lang w:eastAsia="en-US"/>
        </w:rPr>
        <w:instrText xml:space="preserve"> SEQ Table \* ARABIC </w:instrText>
      </w:r>
      <w:r w:rsidRPr="00D07E3A">
        <w:rPr>
          <w:rFonts w:ascii="Arial Narrow" w:eastAsiaTheme="minorHAnsi" w:hAnsi="Arial Narrow" w:cs="Times New Roman"/>
          <w:b/>
          <w:bCs/>
          <w:snapToGrid/>
          <w:sz w:val="20"/>
          <w:szCs w:val="20"/>
          <w:lang w:eastAsia="en-US"/>
        </w:rPr>
        <w:fldChar w:fldCharType="separate"/>
      </w:r>
      <w:r w:rsidR="00FE6944">
        <w:rPr>
          <w:rFonts w:ascii="Arial Narrow" w:eastAsiaTheme="minorHAnsi" w:hAnsi="Arial Narrow" w:cs="Times New Roman"/>
          <w:b/>
          <w:bCs/>
          <w:noProof/>
          <w:snapToGrid/>
          <w:sz w:val="20"/>
          <w:szCs w:val="20"/>
          <w:lang w:eastAsia="en-US"/>
        </w:rPr>
        <w:t>3</w:t>
      </w:r>
      <w:r w:rsidRPr="00D07E3A">
        <w:rPr>
          <w:rFonts w:ascii="Arial Narrow" w:eastAsiaTheme="minorHAnsi" w:hAnsi="Arial Narrow" w:cs="Times New Roman"/>
          <w:b/>
          <w:bCs/>
          <w:snapToGrid/>
          <w:sz w:val="20"/>
          <w:szCs w:val="20"/>
          <w:lang w:eastAsia="en-US"/>
        </w:rPr>
        <w:fldChar w:fldCharType="end"/>
      </w:r>
      <w:bookmarkEnd w:id="10"/>
      <w:r w:rsidRPr="00D07E3A">
        <w:rPr>
          <w:rFonts w:ascii="Arial Narrow" w:eastAsiaTheme="minorHAnsi" w:hAnsi="Arial Narrow" w:cs="Times New Roman"/>
          <w:b/>
          <w:bCs/>
          <w:snapToGrid/>
          <w:sz w:val="20"/>
          <w:szCs w:val="20"/>
          <w:lang w:eastAsia="en-US"/>
        </w:rPr>
        <w:t>:</w:t>
      </w:r>
      <w:r w:rsidR="00407B45" w:rsidRPr="00D07E3A">
        <w:rPr>
          <w:rFonts w:ascii="Arial Narrow" w:eastAsiaTheme="minorHAnsi" w:hAnsi="Arial Narrow" w:cs="Times New Roman"/>
          <w:b/>
          <w:bCs/>
          <w:snapToGrid/>
          <w:sz w:val="20"/>
          <w:szCs w:val="20"/>
          <w:lang w:eastAsia="en-US"/>
        </w:rPr>
        <w:t xml:space="preserve"> Summary of number of vaccinated individuals, current and new cohort</w:t>
      </w:r>
    </w:p>
    <w:tbl>
      <w:tblPr>
        <w:tblStyle w:val="TableGrid"/>
        <w:tblW w:w="5000" w:type="pct"/>
        <w:tblLook w:val="04A0" w:firstRow="1" w:lastRow="0" w:firstColumn="1" w:lastColumn="0" w:noHBand="0" w:noVBand="1"/>
        <w:tblCaption w:val="Table 3: Summary of number of vaccinated individuals, current and new cohort"/>
      </w:tblPr>
      <w:tblGrid>
        <w:gridCol w:w="4191"/>
        <w:gridCol w:w="1608"/>
        <w:gridCol w:w="1610"/>
        <w:gridCol w:w="1607"/>
      </w:tblGrid>
      <w:tr w:rsidR="00797660" w:rsidRPr="00D07E3A" w14:paraId="4DF7DDBD" w14:textId="562A4C51" w:rsidTr="00797660">
        <w:tc>
          <w:tcPr>
            <w:tcW w:w="2324" w:type="pct"/>
          </w:tcPr>
          <w:p w14:paraId="028AB3CA" w14:textId="258469B5" w:rsidR="00797660" w:rsidRPr="00D07E3A" w:rsidRDefault="00797660" w:rsidP="00BE2D84">
            <w:pPr>
              <w:pStyle w:val="3-BodyText"/>
              <w:numPr>
                <w:ilvl w:val="0"/>
                <w:numId w:val="0"/>
              </w:numPr>
              <w:spacing w:after="0"/>
              <w:rPr>
                <w:rFonts w:ascii="Arial Narrow" w:eastAsiaTheme="majorEastAsia" w:hAnsi="Arial Narrow"/>
                <w:b/>
                <w:bCs/>
                <w:sz w:val="20"/>
                <w:szCs w:val="20"/>
              </w:rPr>
            </w:pPr>
            <w:r w:rsidRPr="00D07E3A">
              <w:rPr>
                <w:rFonts w:ascii="Arial Narrow" w:eastAsiaTheme="majorEastAsia" w:hAnsi="Arial Narrow"/>
                <w:b/>
                <w:bCs/>
                <w:sz w:val="20"/>
                <w:szCs w:val="20"/>
              </w:rPr>
              <w:t>Number of vaccinated individuals</w:t>
            </w:r>
            <w:r w:rsidR="00F36958" w:rsidRPr="00D07E3A">
              <w:rPr>
                <w:rFonts w:ascii="Arial Narrow" w:eastAsiaTheme="majorEastAsia" w:hAnsi="Arial Narrow"/>
                <w:b/>
                <w:bCs/>
                <w:sz w:val="20"/>
                <w:szCs w:val="20"/>
              </w:rPr>
              <w:t xml:space="preserve"> on the NIP</w:t>
            </w:r>
          </w:p>
        </w:tc>
        <w:tc>
          <w:tcPr>
            <w:tcW w:w="892" w:type="pct"/>
          </w:tcPr>
          <w:p w14:paraId="1E2003C2" w14:textId="62ED3DAA" w:rsidR="00797660" w:rsidRPr="00D07E3A" w:rsidRDefault="00797660" w:rsidP="00F856B4">
            <w:pPr>
              <w:pStyle w:val="3-BodyText"/>
              <w:numPr>
                <w:ilvl w:val="0"/>
                <w:numId w:val="0"/>
              </w:numPr>
              <w:spacing w:after="0"/>
              <w:jc w:val="center"/>
              <w:rPr>
                <w:rFonts w:ascii="Arial Narrow" w:eastAsiaTheme="majorEastAsia" w:hAnsi="Arial Narrow"/>
                <w:b/>
                <w:bCs/>
                <w:sz w:val="20"/>
                <w:szCs w:val="20"/>
              </w:rPr>
            </w:pPr>
            <w:r w:rsidRPr="00D07E3A">
              <w:rPr>
                <w:rFonts w:ascii="Arial Narrow" w:eastAsiaTheme="majorEastAsia" w:hAnsi="Arial Narrow"/>
                <w:b/>
                <w:bCs/>
                <w:sz w:val="20"/>
                <w:szCs w:val="20"/>
              </w:rPr>
              <w:t>Current cohort</w:t>
            </w:r>
          </w:p>
        </w:tc>
        <w:tc>
          <w:tcPr>
            <w:tcW w:w="893" w:type="pct"/>
          </w:tcPr>
          <w:p w14:paraId="4D3CE5DF" w14:textId="547E3CAE" w:rsidR="00797660" w:rsidRPr="00D07E3A" w:rsidRDefault="00797660" w:rsidP="00F856B4">
            <w:pPr>
              <w:pStyle w:val="3-BodyText"/>
              <w:numPr>
                <w:ilvl w:val="0"/>
                <w:numId w:val="0"/>
              </w:numPr>
              <w:spacing w:after="0"/>
              <w:jc w:val="center"/>
              <w:rPr>
                <w:rFonts w:ascii="Arial Narrow" w:eastAsiaTheme="majorEastAsia" w:hAnsi="Arial Narrow"/>
                <w:b/>
                <w:bCs/>
                <w:sz w:val="20"/>
                <w:szCs w:val="20"/>
              </w:rPr>
            </w:pPr>
            <w:r w:rsidRPr="00D07E3A">
              <w:rPr>
                <w:rFonts w:ascii="Arial Narrow" w:eastAsiaTheme="majorEastAsia" w:hAnsi="Arial Narrow"/>
                <w:b/>
                <w:bCs/>
                <w:sz w:val="20"/>
                <w:szCs w:val="20"/>
              </w:rPr>
              <w:t>Including new cohort</w:t>
            </w:r>
          </w:p>
        </w:tc>
        <w:tc>
          <w:tcPr>
            <w:tcW w:w="891" w:type="pct"/>
          </w:tcPr>
          <w:p w14:paraId="2FBE95D2" w14:textId="44EA94ED" w:rsidR="00797660" w:rsidRPr="00D07E3A" w:rsidRDefault="00797660" w:rsidP="00F856B4">
            <w:pPr>
              <w:pStyle w:val="3-BodyText"/>
              <w:numPr>
                <w:ilvl w:val="0"/>
                <w:numId w:val="0"/>
              </w:numPr>
              <w:spacing w:after="0"/>
              <w:jc w:val="center"/>
              <w:rPr>
                <w:rFonts w:ascii="Arial Narrow" w:eastAsiaTheme="majorEastAsia" w:hAnsi="Arial Narrow"/>
                <w:b/>
                <w:bCs/>
                <w:sz w:val="20"/>
                <w:szCs w:val="20"/>
              </w:rPr>
            </w:pPr>
            <w:r w:rsidRPr="00D07E3A">
              <w:rPr>
                <w:rFonts w:ascii="Arial Narrow" w:eastAsiaTheme="majorEastAsia" w:hAnsi="Arial Narrow"/>
                <w:b/>
                <w:bCs/>
                <w:sz w:val="20"/>
                <w:szCs w:val="20"/>
              </w:rPr>
              <w:t>Difference</w:t>
            </w:r>
          </w:p>
        </w:tc>
      </w:tr>
      <w:tr w:rsidR="00797660" w:rsidRPr="00D07E3A" w14:paraId="7745F297" w14:textId="3D865D53" w:rsidTr="00797660">
        <w:tc>
          <w:tcPr>
            <w:tcW w:w="4109" w:type="pct"/>
            <w:gridSpan w:val="3"/>
          </w:tcPr>
          <w:p w14:paraId="55D4F3E8" w14:textId="660D9094" w:rsidR="00797660" w:rsidRPr="00D07E3A" w:rsidRDefault="00797660" w:rsidP="00F856B4">
            <w:pPr>
              <w:pStyle w:val="3-BodyText"/>
              <w:numPr>
                <w:ilvl w:val="0"/>
                <w:numId w:val="0"/>
              </w:numPr>
              <w:spacing w:after="0"/>
              <w:jc w:val="left"/>
              <w:rPr>
                <w:rFonts w:ascii="Arial Narrow" w:eastAsiaTheme="majorEastAsia" w:hAnsi="Arial Narrow"/>
                <w:sz w:val="20"/>
                <w:szCs w:val="20"/>
              </w:rPr>
            </w:pPr>
            <w:r w:rsidRPr="00D07E3A">
              <w:rPr>
                <w:rFonts w:ascii="Arial Narrow" w:eastAsiaTheme="majorEastAsia" w:hAnsi="Arial Narrow"/>
                <w:b/>
                <w:bCs/>
                <w:sz w:val="20"/>
                <w:szCs w:val="20"/>
              </w:rPr>
              <w:t>Additional cohorts</w:t>
            </w:r>
          </w:p>
        </w:tc>
        <w:tc>
          <w:tcPr>
            <w:tcW w:w="891" w:type="pct"/>
          </w:tcPr>
          <w:p w14:paraId="66B7104B" w14:textId="77777777" w:rsidR="00797660" w:rsidRPr="00D07E3A" w:rsidRDefault="00797660" w:rsidP="00F856B4">
            <w:pPr>
              <w:pStyle w:val="3-BodyText"/>
              <w:numPr>
                <w:ilvl w:val="0"/>
                <w:numId w:val="0"/>
              </w:numPr>
              <w:spacing w:after="0"/>
              <w:jc w:val="left"/>
              <w:rPr>
                <w:rFonts w:ascii="Arial Narrow" w:eastAsiaTheme="majorEastAsia" w:hAnsi="Arial Narrow"/>
                <w:b/>
                <w:bCs/>
                <w:sz w:val="20"/>
                <w:szCs w:val="20"/>
              </w:rPr>
            </w:pPr>
          </w:p>
        </w:tc>
      </w:tr>
      <w:tr w:rsidR="00797660" w:rsidRPr="00D07E3A" w14:paraId="3DE0EFB9" w14:textId="17F8F09B" w:rsidTr="00797660">
        <w:tc>
          <w:tcPr>
            <w:tcW w:w="2324" w:type="pct"/>
          </w:tcPr>
          <w:p w14:paraId="38C01C3E" w14:textId="76531B03" w:rsidR="00797660" w:rsidRPr="00D07E3A" w:rsidRDefault="00797660" w:rsidP="00797660">
            <w:pPr>
              <w:pStyle w:val="3-BodyText"/>
              <w:numPr>
                <w:ilvl w:val="0"/>
                <w:numId w:val="28"/>
              </w:numPr>
              <w:spacing w:after="0"/>
              <w:ind w:left="175" w:hanging="175"/>
              <w:rPr>
                <w:rFonts w:ascii="Arial Narrow" w:eastAsiaTheme="majorEastAsia" w:hAnsi="Arial Narrow"/>
                <w:sz w:val="20"/>
                <w:szCs w:val="20"/>
              </w:rPr>
            </w:pPr>
            <w:r w:rsidRPr="00D07E3A">
              <w:rPr>
                <w:rFonts w:ascii="Arial Narrow" w:eastAsiaTheme="majorEastAsia" w:hAnsi="Arial Narrow"/>
                <w:sz w:val="20"/>
                <w:szCs w:val="20"/>
              </w:rPr>
              <w:t>High risk individuals ≥ 18 years of age</w:t>
            </w:r>
          </w:p>
        </w:tc>
        <w:tc>
          <w:tcPr>
            <w:tcW w:w="892" w:type="pct"/>
          </w:tcPr>
          <w:p w14:paraId="3D084858" w14:textId="4E40F9C9" w:rsidR="00797660" w:rsidRPr="00D07E3A" w:rsidRDefault="00797660" w:rsidP="00F856B4">
            <w:pPr>
              <w:pStyle w:val="3-BodyText"/>
              <w:numPr>
                <w:ilvl w:val="0"/>
                <w:numId w:val="0"/>
              </w:numPr>
              <w:spacing w:after="0"/>
              <w:jc w:val="center"/>
              <w:rPr>
                <w:rFonts w:ascii="Arial Narrow" w:eastAsiaTheme="majorEastAsia" w:hAnsi="Arial Narrow"/>
                <w:sz w:val="20"/>
                <w:szCs w:val="20"/>
              </w:rPr>
            </w:pPr>
            <w:r w:rsidRPr="00D07E3A">
              <w:rPr>
                <w:rFonts w:ascii="Arial Narrow" w:eastAsiaTheme="majorEastAsia" w:hAnsi="Arial Narrow"/>
                <w:sz w:val="20"/>
                <w:szCs w:val="20"/>
              </w:rPr>
              <w:t>-</w:t>
            </w:r>
          </w:p>
        </w:tc>
        <w:tc>
          <w:tcPr>
            <w:tcW w:w="893" w:type="pct"/>
          </w:tcPr>
          <w:p w14:paraId="01CC3F4D" w14:textId="3F308A44" w:rsidR="00797660" w:rsidRPr="00057CBC" w:rsidRDefault="00447F02" w:rsidP="00F856B4">
            <w:pPr>
              <w:pStyle w:val="3-BodyText"/>
              <w:numPr>
                <w:ilvl w:val="0"/>
                <w:numId w:val="0"/>
              </w:numPr>
              <w:spacing w:after="0"/>
              <w:jc w:val="center"/>
              <w:rPr>
                <w:rFonts w:ascii="Arial Narrow" w:eastAsiaTheme="majorEastAsia" w:hAnsi="Arial Narrow"/>
                <w:sz w:val="20"/>
                <w:szCs w:val="20"/>
                <w:highlight w:val="darkGray"/>
              </w:rPr>
            </w:pPr>
            <w:r w:rsidRPr="00447F02">
              <w:rPr>
                <w:rFonts w:ascii="Arial Narrow" w:eastAsiaTheme="majorEastAsia" w:hAnsi="Arial Narrow"/>
                <w:color w:val="000000"/>
                <w:sz w:val="20"/>
                <w:szCs w:val="20"/>
                <w:shd w:val="solid" w:color="000000" w:fill="000000"/>
                <w14:textFill>
                  <w14:solidFill>
                    <w14:srgbClr w14:val="000000">
                      <w14:alpha w14:val="100000"/>
                    </w14:srgbClr>
                  </w14:solidFill>
                </w14:textFill>
              </w:rPr>
              <w:t>|</w:t>
            </w:r>
            <w:r w:rsidRPr="00447F02">
              <w:rPr>
                <w:rFonts w:ascii="Arial Narrow" w:eastAsiaTheme="majorEastAsia" w:hAnsi="Arial Narrow"/>
                <w:sz w:val="20"/>
                <w:szCs w:val="20"/>
              </w:rPr>
              <w:t xml:space="preserve"> </w:t>
            </w:r>
            <w:r w:rsidR="005C46D9">
              <w:rPr>
                <w:rFonts w:ascii="Arial Narrow" w:hAnsi="Arial Narrow"/>
                <w:sz w:val="18"/>
                <w:szCs w:val="18"/>
                <w:vertAlign w:val="superscript"/>
                <w:lang w:bidi="en-US"/>
              </w:rPr>
              <w:t>1</w:t>
            </w:r>
          </w:p>
        </w:tc>
        <w:tc>
          <w:tcPr>
            <w:tcW w:w="891" w:type="pct"/>
          </w:tcPr>
          <w:p w14:paraId="4433183D" w14:textId="4CC7A8A0" w:rsidR="00797660" w:rsidRPr="00D07E3A" w:rsidRDefault="00797660" w:rsidP="00F856B4">
            <w:pPr>
              <w:pStyle w:val="3-BodyText"/>
              <w:numPr>
                <w:ilvl w:val="0"/>
                <w:numId w:val="0"/>
              </w:numPr>
              <w:spacing w:after="0"/>
              <w:jc w:val="center"/>
              <w:rPr>
                <w:rFonts w:ascii="Arial Narrow" w:eastAsiaTheme="majorEastAsia" w:hAnsi="Arial Narrow"/>
                <w:sz w:val="20"/>
                <w:szCs w:val="20"/>
              </w:rPr>
            </w:pPr>
            <w:r w:rsidRPr="00D07E3A">
              <w:rPr>
                <w:rFonts w:ascii="Arial Narrow" w:eastAsiaTheme="majorEastAsia" w:hAnsi="Arial Narrow"/>
                <w:sz w:val="20"/>
                <w:szCs w:val="20"/>
              </w:rPr>
              <w:t>+</w:t>
            </w:r>
            <w:r w:rsidR="00447F02" w:rsidRPr="00447F02">
              <w:rPr>
                <w:rFonts w:ascii="Arial Narrow" w:eastAsiaTheme="majorEastAsia" w:hAnsi="Arial Narrow"/>
                <w:color w:val="000000"/>
                <w:sz w:val="20"/>
                <w:szCs w:val="20"/>
                <w:shd w:val="solid" w:color="000000" w:fill="000000"/>
                <w14:textFill>
                  <w14:solidFill>
                    <w14:srgbClr w14:val="000000">
                      <w14:alpha w14:val="100000"/>
                    </w14:srgbClr>
                  </w14:solidFill>
                </w14:textFill>
              </w:rPr>
              <w:t>|</w:t>
            </w:r>
            <w:r w:rsidR="00447F02" w:rsidRPr="00447F02">
              <w:rPr>
                <w:rFonts w:ascii="Arial Narrow" w:eastAsiaTheme="majorEastAsia" w:hAnsi="Arial Narrow"/>
                <w:sz w:val="20"/>
                <w:szCs w:val="20"/>
              </w:rPr>
              <w:t xml:space="preserve"> </w:t>
            </w:r>
            <w:r w:rsidR="005C46D9">
              <w:rPr>
                <w:rFonts w:ascii="Arial Narrow" w:hAnsi="Arial Narrow"/>
                <w:sz w:val="18"/>
                <w:szCs w:val="18"/>
                <w:vertAlign w:val="superscript"/>
                <w:lang w:bidi="en-US"/>
              </w:rPr>
              <w:t>1</w:t>
            </w:r>
          </w:p>
        </w:tc>
      </w:tr>
      <w:tr w:rsidR="00797660" w:rsidRPr="00D07E3A" w14:paraId="3894FE2F" w14:textId="7735C342" w:rsidTr="00797660">
        <w:tc>
          <w:tcPr>
            <w:tcW w:w="2324" w:type="pct"/>
          </w:tcPr>
          <w:p w14:paraId="615BF65A" w14:textId="669DAE0B" w:rsidR="00797660" w:rsidRPr="00D07E3A" w:rsidRDefault="00797660" w:rsidP="00797660">
            <w:pPr>
              <w:pStyle w:val="3-BodyText"/>
              <w:numPr>
                <w:ilvl w:val="0"/>
                <w:numId w:val="28"/>
              </w:numPr>
              <w:spacing w:after="0"/>
              <w:ind w:left="175" w:hanging="175"/>
              <w:rPr>
                <w:rFonts w:ascii="Arial Narrow" w:eastAsiaTheme="majorEastAsia" w:hAnsi="Arial Narrow"/>
                <w:sz w:val="20"/>
                <w:szCs w:val="20"/>
              </w:rPr>
            </w:pPr>
            <w:r w:rsidRPr="00D07E3A">
              <w:rPr>
                <w:rFonts w:ascii="Arial Narrow" w:eastAsiaTheme="majorEastAsia" w:hAnsi="Arial Narrow"/>
                <w:sz w:val="20"/>
                <w:szCs w:val="20"/>
              </w:rPr>
              <w:t>Moderate risk individuals ≥ 18 years of age</w:t>
            </w:r>
          </w:p>
        </w:tc>
        <w:tc>
          <w:tcPr>
            <w:tcW w:w="892" w:type="pct"/>
          </w:tcPr>
          <w:p w14:paraId="2006C7B8" w14:textId="06D41ACD" w:rsidR="00797660" w:rsidRPr="00D07E3A" w:rsidRDefault="00797660" w:rsidP="00F856B4">
            <w:pPr>
              <w:pStyle w:val="3-BodyText"/>
              <w:numPr>
                <w:ilvl w:val="0"/>
                <w:numId w:val="0"/>
              </w:numPr>
              <w:spacing w:after="0"/>
              <w:jc w:val="center"/>
              <w:rPr>
                <w:rFonts w:ascii="Arial Narrow" w:eastAsiaTheme="majorEastAsia" w:hAnsi="Arial Narrow"/>
                <w:sz w:val="20"/>
                <w:szCs w:val="20"/>
              </w:rPr>
            </w:pPr>
            <w:r w:rsidRPr="00D07E3A">
              <w:rPr>
                <w:rFonts w:ascii="Arial Narrow" w:eastAsiaTheme="majorEastAsia" w:hAnsi="Arial Narrow"/>
                <w:sz w:val="20"/>
                <w:szCs w:val="20"/>
              </w:rPr>
              <w:t>-</w:t>
            </w:r>
          </w:p>
        </w:tc>
        <w:tc>
          <w:tcPr>
            <w:tcW w:w="893" w:type="pct"/>
          </w:tcPr>
          <w:p w14:paraId="3F289C56" w14:textId="22F4A129" w:rsidR="00797660" w:rsidRPr="00057CBC" w:rsidRDefault="00447F02" w:rsidP="00F856B4">
            <w:pPr>
              <w:pStyle w:val="3-BodyText"/>
              <w:numPr>
                <w:ilvl w:val="0"/>
                <w:numId w:val="0"/>
              </w:numPr>
              <w:spacing w:after="0"/>
              <w:jc w:val="center"/>
              <w:rPr>
                <w:rFonts w:ascii="Arial Narrow" w:eastAsiaTheme="majorEastAsia" w:hAnsi="Arial Narrow"/>
                <w:sz w:val="20"/>
                <w:szCs w:val="20"/>
                <w:highlight w:val="darkGray"/>
              </w:rPr>
            </w:pPr>
            <w:r w:rsidRPr="00447F02">
              <w:rPr>
                <w:rFonts w:ascii="Arial Narrow" w:eastAsiaTheme="majorEastAsia" w:hAnsi="Arial Narrow"/>
                <w:color w:val="000000"/>
                <w:sz w:val="20"/>
                <w:szCs w:val="20"/>
                <w:shd w:val="solid" w:color="000000" w:fill="000000"/>
                <w14:textFill>
                  <w14:solidFill>
                    <w14:srgbClr w14:val="000000">
                      <w14:alpha w14:val="100000"/>
                    </w14:srgbClr>
                  </w14:solidFill>
                </w14:textFill>
              </w:rPr>
              <w:t>|</w:t>
            </w:r>
            <w:r w:rsidRPr="00447F02">
              <w:rPr>
                <w:rFonts w:ascii="Arial Narrow" w:eastAsiaTheme="majorEastAsia" w:hAnsi="Arial Narrow"/>
                <w:sz w:val="20"/>
                <w:szCs w:val="20"/>
              </w:rPr>
              <w:t xml:space="preserve"> </w:t>
            </w:r>
            <w:r w:rsidR="005C46D9">
              <w:rPr>
                <w:rFonts w:ascii="Arial Narrow" w:hAnsi="Arial Narrow"/>
                <w:sz w:val="18"/>
                <w:szCs w:val="18"/>
                <w:vertAlign w:val="superscript"/>
                <w:lang w:bidi="en-US"/>
              </w:rPr>
              <w:t>2</w:t>
            </w:r>
          </w:p>
        </w:tc>
        <w:tc>
          <w:tcPr>
            <w:tcW w:w="891" w:type="pct"/>
          </w:tcPr>
          <w:p w14:paraId="6490B8C7" w14:textId="33D0DB5B" w:rsidR="00797660" w:rsidRPr="00D07E3A" w:rsidRDefault="00797660" w:rsidP="00F856B4">
            <w:pPr>
              <w:pStyle w:val="3-BodyText"/>
              <w:numPr>
                <w:ilvl w:val="0"/>
                <w:numId w:val="0"/>
              </w:numPr>
              <w:spacing w:after="0"/>
              <w:jc w:val="center"/>
              <w:rPr>
                <w:rFonts w:ascii="Arial Narrow" w:eastAsiaTheme="majorEastAsia" w:hAnsi="Arial Narrow"/>
                <w:sz w:val="20"/>
                <w:szCs w:val="20"/>
              </w:rPr>
            </w:pPr>
            <w:r w:rsidRPr="00D07E3A">
              <w:rPr>
                <w:rFonts w:ascii="Arial Narrow" w:eastAsiaTheme="majorEastAsia" w:hAnsi="Arial Narrow"/>
                <w:sz w:val="20"/>
                <w:szCs w:val="20"/>
              </w:rPr>
              <w:t>+</w:t>
            </w:r>
            <w:r w:rsidR="00447F02" w:rsidRPr="00447F02">
              <w:rPr>
                <w:rFonts w:ascii="Arial Narrow" w:eastAsiaTheme="majorEastAsia" w:hAnsi="Arial Narrow"/>
                <w:color w:val="000000"/>
                <w:sz w:val="20"/>
                <w:szCs w:val="20"/>
                <w:shd w:val="solid" w:color="000000" w:fill="000000"/>
                <w14:textFill>
                  <w14:solidFill>
                    <w14:srgbClr w14:val="000000">
                      <w14:alpha w14:val="100000"/>
                    </w14:srgbClr>
                  </w14:solidFill>
                </w14:textFill>
              </w:rPr>
              <w:t>|</w:t>
            </w:r>
            <w:r w:rsidR="00447F02" w:rsidRPr="00447F02">
              <w:rPr>
                <w:rFonts w:ascii="Arial Narrow" w:eastAsiaTheme="majorEastAsia" w:hAnsi="Arial Narrow"/>
                <w:sz w:val="20"/>
                <w:szCs w:val="20"/>
              </w:rPr>
              <w:t xml:space="preserve"> </w:t>
            </w:r>
            <w:r w:rsidR="005C46D9">
              <w:rPr>
                <w:rFonts w:ascii="Arial Narrow" w:hAnsi="Arial Narrow"/>
                <w:sz w:val="18"/>
                <w:szCs w:val="18"/>
                <w:vertAlign w:val="superscript"/>
                <w:lang w:bidi="en-US"/>
              </w:rPr>
              <w:t>2</w:t>
            </w:r>
          </w:p>
        </w:tc>
      </w:tr>
      <w:tr w:rsidR="00797660" w:rsidRPr="00D07E3A" w14:paraId="52EA4CD7" w14:textId="1F0DA999" w:rsidTr="00797660">
        <w:tc>
          <w:tcPr>
            <w:tcW w:w="4109" w:type="pct"/>
            <w:gridSpan w:val="3"/>
          </w:tcPr>
          <w:p w14:paraId="16F0C2DF" w14:textId="009EB2E6" w:rsidR="00797660" w:rsidRPr="00D07E3A" w:rsidRDefault="00797660" w:rsidP="00F856B4">
            <w:pPr>
              <w:pStyle w:val="3-BodyText"/>
              <w:numPr>
                <w:ilvl w:val="0"/>
                <w:numId w:val="0"/>
              </w:numPr>
              <w:spacing w:after="0"/>
              <w:jc w:val="left"/>
              <w:rPr>
                <w:rFonts w:ascii="Arial Narrow" w:eastAsiaTheme="majorEastAsia" w:hAnsi="Arial Narrow"/>
                <w:sz w:val="20"/>
                <w:szCs w:val="20"/>
              </w:rPr>
            </w:pPr>
            <w:r w:rsidRPr="00D07E3A">
              <w:rPr>
                <w:rFonts w:ascii="Arial Narrow" w:eastAsiaTheme="majorEastAsia" w:hAnsi="Arial Narrow"/>
                <w:b/>
                <w:bCs/>
                <w:sz w:val="20"/>
                <w:szCs w:val="20"/>
              </w:rPr>
              <w:t>Existing cohorts</w:t>
            </w:r>
          </w:p>
        </w:tc>
        <w:tc>
          <w:tcPr>
            <w:tcW w:w="891" w:type="pct"/>
          </w:tcPr>
          <w:p w14:paraId="6A301D5C" w14:textId="77777777" w:rsidR="00797660" w:rsidRPr="00D07E3A" w:rsidRDefault="00797660" w:rsidP="00F856B4">
            <w:pPr>
              <w:pStyle w:val="3-BodyText"/>
              <w:numPr>
                <w:ilvl w:val="0"/>
                <w:numId w:val="0"/>
              </w:numPr>
              <w:spacing w:after="0"/>
              <w:jc w:val="left"/>
              <w:rPr>
                <w:rFonts w:ascii="Arial Narrow" w:eastAsiaTheme="majorEastAsia" w:hAnsi="Arial Narrow"/>
                <w:b/>
                <w:bCs/>
                <w:sz w:val="20"/>
                <w:szCs w:val="20"/>
              </w:rPr>
            </w:pPr>
          </w:p>
        </w:tc>
      </w:tr>
      <w:tr w:rsidR="00797660" w:rsidRPr="00D07E3A" w14:paraId="7D7134E5" w14:textId="52E336E6" w:rsidTr="00797660">
        <w:tc>
          <w:tcPr>
            <w:tcW w:w="2324" w:type="pct"/>
          </w:tcPr>
          <w:p w14:paraId="6793319A" w14:textId="6B916C01" w:rsidR="00797660" w:rsidRPr="00D07E3A" w:rsidRDefault="00797660" w:rsidP="00797660">
            <w:pPr>
              <w:pStyle w:val="3-BodyText"/>
              <w:numPr>
                <w:ilvl w:val="0"/>
                <w:numId w:val="28"/>
              </w:numPr>
              <w:spacing w:after="0"/>
              <w:ind w:left="175" w:hanging="175"/>
              <w:rPr>
                <w:rFonts w:ascii="Arial Narrow" w:eastAsiaTheme="majorEastAsia" w:hAnsi="Arial Narrow"/>
                <w:sz w:val="20"/>
                <w:szCs w:val="20"/>
              </w:rPr>
            </w:pPr>
            <w:r w:rsidRPr="00D07E3A">
              <w:rPr>
                <w:rFonts w:ascii="Arial Narrow" w:eastAsiaTheme="majorEastAsia" w:hAnsi="Arial Narrow"/>
                <w:sz w:val="20"/>
                <w:szCs w:val="20"/>
              </w:rPr>
              <w:t>Non-Indigenous individuals ≥ 65 years of age</w:t>
            </w:r>
          </w:p>
        </w:tc>
        <w:tc>
          <w:tcPr>
            <w:tcW w:w="892" w:type="pct"/>
          </w:tcPr>
          <w:p w14:paraId="14E2C4E7" w14:textId="12470BE2" w:rsidR="00797660" w:rsidRPr="00057CBC" w:rsidRDefault="00447F02" w:rsidP="00F856B4">
            <w:pPr>
              <w:pStyle w:val="3-BodyText"/>
              <w:numPr>
                <w:ilvl w:val="0"/>
                <w:numId w:val="0"/>
              </w:numPr>
              <w:spacing w:after="0"/>
              <w:jc w:val="center"/>
              <w:rPr>
                <w:rFonts w:ascii="Arial Narrow" w:eastAsiaTheme="majorEastAsia" w:hAnsi="Arial Narrow"/>
                <w:sz w:val="20"/>
                <w:szCs w:val="20"/>
                <w:highlight w:val="darkGray"/>
              </w:rPr>
            </w:pPr>
            <w:r w:rsidRPr="00447F02">
              <w:rPr>
                <w:rFonts w:ascii="Arial Narrow" w:eastAsiaTheme="majorEastAsia" w:hAnsi="Arial Narrow"/>
                <w:color w:val="000000"/>
                <w:sz w:val="20"/>
                <w:szCs w:val="20"/>
                <w:shd w:val="solid" w:color="000000" w:fill="000000"/>
                <w14:textFill>
                  <w14:solidFill>
                    <w14:srgbClr w14:val="000000">
                      <w14:alpha w14:val="100000"/>
                    </w14:srgbClr>
                  </w14:solidFill>
                </w14:textFill>
              </w:rPr>
              <w:t>|</w:t>
            </w:r>
            <w:r w:rsidRPr="00447F02">
              <w:rPr>
                <w:rFonts w:ascii="Arial Narrow" w:eastAsiaTheme="majorEastAsia" w:hAnsi="Arial Narrow"/>
                <w:sz w:val="20"/>
                <w:szCs w:val="20"/>
              </w:rPr>
              <w:t xml:space="preserve"> </w:t>
            </w:r>
            <w:r w:rsidR="005C46D9">
              <w:rPr>
                <w:rFonts w:ascii="Arial Narrow" w:hAnsi="Arial Narrow"/>
                <w:sz w:val="18"/>
                <w:szCs w:val="18"/>
                <w:vertAlign w:val="superscript"/>
                <w:lang w:bidi="en-US"/>
              </w:rPr>
              <w:t>3</w:t>
            </w:r>
          </w:p>
        </w:tc>
        <w:tc>
          <w:tcPr>
            <w:tcW w:w="893" w:type="pct"/>
          </w:tcPr>
          <w:p w14:paraId="5AA8913B" w14:textId="6EB5441F" w:rsidR="00797660" w:rsidRPr="00057CBC" w:rsidRDefault="00447F02" w:rsidP="00F856B4">
            <w:pPr>
              <w:pStyle w:val="3-BodyText"/>
              <w:numPr>
                <w:ilvl w:val="0"/>
                <w:numId w:val="0"/>
              </w:numPr>
              <w:spacing w:after="0"/>
              <w:jc w:val="center"/>
              <w:rPr>
                <w:rFonts w:ascii="Arial Narrow" w:eastAsiaTheme="majorEastAsia" w:hAnsi="Arial Narrow"/>
                <w:sz w:val="20"/>
                <w:szCs w:val="20"/>
                <w:highlight w:val="darkGray"/>
              </w:rPr>
            </w:pPr>
            <w:r w:rsidRPr="00447F02">
              <w:rPr>
                <w:rFonts w:ascii="Arial Narrow" w:eastAsiaTheme="majorEastAsia" w:hAnsi="Arial Narrow"/>
                <w:color w:val="000000"/>
                <w:sz w:val="20"/>
                <w:szCs w:val="20"/>
                <w:shd w:val="solid" w:color="000000" w:fill="000000"/>
                <w14:textFill>
                  <w14:solidFill>
                    <w14:srgbClr w14:val="000000">
                      <w14:alpha w14:val="100000"/>
                    </w14:srgbClr>
                  </w14:solidFill>
                </w14:textFill>
              </w:rPr>
              <w:t>|</w:t>
            </w:r>
            <w:r w:rsidRPr="00447F02">
              <w:rPr>
                <w:rFonts w:ascii="Arial Narrow" w:eastAsiaTheme="majorEastAsia" w:hAnsi="Arial Narrow"/>
                <w:sz w:val="20"/>
                <w:szCs w:val="20"/>
              </w:rPr>
              <w:t xml:space="preserve"> </w:t>
            </w:r>
            <w:r w:rsidR="005C46D9">
              <w:rPr>
                <w:rFonts w:ascii="Arial Narrow" w:hAnsi="Arial Narrow"/>
                <w:sz w:val="18"/>
                <w:szCs w:val="18"/>
                <w:vertAlign w:val="superscript"/>
                <w:lang w:bidi="en-US"/>
              </w:rPr>
              <w:t>3</w:t>
            </w:r>
          </w:p>
        </w:tc>
        <w:tc>
          <w:tcPr>
            <w:tcW w:w="891" w:type="pct"/>
          </w:tcPr>
          <w:p w14:paraId="71BE05A5" w14:textId="7F4BFDD7" w:rsidR="00797660" w:rsidRPr="00D07E3A" w:rsidRDefault="00797660" w:rsidP="00F856B4">
            <w:pPr>
              <w:pStyle w:val="3-BodyText"/>
              <w:numPr>
                <w:ilvl w:val="0"/>
                <w:numId w:val="0"/>
              </w:numPr>
              <w:spacing w:after="0"/>
              <w:jc w:val="center"/>
              <w:rPr>
                <w:rFonts w:ascii="Arial Narrow" w:eastAsiaTheme="majorEastAsia" w:hAnsi="Arial Narrow"/>
                <w:sz w:val="20"/>
                <w:szCs w:val="20"/>
              </w:rPr>
            </w:pPr>
            <w:r w:rsidRPr="00D07E3A">
              <w:rPr>
                <w:rFonts w:ascii="Arial Narrow" w:eastAsiaTheme="majorEastAsia" w:hAnsi="Arial Narrow"/>
                <w:sz w:val="20"/>
                <w:szCs w:val="20"/>
              </w:rPr>
              <w:t>-</w:t>
            </w:r>
            <w:r w:rsidR="00447F02" w:rsidRPr="00447F02">
              <w:rPr>
                <w:rFonts w:ascii="Arial Narrow" w:eastAsiaTheme="majorEastAsia" w:hAnsi="Arial Narrow"/>
                <w:color w:val="000000"/>
                <w:sz w:val="20"/>
                <w:szCs w:val="20"/>
                <w:shd w:val="solid" w:color="000000" w:fill="000000"/>
                <w14:textFill>
                  <w14:solidFill>
                    <w14:srgbClr w14:val="000000">
                      <w14:alpha w14:val="100000"/>
                    </w14:srgbClr>
                  </w14:solidFill>
                </w14:textFill>
              </w:rPr>
              <w:t>|</w:t>
            </w:r>
            <w:r w:rsidR="00447F02" w:rsidRPr="00447F02">
              <w:rPr>
                <w:rFonts w:ascii="Arial Narrow" w:eastAsiaTheme="majorEastAsia" w:hAnsi="Arial Narrow"/>
                <w:sz w:val="20"/>
                <w:szCs w:val="20"/>
              </w:rPr>
              <w:t xml:space="preserve"> </w:t>
            </w:r>
            <w:r w:rsidR="005C46D9">
              <w:rPr>
                <w:rFonts w:ascii="Arial Narrow" w:hAnsi="Arial Narrow"/>
                <w:sz w:val="18"/>
                <w:szCs w:val="18"/>
                <w:vertAlign w:val="superscript"/>
                <w:lang w:bidi="en-US"/>
              </w:rPr>
              <w:t>6</w:t>
            </w:r>
          </w:p>
        </w:tc>
      </w:tr>
      <w:tr w:rsidR="00797660" w:rsidRPr="00D07E3A" w14:paraId="64DC43EB" w14:textId="21EB80F5" w:rsidTr="00797660">
        <w:tc>
          <w:tcPr>
            <w:tcW w:w="2324" w:type="pct"/>
          </w:tcPr>
          <w:p w14:paraId="5AE6BA76" w14:textId="6C852D33" w:rsidR="00797660" w:rsidRPr="00D07E3A" w:rsidRDefault="00797660" w:rsidP="00797660">
            <w:pPr>
              <w:pStyle w:val="3-BodyText"/>
              <w:numPr>
                <w:ilvl w:val="0"/>
                <w:numId w:val="28"/>
              </w:numPr>
              <w:spacing w:after="0"/>
              <w:ind w:left="175" w:hanging="175"/>
              <w:rPr>
                <w:rFonts w:ascii="Arial Narrow" w:eastAsiaTheme="majorEastAsia" w:hAnsi="Arial Narrow"/>
                <w:sz w:val="20"/>
                <w:szCs w:val="20"/>
              </w:rPr>
            </w:pPr>
            <w:r w:rsidRPr="00D07E3A">
              <w:rPr>
                <w:rFonts w:ascii="Arial Narrow" w:eastAsiaTheme="majorEastAsia" w:hAnsi="Arial Narrow"/>
                <w:sz w:val="20"/>
                <w:szCs w:val="20"/>
              </w:rPr>
              <w:t>Aboriginal and Torres Strait Island individuals ≥ 50 years of age</w:t>
            </w:r>
          </w:p>
        </w:tc>
        <w:tc>
          <w:tcPr>
            <w:tcW w:w="892" w:type="pct"/>
          </w:tcPr>
          <w:p w14:paraId="608C2A84" w14:textId="2A96DB43" w:rsidR="00797660" w:rsidRPr="00057CBC" w:rsidRDefault="00447F02" w:rsidP="00F856B4">
            <w:pPr>
              <w:pStyle w:val="3-BodyText"/>
              <w:numPr>
                <w:ilvl w:val="0"/>
                <w:numId w:val="0"/>
              </w:numPr>
              <w:spacing w:after="0"/>
              <w:jc w:val="center"/>
              <w:rPr>
                <w:rFonts w:ascii="Arial Narrow" w:eastAsiaTheme="majorEastAsia" w:hAnsi="Arial Narrow"/>
                <w:sz w:val="20"/>
                <w:szCs w:val="20"/>
                <w:highlight w:val="darkGray"/>
              </w:rPr>
            </w:pPr>
            <w:r w:rsidRPr="00447F02">
              <w:rPr>
                <w:rFonts w:ascii="Arial Narrow" w:eastAsiaTheme="majorEastAsia" w:hAnsi="Arial Narrow"/>
                <w:color w:val="000000"/>
                <w:sz w:val="20"/>
                <w:szCs w:val="20"/>
                <w:shd w:val="solid" w:color="000000" w:fill="000000"/>
                <w14:textFill>
                  <w14:solidFill>
                    <w14:srgbClr w14:val="000000">
                      <w14:alpha w14:val="100000"/>
                    </w14:srgbClr>
                  </w14:solidFill>
                </w14:textFill>
              </w:rPr>
              <w:t>|</w:t>
            </w:r>
            <w:r w:rsidRPr="00447F02">
              <w:rPr>
                <w:rFonts w:ascii="Arial Narrow" w:eastAsiaTheme="majorEastAsia" w:hAnsi="Arial Narrow"/>
                <w:sz w:val="20"/>
                <w:szCs w:val="20"/>
              </w:rPr>
              <w:t xml:space="preserve"> </w:t>
            </w:r>
            <w:r w:rsidR="005C46D9">
              <w:rPr>
                <w:rFonts w:ascii="Arial Narrow" w:hAnsi="Arial Narrow"/>
                <w:sz w:val="18"/>
                <w:szCs w:val="18"/>
                <w:vertAlign w:val="superscript"/>
                <w:lang w:bidi="en-US"/>
              </w:rPr>
              <w:t>4</w:t>
            </w:r>
          </w:p>
        </w:tc>
        <w:tc>
          <w:tcPr>
            <w:tcW w:w="893" w:type="pct"/>
          </w:tcPr>
          <w:p w14:paraId="7C47E822" w14:textId="57794E33" w:rsidR="00797660" w:rsidRPr="00057CBC" w:rsidRDefault="00447F02" w:rsidP="00F856B4">
            <w:pPr>
              <w:pStyle w:val="3-BodyText"/>
              <w:numPr>
                <w:ilvl w:val="0"/>
                <w:numId w:val="0"/>
              </w:numPr>
              <w:spacing w:after="0"/>
              <w:jc w:val="center"/>
              <w:rPr>
                <w:rFonts w:ascii="Arial Narrow" w:eastAsiaTheme="majorEastAsia" w:hAnsi="Arial Narrow"/>
                <w:sz w:val="20"/>
                <w:szCs w:val="20"/>
                <w:highlight w:val="darkGray"/>
              </w:rPr>
            </w:pPr>
            <w:r w:rsidRPr="00447F02">
              <w:rPr>
                <w:rFonts w:ascii="Arial Narrow" w:eastAsiaTheme="majorEastAsia" w:hAnsi="Arial Narrow"/>
                <w:color w:val="000000"/>
                <w:sz w:val="20"/>
                <w:szCs w:val="20"/>
                <w:shd w:val="solid" w:color="000000" w:fill="000000"/>
                <w14:textFill>
                  <w14:solidFill>
                    <w14:srgbClr w14:val="000000">
                      <w14:alpha w14:val="100000"/>
                    </w14:srgbClr>
                  </w14:solidFill>
                </w14:textFill>
              </w:rPr>
              <w:t>|</w:t>
            </w:r>
            <w:r w:rsidRPr="00447F02">
              <w:rPr>
                <w:rFonts w:ascii="Arial Narrow" w:eastAsiaTheme="majorEastAsia" w:hAnsi="Arial Narrow"/>
                <w:sz w:val="20"/>
                <w:szCs w:val="20"/>
              </w:rPr>
              <w:t xml:space="preserve"> </w:t>
            </w:r>
            <w:r w:rsidR="005C46D9">
              <w:rPr>
                <w:rFonts w:ascii="Arial Narrow" w:hAnsi="Arial Narrow"/>
                <w:sz w:val="18"/>
                <w:szCs w:val="18"/>
                <w:vertAlign w:val="superscript"/>
                <w:lang w:bidi="en-US"/>
              </w:rPr>
              <w:t>4</w:t>
            </w:r>
          </w:p>
        </w:tc>
        <w:tc>
          <w:tcPr>
            <w:tcW w:w="891" w:type="pct"/>
          </w:tcPr>
          <w:p w14:paraId="62BEEDC6" w14:textId="1DFA1B39" w:rsidR="00797660" w:rsidRPr="00D07E3A" w:rsidRDefault="00797660" w:rsidP="00F856B4">
            <w:pPr>
              <w:pStyle w:val="3-BodyText"/>
              <w:numPr>
                <w:ilvl w:val="0"/>
                <w:numId w:val="0"/>
              </w:numPr>
              <w:spacing w:after="0"/>
              <w:jc w:val="center"/>
              <w:rPr>
                <w:rFonts w:ascii="Arial Narrow" w:eastAsiaTheme="majorEastAsia" w:hAnsi="Arial Narrow"/>
                <w:sz w:val="20"/>
                <w:szCs w:val="20"/>
              </w:rPr>
            </w:pPr>
            <w:r w:rsidRPr="00D07E3A">
              <w:rPr>
                <w:rFonts w:ascii="Arial Narrow" w:eastAsiaTheme="majorEastAsia" w:hAnsi="Arial Narrow"/>
                <w:sz w:val="20"/>
                <w:szCs w:val="20"/>
              </w:rPr>
              <w:t>-</w:t>
            </w:r>
            <w:r w:rsidR="00447F02" w:rsidRPr="00447F02">
              <w:rPr>
                <w:rFonts w:ascii="Arial Narrow" w:eastAsiaTheme="majorEastAsia" w:hAnsi="Arial Narrow"/>
                <w:color w:val="000000"/>
                <w:sz w:val="20"/>
                <w:szCs w:val="20"/>
                <w:shd w:val="solid" w:color="000000" w:fill="000000"/>
                <w14:textFill>
                  <w14:solidFill>
                    <w14:srgbClr w14:val="000000">
                      <w14:alpha w14:val="100000"/>
                    </w14:srgbClr>
                  </w14:solidFill>
                </w14:textFill>
              </w:rPr>
              <w:t>|</w:t>
            </w:r>
            <w:r w:rsidR="00447F02" w:rsidRPr="00447F02">
              <w:rPr>
                <w:rFonts w:ascii="Arial Narrow" w:eastAsiaTheme="majorEastAsia" w:hAnsi="Arial Narrow"/>
                <w:sz w:val="20"/>
                <w:szCs w:val="20"/>
              </w:rPr>
              <w:t xml:space="preserve"> </w:t>
            </w:r>
            <w:r w:rsidR="005C46D9">
              <w:rPr>
                <w:rFonts w:ascii="Arial Narrow" w:hAnsi="Arial Narrow"/>
                <w:sz w:val="18"/>
                <w:szCs w:val="18"/>
                <w:vertAlign w:val="superscript"/>
                <w:lang w:bidi="en-US"/>
              </w:rPr>
              <w:t>7</w:t>
            </w:r>
          </w:p>
        </w:tc>
      </w:tr>
      <w:tr w:rsidR="00797660" w:rsidRPr="00D07E3A" w14:paraId="39B7A610" w14:textId="0396B0EE" w:rsidTr="00797660">
        <w:tc>
          <w:tcPr>
            <w:tcW w:w="2324" w:type="pct"/>
          </w:tcPr>
          <w:p w14:paraId="5ADD1D50" w14:textId="2EE62340" w:rsidR="00797660" w:rsidRPr="00D07E3A" w:rsidRDefault="00797660" w:rsidP="00797660">
            <w:pPr>
              <w:pStyle w:val="3-BodyText"/>
              <w:numPr>
                <w:ilvl w:val="0"/>
                <w:numId w:val="28"/>
              </w:numPr>
              <w:spacing w:after="0"/>
              <w:ind w:left="175" w:hanging="175"/>
              <w:rPr>
                <w:rFonts w:ascii="Arial Narrow" w:eastAsiaTheme="majorEastAsia" w:hAnsi="Arial Narrow"/>
                <w:sz w:val="20"/>
                <w:szCs w:val="20"/>
              </w:rPr>
            </w:pPr>
            <w:r w:rsidRPr="00D07E3A">
              <w:rPr>
                <w:rFonts w:ascii="Arial Narrow" w:eastAsiaTheme="majorEastAsia" w:hAnsi="Arial Narrow"/>
                <w:sz w:val="20"/>
                <w:szCs w:val="20"/>
              </w:rPr>
              <w:t>High risk individuals ≥ 18 years of age</w:t>
            </w:r>
          </w:p>
        </w:tc>
        <w:tc>
          <w:tcPr>
            <w:tcW w:w="892" w:type="pct"/>
          </w:tcPr>
          <w:p w14:paraId="6FBA6CDD" w14:textId="03E6B4AF" w:rsidR="00797660" w:rsidRPr="00057CBC" w:rsidRDefault="00447F02" w:rsidP="00797660">
            <w:pPr>
              <w:pStyle w:val="3-BodyText"/>
              <w:numPr>
                <w:ilvl w:val="0"/>
                <w:numId w:val="0"/>
              </w:numPr>
              <w:spacing w:after="0"/>
              <w:jc w:val="center"/>
              <w:rPr>
                <w:rFonts w:ascii="Arial Narrow" w:eastAsiaTheme="majorEastAsia" w:hAnsi="Arial Narrow"/>
                <w:sz w:val="20"/>
                <w:szCs w:val="20"/>
                <w:highlight w:val="darkGray"/>
              </w:rPr>
            </w:pPr>
            <w:r w:rsidRPr="00447F02">
              <w:rPr>
                <w:rFonts w:ascii="Arial Narrow" w:eastAsiaTheme="majorEastAsia" w:hAnsi="Arial Narrow"/>
                <w:color w:val="000000"/>
                <w:sz w:val="20"/>
                <w:szCs w:val="20"/>
                <w:shd w:val="solid" w:color="000000" w:fill="000000"/>
                <w14:textFill>
                  <w14:solidFill>
                    <w14:srgbClr w14:val="000000">
                      <w14:alpha w14:val="100000"/>
                    </w14:srgbClr>
                  </w14:solidFill>
                </w14:textFill>
              </w:rPr>
              <w:t>|</w:t>
            </w:r>
            <w:r w:rsidRPr="00447F02">
              <w:rPr>
                <w:rFonts w:ascii="Arial Narrow" w:eastAsiaTheme="majorEastAsia" w:hAnsi="Arial Narrow"/>
                <w:sz w:val="20"/>
                <w:szCs w:val="20"/>
              </w:rPr>
              <w:t xml:space="preserve"> </w:t>
            </w:r>
            <w:r w:rsidR="005C46D9">
              <w:rPr>
                <w:rFonts w:ascii="Arial Narrow" w:hAnsi="Arial Narrow"/>
                <w:sz w:val="18"/>
                <w:szCs w:val="18"/>
                <w:vertAlign w:val="superscript"/>
                <w:lang w:bidi="en-US"/>
              </w:rPr>
              <w:t>4</w:t>
            </w:r>
          </w:p>
        </w:tc>
        <w:tc>
          <w:tcPr>
            <w:tcW w:w="893" w:type="pct"/>
          </w:tcPr>
          <w:p w14:paraId="5DEF3C37" w14:textId="7E0CCB96" w:rsidR="00797660" w:rsidRPr="00057CBC" w:rsidRDefault="00447F02" w:rsidP="00797660">
            <w:pPr>
              <w:pStyle w:val="3-BodyText"/>
              <w:numPr>
                <w:ilvl w:val="0"/>
                <w:numId w:val="0"/>
              </w:numPr>
              <w:spacing w:after="0"/>
              <w:ind w:left="720" w:hanging="720"/>
              <w:jc w:val="center"/>
              <w:rPr>
                <w:rFonts w:ascii="Arial Narrow" w:eastAsiaTheme="majorEastAsia" w:hAnsi="Arial Narrow"/>
                <w:sz w:val="20"/>
                <w:szCs w:val="20"/>
                <w:highlight w:val="darkGray"/>
              </w:rPr>
            </w:pPr>
            <w:r w:rsidRPr="00447F02">
              <w:rPr>
                <w:rFonts w:ascii="Arial Narrow" w:eastAsiaTheme="majorEastAsia" w:hAnsi="Arial Narrow"/>
                <w:color w:val="000000"/>
                <w:sz w:val="20"/>
                <w:szCs w:val="20"/>
                <w:shd w:val="solid" w:color="000000" w:fill="000000"/>
                <w14:textFill>
                  <w14:solidFill>
                    <w14:srgbClr w14:val="000000">
                      <w14:alpha w14:val="100000"/>
                    </w14:srgbClr>
                  </w14:solidFill>
                </w14:textFill>
              </w:rPr>
              <w:t>|</w:t>
            </w:r>
            <w:r w:rsidRPr="00447F02">
              <w:rPr>
                <w:rFonts w:ascii="Arial Narrow" w:eastAsiaTheme="majorEastAsia" w:hAnsi="Arial Narrow"/>
                <w:sz w:val="20"/>
                <w:szCs w:val="20"/>
              </w:rPr>
              <w:t xml:space="preserve"> </w:t>
            </w:r>
            <w:r w:rsidR="005C46D9">
              <w:rPr>
                <w:rFonts w:ascii="Arial Narrow" w:hAnsi="Arial Narrow"/>
                <w:sz w:val="18"/>
                <w:szCs w:val="18"/>
                <w:vertAlign w:val="superscript"/>
                <w:lang w:bidi="en-US"/>
              </w:rPr>
              <w:t>4</w:t>
            </w:r>
          </w:p>
        </w:tc>
        <w:tc>
          <w:tcPr>
            <w:tcW w:w="891" w:type="pct"/>
          </w:tcPr>
          <w:p w14:paraId="470E3E5A" w14:textId="00DE9F29" w:rsidR="00797660" w:rsidRPr="00D07E3A" w:rsidRDefault="00797660" w:rsidP="00797660">
            <w:pPr>
              <w:pStyle w:val="3-BodyText"/>
              <w:numPr>
                <w:ilvl w:val="0"/>
                <w:numId w:val="0"/>
              </w:numPr>
              <w:spacing w:after="0"/>
              <w:ind w:left="720" w:hanging="720"/>
              <w:jc w:val="center"/>
              <w:rPr>
                <w:rFonts w:ascii="Arial Narrow" w:eastAsiaTheme="majorEastAsia" w:hAnsi="Arial Narrow"/>
                <w:sz w:val="20"/>
                <w:szCs w:val="20"/>
              </w:rPr>
            </w:pPr>
            <w:r w:rsidRPr="00D07E3A">
              <w:rPr>
                <w:rFonts w:ascii="Arial Narrow" w:eastAsiaTheme="majorEastAsia" w:hAnsi="Arial Narrow"/>
                <w:sz w:val="20"/>
                <w:szCs w:val="20"/>
              </w:rPr>
              <w:t>-</w:t>
            </w:r>
          </w:p>
        </w:tc>
      </w:tr>
      <w:tr w:rsidR="00797660" w:rsidRPr="00D07E3A" w14:paraId="05616190" w14:textId="3527171D" w:rsidTr="00797660">
        <w:tc>
          <w:tcPr>
            <w:tcW w:w="2324" w:type="pct"/>
          </w:tcPr>
          <w:p w14:paraId="4D2433EA" w14:textId="419BB8AE" w:rsidR="00797660" w:rsidRPr="00D07E3A" w:rsidRDefault="00797660" w:rsidP="00BE2D84">
            <w:pPr>
              <w:pStyle w:val="3-BodyText"/>
              <w:numPr>
                <w:ilvl w:val="0"/>
                <w:numId w:val="0"/>
              </w:numPr>
              <w:spacing w:after="0"/>
              <w:rPr>
                <w:rFonts w:ascii="Arial Narrow" w:eastAsiaTheme="majorEastAsia" w:hAnsi="Arial Narrow"/>
                <w:b/>
                <w:bCs/>
                <w:sz w:val="20"/>
                <w:szCs w:val="20"/>
              </w:rPr>
            </w:pPr>
            <w:r w:rsidRPr="00D07E3A">
              <w:rPr>
                <w:rFonts w:ascii="Arial Narrow" w:eastAsiaTheme="majorEastAsia" w:hAnsi="Arial Narrow"/>
                <w:b/>
                <w:bCs/>
                <w:sz w:val="20"/>
                <w:szCs w:val="20"/>
              </w:rPr>
              <w:t xml:space="preserve">Total </w:t>
            </w:r>
          </w:p>
        </w:tc>
        <w:tc>
          <w:tcPr>
            <w:tcW w:w="892" w:type="pct"/>
          </w:tcPr>
          <w:p w14:paraId="00E86F4E" w14:textId="71B0D0FB" w:rsidR="00797660" w:rsidRPr="00057CBC" w:rsidRDefault="00447F02" w:rsidP="00F856B4">
            <w:pPr>
              <w:pStyle w:val="3-BodyText"/>
              <w:numPr>
                <w:ilvl w:val="0"/>
                <w:numId w:val="0"/>
              </w:numPr>
              <w:spacing w:after="0"/>
              <w:jc w:val="center"/>
              <w:rPr>
                <w:rFonts w:ascii="Arial Narrow" w:eastAsiaTheme="majorEastAsia" w:hAnsi="Arial Narrow"/>
                <w:b/>
                <w:bCs/>
                <w:sz w:val="20"/>
                <w:szCs w:val="20"/>
                <w:highlight w:val="darkGray"/>
              </w:rPr>
            </w:pPr>
            <w:r w:rsidRPr="00447F02">
              <w:rPr>
                <w:rFonts w:ascii="Arial Narrow" w:eastAsiaTheme="majorEastAsia" w:hAnsi="Arial Narrow"/>
                <w:b/>
                <w:bCs/>
                <w:color w:val="000000"/>
                <w:sz w:val="20"/>
                <w:szCs w:val="20"/>
                <w:shd w:val="solid" w:color="000000" w:fill="000000"/>
                <w14:textFill>
                  <w14:solidFill>
                    <w14:srgbClr w14:val="000000">
                      <w14:alpha w14:val="100000"/>
                    </w14:srgbClr>
                  </w14:solidFill>
                </w14:textFill>
              </w:rPr>
              <w:t>|</w:t>
            </w:r>
            <w:r w:rsidRPr="00447F02">
              <w:rPr>
                <w:rFonts w:ascii="Arial Narrow" w:eastAsiaTheme="majorEastAsia" w:hAnsi="Arial Narrow"/>
                <w:b/>
                <w:bCs/>
                <w:sz w:val="20"/>
                <w:szCs w:val="20"/>
              </w:rPr>
              <w:t xml:space="preserve"> </w:t>
            </w:r>
            <w:r w:rsidR="005C46D9">
              <w:rPr>
                <w:rFonts w:ascii="Arial Narrow" w:hAnsi="Arial Narrow"/>
                <w:sz w:val="18"/>
                <w:szCs w:val="18"/>
                <w:vertAlign w:val="superscript"/>
                <w:lang w:bidi="en-US"/>
              </w:rPr>
              <w:t>3</w:t>
            </w:r>
          </w:p>
        </w:tc>
        <w:tc>
          <w:tcPr>
            <w:tcW w:w="893" w:type="pct"/>
          </w:tcPr>
          <w:p w14:paraId="7002A7E6" w14:textId="1D18B9A8" w:rsidR="00797660" w:rsidRPr="00057CBC" w:rsidRDefault="00447F02" w:rsidP="00F856B4">
            <w:pPr>
              <w:pStyle w:val="3-BodyText"/>
              <w:numPr>
                <w:ilvl w:val="0"/>
                <w:numId w:val="0"/>
              </w:numPr>
              <w:spacing w:after="0"/>
              <w:jc w:val="center"/>
              <w:rPr>
                <w:rFonts w:ascii="Arial Narrow" w:eastAsiaTheme="majorEastAsia" w:hAnsi="Arial Narrow"/>
                <w:b/>
                <w:bCs/>
                <w:sz w:val="20"/>
                <w:szCs w:val="20"/>
                <w:highlight w:val="darkGray"/>
              </w:rPr>
            </w:pPr>
            <w:r w:rsidRPr="00447F02">
              <w:rPr>
                <w:rFonts w:ascii="Arial Narrow" w:eastAsiaTheme="majorEastAsia" w:hAnsi="Arial Narrow"/>
                <w:b/>
                <w:bCs/>
                <w:color w:val="000000"/>
                <w:sz w:val="20"/>
                <w:szCs w:val="20"/>
                <w:shd w:val="solid" w:color="000000" w:fill="000000"/>
                <w14:textFill>
                  <w14:solidFill>
                    <w14:srgbClr w14:val="000000">
                      <w14:alpha w14:val="100000"/>
                    </w14:srgbClr>
                  </w14:solidFill>
                </w14:textFill>
              </w:rPr>
              <w:t>|</w:t>
            </w:r>
            <w:r w:rsidRPr="00447F02">
              <w:rPr>
                <w:rFonts w:ascii="Arial Narrow" w:eastAsiaTheme="majorEastAsia" w:hAnsi="Arial Narrow"/>
                <w:b/>
                <w:bCs/>
                <w:sz w:val="20"/>
                <w:szCs w:val="20"/>
              </w:rPr>
              <w:t xml:space="preserve"> </w:t>
            </w:r>
            <w:r w:rsidR="005C46D9">
              <w:rPr>
                <w:rFonts w:ascii="Arial Narrow" w:hAnsi="Arial Narrow"/>
                <w:sz w:val="18"/>
                <w:szCs w:val="18"/>
                <w:vertAlign w:val="superscript"/>
                <w:lang w:bidi="en-US"/>
              </w:rPr>
              <w:t>5</w:t>
            </w:r>
          </w:p>
        </w:tc>
        <w:tc>
          <w:tcPr>
            <w:tcW w:w="891" w:type="pct"/>
          </w:tcPr>
          <w:p w14:paraId="37AE82E3" w14:textId="2BDDCD3A" w:rsidR="00797660" w:rsidRPr="00D07E3A" w:rsidRDefault="00797660" w:rsidP="00F856B4">
            <w:pPr>
              <w:pStyle w:val="3-BodyText"/>
              <w:numPr>
                <w:ilvl w:val="0"/>
                <w:numId w:val="0"/>
              </w:numPr>
              <w:spacing w:after="0"/>
              <w:jc w:val="center"/>
              <w:rPr>
                <w:rFonts w:ascii="Arial Narrow" w:eastAsiaTheme="majorEastAsia" w:hAnsi="Arial Narrow"/>
                <w:b/>
                <w:bCs/>
                <w:sz w:val="20"/>
                <w:szCs w:val="20"/>
              </w:rPr>
            </w:pPr>
            <w:r w:rsidRPr="00D07E3A">
              <w:rPr>
                <w:rFonts w:ascii="Arial Narrow" w:eastAsiaTheme="majorEastAsia" w:hAnsi="Arial Narrow"/>
                <w:b/>
                <w:bCs/>
                <w:sz w:val="20"/>
                <w:szCs w:val="20"/>
              </w:rPr>
              <w:t xml:space="preserve">+ </w:t>
            </w:r>
            <w:r w:rsidR="00447F02" w:rsidRPr="00FE6944">
              <w:rPr>
                <w:rFonts w:ascii="Arial Narrow" w:eastAsiaTheme="majorEastAsia" w:hAnsi="Arial Narrow" w:hint="eastAsia"/>
                <w:b/>
                <w:bCs/>
                <w:color w:val="000000"/>
                <w:w w:val="15"/>
                <w:sz w:val="20"/>
                <w:szCs w:val="20"/>
                <w:shd w:val="solid" w:color="000000" w:fill="000000"/>
                <w:fitText w:val="10" w:id="-1032144122"/>
                <w14:textFill>
                  <w14:solidFill>
                    <w14:srgbClr w14:val="000000">
                      <w14:alpha w14:val="100000"/>
                    </w14:srgbClr>
                  </w14:solidFill>
                </w14:textFill>
              </w:rPr>
              <w:t xml:space="preserve">　</w:t>
            </w:r>
            <w:r w:rsidR="00447F02" w:rsidRPr="00FE6944">
              <w:rPr>
                <w:rFonts w:ascii="Arial Narrow" w:eastAsiaTheme="majorEastAsia" w:hAnsi="Arial Narrow"/>
                <w:b/>
                <w:bCs/>
                <w:color w:val="000000"/>
                <w:w w:val="15"/>
                <w:sz w:val="20"/>
                <w:szCs w:val="20"/>
                <w:shd w:val="solid" w:color="000000" w:fill="000000"/>
                <w:fitText w:val="10" w:id="-1032144122"/>
                <w14:textFill>
                  <w14:solidFill>
                    <w14:srgbClr w14:val="000000">
                      <w14:alpha w14:val="100000"/>
                    </w14:srgbClr>
                  </w14:solidFill>
                </w14:textFill>
              </w:rPr>
              <w:t>|</w:t>
            </w:r>
            <w:r w:rsidR="00447F02" w:rsidRPr="00FE6944">
              <w:rPr>
                <w:rFonts w:ascii="Arial Narrow" w:eastAsiaTheme="majorEastAsia" w:hAnsi="Arial Narrow" w:hint="eastAsia"/>
                <w:b/>
                <w:bCs/>
                <w:color w:val="000000"/>
                <w:spacing w:val="-56"/>
                <w:w w:val="15"/>
                <w:sz w:val="20"/>
                <w:szCs w:val="20"/>
                <w:shd w:val="solid" w:color="000000" w:fill="000000"/>
                <w:fitText w:val="10" w:id="-1032144122"/>
                <w14:textFill>
                  <w14:solidFill>
                    <w14:srgbClr w14:val="000000">
                      <w14:alpha w14:val="100000"/>
                    </w14:srgbClr>
                  </w14:solidFill>
                </w14:textFill>
              </w:rPr>
              <w:t xml:space="preserve">　</w:t>
            </w:r>
            <w:r w:rsidR="00447F02" w:rsidRPr="00447F02">
              <w:rPr>
                <w:rFonts w:ascii="Arial Narrow" w:eastAsiaTheme="majorEastAsia" w:hAnsi="Arial Narrow"/>
                <w:b/>
                <w:bCs/>
                <w:sz w:val="20"/>
                <w:szCs w:val="20"/>
              </w:rPr>
              <w:t xml:space="preserve"> </w:t>
            </w:r>
            <w:r w:rsidR="005C46D9">
              <w:rPr>
                <w:rFonts w:ascii="Arial Narrow" w:hAnsi="Arial Narrow"/>
                <w:sz w:val="18"/>
                <w:szCs w:val="18"/>
                <w:vertAlign w:val="superscript"/>
                <w:lang w:bidi="en-US"/>
              </w:rPr>
              <w:t>1</w:t>
            </w:r>
          </w:p>
        </w:tc>
      </w:tr>
    </w:tbl>
    <w:p w14:paraId="38D52684" w14:textId="2714DB7A" w:rsidR="00C05AB6" w:rsidRDefault="00BC03D2" w:rsidP="00057CBC">
      <w:pPr>
        <w:pStyle w:val="3-BodyText"/>
        <w:numPr>
          <w:ilvl w:val="0"/>
          <w:numId w:val="0"/>
        </w:numPr>
        <w:spacing w:after="0"/>
        <w:rPr>
          <w:rFonts w:ascii="Arial Narrow" w:hAnsi="Arial Narrow"/>
          <w:sz w:val="18"/>
          <w:szCs w:val="18"/>
          <w:lang w:bidi="en-US"/>
        </w:rPr>
      </w:pPr>
      <w:r w:rsidRPr="00D07E3A">
        <w:rPr>
          <w:rFonts w:ascii="Arial Narrow" w:hAnsi="Arial Narrow"/>
          <w:sz w:val="18"/>
          <w:szCs w:val="18"/>
          <w:lang w:bidi="en-US"/>
        </w:rPr>
        <w:t xml:space="preserve">Source: </w:t>
      </w:r>
      <w:r>
        <w:rPr>
          <w:rFonts w:ascii="Arial Narrow" w:hAnsi="Arial Narrow"/>
          <w:sz w:val="18"/>
          <w:szCs w:val="18"/>
          <w:lang w:bidi="en-US"/>
        </w:rPr>
        <w:t xml:space="preserve">Calculated using </w:t>
      </w:r>
      <w:r w:rsidRPr="00D07E3A">
        <w:rPr>
          <w:rFonts w:ascii="Arial Narrow" w:hAnsi="Arial Narrow"/>
          <w:sz w:val="18"/>
          <w:szCs w:val="18"/>
          <w:lang w:bidi="en-US"/>
        </w:rPr>
        <w:t>Budget impact model - ‘Results summary’ worksheet,</w:t>
      </w:r>
    </w:p>
    <w:p w14:paraId="6634A7A4" w14:textId="30DB9576" w:rsidR="005C46D9" w:rsidRPr="00057CBC" w:rsidRDefault="005C46D9" w:rsidP="00057CBC">
      <w:pPr>
        <w:pStyle w:val="3-BodyText"/>
        <w:numPr>
          <w:ilvl w:val="0"/>
          <w:numId w:val="0"/>
        </w:numPr>
        <w:spacing w:after="0"/>
        <w:rPr>
          <w:rFonts w:ascii="Arial Narrow" w:hAnsi="Arial Narrow"/>
          <w:i/>
          <w:iCs/>
          <w:sz w:val="18"/>
          <w:szCs w:val="18"/>
          <w:lang w:bidi="en-US"/>
        </w:rPr>
      </w:pPr>
      <w:r w:rsidRPr="00057CBC">
        <w:rPr>
          <w:rFonts w:ascii="Arial Narrow" w:hAnsi="Arial Narrow"/>
          <w:i/>
          <w:iCs/>
          <w:sz w:val="18"/>
          <w:szCs w:val="18"/>
          <w:lang w:bidi="en-US"/>
        </w:rPr>
        <w:t>The redacted values correspond to the following ranges:</w:t>
      </w:r>
    </w:p>
    <w:p w14:paraId="7301AB5A" w14:textId="10FFB5E3" w:rsidR="005C46D9" w:rsidRPr="00057CBC" w:rsidRDefault="005C46D9" w:rsidP="005C46D9">
      <w:pPr>
        <w:pStyle w:val="3-BodyText"/>
        <w:numPr>
          <w:ilvl w:val="0"/>
          <w:numId w:val="0"/>
        </w:numPr>
        <w:spacing w:after="0"/>
        <w:rPr>
          <w:rFonts w:ascii="Arial Narrow" w:hAnsi="Arial Narrow"/>
          <w:i/>
          <w:iCs/>
          <w:sz w:val="18"/>
          <w:szCs w:val="18"/>
          <w:lang w:bidi="en-US"/>
        </w:rPr>
      </w:pPr>
      <w:r w:rsidRPr="00057CBC">
        <w:rPr>
          <w:rFonts w:ascii="Arial Narrow" w:hAnsi="Arial Narrow"/>
          <w:i/>
          <w:iCs/>
          <w:sz w:val="18"/>
          <w:szCs w:val="18"/>
          <w:vertAlign w:val="superscript"/>
          <w:lang w:bidi="en-US"/>
        </w:rPr>
        <w:t>1</w:t>
      </w:r>
      <w:r w:rsidRPr="00057CBC">
        <w:rPr>
          <w:rFonts w:ascii="Arial Narrow" w:hAnsi="Arial Narrow"/>
          <w:i/>
          <w:iCs/>
          <w:sz w:val="18"/>
          <w:szCs w:val="18"/>
          <w:lang w:bidi="en-US"/>
        </w:rPr>
        <w:t xml:space="preserve"> 200,000 to &lt; 300,000</w:t>
      </w:r>
    </w:p>
    <w:p w14:paraId="3CF18BE6" w14:textId="0E2F4EA1" w:rsidR="005C46D9" w:rsidRPr="00057CBC" w:rsidRDefault="005C46D9" w:rsidP="005C46D9">
      <w:pPr>
        <w:pStyle w:val="3-BodyText"/>
        <w:numPr>
          <w:ilvl w:val="0"/>
          <w:numId w:val="0"/>
        </w:numPr>
        <w:spacing w:after="0"/>
        <w:rPr>
          <w:rFonts w:ascii="Arial Narrow" w:hAnsi="Arial Narrow"/>
          <w:i/>
          <w:iCs/>
          <w:sz w:val="18"/>
          <w:szCs w:val="18"/>
          <w:lang w:bidi="en-US"/>
        </w:rPr>
      </w:pPr>
      <w:r w:rsidRPr="00057CBC">
        <w:rPr>
          <w:rFonts w:ascii="Arial Narrow" w:hAnsi="Arial Narrow"/>
          <w:i/>
          <w:iCs/>
          <w:sz w:val="18"/>
          <w:szCs w:val="18"/>
          <w:vertAlign w:val="superscript"/>
          <w:lang w:bidi="en-US"/>
        </w:rPr>
        <w:t>2</w:t>
      </w:r>
      <w:r w:rsidRPr="00057CBC">
        <w:rPr>
          <w:rFonts w:ascii="Arial Narrow" w:hAnsi="Arial Narrow"/>
          <w:i/>
          <w:iCs/>
          <w:sz w:val="18"/>
          <w:szCs w:val="18"/>
          <w:lang w:bidi="en-US"/>
        </w:rPr>
        <w:t xml:space="preserve"> 60,000 to &lt; 70,000</w:t>
      </w:r>
    </w:p>
    <w:p w14:paraId="47E82851" w14:textId="45B2F32B" w:rsidR="005C46D9" w:rsidRPr="00057CBC" w:rsidRDefault="005C46D9" w:rsidP="005C46D9">
      <w:pPr>
        <w:pStyle w:val="3-BodyText"/>
        <w:numPr>
          <w:ilvl w:val="0"/>
          <w:numId w:val="0"/>
        </w:numPr>
        <w:spacing w:after="0"/>
        <w:rPr>
          <w:rFonts w:ascii="Arial Narrow" w:hAnsi="Arial Narrow"/>
          <w:i/>
          <w:iCs/>
          <w:sz w:val="18"/>
          <w:szCs w:val="18"/>
          <w:lang w:bidi="en-US"/>
        </w:rPr>
      </w:pPr>
      <w:r w:rsidRPr="00057CBC">
        <w:rPr>
          <w:rFonts w:ascii="Arial Narrow" w:hAnsi="Arial Narrow"/>
          <w:i/>
          <w:iCs/>
          <w:sz w:val="18"/>
          <w:szCs w:val="18"/>
          <w:vertAlign w:val="superscript"/>
          <w:lang w:bidi="en-US"/>
        </w:rPr>
        <w:t>3</w:t>
      </w:r>
      <w:r w:rsidRPr="00057CBC">
        <w:rPr>
          <w:rFonts w:ascii="Arial Narrow" w:hAnsi="Arial Narrow"/>
          <w:i/>
          <w:iCs/>
          <w:sz w:val="18"/>
          <w:szCs w:val="18"/>
          <w:lang w:bidi="en-US"/>
        </w:rPr>
        <w:t xml:space="preserve"> 3,000,000 to &lt; 4,000,000</w:t>
      </w:r>
    </w:p>
    <w:p w14:paraId="7D27A44A" w14:textId="7A6119EE" w:rsidR="005C46D9" w:rsidRPr="00057CBC" w:rsidRDefault="005C46D9" w:rsidP="005C46D9">
      <w:pPr>
        <w:pStyle w:val="3-BodyText"/>
        <w:numPr>
          <w:ilvl w:val="0"/>
          <w:numId w:val="0"/>
        </w:numPr>
        <w:spacing w:after="0"/>
        <w:rPr>
          <w:rFonts w:ascii="Arial Narrow" w:hAnsi="Arial Narrow"/>
          <w:i/>
          <w:iCs/>
          <w:sz w:val="18"/>
          <w:szCs w:val="18"/>
          <w:lang w:bidi="en-US"/>
        </w:rPr>
      </w:pPr>
      <w:r w:rsidRPr="00057CBC">
        <w:rPr>
          <w:rFonts w:ascii="Arial Narrow" w:hAnsi="Arial Narrow"/>
          <w:i/>
          <w:iCs/>
          <w:sz w:val="18"/>
          <w:szCs w:val="18"/>
          <w:vertAlign w:val="superscript"/>
          <w:lang w:bidi="en-US"/>
        </w:rPr>
        <w:t>4</w:t>
      </w:r>
      <w:r w:rsidRPr="00057CBC">
        <w:rPr>
          <w:rFonts w:ascii="Arial Narrow" w:hAnsi="Arial Narrow"/>
          <w:i/>
          <w:iCs/>
          <w:sz w:val="18"/>
          <w:szCs w:val="18"/>
          <w:lang w:bidi="en-US"/>
        </w:rPr>
        <w:t xml:space="preserve"> 100,000 to &lt; 200,000</w:t>
      </w:r>
    </w:p>
    <w:p w14:paraId="7A2CA908" w14:textId="18433F6C" w:rsidR="005C46D9" w:rsidRPr="00057CBC" w:rsidRDefault="005C46D9" w:rsidP="005C46D9">
      <w:pPr>
        <w:pStyle w:val="3-BodyText"/>
        <w:numPr>
          <w:ilvl w:val="0"/>
          <w:numId w:val="0"/>
        </w:numPr>
        <w:spacing w:after="0"/>
        <w:rPr>
          <w:rFonts w:ascii="Arial Narrow" w:hAnsi="Arial Narrow"/>
          <w:i/>
          <w:iCs/>
          <w:sz w:val="18"/>
          <w:szCs w:val="18"/>
          <w:lang w:bidi="en-US"/>
        </w:rPr>
      </w:pPr>
      <w:r w:rsidRPr="00057CBC">
        <w:rPr>
          <w:rFonts w:ascii="Arial Narrow" w:hAnsi="Arial Narrow"/>
          <w:i/>
          <w:iCs/>
          <w:sz w:val="18"/>
          <w:szCs w:val="18"/>
          <w:vertAlign w:val="superscript"/>
          <w:lang w:bidi="en-US"/>
        </w:rPr>
        <w:t>5</w:t>
      </w:r>
      <w:r w:rsidRPr="00057CBC">
        <w:rPr>
          <w:rFonts w:ascii="Arial Narrow" w:hAnsi="Arial Narrow"/>
          <w:i/>
          <w:iCs/>
          <w:sz w:val="18"/>
          <w:szCs w:val="18"/>
          <w:lang w:bidi="en-US"/>
        </w:rPr>
        <w:t xml:space="preserve"> 4,000,000 to &lt; 5,000,000</w:t>
      </w:r>
    </w:p>
    <w:p w14:paraId="66E4C662" w14:textId="6F9EF9DC" w:rsidR="005C46D9" w:rsidRPr="00057CBC" w:rsidRDefault="005C46D9" w:rsidP="005C46D9">
      <w:pPr>
        <w:pStyle w:val="3-BodyText"/>
        <w:numPr>
          <w:ilvl w:val="0"/>
          <w:numId w:val="0"/>
        </w:numPr>
        <w:spacing w:after="0"/>
        <w:rPr>
          <w:rFonts w:ascii="Arial Narrow" w:hAnsi="Arial Narrow"/>
          <w:i/>
          <w:iCs/>
          <w:sz w:val="18"/>
          <w:szCs w:val="18"/>
          <w:lang w:bidi="en-US"/>
        </w:rPr>
      </w:pPr>
      <w:r w:rsidRPr="00057CBC">
        <w:rPr>
          <w:rFonts w:ascii="Arial Narrow" w:hAnsi="Arial Narrow"/>
          <w:i/>
          <w:iCs/>
          <w:sz w:val="18"/>
          <w:szCs w:val="18"/>
          <w:vertAlign w:val="superscript"/>
          <w:lang w:bidi="en-US"/>
        </w:rPr>
        <w:t>6</w:t>
      </w:r>
      <w:r w:rsidRPr="00057CBC">
        <w:rPr>
          <w:rFonts w:ascii="Arial Narrow" w:hAnsi="Arial Narrow"/>
          <w:i/>
          <w:iCs/>
          <w:sz w:val="18"/>
          <w:szCs w:val="18"/>
          <w:lang w:bidi="en-US"/>
        </w:rPr>
        <w:t xml:space="preserve"> 90,000 to &lt; 100,000</w:t>
      </w:r>
    </w:p>
    <w:p w14:paraId="40E46F26" w14:textId="339E0677" w:rsidR="005C46D9" w:rsidRPr="00057CBC" w:rsidRDefault="005C46D9" w:rsidP="00057CBC">
      <w:pPr>
        <w:pStyle w:val="3-BodyText"/>
        <w:numPr>
          <w:ilvl w:val="0"/>
          <w:numId w:val="0"/>
        </w:numPr>
        <w:spacing w:after="0"/>
        <w:rPr>
          <w:rFonts w:ascii="Arial Narrow" w:hAnsi="Arial Narrow"/>
          <w:i/>
          <w:iCs/>
          <w:sz w:val="18"/>
          <w:szCs w:val="18"/>
          <w:lang w:bidi="en-US"/>
        </w:rPr>
      </w:pPr>
      <w:r w:rsidRPr="00057CBC">
        <w:rPr>
          <w:rFonts w:ascii="Arial Narrow" w:hAnsi="Arial Narrow"/>
          <w:i/>
          <w:iCs/>
          <w:sz w:val="18"/>
          <w:szCs w:val="18"/>
          <w:vertAlign w:val="superscript"/>
          <w:lang w:bidi="en-US"/>
        </w:rPr>
        <w:t>7</w:t>
      </w:r>
      <w:r w:rsidRPr="00057CBC">
        <w:rPr>
          <w:rFonts w:ascii="Arial Narrow" w:hAnsi="Arial Narrow"/>
          <w:i/>
          <w:iCs/>
          <w:sz w:val="18"/>
          <w:szCs w:val="18"/>
          <w:lang w:bidi="en-US"/>
        </w:rPr>
        <w:t xml:space="preserve"> 500 to &lt; 5,000</w:t>
      </w:r>
    </w:p>
    <w:p w14:paraId="44CC61D1" w14:textId="77777777" w:rsidR="005C46D9" w:rsidRPr="005C46D9" w:rsidRDefault="005C46D9" w:rsidP="00057CBC">
      <w:pPr>
        <w:pStyle w:val="3-BodyText"/>
        <w:numPr>
          <w:ilvl w:val="0"/>
          <w:numId w:val="0"/>
        </w:numPr>
        <w:spacing w:after="0"/>
        <w:rPr>
          <w:rFonts w:eastAsiaTheme="majorEastAsia"/>
        </w:rPr>
      </w:pPr>
    </w:p>
    <w:p w14:paraId="66B42B90" w14:textId="1FCA8ECE" w:rsidR="00C05AB6" w:rsidRPr="00D07E3A" w:rsidRDefault="00C05AB6" w:rsidP="00692DA2">
      <w:pPr>
        <w:sectPr w:rsidR="00C05AB6" w:rsidRPr="00D07E3A" w:rsidSect="001508C5">
          <w:headerReference w:type="default" r:id="rId8"/>
          <w:footerReference w:type="default" r:id="rId9"/>
          <w:pgSz w:w="11906" w:h="16838"/>
          <w:pgMar w:top="1440" w:right="1440" w:bottom="1440" w:left="1440" w:header="1440" w:footer="1440" w:gutter="0"/>
          <w:cols w:space="708"/>
          <w:docGrid w:linePitch="360"/>
        </w:sectPr>
      </w:pPr>
    </w:p>
    <w:p w14:paraId="03F193BB" w14:textId="7DB1A0FB" w:rsidR="00E64937" w:rsidRPr="00D07E3A" w:rsidRDefault="00E64937" w:rsidP="00E64937">
      <w:pPr>
        <w:pStyle w:val="Caption"/>
        <w:rPr>
          <w:color w:val="auto"/>
        </w:rPr>
      </w:pPr>
      <w:bookmarkStart w:id="11" w:name="_Ref150324876"/>
      <w:r w:rsidRPr="00D07E3A">
        <w:rPr>
          <w:color w:val="auto"/>
        </w:rPr>
        <w:t xml:space="preserve">Table </w:t>
      </w:r>
      <w:r w:rsidRPr="00D07E3A">
        <w:rPr>
          <w:color w:val="auto"/>
        </w:rPr>
        <w:fldChar w:fldCharType="begin"/>
      </w:r>
      <w:r w:rsidRPr="00D07E3A">
        <w:rPr>
          <w:color w:val="auto"/>
        </w:rPr>
        <w:instrText xml:space="preserve"> SEQ Table \* ARABIC </w:instrText>
      </w:r>
      <w:r w:rsidRPr="00D07E3A">
        <w:rPr>
          <w:color w:val="auto"/>
        </w:rPr>
        <w:fldChar w:fldCharType="separate"/>
      </w:r>
      <w:r w:rsidR="00FE6944">
        <w:rPr>
          <w:noProof/>
          <w:color w:val="auto"/>
        </w:rPr>
        <w:t>4</w:t>
      </w:r>
      <w:r w:rsidRPr="00D07E3A">
        <w:rPr>
          <w:color w:val="auto"/>
        </w:rPr>
        <w:fldChar w:fldCharType="end"/>
      </w:r>
      <w:bookmarkEnd w:id="11"/>
      <w:r w:rsidRPr="00D07E3A">
        <w:rPr>
          <w:color w:val="auto"/>
        </w:rPr>
        <w:t xml:space="preserve">: </w:t>
      </w:r>
      <w:r w:rsidR="00DA0D39" w:rsidRPr="00D07E3A">
        <w:rPr>
          <w:color w:val="auto"/>
        </w:rPr>
        <w:t>Financial estimates results: ATAGI base-case (high-risk IC and moderate-risk IC)</w:t>
      </w:r>
    </w:p>
    <w:tbl>
      <w:tblPr>
        <w:tblW w:w="5000" w:type="pct"/>
        <w:tblLook w:val="04A0" w:firstRow="1" w:lastRow="0" w:firstColumn="1" w:lastColumn="0" w:noHBand="0" w:noVBand="1"/>
        <w:tblCaption w:val="Table 4: Financial estimates results: ATAGI base-case (high-risk IC and moderate-risk IC)"/>
      </w:tblPr>
      <w:tblGrid>
        <w:gridCol w:w="3994"/>
        <w:gridCol w:w="1618"/>
        <w:gridCol w:w="1227"/>
        <w:gridCol w:w="1423"/>
        <w:gridCol w:w="1423"/>
        <w:gridCol w:w="1423"/>
        <w:gridCol w:w="1423"/>
        <w:gridCol w:w="1417"/>
      </w:tblGrid>
      <w:tr w:rsidR="00E64937" w:rsidRPr="00D07E3A" w14:paraId="67CBCE68" w14:textId="77777777" w:rsidTr="00057CBC">
        <w:trPr>
          <w:trHeight w:val="170"/>
        </w:trPr>
        <w:tc>
          <w:tcPr>
            <w:tcW w:w="1432" w:type="pct"/>
            <w:tcBorders>
              <w:top w:val="single" w:sz="4" w:space="0" w:color="auto"/>
              <w:left w:val="single" w:sz="4" w:space="0" w:color="auto"/>
              <w:bottom w:val="nil"/>
              <w:right w:val="single" w:sz="4" w:space="0" w:color="auto"/>
            </w:tcBorders>
            <w:shd w:val="clear" w:color="000000" w:fill="BFBFBF"/>
            <w:noWrap/>
            <w:hideMark/>
          </w:tcPr>
          <w:p w14:paraId="65BD1B3D" w14:textId="77777777" w:rsidR="00E64937" w:rsidRPr="00D07E3A" w:rsidRDefault="00E64937" w:rsidP="00B964B0">
            <w:pPr>
              <w:spacing w:after="0" w:line="240" w:lineRule="auto"/>
              <w:rPr>
                <w:rFonts w:ascii="Arial Narrow" w:eastAsia="Times New Roman" w:hAnsi="Arial Narrow" w:cs="Calibri"/>
                <w:b/>
                <w:bCs/>
                <w:sz w:val="20"/>
                <w:szCs w:val="20"/>
                <w:lang w:eastAsia="en-AU"/>
              </w:rPr>
            </w:pPr>
            <w:r w:rsidRPr="00D07E3A">
              <w:rPr>
                <w:rFonts w:ascii="Arial Narrow" w:eastAsia="Times New Roman" w:hAnsi="Arial Narrow" w:cs="Calibri"/>
                <w:b/>
                <w:bCs/>
                <w:sz w:val="20"/>
                <w:szCs w:val="20"/>
                <w:lang w:eastAsia="en-AU"/>
              </w:rPr>
              <w:t>Population</w:t>
            </w:r>
          </w:p>
        </w:tc>
        <w:tc>
          <w:tcPr>
            <w:tcW w:w="580" w:type="pct"/>
            <w:tcBorders>
              <w:top w:val="single" w:sz="4" w:space="0" w:color="auto"/>
              <w:left w:val="nil"/>
              <w:bottom w:val="nil"/>
              <w:right w:val="single" w:sz="4" w:space="0" w:color="auto"/>
            </w:tcBorders>
            <w:shd w:val="clear" w:color="000000" w:fill="BFBFBF"/>
            <w:noWrap/>
            <w:hideMark/>
          </w:tcPr>
          <w:p w14:paraId="22CAD6BE" w14:textId="77777777" w:rsidR="00E64937" w:rsidRPr="00D07E3A" w:rsidRDefault="00E64937" w:rsidP="00B964B0">
            <w:pPr>
              <w:spacing w:after="0" w:line="240" w:lineRule="auto"/>
              <w:rPr>
                <w:rFonts w:ascii="Arial Narrow" w:eastAsia="Times New Roman" w:hAnsi="Arial Narrow" w:cs="Calibri"/>
                <w:b/>
                <w:bCs/>
                <w:sz w:val="20"/>
                <w:szCs w:val="20"/>
                <w:lang w:eastAsia="en-AU"/>
              </w:rPr>
            </w:pPr>
            <w:r w:rsidRPr="00D07E3A">
              <w:rPr>
                <w:rFonts w:ascii="Arial Narrow" w:eastAsia="Times New Roman" w:hAnsi="Arial Narrow" w:cs="Calibri"/>
                <w:b/>
                <w:bCs/>
                <w:sz w:val="20"/>
                <w:szCs w:val="20"/>
                <w:lang w:eastAsia="en-AU"/>
              </w:rPr>
              <w:t>Year 1</w:t>
            </w:r>
          </w:p>
        </w:tc>
        <w:tc>
          <w:tcPr>
            <w:tcW w:w="440" w:type="pct"/>
            <w:tcBorders>
              <w:top w:val="single" w:sz="4" w:space="0" w:color="auto"/>
              <w:left w:val="nil"/>
              <w:bottom w:val="nil"/>
              <w:right w:val="single" w:sz="4" w:space="0" w:color="auto"/>
            </w:tcBorders>
            <w:shd w:val="clear" w:color="000000" w:fill="BFBFBF"/>
            <w:noWrap/>
            <w:hideMark/>
          </w:tcPr>
          <w:p w14:paraId="5A9CF9DC" w14:textId="77777777" w:rsidR="00E64937" w:rsidRPr="00D07E3A" w:rsidRDefault="00E64937" w:rsidP="00B964B0">
            <w:pPr>
              <w:spacing w:after="0" w:line="240" w:lineRule="auto"/>
              <w:rPr>
                <w:rFonts w:ascii="Arial Narrow" w:eastAsia="Times New Roman" w:hAnsi="Arial Narrow" w:cs="Calibri"/>
                <w:b/>
                <w:bCs/>
                <w:sz w:val="20"/>
                <w:szCs w:val="20"/>
                <w:lang w:eastAsia="en-AU"/>
              </w:rPr>
            </w:pPr>
            <w:r w:rsidRPr="00D07E3A">
              <w:rPr>
                <w:rFonts w:ascii="Arial Narrow" w:eastAsia="Times New Roman" w:hAnsi="Arial Narrow" w:cs="Calibri"/>
                <w:b/>
                <w:bCs/>
                <w:sz w:val="20"/>
                <w:szCs w:val="20"/>
                <w:lang w:eastAsia="en-AU"/>
              </w:rPr>
              <w:t>Year 2</w:t>
            </w:r>
          </w:p>
        </w:tc>
        <w:tc>
          <w:tcPr>
            <w:tcW w:w="510" w:type="pct"/>
            <w:tcBorders>
              <w:top w:val="single" w:sz="4" w:space="0" w:color="auto"/>
              <w:left w:val="nil"/>
              <w:bottom w:val="nil"/>
              <w:right w:val="single" w:sz="4" w:space="0" w:color="auto"/>
            </w:tcBorders>
            <w:shd w:val="clear" w:color="000000" w:fill="BFBFBF"/>
            <w:noWrap/>
            <w:hideMark/>
          </w:tcPr>
          <w:p w14:paraId="532A47A9" w14:textId="77777777" w:rsidR="00E64937" w:rsidRPr="00D07E3A" w:rsidRDefault="00E64937" w:rsidP="00B964B0">
            <w:pPr>
              <w:spacing w:after="0" w:line="240" w:lineRule="auto"/>
              <w:rPr>
                <w:rFonts w:ascii="Arial Narrow" w:eastAsia="Times New Roman" w:hAnsi="Arial Narrow" w:cs="Calibri"/>
                <w:b/>
                <w:bCs/>
                <w:sz w:val="20"/>
                <w:szCs w:val="20"/>
                <w:lang w:eastAsia="en-AU"/>
              </w:rPr>
            </w:pPr>
            <w:r w:rsidRPr="00D07E3A">
              <w:rPr>
                <w:rFonts w:ascii="Arial Narrow" w:eastAsia="Times New Roman" w:hAnsi="Arial Narrow" w:cs="Calibri"/>
                <w:b/>
                <w:bCs/>
                <w:sz w:val="20"/>
                <w:szCs w:val="20"/>
                <w:lang w:eastAsia="en-AU"/>
              </w:rPr>
              <w:t>Year 3</w:t>
            </w:r>
          </w:p>
        </w:tc>
        <w:tc>
          <w:tcPr>
            <w:tcW w:w="510" w:type="pct"/>
            <w:tcBorders>
              <w:top w:val="single" w:sz="4" w:space="0" w:color="auto"/>
              <w:left w:val="nil"/>
              <w:bottom w:val="nil"/>
              <w:right w:val="single" w:sz="4" w:space="0" w:color="auto"/>
            </w:tcBorders>
            <w:shd w:val="clear" w:color="000000" w:fill="BFBFBF"/>
            <w:noWrap/>
            <w:hideMark/>
          </w:tcPr>
          <w:p w14:paraId="180BF6F6" w14:textId="77777777" w:rsidR="00E64937" w:rsidRPr="00D07E3A" w:rsidRDefault="00E64937" w:rsidP="00B964B0">
            <w:pPr>
              <w:spacing w:after="0" w:line="240" w:lineRule="auto"/>
              <w:rPr>
                <w:rFonts w:ascii="Arial Narrow" w:eastAsia="Times New Roman" w:hAnsi="Arial Narrow" w:cs="Calibri"/>
                <w:b/>
                <w:bCs/>
                <w:sz w:val="20"/>
                <w:szCs w:val="20"/>
                <w:lang w:eastAsia="en-AU"/>
              </w:rPr>
            </w:pPr>
            <w:r w:rsidRPr="00D07E3A">
              <w:rPr>
                <w:rFonts w:ascii="Arial Narrow" w:eastAsia="Times New Roman" w:hAnsi="Arial Narrow" w:cs="Calibri"/>
                <w:b/>
                <w:bCs/>
                <w:sz w:val="20"/>
                <w:szCs w:val="20"/>
                <w:lang w:eastAsia="en-AU"/>
              </w:rPr>
              <w:t>Year 4</w:t>
            </w:r>
          </w:p>
        </w:tc>
        <w:tc>
          <w:tcPr>
            <w:tcW w:w="510" w:type="pct"/>
            <w:tcBorders>
              <w:top w:val="single" w:sz="4" w:space="0" w:color="auto"/>
              <w:left w:val="nil"/>
              <w:bottom w:val="nil"/>
              <w:right w:val="single" w:sz="4" w:space="0" w:color="auto"/>
            </w:tcBorders>
            <w:shd w:val="clear" w:color="000000" w:fill="BFBFBF"/>
            <w:noWrap/>
            <w:hideMark/>
          </w:tcPr>
          <w:p w14:paraId="1E0E09AB" w14:textId="77777777" w:rsidR="00E64937" w:rsidRPr="00D07E3A" w:rsidRDefault="00E64937" w:rsidP="00B964B0">
            <w:pPr>
              <w:spacing w:after="0" w:line="240" w:lineRule="auto"/>
              <w:rPr>
                <w:rFonts w:ascii="Arial Narrow" w:eastAsia="Times New Roman" w:hAnsi="Arial Narrow" w:cs="Calibri"/>
                <w:b/>
                <w:bCs/>
                <w:sz w:val="20"/>
                <w:szCs w:val="20"/>
                <w:lang w:eastAsia="en-AU"/>
              </w:rPr>
            </w:pPr>
            <w:r w:rsidRPr="00D07E3A">
              <w:rPr>
                <w:rFonts w:ascii="Arial Narrow" w:eastAsia="Times New Roman" w:hAnsi="Arial Narrow" w:cs="Calibri"/>
                <w:b/>
                <w:bCs/>
                <w:sz w:val="20"/>
                <w:szCs w:val="20"/>
                <w:lang w:eastAsia="en-AU"/>
              </w:rPr>
              <w:t>Year 5</w:t>
            </w:r>
          </w:p>
        </w:tc>
        <w:tc>
          <w:tcPr>
            <w:tcW w:w="510" w:type="pct"/>
            <w:tcBorders>
              <w:top w:val="single" w:sz="4" w:space="0" w:color="auto"/>
              <w:left w:val="nil"/>
              <w:bottom w:val="nil"/>
              <w:right w:val="single" w:sz="4" w:space="0" w:color="auto"/>
            </w:tcBorders>
            <w:shd w:val="clear" w:color="000000" w:fill="BFBFBF"/>
            <w:noWrap/>
            <w:hideMark/>
          </w:tcPr>
          <w:p w14:paraId="1B95B7D8" w14:textId="77777777" w:rsidR="00E64937" w:rsidRPr="00D07E3A" w:rsidRDefault="00E64937" w:rsidP="00B964B0">
            <w:pPr>
              <w:spacing w:after="0" w:line="240" w:lineRule="auto"/>
              <w:rPr>
                <w:rFonts w:ascii="Arial Narrow" w:eastAsia="Times New Roman" w:hAnsi="Arial Narrow" w:cs="Calibri"/>
                <w:b/>
                <w:bCs/>
                <w:sz w:val="20"/>
                <w:szCs w:val="20"/>
                <w:lang w:eastAsia="en-AU"/>
              </w:rPr>
            </w:pPr>
            <w:r w:rsidRPr="00D07E3A">
              <w:rPr>
                <w:rFonts w:ascii="Arial Narrow" w:eastAsia="Times New Roman" w:hAnsi="Arial Narrow" w:cs="Calibri"/>
                <w:b/>
                <w:bCs/>
                <w:sz w:val="20"/>
                <w:szCs w:val="20"/>
                <w:lang w:eastAsia="en-AU"/>
              </w:rPr>
              <w:t>Year 6</w:t>
            </w:r>
          </w:p>
        </w:tc>
        <w:tc>
          <w:tcPr>
            <w:tcW w:w="508" w:type="pct"/>
            <w:tcBorders>
              <w:top w:val="single" w:sz="4" w:space="0" w:color="auto"/>
              <w:left w:val="nil"/>
              <w:bottom w:val="nil"/>
              <w:right w:val="single" w:sz="4" w:space="0" w:color="auto"/>
            </w:tcBorders>
            <w:shd w:val="clear" w:color="000000" w:fill="BFBFBF"/>
            <w:noWrap/>
            <w:hideMark/>
          </w:tcPr>
          <w:p w14:paraId="59BAA153" w14:textId="77777777" w:rsidR="00E64937" w:rsidRPr="00D07E3A" w:rsidRDefault="00E64937" w:rsidP="00B964B0">
            <w:pPr>
              <w:spacing w:after="0" w:line="240" w:lineRule="auto"/>
              <w:rPr>
                <w:rFonts w:ascii="Arial Narrow" w:eastAsia="Times New Roman" w:hAnsi="Arial Narrow" w:cs="Calibri"/>
                <w:b/>
                <w:bCs/>
                <w:sz w:val="20"/>
                <w:szCs w:val="20"/>
                <w:lang w:eastAsia="en-AU"/>
              </w:rPr>
            </w:pPr>
            <w:r w:rsidRPr="00D07E3A">
              <w:rPr>
                <w:rFonts w:ascii="Arial Narrow" w:eastAsia="Times New Roman" w:hAnsi="Arial Narrow" w:cs="Calibri"/>
                <w:b/>
                <w:bCs/>
                <w:sz w:val="20"/>
                <w:szCs w:val="20"/>
                <w:lang w:eastAsia="en-AU"/>
              </w:rPr>
              <w:t>Total</w:t>
            </w:r>
          </w:p>
        </w:tc>
      </w:tr>
      <w:tr w:rsidR="00E64937" w:rsidRPr="00D07E3A" w14:paraId="122F61EB" w14:textId="77777777" w:rsidTr="00057CBC">
        <w:trPr>
          <w:trHeight w:val="170"/>
        </w:trPr>
        <w:tc>
          <w:tcPr>
            <w:tcW w:w="1432" w:type="pct"/>
            <w:tcBorders>
              <w:top w:val="single" w:sz="4" w:space="0" w:color="auto"/>
              <w:left w:val="single" w:sz="4" w:space="0" w:color="auto"/>
              <w:bottom w:val="single" w:sz="4" w:space="0" w:color="auto"/>
              <w:right w:val="nil"/>
            </w:tcBorders>
            <w:shd w:val="clear" w:color="000000" w:fill="D9D9D9"/>
            <w:noWrap/>
            <w:hideMark/>
          </w:tcPr>
          <w:p w14:paraId="10BA6325" w14:textId="77777777" w:rsidR="00E64937" w:rsidRPr="00D07E3A" w:rsidRDefault="00E64937" w:rsidP="00B964B0">
            <w:pPr>
              <w:spacing w:after="0" w:line="240" w:lineRule="auto"/>
              <w:rPr>
                <w:rFonts w:ascii="Arial Narrow" w:eastAsia="Times New Roman" w:hAnsi="Arial Narrow" w:cs="Calibri"/>
                <w:b/>
                <w:bCs/>
                <w:sz w:val="20"/>
                <w:szCs w:val="20"/>
                <w:lang w:eastAsia="en-AU"/>
              </w:rPr>
            </w:pPr>
            <w:r w:rsidRPr="00D07E3A">
              <w:rPr>
                <w:rFonts w:ascii="Arial Narrow" w:eastAsia="Times New Roman" w:hAnsi="Arial Narrow" w:cs="Calibri"/>
                <w:b/>
                <w:bCs/>
                <w:sz w:val="20"/>
                <w:szCs w:val="20"/>
                <w:lang w:eastAsia="en-AU"/>
              </w:rPr>
              <w:t>Persons vaccinated</w:t>
            </w:r>
          </w:p>
        </w:tc>
        <w:tc>
          <w:tcPr>
            <w:tcW w:w="580" w:type="pct"/>
            <w:tcBorders>
              <w:top w:val="single" w:sz="4" w:space="0" w:color="auto"/>
              <w:left w:val="nil"/>
              <w:bottom w:val="single" w:sz="4" w:space="0" w:color="auto"/>
              <w:right w:val="nil"/>
            </w:tcBorders>
            <w:shd w:val="clear" w:color="000000" w:fill="D9D9D9"/>
            <w:noWrap/>
            <w:hideMark/>
          </w:tcPr>
          <w:p w14:paraId="597A437A" w14:textId="77777777" w:rsidR="00E64937" w:rsidRPr="00D07E3A" w:rsidRDefault="00E64937" w:rsidP="00B964B0">
            <w:pPr>
              <w:spacing w:after="0" w:line="240" w:lineRule="auto"/>
              <w:rPr>
                <w:rFonts w:ascii="Arial Narrow" w:eastAsia="Times New Roman" w:hAnsi="Arial Narrow" w:cs="Calibri"/>
                <w:b/>
                <w:bCs/>
                <w:sz w:val="20"/>
                <w:szCs w:val="20"/>
                <w:lang w:eastAsia="en-AU"/>
              </w:rPr>
            </w:pPr>
            <w:r w:rsidRPr="00D07E3A">
              <w:rPr>
                <w:rFonts w:ascii="Arial Narrow" w:hAnsi="Arial Narrow" w:cs="Calibri"/>
                <w:b/>
                <w:sz w:val="20"/>
                <w:szCs w:val="20"/>
              </w:rPr>
              <w:t> </w:t>
            </w:r>
          </w:p>
        </w:tc>
        <w:tc>
          <w:tcPr>
            <w:tcW w:w="440" w:type="pct"/>
            <w:tcBorders>
              <w:top w:val="single" w:sz="4" w:space="0" w:color="auto"/>
              <w:left w:val="nil"/>
              <w:bottom w:val="single" w:sz="4" w:space="0" w:color="auto"/>
              <w:right w:val="nil"/>
            </w:tcBorders>
            <w:shd w:val="clear" w:color="000000" w:fill="D9D9D9"/>
            <w:noWrap/>
            <w:hideMark/>
          </w:tcPr>
          <w:p w14:paraId="427B92A3" w14:textId="77777777" w:rsidR="00E64937" w:rsidRPr="00D07E3A" w:rsidRDefault="00E64937" w:rsidP="00B964B0">
            <w:pPr>
              <w:spacing w:after="0" w:line="240" w:lineRule="auto"/>
              <w:rPr>
                <w:rFonts w:ascii="Arial Narrow" w:eastAsia="Times New Roman" w:hAnsi="Arial Narrow" w:cs="Calibri"/>
                <w:b/>
                <w:bCs/>
                <w:sz w:val="20"/>
                <w:szCs w:val="20"/>
                <w:lang w:eastAsia="en-AU"/>
              </w:rPr>
            </w:pPr>
            <w:r w:rsidRPr="00D07E3A">
              <w:rPr>
                <w:rFonts w:ascii="Arial Narrow" w:hAnsi="Arial Narrow" w:cs="Calibri"/>
                <w:b/>
                <w:sz w:val="20"/>
                <w:szCs w:val="20"/>
              </w:rPr>
              <w:t> </w:t>
            </w:r>
          </w:p>
        </w:tc>
        <w:tc>
          <w:tcPr>
            <w:tcW w:w="510" w:type="pct"/>
            <w:tcBorders>
              <w:top w:val="single" w:sz="4" w:space="0" w:color="auto"/>
              <w:left w:val="nil"/>
              <w:bottom w:val="single" w:sz="4" w:space="0" w:color="auto"/>
              <w:right w:val="nil"/>
            </w:tcBorders>
            <w:shd w:val="clear" w:color="000000" w:fill="D9D9D9"/>
            <w:noWrap/>
            <w:hideMark/>
          </w:tcPr>
          <w:p w14:paraId="19B53F99" w14:textId="77777777" w:rsidR="00E64937" w:rsidRPr="00D07E3A" w:rsidRDefault="00E64937" w:rsidP="00B964B0">
            <w:pPr>
              <w:spacing w:after="0" w:line="240" w:lineRule="auto"/>
              <w:rPr>
                <w:rFonts w:ascii="Arial Narrow" w:eastAsia="Times New Roman" w:hAnsi="Arial Narrow" w:cs="Calibri"/>
                <w:b/>
                <w:bCs/>
                <w:sz w:val="20"/>
                <w:szCs w:val="20"/>
                <w:lang w:eastAsia="en-AU"/>
              </w:rPr>
            </w:pPr>
            <w:r w:rsidRPr="00D07E3A">
              <w:rPr>
                <w:rFonts w:ascii="Arial Narrow" w:hAnsi="Arial Narrow" w:cs="Calibri"/>
                <w:b/>
                <w:sz w:val="20"/>
                <w:szCs w:val="20"/>
              </w:rPr>
              <w:t> </w:t>
            </w:r>
          </w:p>
        </w:tc>
        <w:tc>
          <w:tcPr>
            <w:tcW w:w="510" w:type="pct"/>
            <w:tcBorders>
              <w:top w:val="single" w:sz="4" w:space="0" w:color="auto"/>
              <w:left w:val="nil"/>
              <w:bottom w:val="single" w:sz="4" w:space="0" w:color="auto"/>
              <w:right w:val="nil"/>
            </w:tcBorders>
            <w:shd w:val="clear" w:color="000000" w:fill="D9D9D9"/>
            <w:noWrap/>
            <w:hideMark/>
          </w:tcPr>
          <w:p w14:paraId="595595E4" w14:textId="77777777" w:rsidR="00E64937" w:rsidRPr="00D07E3A" w:rsidRDefault="00E64937" w:rsidP="00B964B0">
            <w:pPr>
              <w:spacing w:after="0" w:line="240" w:lineRule="auto"/>
              <w:rPr>
                <w:rFonts w:ascii="Arial Narrow" w:eastAsia="Times New Roman" w:hAnsi="Arial Narrow" w:cs="Calibri"/>
                <w:b/>
                <w:bCs/>
                <w:sz w:val="20"/>
                <w:szCs w:val="20"/>
                <w:lang w:eastAsia="en-AU"/>
              </w:rPr>
            </w:pPr>
            <w:r w:rsidRPr="00D07E3A">
              <w:rPr>
                <w:rFonts w:ascii="Arial Narrow" w:hAnsi="Arial Narrow" w:cs="Calibri"/>
                <w:b/>
                <w:sz w:val="20"/>
                <w:szCs w:val="20"/>
              </w:rPr>
              <w:t> </w:t>
            </w:r>
          </w:p>
        </w:tc>
        <w:tc>
          <w:tcPr>
            <w:tcW w:w="510" w:type="pct"/>
            <w:tcBorders>
              <w:top w:val="single" w:sz="4" w:space="0" w:color="auto"/>
              <w:left w:val="nil"/>
              <w:bottom w:val="single" w:sz="4" w:space="0" w:color="auto"/>
              <w:right w:val="nil"/>
            </w:tcBorders>
            <w:shd w:val="clear" w:color="000000" w:fill="D9D9D9"/>
            <w:noWrap/>
            <w:hideMark/>
          </w:tcPr>
          <w:p w14:paraId="43642657" w14:textId="77777777" w:rsidR="00E64937" w:rsidRPr="00D07E3A" w:rsidRDefault="00E64937" w:rsidP="00B964B0">
            <w:pPr>
              <w:spacing w:after="0" w:line="240" w:lineRule="auto"/>
              <w:rPr>
                <w:rFonts w:ascii="Arial Narrow" w:eastAsia="Times New Roman" w:hAnsi="Arial Narrow" w:cs="Calibri"/>
                <w:b/>
                <w:bCs/>
                <w:sz w:val="20"/>
                <w:szCs w:val="20"/>
                <w:lang w:eastAsia="en-AU"/>
              </w:rPr>
            </w:pPr>
            <w:r w:rsidRPr="00D07E3A">
              <w:rPr>
                <w:rFonts w:ascii="Arial Narrow" w:hAnsi="Arial Narrow" w:cs="Calibri"/>
                <w:b/>
                <w:sz w:val="20"/>
                <w:szCs w:val="20"/>
              </w:rPr>
              <w:t> </w:t>
            </w:r>
          </w:p>
        </w:tc>
        <w:tc>
          <w:tcPr>
            <w:tcW w:w="510" w:type="pct"/>
            <w:tcBorders>
              <w:top w:val="single" w:sz="4" w:space="0" w:color="auto"/>
              <w:left w:val="nil"/>
              <w:bottom w:val="single" w:sz="4" w:space="0" w:color="auto"/>
              <w:right w:val="nil"/>
            </w:tcBorders>
            <w:shd w:val="clear" w:color="000000" w:fill="D9D9D9"/>
            <w:noWrap/>
            <w:hideMark/>
          </w:tcPr>
          <w:p w14:paraId="741FC1A0" w14:textId="77777777" w:rsidR="00E64937" w:rsidRPr="00D07E3A" w:rsidRDefault="00E64937" w:rsidP="00B964B0">
            <w:pPr>
              <w:spacing w:after="0" w:line="240" w:lineRule="auto"/>
              <w:rPr>
                <w:rFonts w:ascii="Arial Narrow" w:eastAsia="Times New Roman" w:hAnsi="Arial Narrow" w:cs="Calibri"/>
                <w:b/>
                <w:bCs/>
                <w:sz w:val="20"/>
                <w:szCs w:val="20"/>
                <w:lang w:eastAsia="en-AU"/>
              </w:rPr>
            </w:pPr>
            <w:r w:rsidRPr="00D07E3A">
              <w:rPr>
                <w:rFonts w:ascii="Arial Narrow" w:hAnsi="Arial Narrow" w:cs="Calibri"/>
                <w:b/>
                <w:sz w:val="20"/>
                <w:szCs w:val="20"/>
              </w:rPr>
              <w:t> </w:t>
            </w:r>
          </w:p>
        </w:tc>
        <w:tc>
          <w:tcPr>
            <w:tcW w:w="508" w:type="pct"/>
            <w:tcBorders>
              <w:top w:val="single" w:sz="4" w:space="0" w:color="auto"/>
              <w:left w:val="nil"/>
              <w:bottom w:val="single" w:sz="4" w:space="0" w:color="auto"/>
              <w:right w:val="single" w:sz="4" w:space="0" w:color="auto"/>
            </w:tcBorders>
            <w:shd w:val="clear" w:color="000000" w:fill="D9D9D9"/>
            <w:noWrap/>
            <w:hideMark/>
          </w:tcPr>
          <w:p w14:paraId="01541828" w14:textId="77777777" w:rsidR="00E64937" w:rsidRPr="00D07E3A" w:rsidRDefault="00E64937" w:rsidP="00B964B0">
            <w:pPr>
              <w:spacing w:after="0" w:line="240" w:lineRule="auto"/>
              <w:rPr>
                <w:rFonts w:ascii="Arial Narrow" w:eastAsia="Times New Roman" w:hAnsi="Arial Narrow" w:cs="Calibri"/>
                <w:b/>
                <w:bCs/>
                <w:sz w:val="20"/>
                <w:szCs w:val="20"/>
                <w:lang w:eastAsia="en-AU"/>
              </w:rPr>
            </w:pPr>
            <w:r w:rsidRPr="00D07E3A">
              <w:rPr>
                <w:rFonts w:ascii="Arial Narrow" w:hAnsi="Arial Narrow" w:cs="Calibri"/>
                <w:b/>
                <w:sz w:val="20"/>
                <w:szCs w:val="20"/>
              </w:rPr>
              <w:t> </w:t>
            </w:r>
          </w:p>
        </w:tc>
      </w:tr>
      <w:tr w:rsidR="00E64937" w:rsidRPr="00D07E3A" w14:paraId="04CBDDD9" w14:textId="77777777" w:rsidTr="00057CBC">
        <w:trPr>
          <w:trHeight w:val="170"/>
        </w:trPr>
        <w:tc>
          <w:tcPr>
            <w:tcW w:w="1432" w:type="pct"/>
            <w:tcBorders>
              <w:top w:val="nil"/>
              <w:left w:val="single" w:sz="4" w:space="0" w:color="auto"/>
              <w:bottom w:val="single" w:sz="4" w:space="0" w:color="auto"/>
              <w:right w:val="single" w:sz="4" w:space="0" w:color="auto"/>
            </w:tcBorders>
            <w:shd w:val="clear" w:color="000000" w:fill="F2F2F2"/>
            <w:noWrap/>
            <w:hideMark/>
          </w:tcPr>
          <w:p w14:paraId="3ECC2E5E" w14:textId="77777777" w:rsidR="00E64937" w:rsidRPr="00D07E3A" w:rsidRDefault="00E64937" w:rsidP="00B964B0">
            <w:pPr>
              <w:spacing w:after="0" w:line="240" w:lineRule="auto"/>
              <w:rPr>
                <w:rFonts w:ascii="Arial Narrow" w:eastAsia="Times New Roman" w:hAnsi="Arial Narrow" w:cs="Calibri"/>
                <w:sz w:val="20"/>
                <w:szCs w:val="20"/>
                <w:lang w:eastAsia="en-AU"/>
              </w:rPr>
            </w:pPr>
            <w:r w:rsidRPr="00D07E3A">
              <w:rPr>
                <w:rFonts w:ascii="Arial Narrow" w:eastAsia="Times New Roman" w:hAnsi="Arial Narrow" w:cs="Calibri"/>
                <w:sz w:val="20"/>
                <w:szCs w:val="20"/>
                <w:lang w:eastAsia="en-AU"/>
              </w:rPr>
              <w:t>Additional NIP cohorts</w:t>
            </w:r>
          </w:p>
        </w:tc>
        <w:tc>
          <w:tcPr>
            <w:tcW w:w="580" w:type="pct"/>
            <w:tcBorders>
              <w:top w:val="nil"/>
              <w:left w:val="nil"/>
              <w:bottom w:val="single" w:sz="4" w:space="0" w:color="auto"/>
              <w:right w:val="single" w:sz="4" w:space="0" w:color="auto"/>
            </w:tcBorders>
            <w:shd w:val="clear" w:color="000000" w:fill="F2F2F2"/>
            <w:noWrap/>
            <w:hideMark/>
          </w:tcPr>
          <w:p w14:paraId="3A1BA1C1" w14:textId="67F8D34B"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1</w:t>
            </w:r>
          </w:p>
        </w:tc>
        <w:tc>
          <w:tcPr>
            <w:tcW w:w="440" w:type="pct"/>
            <w:tcBorders>
              <w:top w:val="nil"/>
              <w:left w:val="nil"/>
              <w:bottom w:val="single" w:sz="4" w:space="0" w:color="auto"/>
              <w:right w:val="single" w:sz="4" w:space="0" w:color="auto"/>
            </w:tcBorders>
            <w:shd w:val="clear" w:color="000000" w:fill="F2F2F2"/>
            <w:noWrap/>
            <w:hideMark/>
          </w:tcPr>
          <w:p w14:paraId="511943ED" w14:textId="5631AB31"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2</w:t>
            </w:r>
          </w:p>
        </w:tc>
        <w:tc>
          <w:tcPr>
            <w:tcW w:w="510" w:type="pct"/>
            <w:tcBorders>
              <w:top w:val="nil"/>
              <w:left w:val="nil"/>
              <w:bottom w:val="single" w:sz="4" w:space="0" w:color="auto"/>
              <w:right w:val="single" w:sz="4" w:space="0" w:color="auto"/>
            </w:tcBorders>
            <w:shd w:val="clear" w:color="000000" w:fill="F2F2F2"/>
            <w:noWrap/>
            <w:hideMark/>
          </w:tcPr>
          <w:p w14:paraId="514FBAA1" w14:textId="414FEC92"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3</w:t>
            </w:r>
          </w:p>
        </w:tc>
        <w:tc>
          <w:tcPr>
            <w:tcW w:w="510" w:type="pct"/>
            <w:tcBorders>
              <w:top w:val="nil"/>
              <w:left w:val="nil"/>
              <w:bottom w:val="single" w:sz="4" w:space="0" w:color="auto"/>
              <w:right w:val="single" w:sz="4" w:space="0" w:color="auto"/>
            </w:tcBorders>
            <w:shd w:val="clear" w:color="000000" w:fill="F2F2F2"/>
            <w:noWrap/>
            <w:hideMark/>
          </w:tcPr>
          <w:p w14:paraId="7AB7A307" w14:textId="78616D3E"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3</w:t>
            </w:r>
          </w:p>
        </w:tc>
        <w:tc>
          <w:tcPr>
            <w:tcW w:w="510" w:type="pct"/>
            <w:tcBorders>
              <w:top w:val="nil"/>
              <w:left w:val="nil"/>
              <w:bottom w:val="single" w:sz="4" w:space="0" w:color="auto"/>
              <w:right w:val="single" w:sz="4" w:space="0" w:color="auto"/>
            </w:tcBorders>
            <w:shd w:val="clear" w:color="000000" w:fill="F2F2F2"/>
            <w:noWrap/>
            <w:hideMark/>
          </w:tcPr>
          <w:p w14:paraId="71F63D00" w14:textId="6D4CA698"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4</w:t>
            </w:r>
          </w:p>
        </w:tc>
        <w:tc>
          <w:tcPr>
            <w:tcW w:w="510" w:type="pct"/>
            <w:tcBorders>
              <w:top w:val="nil"/>
              <w:left w:val="nil"/>
              <w:bottom w:val="single" w:sz="4" w:space="0" w:color="auto"/>
              <w:right w:val="single" w:sz="4" w:space="0" w:color="auto"/>
            </w:tcBorders>
            <w:shd w:val="clear" w:color="000000" w:fill="F2F2F2"/>
            <w:noWrap/>
            <w:hideMark/>
          </w:tcPr>
          <w:p w14:paraId="0E8F13C7" w14:textId="2390F480"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4</w:t>
            </w:r>
          </w:p>
        </w:tc>
        <w:tc>
          <w:tcPr>
            <w:tcW w:w="508" w:type="pct"/>
            <w:tcBorders>
              <w:top w:val="nil"/>
              <w:left w:val="nil"/>
              <w:bottom w:val="single" w:sz="4" w:space="0" w:color="auto"/>
              <w:right w:val="single" w:sz="4" w:space="0" w:color="auto"/>
            </w:tcBorders>
            <w:shd w:val="clear" w:color="000000" w:fill="F2F2F2"/>
            <w:noWrap/>
            <w:hideMark/>
          </w:tcPr>
          <w:p w14:paraId="21F666A0" w14:textId="35815DF0"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5</w:t>
            </w:r>
          </w:p>
        </w:tc>
      </w:tr>
      <w:tr w:rsidR="00E64937" w:rsidRPr="00D07E3A" w14:paraId="0D7A6423" w14:textId="77777777" w:rsidTr="00057CBC">
        <w:trPr>
          <w:trHeight w:val="170"/>
        </w:trPr>
        <w:tc>
          <w:tcPr>
            <w:tcW w:w="1432" w:type="pct"/>
            <w:tcBorders>
              <w:top w:val="nil"/>
              <w:left w:val="single" w:sz="4" w:space="0" w:color="auto"/>
              <w:bottom w:val="single" w:sz="4" w:space="0" w:color="auto"/>
              <w:right w:val="single" w:sz="4" w:space="0" w:color="auto"/>
            </w:tcBorders>
            <w:shd w:val="clear" w:color="auto" w:fill="auto"/>
            <w:noWrap/>
            <w:hideMark/>
          </w:tcPr>
          <w:p w14:paraId="1C0A7985" w14:textId="77777777" w:rsidR="00E64937" w:rsidRPr="00D07E3A" w:rsidRDefault="00E64937" w:rsidP="00B964B0">
            <w:pPr>
              <w:spacing w:after="0" w:line="240" w:lineRule="auto"/>
              <w:rPr>
                <w:rFonts w:ascii="Arial Narrow" w:eastAsia="Times New Roman" w:hAnsi="Arial Narrow" w:cs="Calibri"/>
                <w:sz w:val="20"/>
                <w:szCs w:val="20"/>
                <w:lang w:eastAsia="en-AU"/>
              </w:rPr>
            </w:pPr>
            <w:r w:rsidRPr="00D07E3A">
              <w:rPr>
                <w:rFonts w:ascii="Arial Narrow" w:eastAsia="Times New Roman" w:hAnsi="Arial Narrow" w:cs="Calibri"/>
                <w:sz w:val="20"/>
                <w:szCs w:val="20"/>
                <w:lang w:eastAsia="en-AU"/>
              </w:rPr>
              <w:t>High-risk IC ≥18 YOA</w:t>
            </w:r>
          </w:p>
        </w:tc>
        <w:tc>
          <w:tcPr>
            <w:tcW w:w="580" w:type="pct"/>
            <w:tcBorders>
              <w:top w:val="nil"/>
              <w:left w:val="nil"/>
              <w:bottom w:val="single" w:sz="4" w:space="0" w:color="auto"/>
              <w:right w:val="single" w:sz="4" w:space="0" w:color="auto"/>
            </w:tcBorders>
            <w:shd w:val="clear" w:color="auto" w:fill="auto"/>
            <w:noWrap/>
            <w:hideMark/>
          </w:tcPr>
          <w:p w14:paraId="58E492D2" w14:textId="5EB6C65B"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6</w:t>
            </w:r>
          </w:p>
        </w:tc>
        <w:tc>
          <w:tcPr>
            <w:tcW w:w="440" w:type="pct"/>
            <w:tcBorders>
              <w:top w:val="nil"/>
              <w:left w:val="nil"/>
              <w:bottom w:val="single" w:sz="4" w:space="0" w:color="auto"/>
              <w:right w:val="single" w:sz="4" w:space="0" w:color="auto"/>
            </w:tcBorders>
            <w:shd w:val="clear" w:color="auto" w:fill="auto"/>
            <w:noWrap/>
            <w:hideMark/>
          </w:tcPr>
          <w:p w14:paraId="53E16245" w14:textId="6D6A45CD"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7</w:t>
            </w:r>
          </w:p>
        </w:tc>
        <w:tc>
          <w:tcPr>
            <w:tcW w:w="510" w:type="pct"/>
            <w:tcBorders>
              <w:top w:val="nil"/>
              <w:left w:val="nil"/>
              <w:bottom w:val="single" w:sz="4" w:space="0" w:color="auto"/>
              <w:right w:val="single" w:sz="4" w:space="0" w:color="auto"/>
            </w:tcBorders>
            <w:shd w:val="clear" w:color="auto" w:fill="auto"/>
            <w:noWrap/>
            <w:hideMark/>
          </w:tcPr>
          <w:p w14:paraId="0883E50F" w14:textId="464216CB"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8</w:t>
            </w:r>
          </w:p>
        </w:tc>
        <w:tc>
          <w:tcPr>
            <w:tcW w:w="510" w:type="pct"/>
            <w:tcBorders>
              <w:top w:val="nil"/>
              <w:left w:val="nil"/>
              <w:bottom w:val="single" w:sz="4" w:space="0" w:color="auto"/>
              <w:right w:val="single" w:sz="4" w:space="0" w:color="auto"/>
            </w:tcBorders>
            <w:shd w:val="clear" w:color="auto" w:fill="auto"/>
            <w:noWrap/>
            <w:hideMark/>
          </w:tcPr>
          <w:p w14:paraId="46F72AD1" w14:textId="3DB61D0B"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8</w:t>
            </w:r>
          </w:p>
        </w:tc>
        <w:tc>
          <w:tcPr>
            <w:tcW w:w="510" w:type="pct"/>
            <w:tcBorders>
              <w:top w:val="nil"/>
              <w:left w:val="nil"/>
              <w:bottom w:val="single" w:sz="4" w:space="0" w:color="auto"/>
              <w:right w:val="single" w:sz="4" w:space="0" w:color="auto"/>
            </w:tcBorders>
            <w:shd w:val="clear" w:color="auto" w:fill="auto"/>
            <w:noWrap/>
            <w:hideMark/>
          </w:tcPr>
          <w:p w14:paraId="133280E0" w14:textId="7C279A1E"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9</w:t>
            </w:r>
          </w:p>
        </w:tc>
        <w:tc>
          <w:tcPr>
            <w:tcW w:w="510" w:type="pct"/>
            <w:tcBorders>
              <w:top w:val="nil"/>
              <w:left w:val="nil"/>
              <w:bottom w:val="single" w:sz="4" w:space="0" w:color="auto"/>
              <w:right w:val="single" w:sz="4" w:space="0" w:color="auto"/>
            </w:tcBorders>
            <w:shd w:val="clear" w:color="auto" w:fill="auto"/>
            <w:noWrap/>
            <w:hideMark/>
          </w:tcPr>
          <w:p w14:paraId="1386C8E6" w14:textId="15DD39C5"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9</w:t>
            </w:r>
          </w:p>
        </w:tc>
        <w:tc>
          <w:tcPr>
            <w:tcW w:w="508" w:type="pct"/>
            <w:tcBorders>
              <w:top w:val="nil"/>
              <w:left w:val="nil"/>
              <w:bottom w:val="single" w:sz="4" w:space="0" w:color="auto"/>
              <w:right w:val="single" w:sz="4" w:space="0" w:color="auto"/>
            </w:tcBorders>
            <w:shd w:val="clear" w:color="auto" w:fill="auto"/>
            <w:noWrap/>
            <w:hideMark/>
          </w:tcPr>
          <w:p w14:paraId="34D5E9E2" w14:textId="2357EC28"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10</w:t>
            </w:r>
          </w:p>
        </w:tc>
      </w:tr>
      <w:tr w:rsidR="00E64937" w:rsidRPr="00D07E3A" w14:paraId="38947C11" w14:textId="77777777" w:rsidTr="00057CBC">
        <w:trPr>
          <w:trHeight w:val="170"/>
        </w:trPr>
        <w:tc>
          <w:tcPr>
            <w:tcW w:w="1432" w:type="pct"/>
            <w:tcBorders>
              <w:top w:val="nil"/>
              <w:left w:val="single" w:sz="4" w:space="0" w:color="auto"/>
              <w:bottom w:val="single" w:sz="4" w:space="0" w:color="auto"/>
              <w:right w:val="single" w:sz="4" w:space="0" w:color="auto"/>
            </w:tcBorders>
            <w:shd w:val="clear" w:color="auto" w:fill="auto"/>
            <w:noWrap/>
            <w:hideMark/>
          </w:tcPr>
          <w:p w14:paraId="2B604ECF" w14:textId="77777777" w:rsidR="00E64937" w:rsidRPr="00D07E3A" w:rsidRDefault="00E64937" w:rsidP="00B964B0">
            <w:pPr>
              <w:spacing w:after="0" w:line="240" w:lineRule="auto"/>
              <w:rPr>
                <w:rFonts w:ascii="Arial Narrow" w:eastAsia="Times New Roman" w:hAnsi="Arial Narrow" w:cs="Calibri"/>
                <w:sz w:val="20"/>
                <w:szCs w:val="20"/>
                <w:lang w:eastAsia="en-AU"/>
              </w:rPr>
            </w:pPr>
            <w:r w:rsidRPr="00D07E3A">
              <w:rPr>
                <w:rFonts w:ascii="Arial Narrow" w:eastAsia="Times New Roman" w:hAnsi="Arial Narrow" w:cs="Calibri"/>
                <w:sz w:val="20"/>
                <w:szCs w:val="20"/>
                <w:lang w:eastAsia="en-AU"/>
              </w:rPr>
              <w:t>Moderate-risk IC ≥18 YOA</w:t>
            </w:r>
          </w:p>
        </w:tc>
        <w:tc>
          <w:tcPr>
            <w:tcW w:w="580" w:type="pct"/>
            <w:tcBorders>
              <w:top w:val="nil"/>
              <w:left w:val="nil"/>
              <w:bottom w:val="single" w:sz="4" w:space="0" w:color="auto"/>
              <w:right w:val="single" w:sz="4" w:space="0" w:color="auto"/>
            </w:tcBorders>
            <w:shd w:val="clear" w:color="auto" w:fill="auto"/>
            <w:noWrap/>
            <w:hideMark/>
          </w:tcPr>
          <w:p w14:paraId="28BC289A" w14:textId="01042A60"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4</w:t>
            </w:r>
          </w:p>
        </w:tc>
        <w:tc>
          <w:tcPr>
            <w:tcW w:w="440" w:type="pct"/>
            <w:tcBorders>
              <w:top w:val="nil"/>
              <w:left w:val="nil"/>
              <w:bottom w:val="single" w:sz="4" w:space="0" w:color="auto"/>
              <w:right w:val="single" w:sz="4" w:space="0" w:color="auto"/>
            </w:tcBorders>
            <w:shd w:val="clear" w:color="auto" w:fill="auto"/>
            <w:noWrap/>
            <w:hideMark/>
          </w:tcPr>
          <w:p w14:paraId="556E67C6" w14:textId="2069D38B"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9</w:t>
            </w:r>
          </w:p>
        </w:tc>
        <w:tc>
          <w:tcPr>
            <w:tcW w:w="510" w:type="pct"/>
            <w:tcBorders>
              <w:top w:val="nil"/>
              <w:left w:val="nil"/>
              <w:bottom w:val="single" w:sz="4" w:space="0" w:color="auto"/>
              <w:right w:val="single" w:sz="4" w:space="0" w:color="auto"/>
            </w:tcBorders>
            <w:shd w:val="clear" w:color="auto" w:fill="auto"/>
            <w:noWrap/>
            <w:hideMark/>
          </w:tcPr>
          <w:p w14:paraId="078FE9E1" w14:textId="40B5AAA0"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11</w:t>
            </w:r>
          </w:p>
        </w:tc>
        <w:tc>
          <w:tcPr>
            <w:tcW w:w="510" w:type="pct"/>
            <w:tcBorders>
              <w:top w:val="nil"/>
              <w:left w:val="nil"/>
              <w:bottom w:val="single" w:sz="4" w:space="0" w:color="auto"/>
              <w:right w:val="single" w:sz="4" w:space="0" w:color="auto"/>
            </w:tcBorders>
            <w:shd w:val="clear" w:color="auto" w:fill="auto"/>
            <w:noWrap/>
            <w:hideMark/>
          </w:tcPr>
          <w:p w14:paraId="370C1323" w14:textId="1F04CC57"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11</w:t>
            </w:r>
          </w:p>
        </w:tc>
        <w:tc>
          <w:tcPr>
            <w:tcW w:w="510" w:type="pct"/>
            <w:tcBorders>
              <w:top w:val="nil"/>
              <w:left w:val="nil"/>
              <w:bottom w:val="single" w:sz="4" w:space="0" w:color="auto"/>
              <w:right w:val="single" w:sz="4" w:space="0" w:color="auto"/>
            </w:tcBorders>
            <w:shd w:val="clear" w:color="auto" w:fill="auto"/>
            <w:noWrap/>
            <w:hideMark/>
          </w:tcPr>
          <w:p w14:paraId="6546FA9B" w14:textId="697FA4F8"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11</w:t>
            </w:r>
          </w:p>
        </w:tc>
        <w:tc>
          <w:tcPr>
            <w:tcW w:w="510" w:type="pct"/>
            <w:tcBorders>
              <w:top w:val="nil"/>
              <w:left w:val="nil"/>
              <w:bottom w:val="single" w:sz="4" w:space="0" w:color="auto"/>
              <w:right w:val="single" w:sz="4" w:space="0" w:color="auto"/>
            </w:tcBorders>
            <w:shd w:val="clear" w:color="auto" w:fill="auto"/>
            <w:noWrap/>
            <w:hideMark/>
          </w:tcPr>
          <w:p w14:paraId="6F0904CA" w14:textId="084B31A9"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11</w:t>
            </w:r>
          </w:p>
        </w:tc>
        <w:tc>
          <w:tcPr>
            <w:tcW w:w="508" w:type="pct"/>
            <w:tcBorders>
              <w:top w:val="nil"/>
              <w:left w:val="nil"/>
              <w:bottom w:val="single" w:sz="4" w:space="0" w:color="auto"/>
              <w:right w:val="single" w:sz="4" w:space="0" w:color="auto"/>
            </w:tcBorders>
            <w:shd w:val="clear" w:color="auto" w:fill="auto"/>
            <w:noWrap/>
            <w:hideMark/>
          </w:tcPr>
          <w:p w14:paraId="4809BC95" w14:textId="6CFCC76F"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12</w:t>
            </w:r>
          </w:p>
        </w:tc>
      </w:tr>
      <w:tr w:rsidR="00E64937" w:rsidRPr="00D07E3A" w14:paraId="595C5773" w14:textId="77777777" w:rsidTr="00057CBC">
        <w:trPr>
          <w:trHeight w:val="170"/>
        </w:trPr>
        <w:tc>
          <w:tcPr>
            <w:tcW w:w="1432" w:type="pct"/>
            <w:tcBorders>
              <w:top w:val="nil"/>
              <w:left w:val="single" w:sz="4" w:space="0" w:color="auto"/>
              <w:bottom w:val="single" w:sz="4" w:space="0" w:color="auto"/>
              <w:right w:val="single" w:sz="4" w:space="0" w:color="auto"/>
            </w:tcBorders>
            <w:shd w:val="clear" w:color="000000" w:fill="F2F2F2"/>
            <w:noWrap/>
            <w:hideMark/>
          </w:tcPr>
          <w:p w14:paraId="33686D25" w14:textId="77777777" w:rsidR="00E64937" w:rsidRPr="00D07E3A" w:rsidRDefault="00E64937" w:rsidP="00B964B0">
            <w:pPr>
              <w:spacing w:after="0" w:line="240" w:lineRule="auto"/>
              <w:rPr>
                <w:rFonts w:ascii="Arial Narrow" w:eastAsia="Times New Roman" w:hAnsi="Arial Narrow" w:cs="Calibri"/>
                <w:sz w:val="20"/>
                <w:szCs w:val="20"/>
                <w:lang w:eastAsia="en-AU"/>
              </w:rPr>
            </w:pPr>
            <w:r w:rsidRPr="00D07E3A">
              <w:rPr>
                <w:rFonts w:ascii="Arial Narrow" w:eastAsia="Times New Roman" w:hAnsi="Arial Narrow" w:cs="Calibri"/>
                <w:sz w:val="20"/>
                <w:szCs w:val="20"/>
                <w:lang w:eastAsia="en-AU"/>
              </w:rPr>
              <w:t>Existing NIP cohorts</w:t>
            </w:r>
          </w:p>
        </w:tc>
        <w:tc>
          <w:tcPr>
            <w:tcW w:w="580" w:type="pct"/>
            <w:tcBorders>
              <w:top w:val="nil"/>
              <w:left w:val="nil"/>
              <w:bottom w:val="single" w:sz="4" w:space="0" w:color="auto"/>
              <w:right w:val="single" w:sz="4" w:space="0" w:color="auto"/>
            </w:tcBorders>
            <w:shd w:val="clear" w:color="000000" w:fill="F2F2F2"/>
            <w:noWrap/>
            <w:hideMark/>
          </w:tcPr>
          <w:p w14:paraId="482FFD88" w14:textId="628D4FB3"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13</w:t>
            </w:r>
          </w:p>
        </w:tc>
        <w:tc>
          <w:tcPr>
            <w:tcW w:w="440" w:type="pct"/>
            <w:tcBorders>
              <w:top w:val="nil"/>
              <w:left w:val="nil"/>
              <w:bottom w:val="single" w:sz="4" w:space="0" w:color="auto"/>
              <w:right w:val="single" w:sz="4" w:space="0" w:color="auto"/>
            </w:tcBorders>
            <w:shd w:val="clear" w:color="000000" w:fill="F2F2F2"/>
            <w:noWrap/>
            <w:hideMark/>
          </w:tcPr>
          <w:p w14:paraId="741E231E" w14:textId="0EEAEB1A"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14</w:t>
            </w:r>
          </w:p>
        </w:tc>
        <w:tc>
          <w:tcPr>
            <w:tcW w:w="510" w:type="pct"/>
            <w:tcBorders>
              <w:top w:val="nil"/>
              <w:left w:val="nil"/>
              <w:bottom w:val="single" w:sz="4" w:space="0" w:color="auto"/>
              <w:right w:val="single" w:sz="4" w:space="0" w:color="auto"/>
            </w:tcBorders>
            <w:shd w:val="clear" w:color="000000" w:fill="F2F2F2"/>
            <w:noWrap/>
            <w:hideMark/>
          </w:tcPr>
          <w:p w14:paraId="43363880" w14:textId="72782D31"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14</w:t>
            </w:r>
          </w:p>
        </w:tc>
        <w:tc>
          <w:tcPr>
            <w:tcW w:w="510" w:type="pct"/>
            <w:tcBorders>
              <w:top w:val="nil"/>
              <w:left w:val="nil"/>
              <w:bottom w:val="single" w:sz="4" w:space="0" w:color="auto"/>
              <w:right w:val="single" w:sz="4" w:space="0" w:color="auto"/>
            </w:tcBorders>
            <w:shd w:val="clear" w:color="000000" w:fill="F2F2F2"/>
            <w:noWrap/>
            <w:hideMark/>
          </w:tcPr>
          <w:p w14:paraId="1222510F" w14:textId="16947E2C"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15</w:t>
            </w:r>
          </w:p>
        </w:tc>
        <w:tc>
          <w:tcPr>
            <w:tcW w:w="510" w:type="pct"/>
            <w:tcBorders>
              <w:top w:val="nil"/>
              <w:left w:val="nil"/>
              <w:bottom w:val="single" w:sz="4" w:space="0" w:color="auto"/>
              <w:right w:val="single" w:sz="4" w:space="0" w:color="auto"/>
            </w:tcBorders>
            <w:shd w:val="clear" w:color="000000" w:fill="F2F2F2"/>
            <w:noWrap/>
            <w:hideMark/>
          </w:tcPr>
          <w:p w14:paraId="498C55A9" w14:textId="56BEE9FF"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15</w:t>
            </w:r>
          </w:p>
        </w:tc>
        <w:tc>
          <w:tcPr>
            <w:tcW w:w="510" w:type="pct"/>
            <w:tcBorders>
              <w:top w:val="nil"/>
              <w:left w:val="nil"/>
              <w:bottom w:val="single" w:sz="4" w:space="0" w:color="auto"/>
              <w:right w:val="single" w:sz="4" w:space="0" w:color="auto"/>
            </w:tcBorders>
            <w:shd w:val="clear" w:color="000000" w:fill="F2F2F2"/>
            <w:noWrap/>
            <w:hideMark/>
          </w:tcPr>
          <w:p w14:paraId="27BF0A7D" w14:textId="2C9CC233"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15</w:t>
            </w:r>
          </w:p>
        </w:tc>
        <w:tc>
          <w:tcPr>
            <w:tcW w:w="508" w:type="pct"/>
            <w:tcBorders>
              <w:top w:val="nil"/>
              <w:left w:val="nil"/>
              <w:bottom w:val="single" w:sz="4" w:space="0" w:color="auto"/>
              <w:right w:val="single" w:sz="4" w:space="0" w:color="auto"/>
            </w:tcBorders>
            <w:shd w:val="clear" w:color="000000" w:fill="F2F2F2"/>
            <w:noWrap/>
            <w:hideMark/>
          </w:tcPr>
          <w:p w14:paraId="67022BEF" w14:textId="128EB3A1"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16</w:t>
            </w:r>
          </w:p>
        </w:tc>
      </w:tr>
      <w:tr w:rsidR="00E64937" w:rsidRPr="00D07E3A" w14:paraId="2C4CD491" w14:textId="77777777" w:rsidTr="00057CBC">
        <w:trPr>
          <w:trHeight w:val="170"/>
        </w:trPr>
        <w:tc>
          <w:tcPr>
            <w:tcW w:w="1432" w:type="pct"/>
            <w:tcBorders>
              <w:top w:val="nil"/>
              <w:left w:val="single" w:sz="4" w:space="0" w:color="auto"/>
              <w:bottom w:val="single" w:sz="4" w:space="0" w:color="auto"/>
              <w:right w:val="single" w:sz="4" w:space="0" w:color="auto"/>
            </w:tcBorders>
            <w:shd w:val="clear" w:color="auto" w:fill="auto"/>
            <w:noWrap/>
            <w:hideMark/>
          </w:tcPr>
          <w:p w14:paraId="4693B8A2" w14:textId="77777777" w:rsidR="00E64937" w:rsidRPr="00D07E3A" w:rsidRDefault="00E64937" w:rsidP="00B964B0">
            <w:pPr>
              <w:spacing w:after="0" w:line="240" w:lineRule="auto"/>
              <w:rPr>
                <w:rFonts w:ascii="Arial Narrow" w:eastAsia="Times New Roman" w:hAnsi="Arial Narrow" w:cs="Calibri"/>
                <w:sz w:val="20"/>
                <w:szCs w:val="20"/>
                <w:lang w:eastAsia="en-AU"/>
              </w:rPr>
            </w:pPr>
            <w:r w:rsidRPr="00D07E3A">
              <w:rPr>
                <w:rFonts w:ascii="Arial Narrow" w:eastAsia="Times New Roman" w:hAnsi="Arial Narrow" w:cs="Calibri"/>
                <w:sz w:val="20"/>
                <w:szCs w:val="20"/>
                <w:lang w:eastAsia="en-AU"/>
              </w:rPr>
              <w:t>Non-Indigenous ≥65 YOA</w:t>
            </w:r>
          </w:p>
        </w:tc>
        <w:tc>
          <w:tcPr>
            <w:tcW w:w="580" w:type="pct"/>
            <w:tcBorders>
              <w:top w:val="nil"/>
              <w:left w:val="nil"/>
              <w:bottom w:val="single" w:sz="4" w:space="0" w:color="auto"/>
              <w:right w:val="single" w:sz="4" w:space="0" w:color="auto"/>
            </w:tcBorders>
            <w:shd w:val="clear" w:color="auto" w:fill="auto"/>
            <w:noWrap/>
            <w:hideMark/>
          </w:tcPr>
          <w:p w14:paraId="2C1F013C" w14:textId="0FD1E714"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13</w:t>
            </w:r>
          </w:p>
        </w:tc>
        <w:tc>
          <w:tcPr>
            <w:tcW w:w="440" w:type="pct"/>
            <w:tcBorders>
              <w:top w:val="nil"/>
              <w:left w:val="nil"/>
              <w:bottom w:val="single" w:sz="4" w:space="0" w:color="auto"/>
              <w:right w:val="single" w:sz="4" w:space="0" w:color="auto"/>
            </w:tcBorders>
            <w:shd w:val="clear" w:color="auto" w:fill="auto"/>
            <w:noWrap/>
            <w:hideMark/>
          </w:tcPr>
          <w:p w14:paraId="3C7F213B" w14:textId="556E068F"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14</w:t>
            </w:r>
          </w:p>
        </w:tc>
        <w:tc>
          <w:tcPr>
            <w:tcW w:w="510" w:type="pct"/>
            <w:tcBorders>
              <w:top w:val="nil"/>
              <w:left w:val="nil"/>
              <w:bottom w:val="single" w:sz="4" w:space="0" w:color="auto"/>
              <w:right w:val="single" w:sz="4" w:space="0" w:color="auto"/>
            </w:tcBorders>
            <w:shd w:val="clear" w:color="auto" w:fill="auto"/>
            <w:noWrap/>
            <w:hideMark/>
          </w:tcPr>
          <w:p w14:paraId="742AA461" w14:textId="378448AA"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17</w:t>
            </w:r>
          </w:p>
        </w:tc>
        <w:tc>
          <w:tcPr>
            <w:tcW w:w="510" w:type="pct"/>
            <w:tcBorders>
              <w:top w:val="nil"/>
              <w:left w:val="nil"/>
              <w:bottom w:val="single" w:sz="4" w:space="0" w:color="auto"/>
              <w:right w:val="single" w:sz="4" w:space="0" w:color="auto"/>
            </w:tcBorders>
            <w:shd w:val="clear" w:color="auto" w:fill="auto"/>
            <w:noWrap/>
            <w:hideMark/>
          </w:tcPr>
          <w:p w14:paraId="22F1162D" w14:textId="4ED6B2CB"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5</w:t>
            </w:r>
          </w:p>
        </w:tc>
        <w:tc>
          <w:tcPr>
            <w:tcW w:w="510" w:type="pct"/>
            <w:tcBorders>
              <w:top w:val="nil"/>
              <w:left w:val="nil"/>
              <w:bottom w:val="single" w:sz="4" w:space="0" w:color="auto"/>
              <w:right w:val="single" w:sz="4" w:space="0" w:color="auto"/>
            </w:tcBorders>
            <w:shd w:val="clear" w:color="auto" w:fill="auto"/>
            <w:noWrap/>
            <w:hideMark/>
          </w:tcPr>
          <w:p w14:paraId="15EC766C" w14:textId="7C8E3BC8"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5</w:t>
            </w:r>
          </w:p>
        </w:tc>
        <w:tc>
          <w:tcPr>
            <w:tcW w:w="510" w:type="pct"/>
            <w:tcBorders>
              <w:top w:val="nil"/>
              <w:left w:val="nil"/>
              <w:bottom w:val="single" w:sz="4" w:space="0" w:color="auto"/>
              <w:right w:val="single" w:sz="4" w:space="0" w:color="auto"/>
            </w:tcBorders>
            <w:shd w:val="clear" w:color="auto" w:fill="auto"/>
            <w:noWrap/>
            <w:hideMark/>
          </w:tcPr>
          <w:p w14:paraId="2B87B7F2" w14:textId="6CBE2A53"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5</w:t>
            </w:r>
          </w:p>
        </w:tc>
        <w:tc>
          <w:tcPr>
            <w:tcW w:w="508" w:type="pct"/>
            <w:tcBorders>
              <w:top w:val="nil"/>
              <w:left w:val="nil"/>
              <w:bottom w:val="single" w:sz="4" w:space="0" w:color="auto"/>
              <w:right w:val="single" w:sz="4" w:space="0" w:color="auto"/>
            </w:tcBorders>
            <w:shd w:val="clear" w:color="auto" w:fill="auto"/>
            <w:noWrap/>
            <w:hideMark/>
          </w:tcPr>
          <w:p w14:paraId="10A886EC" w14:textId="2B39EE4A"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16</w:t>
            </w:r>
          </w:p>
        </w:tc>
      </w:tr>
      <w:tr w:rsidR="00E64937" w:rsidRPr="00D07E3A" w14:paraId="72A46588" w14:textId="77777777" w:rsidTr="00057CBC">
        <w:trPr>
          <w:trHeight w:val="170"/>
        </w:trPr>
        <w:tc>
          <w:tcPr>
            <w:tcW w:w="1432" w:type="pct"/>
            <w:tcBorders>
              <w:top w:val="nil"/>
              <w:left w:val="single" w:sz="4" w:space="0" w:color="auto"/>
              <w:bottom w:val="single" w:sz="4" w:space="0" w:color="auto"/>
              <w:right w:val="single" w:sz="4" w:space="0" w:color="auto"/>
            </w:tcBorders>
            <w:shd w:val="clear" w:color="auto" w:fill="auto"/>
            <w:noWrap/>
            <w:hideMark/>
          </w:tcPr>
          <w:p w14:paraId="1A83876F" w14:textId="77777777" w:rsidR="00E64937" w:rsidRPr="00D07E3A" w:rsidRDefault="00E64937" w:rsidP="00B964B0">
            <w:pPr>
              <w:spacing w:after="0" w:line="240" w:lineRule="auto"/>
              <w:rPr>
                <w:rFonts w:ascii="Arial Narrow" w:eastAsia="Times New Roman" w:hAnsi="Arial Narrow" w:cs="Calibri"/>
                <w:sz w:val="20"/>
                <w:szCs w:val="20"/>
                <w:lang w:eastAsia="en-AU"/>
              </w:rPr>
            </w:pPr>
            <w:r w:rsidRPr="00D07E3A">
              <w:rPr>
                <w:rFonts w:ascii="Arial Narrow" w:eastAsia="Times New Roman" w:hAnsi="Arial Narrow" w:cs="Calibri"/>
                <w:sz w:val="20"/>
                <w:szCs w:val="20"/>
                <w:lang w:eastAsia="en-AU"/>
              </w:rPr>
              <w:t>First Nations People ≥50 YOA</w:t>
            </w:r>
          </w:p>
        </w:tc>
        <w:tc>
          <w:tcPr>
            <w:tcW w:w="580" w:type="pct"/>
            <w:tcBorders>
              <w:top w:val="nil"/>
              <w:left w:val="nil"/>
              <w:bottom w:val="single" w:sz="4" w:space="0" w:color="auto"/>
              <w:right w:val="single" w:sz="4" w:space="0" w:color="auto"/>
            </w:tcBorders>
            <w:shd w:val="clear" w:color="auto" w:fill="auto"/>
            <w:noWrap/>
            <w:hideMark/>
          </w:tcPr>
          <w:p w14:paraId="42EF6F1D" w14:textId="5A7E55FC"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3</w:t>
            </w:r>
          </w:p>
        </w:tc>
        <w:tc>
          <w:tcPr>
            <w:tcW w:w="440" w:type="pct"/>
            <w:tcBorders>
              <w:top w:val="nil"/>
              <w:left w:val="nil"/>
              <w:bottom w:val="single" w:sz="4" w:space="0" w:color="auto"/>
              <w:right w:val="single" w:sz="4" w:space="0" w:color="auto"/>
            </w:tcBorders>
            <w:shd w:val="clear" w:color="auto" w:fill="auto"/>
            <w:noWrap/>
            <w:hideMark/>
          </w:tcPr>
          <w:p w14:paraId="76867171" w14:textId="1C7960E4"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4</w:t>
            </w:r>
          </w:p>
        </w:tc>
        <w:tc>
          <w:tcPr>
            <w:tcW w:w="510" w:type="pct"/>
            <w:tcBorders>
              <w:top w:val="nil"/>
              <w:left w:val="nil"/>
              <w:bottom w:val="single" w:sz="4" w:space="0" w:color="auto"/>
              <w:right w:val="single" w:sz="4" w:space="0" w:color="auto"/>
            </w:tcBorders>
            <w:shd w:val="clear" w:color="auto" w:fill="auto"/>
            <w:noWrap/>
            <w:hideMark/>
          </w:tcPr>
          <w:p w14:paraId="1EBAE7F3" w14:textId="2777A68D"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4</w:t>
            </w:r>
          </w:p>
        </w:tc>
        <w:tc>
          <w:tcPr>
            <w:tcW w:w="510" w:type="pct"/>
            <w:tcBorders>
              <w:top w:val="nil"/>
              <w:left w:val="nil"/>
              <w:bottom w:val="single" w:sz="4" w:space="0" w:color="auto"/>
              <w:right w:val="single" w:sz="4" w:space="0" w:color="auto"/>
            </w:tcBorders>
            <w:shd w:val="clear" w:color="auto" w:fill="auto"/>
            <w:noWrap/>
            <w:hideMark/>
          </w:tcPr>
          <w:p w14:paraId="03611E56" w14:textId="2D9676B3"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9</w:t>
            </w:r>
          </w:p>
        </w:tc>
        <w:tc>
          <w:tcPr>
            <w:tcW w:w="510" w:type="pct"/>
            <w:tcBorders>
              <w:top w:val="nil"/>
              <w:left w:val="nil"/>
              <w:bottom w:val="single" w:sz="4" w:space="0" w:color="auto"/>
              <w:right w:val="single" w:sz="4" w:space="0" w:color="auto"/>
            </w:tcBorders>
            <w:shd w:val="clear" w:color="auto" w:fill="auto"/>
            <w:noWrap/>
            <w:hideMark/>
          </w:tcPr>
          <w:p w14:paraId="3FD5808A" w14:textId="0C35D521"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9</w:t>
            </w:r>
          </w:p>
        </w:tc>
        <w:tc>
          <w:tcPr>
            <w:tcW w:w="510" w:type="pct"/>
            <w:tcBorders>
              <w:top w:val="nil"/>
              <w:left w:val="nil"/>
              <w:bottom w:val="single" w:sz="4" w:space="0" w:color="auto"/>
              <w:right w:val="single" w:sz="4" w:space="0" w:color="auto"/>
            </w:tcBorders>
            <w:shd w:val="clear" w:color="auto" w:fill="auto"/>
            <w:noWrap/>
            <w:hideMark/>
          </w:tcPr>
          <w:p w14:paraId="7CB109EB" w14:textId="1EA520FA"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9</w:t>
            </w:r>
          </w:p>
        </w:tc>
        <w:tc>
          <w:tcPr>
            <w:tcW w:w="508" w:type="pct"/>
            <w:tcBorders>
              <w:top w:val="nil"/>
              <w:left w:val="nil"/>
              <w:bottom w:val="single" w:sz="4" w:space="0" w:color="auto"/>
              <w:right w:val="single" w:sz="4" w:space="0" w:color="auto"/>
            </w:tcBorders>
            <w:shd w:val="clear" w:color="auto" w:fill="auto"/>
            <w:noWrap/>
            <w:hideMark/>
          </w:tcPr>
          <w:p w14:paraId="2ED669C5" w14:textId="5599F5F4"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1</w:t>
            </w:r>
          </w:p>
        </w:tc>
      </w:tr>
      <w:tr w:rsidR="00E64937" w:rsidRPr="00D07E3A" w14:paraId="5DEB016F" w14:textId="77777777" w:rsidTr="00057CBC">
        <w:trPr>
          <w:trHeight w:val="170"/>
        </w:trPr>
        <w:tc>
          <w:tcPr>
            <w:tcW w:w="1432" w:type="pct"/>
            <w:tcBorders>
              <w:top w:val="nil"/>
              <w:left w:val="single" w:sz="4" w:space="0" w:color="auto"/>
              <w:bottom w:val="single" w:sz="4" w:space="0" w:color="auto"/>
              <w:right w:val="single" w:sz="4" w:space="0" w:color="auto"/>
            </w:tcBorders>
            <w:shd w:val="clear" w:color="auto" w:fill="auto"/>
            <w:noWrap/>
            <w:hideMark/>
          </w:tcPr>
          <w:p w14:paraId="27D810BD" w14:textId="77777777" w:rsidR="00E64937" w:rsidRPr="00D07E3A" w:rsidRDefault="00E64937" w:rsidP="00B964B0">
            <w:pPr>
              <w:spacing w:after="0" w:line="240" w:lineRule="auto"/>
              <w:rPr>
                <w:rFonts w:ascii="Arial Narrow" w:eastAsia="Times New Roman" w:hAnsi="Arial Narrow" w:cs="Calibri"/>
                <w:sz w:val="20"/>
                <w:szCs w:val="20"/>
                <w:lang w:eastAsia="en-AU"/>
              </w:rPr>
            </w:pPr>
            <w:r w:rsidRPr="00D07E3A">
              <w:rPr>
                <w:rFonts w:ascii="Arial Narrow" w:eastAsia="Times New Roman" w:hAnsi="Arial Narrow" w:cs="Calibri"/>
                <w:sz w:val="20"/>
                <w:szCs w:val="20"/>
                <w:lang w:eastAsia="en-AU"/>
              </w:rPr>
              <w:t>High-risk IC ≥18 YOA (Mar-23 recommendation)</w:t>
            </w:r>
          </w:p>
        </w:tc>
        <w:tc>
          <w:tcPr>
            <w:tcW w:w="580" w:type="pct"/>
            <w:tcBorders>
              <w:top w:val="nil"/>
              <w:left w:val="nil"/>
              <w:bottom w:val="single" w:sz="4" w:space="0" w:color="auto"/>
              <w:right w:val="single" w:sz="4" w:space="0" w:color="auto"/>
            </w:tcBorders>
            <w:shd w:val="clear" w:color="auto" w:fill="auto"/>
            <w:noWrap/>
            <w:hideMark/>
          </w:tcPr>
          <w:p w14:paraId="2706DFBB" w14:textId="7A871DDE"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3</w:t>
            </w:r>
          </w:p>
        </w:tc>
        <w:tc>
          <w:tcPr>
            <w:tcW w:w="440" w:type="pct"/>
            <w:tcBorders>
              <w:top w:val="nil"/>
              <w:left w:val="nil"/>
              <w:bottom w:val="single" w:sz="4" w:space="0" w:color="auto"/>
              <w:right w:val="single" w:sz="4" w:space="0" w:color="auto"/>
            </w:tcBorders>
            <w:shd w:val="clear" w:color="auto" w:fill="auto"/>
            <w:noWrap/>
            <w:hideMark/>
          </w:tcPr>
          <w:p w14:paraId="4DC1BDD5" w14:textId="163E8803"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4</w:t>
            </w:r>
          </w:p>
        </w:tc>
        <w:tc>
          <w:tcPr>
            <w:tcW w:w="510" w:type="pct"/>
            <w:tcBorders>
              <w:top w:val="nil"/>
              <w:left w:val="nil"/>
              <w:bottom w:val="single" w:sz="4" w:space="0" w:color="auto"/>
              <w:right w:val="single" w:sz="4" w:space="0" w:color="auto"/>
            </w:tcBorders>
            <w:shd w:val="clear" w:color="auto" w:fill="auto"/>
            <w:noWrap/>
            <w:hideMark/>
          </w:tcPr>
          <w:p w14:paraId="1C9C775D" w14:textId="54DC23CA"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9</w:t>
            </w:r>
          </w:p>
        </w:tc>
        <w:tc>
          <w:tcPr>
            <w:tcW w:w="510" w:type="pct"/>
            <w:tcBorders>
              <w:top w:val="nil"/>
              <w:left w:val="nil"/>
              <w:bottom w:val="single" w:sz="4" w:space="0" w:color="auto"/>
              <w:right w:val="single" w:sz="4" w:space="0" w:color="auto"/>
            </w:tcBorders>
            <w:shd w:val="clear" w:color="auto" w:fill="auto"/>
            <w:noWrap/>
            <w:hideMark/>
          </w:tcPr>
          <w:p w14:paraId="399BDC3D" w14:textId="431FA10B"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9</w:t>
            </w:r>
          </w:p>
        </w:tc>
        <w:tc>
          <w:tcPr>
            <w:tcW w:w="510" w:type="pct"/>
            <w:tcBorders>
              <w:top w:val="nil"/>
              <w:left w:val="nil"/>
              <w:bottom w:val="single" w:sz="4" w:space="0" w:color="auto"/>
              <w:right w:val="single" w:sz="4" w:space="0" w:color="auto"/>
            </w:tcBorders>
            <w:shd w:val="clear" w:color="auto" w:fill="auto"/>
            <w:noWrap/>
            <w:hideMark/>
          </w:tcPr>
          <w:p w14:paraId="2B5CE581" w14:textId="750A6C54"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11</w:t>
            </w:r>
          </w:p>
        </w:tc>
        <w:tc>
          <w:tcPr>
            <w:tcW w:w="510" w:type="pct"/>
            <w:tcBorders>
              <w:top w:val="nil"/>
              <w:left w:val="nil"/>
              <w:bottom w:val="single" w:sz="4" w:space="0" w:color="auto"/>
              <w:right w:val="single" w:sz="4" w:space="0" w:color="auto"/>
            </w:tcBorders>
            <w:shd w:val="clear" w:color="auto" w:fill="auto"/>
            <w:noWrap/>
            <w:hideMark/>
          </w:tcPr>
          <w:p w14:paraId="25DD5B6F" w14:textId="6EC734DF"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11</w:t>
            </w:r>
          </w:p>
        </w:tc>
        <w:tc>
          <w:tcPr>
            <w:tcW w:w="508" w:type="pct"/>
            <w:tcBorders>
              <w:top w:val="nil"/>
              <w:left w:val="nil"/>
              <w:bottom w:val="single" w:sz="4" w:space="0" w:color="auto"/>
              <w:right w:val="single" w:sz="4" w:space="0" w:color="auto"/>
            </w:tcBorders>
            <w:shd w:val="clear" w:color="auto" w:fill="auto"/>
            <w:noWrap/>
            <w:hideMark/>
          </w:tcPr>
          <w:p w14:paraId="3809756F" w14:textId="37C14B38"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1</w:t>
            </w:r>
          </w:p>
        </w:tc>
      </w:tr>
      <w:tr w:rsidR="00E64937" w:rsidRPr="00D07E3A" w14:paraId="29B7B97D" w14:textId="77777777" w:rsidTr="00057CBC">
        <w:trPr>
          <w:trHeight w:val="170"/>
        </w:trPr>
        <w:tc>
          <w:tcPr>
            <w:tcW w:w="1432" w:type="pct"/>
            <w:tcBorders>
              <w:top w:val="nil"/>
              <w:left w:val="single" w:sz="4" w:space="0" w:color="auto"/>
              <w:bottom w:val="double" w:sz="6" w:space="0" w:color="auto"/>
              <w:right w:val="single" w:sz="4" w:space="0" w:color="auto"/>
            </w:tcBorders>
            <w:shd w:val="clear" w:color="000000" w:fill="FFF2CC"/>
            <w:noWrap/>
            <w:hideMark/>
          </w:tcPr>
          <w:p w14:paraId="1BA2DE90" w14:textId="77777777" w:rsidR="00E64937" w:rsidRPr="00D07E3A" w:rsidRDefault="00E64937" w:rsidP="00B964B0">
            <w:pPr>
              <w:spacing w:after="0" w:line="240" w:lineRule="auto"/>
              <w:rPr>
                <w:rFonts w:ascii="Arial Narrow" w:eastAsia="Times New Roman" w:hAnsi="Arial Narrow" w:cs="Calibri"/>
                <w:b/>
                <w:bCs/>
                <w:sz w:val="20"/>
                <w:szCs w:val="20"/>
                <w:lang w:eastAsia="en-AU"/>
              </w:rPr>
            </w:pPr>
            <w:r w:rsidRPr="00D07E3A">
              <w:rPr>
                <w:rFonts w:ascii="Arial Narrow" w:eastAsia="Times New Roman" w:hAnsi="Arial Narrow" w:cs="Calibri"/>
                <w:b/>
                <w:bCs/>
                <w:sz w:val="20"/>
                <w:szCs w:val="20"/>
                <w:lang w:eastAsia="en-AU"/>
              </w:rPr>
              <w:t>Total</w:t>
            </w:r>
          </w:p>
        </w:tc>
        <w:tc>
          <w:tcPr>
            <w:tcW w:w="580" w:type="pct"/>
            <w:tcBorders>
              <w:top w:val="nil"/>
              <w:left w:val="nil"/>
              <w:bottom w:val="double" w:sz="6" w:space="0" w:color="auto"/>
              <w:right w:val="single" w:sz="4" w:space="0" w:color="auto"/>
            </w:tcBorders>
            <w:shd w:val="clear" w:color="000000" w:fill="FFF2CC"/>
            <w:noWrap/>
            <w:hideMark/>
          </w:tcPr>
          <w:p w14:paraId="5240E89E" w14:textId="40DFDDA2" w:rsidR="00E64937" w:rsidRPr="00FA76D2" w:rsidRDefault="00447F02" w:rsidP="00971F34">
            <w:pPr>
              <w:spacing w:after="0" w:line="240" w:lineRule="auto"/>
              <w:jc w:val="right"/>
              <w:rPr>
                <w:rFonts w:ascii="Arial Narrow" w:eastAsia="Times New Roman" w:hAnsi="Arial Narrow" w:cs="Calibri"/>
                <w:b/>
                <w:bCs/>
                <w:sz w:val="20"/>
                <w:szCs w:val="20"/>
                <w:highlight w:val="darkGray"/>
                <w:lang w:eastAsia="en-AU"/>
              </w:rPr>
            </w:pPr>
            <w:r w:rsidRPr="00447F02">
              <w:rPr>
                <w:rFonts w:ascii="Arial Narrow" w:hAnsi="Arial Narrow" w:cs="Calibri"/>
                <w:b/>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b/>
                <w:sz w:val="20"/>
                <w:szCs w:val="20"/>
              </w:rPr>
              <w:t xml:space="preserve"> </w:t>
            </w:r>
            <w:r w:rsidR="00FA76D2">
              <w:rPr>
                <w:rFonts w:ascii="Arial Narrow" w:hAnsi="Arial Narrow"/>
                <w:sz w:val="18"/>
                <w:szCs w:val="18"/>
                <w:vertAlign w:val="superscript"/>
                <w:lang w:bidi="en-US"/>
              </w:rPr>
              <w:t>13</w:t>
            </w:r>
          </w:p>
        </w:tc>
        <w:tc>
          <w:tcPr>
            <w:tcW w:w="440" w:type="pct"/>
            <w:tcBorders>
              <w:top w:val="nil"/>
              <w:left w:val="nil"/>
              <w:bottom w:val="double" w:sz="6" w:space="0" w:color="auto"/>
              <w:right w:val="single" w:sz="4" w:space="0" w:color="auto"/>
            </w:tcBorders>
            <w:shd w:val="clear" w:color="000000" w:fill="FFF2CC"/>
            <w:noWrap/>
            <w:hideMark/>
          </w:tcPr>
          <w:p w14:paraId="1F28D8FB" w14:textId="1E750400" w:rsidR="00E64937" w:rsidRPr="00FA76D2" w:rsidRDefault="00447F02" w:rsidP="00971F34">
            <w:pPr>
              <w:spacing w:after="0" w:line="240" w:lineRule="auto"/>
              <w:jc w:val="right"/>
              <w:rPr>
                <w:rFonts w:ascii="Arial Narrow" w:eastAsia="Times New Roman" w:hAnsi="Arial Narrow" w:cs="Calibri"/>
                <w:b/>
                <w:bCs/>
                <w:sz w:val="20"/>
                <w:szCs w:val="20"/>
                <w:highlight w:val="darkGray"/>
                <w:lang w:eastAsia="en-AU"/>
              </w:rPr>
            </w:pPr>
            <w:r w:rsidRPr="00447F02">
              <w:rPr>
                <w:rFonts w:ascii="Arial Narrow" w:hAnsi="Arial Narrow" w:cs="Calibri"/>
                <w:b/>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b/>
                <w:sz w:val="20"/>
                <w:szCs w:val="20"/>
              </w:rPr>
              <w:t xml:space="preserve"> </w:t>
            </w:r>
            <w:r w:rsidR="00FA76D2">
              <w:rPr>
                <w:rFonts w:ascii="Arial Narrow" w:hAnsi="Arial Narrow"/>
                <w:sz w:val="18"/>
                <w:szCs w:val="18"/>
                <w:vertAlign w:val="superscript"/>
                <w:lang w:bidi="en-US"/>
              </w:rPr>
              <w:t>18</w:t>
            </w:r>
          </w:p>
        </w:tc>
        <w:tc>
          <w:tcPr>
            <w:tcW w:w="510" w:type="pct"/>
            <w:tcBorders>
              <w:top w:val="nil"/>
              <w:left w:val="nil"/>
              <w:bottom w:val="double" w:sz="6" w:space="0" w:color="auto"/>
              <w:right w:val="single" w:sz="4" w:space="0" w:color="auto"/>
            </w:tcBorders>
            <w:shd w:val="clear" w:color="000000" w:fill="FFF2CC"/>
            <w:noWrap/>
            <w:hideMark/>
          </w:tcPr>
          <w:p w14:paraId="7D18D804" w14:textId="15130D2B" w:rsidR="00E64937" w:rsidRPr="00FA76D2" w:rsidRDefault="00447F02" w:rsidP="00971F34">
            <w:pPr>
              <w:spacing w:after="0" w:line="240" w:lineRule="auto"/>
              <w:jc w:val="right"/>
              <w:rPr>
                <w:rFonts w:ascii="Arial Narrow" w:eastAsia="Times New Roman" w:hAnsi="Arial Narrow" w:cs="Calibri"/>
                <w:b/>
                <w:bCs/>
                <w:sz w:val="20"/>
                <w:szCs w:val="20"/>
                <w:highlight w:val="darkGray"/>
                <w:lang w:eastAsia="en-AU"/>
              </w:rPr>
            </w:pPr>
            <w:r w:rsidRPr="00447F02">
              <w:rPr>
                <w:rFonts w:ascii="Arial Narrow" w:hAnsi="Arial Narrow" w:cs="Calibri"/>
                <w:b/>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b/>
                <w:sz w:val="20"/>
                <w:szCs w:val="20"/>
              </w:rPr>
              <w:t xml:space="preserve"> </w:t>
            </w:r>
            <w:r w:rsidR="00FA76D2">
              <w:rPr>
                <w:rFonts w:ascii="Arial Narrow" w:hAnsi="Arial Narrow"/>
                <w:sz w:val="18"/>
                <w:szCs w:val="18"/>
                <w:vertAlign w:val="superscript"/>
                <w:lang w:bidi="en-US"/>
              </w:rPr>
              <w:t>14</w:t>
            </w:r>
          </w:p>
        </w:tc>
        <w:tc>
          <w:tcPr>
            <w:tcW w:w="510" w:type="pct"/>
            <w:tcBorders>
              <w:top w:val="nil"/>
              <w:left w:val="nil"/>
              <w:bottom w:val="double" w:sz="6" w:space="0" w:color="auto"/>
              <w:right w:val="single" w:sz="4" w:space="0" w:color="auto"/>
            </w:tcBorders>
            <w:shd w:val="clear" w:color="000000" w:fill="FFF2CC"/>
            <w:noWrap/>
            <w:hideMark/>
          </w:tcPr>
          <w:p w14:paraId="3D24128E" w14:textId="379CA7B2" w:rsidR="00E64937" w:rsidRPr="00FA76D2" w:rsidRDefault="00447F02" w:rsidP="00971F34">
            <w:pPr>
              <w:spacing w:after="0" w:line="240" w:lineRule="auto"/>
              <w:jc w:val="right"/>
              <w:rPr>
                <w:rFonts w:ascii="Arial Narrow" w:eastAsia="Times New Roman" w:hAnsi="Arial Narrow" w:cs="Calibri"/>
                <w:b/>
                <w:bCs/>
                <w:sz w:val="20"/>
                <w:szCs w:val="20"/>
                <w:highlight w:val="darkGray"/>
                <w:lang w:eastAsia="en-AU"/>
              </w:rPr>
            </w:pPr>
            <w:r w:rsidRPr="00447F02">
              <w:rPr>
                <w:rFonts w:ascii="Arial Narrow" w:hAnsi="Arial Narrow" w:cs="Calibri"/>
                <w:b/>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b/>
                <w:sz w:val="20"/>
                <w:szCs w:val="20"/>
              </w:rPr>
              <w:t xml:space="preserve"> </w:t>
            </w:r>
            <w:r w:rsidR="00FA76D2">
              <w:rPr>
                <w:rFonts w:ascii="Arial Narrow" w:hAnsi="Arial Narrow"/>
                <w:sz w:val="18"/>
                <w:szCs w:val="18"/>
                <w:vertAlign w:val="superscript"/>
                <w:lang w:bidi="en-US"/>
              </w:rPr>
              <w:t>15</w:t>
            </w:r>
          </w:p>
        </w:tc>
        <w:tc>
          <w:tcPr>
            <w:tcW w:w="510" w:type="pct"/>
            <w:tcBorders>
              <w:top w:val="nil"/>
              <w:left w:val="nil"/>
              <w:bottom w:val="double" w:sz="6" w:space="0" w:color="auto"/>
              <w:right w:val="single" w:sz="4" w:space="0" w:color="auto"/>
            </w:tcBorders>
            <w:shd w:val="clear" w:color="000000" w:fill="FFF2CC"/>
            <w:noWrap/>
            <w:hideMark/>
          </w:tcPr>
          <w:p w14:paraId="2BE8AA3A" w14:textId="096B741D" w:rsidR="00E64937" w:rsidRPr="00FA76D2" w:rsidRDefault="00447F02" w:rsidP="00971F34">
            <w:pPr>
              <w:spacing w:after="0" w:line="240" w:lineRule="auto"/>
              <w:jc w:val="right"/>
              <w:rPr>
                <w:rFonts w:ascii="Arial Narrow" w:eastAsia="Times New Roman" w:hAnsi="Arial Narrow" w:cs="Calibri"/>
                <w:b/>
                <w:bCs/>
                <w:sz w:val="20"/>
                <w:szCs w:val="20"/>
                <w:highlight w:val="darkGray"/>
                <w:lang w:eastAsia="en-AU"/>
              </w:rPr>
            </w:pPr>
            <w:r w:rsidRPr="00447F02">
              <w:rPr>
                <w:rFonts w:ascii="Arial Narrow" w:hAnsi="Arial Narrow" w:cs="Calibri"/>
                <w:b/>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b/>
                <w:sz w:val="20"/>
                <w:szCs w:val="20"/>
              </w:rPr>
              <w:t xml:space="preserve"> </w:t>
            </w:r>
            <w:r w:rsidR="00FA76D2">
              <w:rPr>
                <w:rFonts w:ascii="Arial Narrow" w:hAnsi="Arial Narrow"/>
                <w:sz w:val="18"/>
                <w:szCs w:val="18"/>
                <w:vertAlign w:val="superscript"/>
                <w:lang w:bidi="en-US"/>
              </w:rPr>
              <w:t>15</w:t>
            </w:r>
          </w:p>
        </w:tc>
        <w:tc>
          <w:tcPr>
            <w:tcW w:w="510" w:type="pct"/>
            <w:tcBorders>
              <w:top w:val="nil"/>
              <w:left w:val="nil"/>
              <w:bottom w:val="double" w:sz="6" w:space="0" w:color="auto"/>
              <w:right w:val="single" w:sz="4" w:space="0" w:color="auto"/>
            </w:tcBorders>
            <w:shd w:val="clear" w:color="000000" w:fill="FFF2CC"/>
            <w:noWrap/>
            <w:hideMark/>
          </w:tcPr>
          <w:p w14:paraId="17D74857" w14:textId="0D9CBC9E" w:rsidR="00E64937" w:rsidRPr="00FA76D2" w:rsidRDefault="00447F02" w:rsidP="00971F34">
            <w:pPr>
              <w:spacing w:after="0" w:line="240" w:lineRule="auto"/>
              <w:jc w:val="right"/>
              <w:rPr>
                <w:rFonts w:ascii="Arial Narrow" w:eastAsia="Times New Roman" w:hAnsi="Arial Narrow" w:cs="Calibri"/>
                <w:b/>
                <w:bCs/>
                <w:sz w:val="20"/>
                <w:szCs w:val="20"/>
                <w:highlight w:val="darkGray"/>
                <w:lang w:eastAsia="en-AU"/>
              </w:rPr>
            </w:pPr>
            <w:r w:rsidRPr="00447F02">
              <w:rPr>
                <w:rFonts w:ascii="Arial Narrow" w:hAnsi="Arial Narrow" w:cs="Calibri"/>
                <w:b/>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b/>
                <w:sz w:val="20"/>
                <w:szCs w:val="20"/>
              </w:rPr>
              <w:t xml:space="preserve"> </w:t>
            </w:r>
            <w:r w:rsidR="00FA76D2">
              <w:rPr>
                <w:rFonts w:ascii="Arial Narrow" w:hAnsi="Arial Narrow"/>
                <w:sz w:val="18"/>
                <w:szCs w:val="18"/>
                <w:vertAlign w:val="superscript"/>
                <w:lang w:bidi="en-US"/>
              </w:rPr>
              <w:t>15</w:t>
            </w:r>
          </w:p>
        </w:tc>
        <w:tc>
          <w:tcPr>
            <w:tcW w:w="508" w:type="pct"/>
            <w:tcBorders>
              <w:top w:val="nil"/>
              <w:left w:val="nil"/>
              <w:bottom w:val="double" w:sz="6" w:space="0" w:color="auto"/>
              <w:right w:val="single" w:sz="4" w:space="0" w:color="auto"/>
            </w:tcBorders>
            <w:shd w:val="clear" w:color="000000" w:fill="FFF2CC"/>
            <w:noWrap/>
            <w:hideMark/>
          </w:tcPr>
          <w:p w14:paraId="38FF0035" w14:textId="188F3803" w:rsidR="00E64937" w:rsidRPr="00FA76D2" w:rsidRDefault="00447F02" w:rsidP="00971F34">
            <w:pPr>
              <w:spacing w:after="0" w:line="240" w:lineRule="auto"/>
              <w:jc w:val="right"/>
              <w:rPr>
                <w:rFonts w:ascii="Arial Narrow" w:eastAsia="Times New Roman" w:hAnsi="Arial Narrow" w:cs="Calibri"/>
                <w:b/>
                <w:bCs/>
                <w:sz w:val="20"/>
                <w:szCs w:val="20"/>
                <w:highlight w:val="darkGray"/>
                <w:lang w:eastAsia="en-AU"/>
              </w:rPr>
            </w:pPr>
            <w:r w:rsidRPr="00447F02">
              <w:rPr>
                <w:rFonts w:ascii="Arial Narrow" w:hAnsi="Arial Narrow" w:cs="Calibri"/>
                <w:b/>
                <w:bCs/>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b/>
                <w:bCs/>
                <w:sz w:val="20"/>
                <w:szCs w:val="20"/>
              </w:rPr>
              <w:t xml:space="preserve"> </w:t>
            </w:r>
            <w:r w:rsidR="00FA76D2">
              <w:rPr>
                <w:rFonts w:ascii="Arial Narrow" w:hAnsi="Arial Narrow"/>
                <w:sz w:val="18"/>
                <w:szCs w:val="18"/>
                <w:vertAlign w:val="superscript"/>
                <w:lang w:bidi="en-US"/>
              </w:rPr>
              <w:t>19</w:t>
            </w:r>
          </w:p>
        </w:tc>
      </w:tr>
      <w:tr w:rsidR="00E64937" w:rsidRPr="00D07E3A" w14:paraId="26B60BAD" w14:textId="77777777" w:rsidTr="00057CBC">
        <w:trPr>
          <w:trHeight w:val="170"/>
        </w:trPr>
        <w:tc>
          <w:tcPr>
            <w:tcW w:w="1432" w:type="pct"/>
            <w:tcBorders>
              <w:top w:val="single" w:sz="4" w:space="0" w:color="auto"/>
              <w:left w:val="single" w:sz="4" w:space="0" w:color="auto"/>
              <w:bottom w:val="single" w:sz="4" w:space="0" w:color="auto"/>
              <w:right w:val="nil"/>
            </w:tcBorders>
            <w:shd w:val="clear" w:color="000000" w:fill="D9D9D9"/>
            <w:noWrap/>
            <w:hideMark/>
          </w:tcPr>
          <w:p w14:paraId="0853A7C9" w14:textId="77777777" w:rsidR="00E64937" w:rsidRPr="00D07E3A" w:rsidRDefault="00E64937" w:rsidP="00B964B0">
            <w:pPr>
              <w:spacing w:after="0" w:line="240" w:lineRule="auto"/>
              <w:rPr>
                <w:rFonts w:ascii="Arial Narrow" w:eastAsia="Times New Roman" w:hAnsi="Arial Narrow" w:cs="Calibri"/>
                <w:b/>
                <w:bCs/>
                <w:sz w:val="20"/>
                <w:szCs w:val="20"/>
                <w:lang w:eastAsia="en-AU"/>
              </w:rPr>
            </w:pPr>
            <w:r w:rsidRPr="00D07E3A">
              <w:rPr>
                <w:rFonts w:ascii="Arial Narrow" w:eastAsia="Times New Roman" w:hAnsi="Arial Narrow" w:cs="Calibri"/>
                <w:b/>
                <w:bCs/>
                <w:sz w:val="20"/>
                <w:szCs w:val="20"/>
                <w:lang w:eastAsia="en-AU"/>
              </w:rPr>
              <w:t>Doses administered</w:t>
            </w:r>
          </w:p>
        </w:tc>
        <w:tc>
          <w:tcPr>
            <w:tcW w:w="580" w:type="pct"/>
            <w:tcBorders>
              <w:top w:val="single" w:sz="4" w:space="0" w:color="auto"/>
              <w:left w:val="nil"/>
              <w:bottom w:val="single" w:sz="4" w:space="0" w:color="auto"/>
              <w:right w:val="nil"/>
            </w:tcBorders>
            <w:shd w:val="clear" w:color="000000" w:fill="D9D9D9"/>
            <w:noWrap/>
            <w:hideMark/>
          </w:tcPr>
          <w:p w14:paraId="0C58866A" w14:textId="77777777" w:rsidR="00E64937" w:rsidRPr="00D07E3A" w:rsidRDefault="00E64937" w:rsidP="00B964B0">
            <w:pPr>
              <w:spacing w:after="0" w:line="240" w:lineRule="auto"/>
              <w:rPr>
                <w:rFonts w:ascii="Arial Narrow" w:eastAsia="Times New Roman" w:hAnsi="Arial Narrow" w:cs="Calibri"/>
                <w:b/>
                <w:bCs/>
                <w:sz w:val="20"/>
                <w:szCs w:val="20"/>
                <w:lang w:eastAsia="en-AU"/>
              </w:rPr>
            </w:pPr>
            <w:r w:rsidRPr="00D07E3A">
              <w:rPr>
                <w:rFonts w:ascii="Arial Narrow" w:hAnsi="Arial Narrow" w:cs="Calibri"/>
                <w:b/>
                <w:bCs/>
                <w:sz w:val="20"/>
                <w:szCs w:val="20"/>
              </w:rPr>
              <w:t> </w:t>
            </w:r>
          </w:p>
        </w:tc>
        <w:tc>
          <w:tcPr>
            <w:tcW w:w="440" w:type="pct"/>
            <w:tcBorders>
              <w:top w:val="single" w:sz="4" w:space="0" w:color="auto"/>
              <w:left w:val="nil"/>
              <w:bottom w:val="single" w:sz="4" w:space="0" w:color="auto"/>
              <w:right w:val="nil"/>
            </w:tcBorders>
            <w:shd w:val="clear" w:color="000000" w:fill="D9D9D9"/>
            <w:noWrap/>
            <w:hideMark/>
          </w:tcPr>
          <w:p w14:paraId="3B29536B" w14:textId="77777777" w:rsidR="00E64937" w:rsidRPr="00D07E3A" w:rsidRDefault="00E64937" w:rsidP="00B964B0">
            <w:pPr>
              <w:spacing w:after="0" w:line="240" w:lineRule="auto"/>
              <w:rPr>
                <w:rFonts w:ascii="Arial Narrow" w:eastAsia="Times New Roman" w:hAnsi="Arial Narrow" w:cs="Calibri"/>
                <w:b/>
                <w:bCs/>
                <w:sz w:val="20"/>
                <w:szCs w:val="20"/>
                <w:lang w:eastAsia="en-AU"/>
              </w:rPr>
            </w:pPr>
            <w:r w:rsidRPr="00D07E3A">
              <w:rPr>
                <w:rFonts w:ascii="Arial Narrow" w:hAnsi="Arial Narrow" w:cs="Calibri"/>
                <w:b/>
                <w:bCs/>
                <w:sz w:val="20"/>
                <w:szCs w:val="20"/>
              </w:rPr>
              <w:t> </w:t>
            </w:r>
          </w:p>
        </w:tc>
        <w:tc>
          <w:tcPr>
            <w:tcW w:w="510" w:type="pct"/>
            <w:tcBorders>
              <w:top w:val="single" w:sz="4" w:space="0" w:color="auto"/>
              <w:left w:val="nil"/>
              <w:bottom w:val="single" w:sz="4" w:space="0" w:color="auto"/>
              <w:right w:val="nil"/>
            </w:tcBorders>
            <w:shd w:val="clear" w:color="000000" w:fill="D9D9D9"/>
            <w:noWrap/>
            <w:hideMark/>
          </w:tcPr>
          <w:p w14:paraId="3B721194" w14:textId="77777777" w:rsidR="00E64937" w:rsidRPr="00D07E3A" w:rsidRDefault="00E64937" w:rsidP="00B964B0">
            <w:pPr>
              <w:spacing w:after="0" w:line="240" w:lineRule="auto"/>
              <w:rPr>
                <w:rFonts w:ascii="Arial Narrow" w:eastAsia="Times New Roman" w:hAnsi="Arial Narrow" w:cs="Calibri"/>
                <w:b/>
                <w:bCs/>
                <w:sz w:val="20"/>
                <w:szCs w:val="20"/>
                <w:lang w:eastAsia="en-AU"/>
              </w:rPr>
            </w:pPr>
            <w:r w:rsidRPr="00D07E3A">
              <w:rPr>
                <w:rFonts w:ascii="Arial Narrow" w:hAnsi="Arial Narrow" w:cs="Calibri"/>
                <w:b/>
                <w:bCs/>
                <w:sz w:val="20"/>
                <w:szCs w:val="20"/>
              </w:rPr>
              <w:t> </w:t>
            </w:r>
          </w:p>
        </w:tc>
        <w:tc>
          <w:tcPr>
            <w:tcW w:w="510" w:type="pct"/>
            <w:tcBorders>
              <w:top w:val="single" w:sz="4" w:space="0" w:color="auto"/>
              <w:left w:val="nil"/>
              <w:bottom w:val="single" w:sz="4" w:space="0" w:color="auto"/>
              <w:right w:val="nil"/>
            </w:tcBorders>
            <w:shd w:val="clear" w:color="000000" w:fill="D9D9D9"/>
            <w:noWrap/>
            <w:hideMark/>
          </w:tcPr>
          <w:p w14:paraId="22192F36" w14:textId="77777777" w:rsidR="00E64937" w:rsidRPr="00D07E3A" w:rsidRDefault="00E64937" w:rsidP="00B964B0">
            <w:pPr>
              <w:spacing w:after="0" w:line="240" w:lineRule="auto"/>
              <w:rPr>
                <w:rFonts w:ascii="Arial Narrow" w:eastAsia="Times New Roman" w:hAnsi="Arial Narrow" w:cs="Calibri"/>
                <w:b/>
                <w:bCs/>
                <w:sz w:val="20"/>
                <w:szCs w:val="20"/>
                <w:lang w:eastAsia="en-AU"/>
              </w:rPr>
            </w:pPr>
            <w:r w:rsidRPr="00D07E3A">
              <w:rPr>
                <w:rFonts w:ascii="Arial Narrow" w:hAnsi="Arial Narrow" w:cs="Calibri"/>
                <w:b/>
                <w:bCs/>
                <w:sz w:val="20"/>
                <w:szCs w:val="20"/>
              </w:rPr>
              <w:t> </w:t>
            </w:r>
          </w:p>
        </w:tc>
        <w:tc>
          <w:tcPr>
            <w:tcW w:w="510" w:type="pct"/>
            <w:tcBorders>
              <w:top w:val="single" w:sz="4" w:space="0" w:color="auto"/>
              <w:left w:val="nil"/>
              <w:bottom w:val="single" w:sz="4" w:space="0" w:color="auto"/>
              <w:right w:val="nil"/>
            </w:tcBorders>
            <w:shd w:val="clear" w:color="000000" w:fill="D9D9D9"/>
            <w:noWrap/>
            <w:hideMark/>
          </w:tcPr>
          <w:p w14:paraId="3B34F94B" w14:textId="77777777" w:rsidR="00E64937" w:rsidRPr="00D07E3A" w:rsidRDefault="00E64937" w:rsidP="00B964B0">
            <w:pPr>
              <w:spacing w:after="0" w:line="240" w:lineRule="auto"/>
              <w:rPr>
                <w:rFonts w:ascii="Arial Narrow" w:eastAsia="Times New Roman" w:hAnsi="Arial Narrow" w:cs="Calibri"/>
                <w:b/>
                <w:bCs/>
                <w:sz w:val="20"/>
                <w:szCs w:val="20"/>
                <w:lang w:eastAsia="en-AU"/>
              </w:rPr>
            </w:pPr>
            <w:r w:rsidRPr="00D07E3A">
              <w:rPr>
                <w:rFonts w:ascii="Arial Narrow" w:hAnsi="Arial Narrow" w:cs="Calibri"/>
                <w:b/>
                <w:bCs/>
                <w:sz w:val="20"/>
                <w:szCs w:val="20"/>
              </w:rPr>
              <w:t> </w:t>
            </w:r>
          </w:p>
        </w:tc>
        <w:tc>
          <w:tcPr>
            <w:tcW w:w="510" w:type="pct"/>
            <w:tcBorders>
              <w:top w:val="single" w:sz="4" w:space="0" w:color="auto"/>
              <w:left w:val="nil"/>
              <w:bottom w:val="single" w:sz="4" w:space="0" w:color="auto"/>
              <w:right w:val="nil"/>
            </w:tcBorders>
            <w:shd w:val="clear" w:color="000000" w:fill="D9D9D9"/>
            <w:noWrap/>
            <w:hideMark/>
          </w:tcPr>
          <w:p w14:paraId="7A4C8171" w14:textId="77777777" w:rsidR="00E64937" w:rsidRPr="00D07E3A" w:rsidRDefault="00E64937" w:rsidP="00B964B0">
            <w:pPr>
              <w:spacing w:after="0" w:line="240" w:lineRule="auto"/>
              <w:rPr>
                <w:rFonts w:ascii="Arial Narrow" w:eastAsia="Times New Roman" w:hAnsi="Arial Narrow" w:cs="Calibri"/>
                <w:b/>
                <w:bCs/>
                <w:sz w:val="20"/>
                <w:szCs w:val="20"/>
                <w:lang w:eastAsia="en-AU"/>
              </w:rPr>
            </w:pPr>
            <w:r w:rsidRPr="00D07E3A">
              <w:rPr>
                <w:rFonts w:ascii="Arial Narrow" w:hAnsi="Arial Narrow" w:cs="Calibri"/>
                <w:b/>
                <w:bCs/>
                <w:sz w:val="20"/>
                <w:szCs w:val="20"/>
              </w:rPr>
              <w:t> </w:t>
            </w:r>
          </w:p>
        </w:tc>
        <w:tc>
          <w:tcPr>
            <w:tcW w:w="508" w:type="pct"/>
            <w:tcBorders>
              <w:top w:val="single" w:sz="4" w:space="0" w:color="auto"/>
              <w:left w:val="nil"/>
              <w:bottom w:val="single" w:sz="4" w:space="0" w:color="auto"/>
              <w:right w:val="single" w:sz="4" w:space="0" w:color="auto"/>
            </w:tcBorders>
            <w:shd w:val="clear" w:color="000000" w:fill="D9D9D9"/>
            <w:noWrap/>
            <w:hideMark/>
          </w:tcPr>
          <w:p w14:paraId="640ECC07" w14:textId="77777777" w:rsidR="00E64937" w:rsidRPr="00D07E3A" w:rsidRDefault="00E64937" w:rsidP="00B964B0">
            <w:pPr>
              <w:spacing w:after="0" w:line="240" w:lineRule="auto"/>
              <w:rPr>
                <w:rFonts w:ascii="Arial Narrow" w:eastAsia="Times New Roman" w:hAnsi="Arial Narrow" w:cs="Calibri"/>
                <w:b/>
                <w:bCs/>
                <w:sz w:val="20"/>
                <w:szCs w:val="20"/>
                <w:lang w:eastAsia="en-AU"/>
              </w:rPr>
            </w:pPr>
            <w:r w:rsidRPr="00D07E3A">
              <w:rPr>
                <w:rFonts w:ascii="Arial Narrow" w:hAnsi="Arial Narrow" w:cs="Calibri"/>
                <w:b/>
                <w:bCs/>
                <w:sz w:val="20"/>
                <w:szCs w:val="20"/>
              </w:rPr>
              <w:t> </w:t>
            </w:r>
          </w:p>
        </w:tc>
      </w:tr>
      <w:tr w:rsidR="00E64937" w:rsidRPr="00D07E3A" w14:paraId="1DC264A2" w14:textId="77777777" w:rsidTr="00057CBC">
        <w:trPr>
          <w:trHeight w:val="170"/>
        </w:trPr>
        <w:tc>
          <w:tcPr>
            <w:tcW w:w="1432" w:type="pct"/>
            <w:tcBorders>
              <w:top w:val="nil"/>
              <w:left w:val="single" w:sz="4" w:space="0" w:color="auto"/>
              <w:bottom w:val="single" w:sz="4" w:space="0" w:color="auto"/>
              <w:right w:val="single" w:sz="4" w:space="0" w:color="auto"/>
            </w:tcBorders>
            <w:shd w:val="clear" w:color="000000" w:fill="F2F2F2"/>
            <w:noWrap/>
            <w:hideMark/>
          </w:tcPr>
          <w:p w14:paraId="30EAAB3D" w14:textId="77777777" w:rsidR="00E64937" w:rsidRPr="00D07E3A" w:rsidRDefault="00E64937" w:rsidP="00B964B0">
            <w:pPr>
              <w:spacing w:after="0" w:line="240" w:lineRule="auto"/>
              <w:rPr>
                <w:rFonts w:ascii="Arial Narrow" w:eastAsia="Times New Roman" w:hAnsi="Arial Narrow" w:cs="Calibri"/>
                <w:sz w:val="20"/>
                <w:szCs w:val="20"/>
                <w:lang w:eastAsia="en-AU"/>
              </w:rPr>
            </w:pPr>
            <w:r w:rsidRPr="00D07E3A">
              <w:rPr>
                <w:rFonts w:ascii="Arial Narrow" w:eastAsia="Times New Roman" w:hAnsi="Arial Narrow" w:cs="Calibri"/>
                <w:sz w:val="20"/>
                <w:szCs w:val="20"/>
                <w:lang w:eastAsia="en-AU"/>
              </w:rPr>
              <w:t>Additional NIP cohorts</w:t>
            </w:r>
          </w:p>
        </w:tc>
        <w:tc>
          <w:tcPr>
            <w:tcW w:w="580" w:type="pct"/>
            <w:tcBorders>
              <w:top w:val="nil"/>
              <w:left w:val="nil"/>
              <w:bottom w:val="single" w:sz="4" w:space="0" w:color="auto"/>
              <w:right w:val="single" w:sz="4" w:space="0" w:color="auto"/>
            </w:tcBorders>
            <w:shd w:val="clear" w:color="000000" w:fill="F2F2F2"/>
            <w:noWrap/>
            <w:hideMark/>
          </w:tcPr>
          <w:p w14:paraId="35B81043" w14:textId="6D5510CC"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10</w:t>
            </w:r>
          </w:p>
        </w:tc>
        <w:tc>
          <w:tcPr>
            <w:tcW w:w="440" w:type="pct"/>
            <w:tcBorders>
              <w:top w:val="nil"/>
              <w:left w:val="nil"/>
              <w:bottom w:val="single" w:sz="4" w:space="0" w:color="auto"/>
              <w:right w:val="single" w:sz="4" w:space="0" w:color="auto"/>
            </w:tcBorders>
            <w:shd w:val="clear" w:color="000000" w:fill="F2F2F2"/>
            <w:noWrap/>
            <w:hideMark/>
          </w:tcPr>
          <w:p w14:paraId="7154B0A8" w14:textId="60588954"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1</w:t>
            </w:r>
          </w:p>
        </w:tc>
        <w:tc>
          <w:tcPr>
            <w:tcW w:w="510" w:type="pct"/>
            <w:tcBorders>
              <w:top w:val="nil"/>
              <w:left w:val="nil"/>
              <w:bottom w:val="single" w:sz="4" w:space="0" w:color="auto"/>
              <w:right w:val="single" w:sz="4" w:space="0" w:color="auto"/>
            </w:tcBorders>
            <w:shd w:val="clear" w:color="000000" w:fill="F2F2F2"/>
            <w:noWrap/>
            <w:hideMark/>
          </w:tcPr>
          <w:p w14:paraId="590A0076" w14:textId="0F3D7ABB"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2</w:t>
            </w:r>
          </w:p>
        </w:tc>
        <w:tc>
          <w:tcPr>
            <w:tcW w:w="510" w:type="pct"/>
            <w:tcBorders>
              <w:top w:val="nil"/>
              <w:left w:val="nil"/>
              <w:bottom w:val="single" w:sz="4" w:space="0" w:color="auto"/>
              <w:right w:val="single" w:sz="4" w:space="0" w:color="auto"/>
            </w:tcBorders>
            <w:shd w:val="clear" w:color="000000" w:fill="F2F2F2"/>
            <w:noWrap/>
            <w:hideMark/>
          </w:tcPr>
          <w:p w14:paraId="6FC08A34" w14:textId="3179C102"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2</w:t>
            </w:r>
          </w:p>
        </w:tc>
        <w:tc>
          <w:tcPr>
            <w:tcW w:w="510" w:type="pct"/>
            <w:tcBorders>
              <w:top w:val="nil"/>
              <w:left w:val="nil"/>
              <w:bottom w:val="single" w:sz="4" w:space="0" w:color="auto"/>
              <w:right w:val="single" w:sz="4" w:space="0" w:color="auto"/>
            </w:tcBorders>
            <w:shd w:val="clear" w:color="000000" w:fill="F2F2F2"/>
            <w:noWrap/>
            <w:hideMark/>
          </w:tcPr>
          <w:p w14:paraId="4882D6D7" w14:textId="6B8769F4"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8</w:t>
            </w:r>
          </w:p>
        </w:tc>
        <w:tc>
          <w:tcPr>
            <w:tcW w:w="510" w:type="pct"/>
            <w:tcBorders>
              <w:top w:val="nil"/>
              <w:left w:val="nil"/>
              <w:bottom w:val="single" w:sz="4" w:space="0" w:color="auto"/>
              <w:right w:val="single" w:sz="4" w:space="0" w:color="auto"/>
            </w:tcBorders>
            <w:shd w:val="clear" w:color="000000" w:fill="F2F2F2"/>
            <w:noWrap/>
            <w:hideMark/>
          </w:tcPr>
          <w:p w14:paraId="5E78C9F3" w14:textId="266DD41C"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3</w:t>
            </w:r>
          </w:p>
        </w:tc>
        <w:tc>
          <w:tcPr>
            <w:tcW w:w="508" w:type="pct"/>
            <w:tcBorders>
              <w:top w:val="nil"/>
              <w:left w:val="nil"/>
              <w:bottom w:val="single" w:sz="4" w:space="0" w:color="auto"/>
              <w:right w:val="single" w:sz="4" w:space="0" w:color="auto"/>
            </w:tcBorders>
            <w:shd w:val="clear" w:color="000000" w:fill="F2F2F2"/>
            <w:noWrap/>
            <w:hideMark/>
          </w:tcPr>
          <w:p w14:paraId="5AE852EE" w14:textId="36C016D1"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17</w:t>
            </w:r>
          </w:p>
        </w:tc>
      </w:tr>
      <w:tr w:rsidR="00E64937" w:rsidRPr="00D07E3A" w14:paraId="25CC742B" w14:textId="77777777" w:rsidTr="00057CBC">
        <w:trPr>
          <w:trHeight w:val="170"/>
        </w:trPr>
        <w:tc>
          <w:tcPr>
            <w:tcW w:w="1432" w:type="pct"/>
            <w:tcBorders>
              <w:top w:val="nil"/>
              <w:left w:val="single" w:sz="4" w:space="0" w:color="auto"/>
              <w:bottom w:val="single" w:sz="4" w:space="0" w:color="auto"/>
              <w:right w:val="single" w:sz="4" w:space="0" w:color="auto"/>
            </w:tcBorders>
            <w:shd w:val="clear" w:color="auto" w:fill="auto"/>
            <w:noWrap/>
            <w:hideMark/>
          </w:tcPr>
          <w:p w14:paraId="459B4B1B" w14:textId="77777777" w:rsidR="00E64937" w:rsidRPr="00D07E3A" w:rsidRDefault="00E64937" w:rsidP="00B964B0">
            <w:pPr>
              <w:spacing w:after="0" w:line="240" w:lineRule="auto"/>
              <w:rPr>
                <w:rFonts w:ascii="Arial Narrow" w:eastAsia="Times New Roman" w:hAnsi="Arial Narrow" w:cs="Calibri"/>
                <w:sz w:val="20"/>
                <w:szCs w:val="20"/>
                <w:lang w:eastAsia="en-AU"/>
              </w:rPr>
            </w:pPr>
            <w:r w:rsidRPr="00D07E3A">
              <w:rPr>
                <w:rFonts w:ascii="Arial Narrow" w:eastAsia="Times New Roman" w:hAnsi="Arial Narrow" w:cs="Calibri"/>
                <w:sz w:val="20"/>
                <w:szCs w:val="20"/>
                <w:lang w:eastAsia="en-AU"/>
              </w:rPr>
              <w:t>High-risk IC ≥18 YOA</w:t>
            </w:r>
          </w:p>
        </w:tc>
        <w:tc>
          <w:tcPr>
            <w:tcW w:w="580" w:type="pct"/>
            <w:tcBorders>
              <w:top w:val="nil"/>
              <w:left w:val="nil"/>
              <w:bottom w:val="single" w:sz="4" w:space="0" w:color="auto"/>
              <w:right w:val="single" w:sz="4" w:space="0" w:color="auto"/>
            </w:tcBorders>
            <w:shd w:val="clear" w:color="auto" w:fill="auto"/>
            <w:noWrap/>
            <w:hideMark/>
          </w:tcPr>
          <w:p w14:paraId="719D23BF" w14:textId="136BF261"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1</w:t>
            </w:r>
          </w:p>
        </w:tc>
        <w:tc>
          <w:tcPr>
            <w:tcW w:w="440" w:type="pct"/>
            <w:tcBorders>
              <w:top w:val="nil"/>
              <w:left w:val="nil"/>
              <w:bottom w:val="single" w:sz="4" w:space="0" w:color="auto"/>
              <w:right w:val="single" w:sz="4" w:space="0" w:color="auto"/>
            </w:tcBorders>
            <w:shd w:val="clear" w:color="auto" w:fill="auto"/>
            <w:noWrap/>
            <w:hideMark/>
          </w:tcPr>
          <w:p w14:paraId="34714788" w14:textId="34CEABDF"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1</w:t>
            </w:r>
          </w:p>
        </w:tc>
        <w:tc>
          <w:tcPr>
            <w:tcW w:w="510" w:type="pct"/>
            <w:tcBorders>
              <w:top w:val="nil"/>
              <w:left w:val="nil"/>
              <w:bottom w:val="single" w:sz="4" w:space="0" w:color="auto"/>
              <w:right w:val="single" w:sz="4" w:space="0" w:color="auto"/>
            </w:tcBorders>
            <w:shd w:val="clear" w:color="auto" w:fill="auto"/>
            <w:noWrap/>
            <w:hideMark/>
          </w:tcPr>
          <w:p w14:paraId="78D1EAAB" w14:textId="24349EA3"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7</w:t>
            </w:r>
          </w:p>
        </w:tc>
        <w:tc>
          <w:tcPr>
            <w:tcW w:w="510" w:type="pct"/>
            <w:tcBorders>
              <w:top w:val="nil"/>
              <w:left w:val="nil"/>
              <w:bottom w:val="single" w:sz="4" w:space="0" w:color="auto"/>
              <w:right w:val="single" w:sz="4" w:space="0" w:color="auto"/>
            </w:tcBorders>
            <w:shd w:val="clear" w:color="auto" w:fill="auto"/>
            <w:noWrap/>
            <w:hideMark/>
          </w:tcPr>
          <w:p w14:paraId="2824A027" w14:textId="0C3A163B"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7</w:t>
            </w:r>
          </w:p>
        </w:tc>
        <w:tc>
          <w:tcPr>
            <w:tcW w:w="510" w:type="pct"/>
            <w:tcBorders>
              <w:top w:val="nil"/>
              <w:left w:val="nil"/>
              <w:bottom w:val="single" w:sz="4" w:space="0" w:color="auto"/>
              <w:right w:val="single" w:sz="4" w:space="0" w:color="auto"/>
            </w:tcBorders>
            <w:shd w:val="clear" w:color="auto" w:fill="auto"/>
            <w:noWrap/>
            <w:hideMark/>
          </w:tcPr>
          <w:p w14:paraId="2020BFBA" w14:textId="41B3CB53"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8</w:t>
            </w:r>
          </w:p>
        </w:tc>
        <w:tc>
          <w:tcPr>
            <w:tcW w:w="510" w:type="pct"/>
            <w:tcBorders>
              <w:top w:val="nil"/>
              <w:left w:val="nil"/>
              <w:bottom w:val="single" w:sz="4" w:space="0" w:color="auto"/>
              <w:right w:val="single" w:sz="4" w:space="0" w:color="auto"/>
            </w:tcBorders>
            <w:shd w:val="clear" w:color="auto" w:fill="auto"/>
            <w:noWrap/>
            <w:hideMark/>
          </w:tcPr>
          <w:p w14:paraId="236807F5" w14:textId="6571DB72"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8</w:t>
            </w:r>
          </w:p>
        </w:tc>
        <w:tc>
          <w:tcPr>
            <w:tcW w:w="508" w:type="pct"/>
            <w:tcBorders>
              <w:top w:val="nil"/>
              <w:left w:val="nil"/>
              <w:bottom w:val="single" w:sz="4" w:space="0" w:color="auto"/>
              <w:right w:val="single" w:sz="4" w:space="0" w:color="auto"/>
            </w:tcBorders>
            <w:shd w:val="clear" w:color="auto" w:fill="auto"/>
            <w:noWrap/>
            <w:hideMark/>
          </w:tcPr>
          <w:p w14:paraId="6905FD1F" w14:textId="0FD24070"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15</w:t>
            </w:r>
          </w:p>
        </w:tc>
      </w:tr>
      <w:tr w:rsidR="00E64937" w:rsidRPr="00D07E3A" w14:paraId="2CFC74E5" w14:textId="77777777" w:rsidTr="00057CBC">
        <w:trPr>
          <w:trHeight w:val="170"/>
        </w:trPr>
        <w:tc>
          <w:tcPr>
            <w:tcW w:w="1432" w:type="pct"/>
            <w:tcBorders>
              <w:top w:val="nil"/>
              <w:left w:val="single" w:sz="4" w:space="0" w:color="auto"/>
              <w:bottom w:val="single" w:sz="4" w:space="0" w:color="auto"/>
              <w:right w:val="single" w:sz="4" w:space="0" w:color="auto"/>
            </w:tcBorders>
            <w:shd w:val="clear" w:color="auto" w:fill="auto"/>
            <w:noWrap/>
            <w:hideMark/>
          </w:tcPr>
          <w:p w14:paraId="2F914A4C" w14:textId="77777777" w:rsidR="00E64937" w:rsidRPr="00D07E3A" w:rsidRDefault="00E64937" w:rsidP="00B964B0">
            <w:pPr>
              <w:spacing w:after="0" w:line="240" w:lineRule="auto"/>
              <w:rPr>
                <w:rFonts w:ascii="Arial Narrow" w:eastAsia="Times New Roman" w:hAnsi="Arial Narrow" w:cs="Calibri"/>
                <w:sz w:val="20"/>
                <w:szCs w:val="20"/>
                <w:lang w:eastAsia="en-AU"/>
              </w:rPr>
            </w:pPr>
            <w:r w:rsidRPr="00D07E3A">
              <w:rPr>
                <w:rFonts w:ascii="Arial Narrow" w:eastAsia="Times New Roman" w:hAnsi="Arial Narrow" w:cs="Calibri"/>
                <w:sz w:val="20"/>
                <w:szCs w:val="20"/>
                <w:lang w:eastAsia="en-AU"/>
              </w:rPr>
              <w:t>Moderate-risk IC ≥18 YOA</w:t>
            </w:r>
          </w:p>
        </w:tc>
        <w:tc>
          <w:tcPr>
            <w:tcW w:w="580" w:type="pct"/>
            <w:tcBorders>
              <w:top w:val="nil"/>
              <w:left w:val="nil"/>
              <w:bottom w:val="single" w:sz="4" w:space="0" w:color="auto"/>
              <w:right w:val="single" w:sz="4" w:space="0" w:color="auto"/>
            </w:tcBorders>
            <w:shd w:val="clear" w:color="auto" w:fill="auto"/>
            <w:noWrap/>
            <w:hideMark/>
          </w:tcPr>
          <w:p w14:paraId="73DC13AF" w14:textId="7F509153"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8</w:t>
            </w:r>
          </w:p>
        </w:tc>
        <w:tc>
          <w:tcPr>
            <w:tcW w:w="440" w:type="pct"/>
            <w:tcBorders>
              <w:top w:val="nil"/>
              <w:left w:val="nil"/>
              <w:bottom w:val="single" w:sz="4" w:space="0" w:color="auto"/>
              <w:right w:val="single" w:sz="4" w:space="0" w:color="auto"/>
            </w:tcBorders>
            <w:shd w:val="clear" w:color="auto" w:fill="auto"/>
            <w:noWrap/>
            <w:hideMark/>
          </w:tcPr>
          <w:p w14:paraId="5CEC04C0" w14:textId="1089A291"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4</w:t>
            </w:r>
          </w:p>
        </w:tc>
        <w:tc>
          <w:tcPr>
            <w:tcW w:w="510" w:type="pct"/>
            <w:tcBorders>
              <w:top w:val="nil"/>
              <w:left w:val="nil"/>
              <w:bottom w:val="single" w:sz="4" w:space="0" w:color="auto"/>
              <w:right w:val="single" w:sz="4" w:space="0" w:color="auto"/>
            </w:tcBorders>
            <w:shd w:val="clear" w:color="auto" w:fill="auto"/>
            <w:noWrap/>
            <w:hideMark/>
          </w:tcPr>
          <w:p w14:paraId="657F3468" w14:textId="4260077B"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9</w:t>
            </w:r>
          </w:p>
        </w:tc>
        <w:tc>
          <w:tcPr>
            <w:tcW w:w="510" w:type="pct"/>
            <w:tcBorders>
              <w:top w:val="nil"/>
              <w:left w:val="nil"/>
              <w:bottom w:val="single" w:sz="4" w:space="0" w:color="auto"/>
              <w:right w:val="single" w:sz="4" w:space="0" w:color="auto"/>
            </w:tcBorders>
            <w:shd w:val="clear" w:color="auto" w:fill="auto"/>
            <w:noWrap/>
            <w:hideMark/>
          </w:tcPr>
          <w:p w14:paraId="5C0A60E2" w14:textId="044E77F4"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9</w:t>
            </w:r>
          </w:p>
        </w:tc>
        <w:tc>
          <w:tcPr>
            <w:tcW w:w="510" w:type="pct"/>
            <w:tcBorders>
              <w:top w:val="nil"/>
              <w:left w:val="nil"/>
              <w:bottom w:val="single" w:sz="4" w:space="0" w:color="auto"/>
              <w:right w:val="single" w:sz="4" w:space="0" w:color="auto"/>
            </w:tcBorders>
            <w:shd w:val="clear" w:color="auto" w:fill="auto"/>
            <w:noWrap/>
            <w:hideMark/>
          </w:tcPr>
          <w:p w14:paraId="1533958C" w14:textId="48D0A562"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11</w:t>
            </w:r>
          </w:p>
        </w:tc>
        <w:tc>
          <w:tcPr>
            <w:tcW w:w="510" w:type="pct"/>
            <w:tcBorders>
              <w:top w:val="nil"/>
              <w:left w:val="nil"/>
              <w:bottom w:val="single" w:sz="4" w:space="0" w:color="auto"/>
              <w:right w:val="single" w:sz="4" w:space="0" w:color="auto"/>
            </w:tcBorders>
            <w:shd w:val="clear" w:color="auto" w:fill="auto"/>
            <w:noWrap/>
            <w:hideMark/>
          </w:tcPr>
          <w:p w14:paraId="76FCCE5C" w14:textId="42E04BDA"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11</w:t>
            </w:r>
          </w:p>
        </w:tc>
        <w:tc>
          <w:tcPr>
            <w:tcW w:w="508" w:type="pct"/>
            <w:tcBorders>
              <w:top w:val="nil"/>
              <w:left w:val="nil"/>
              <w:bottom w:val="single" w:sz="4" w:space="0" w:color="auto"/>
              <w:right w:val="single" w:sz="4" w:space="0" w:color="auto"/>
            </w:tcBorders>
            <w:shd w:val="clear" w:color="auto" w:fill="auto"/>
            <w:noWrap/>
            <w:hideMark/>
          </w:tcPr>
          <w:p w14:paraId="5B858998" w14:textId="7DFCE4D6"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1</w:t>
            </w:r>
          </w:p>
        </w:tc>
      </w:tr>
      <w:tr w:rsidR="00E64937" w:rsidRPr="00D07E3A" w14:paraId="7DEEF86F" w14:textId="77777777" w:rsidTr="00057CBC">
        <w:trPr>
          <w:trHeight w:val="170"/>
        </w:trPr>
        <w:tc>
          <w:tcPr>
            <w:tcW w:w="1432" w:type="pct"/>
            <w:tcBorders>
              <w:top w:val="nil"/>
              <w:left w:val="single" w:sz="4" w:space="0" w:color="auto"/>
              <w:bottom w:val="single" w:sz="4" w:space="0" w:color="auto"/>
              <w:right w:val="single" w:sz="4" w:space="0" w:color="auto"/>
            </w:tcBorders>
            <w:shd w:val="clear" w:color="000000" w:fill="F2F2F2"/>
            <w:noWrap/>
            <w:hideMark/>
          </w:tcPr>
          <w:p w14:paraId="6C1D4583" w14:textId="77777777" w:rsidR="00E64937" w:rsidRPr="00D07E3A" w:rsidRDefault="00E64937" w:rsidP="00B964B0">
            <w:pPr>
              <w:spacing w:after="0" w:line="240" w:lineRule="auto"/>
              <w:rPr>
                <w:rFonts w:ascii="Arial Narrow" w:eastAsia="Times New Roman" w:hAnsi="Arial Narrow" w:cs="Calibri"/>
                <w:sz w:val="20"/>
                <w:szCs w:val="20"/>
                <w:lang w:eastAsia="en-AU"/>
              </w:rPr>
            </w:pPr>
            <w:r w:rsidRPr="00D07E3A">
              <w:rPr>
                <w:rFonts w:ascii="Arial Narrow" w:eastAsia="Times New Roman" w:hAnsi="Arial Narrow" w:cs="Calibri"/>
                <w:sz w:val="20"/>
                <w:szCs w:val="20"/>
                <w:lang w:eastAsia="en-AU"/>
              </w:rPr>
              <w:t>Existing NIP cohorts</w:t>
            </w:r>
          </w:p>
        </w:tc>
        <w:tc>
          <w:tcPr>
            <w:tcW w:w="580" w:type="pct"/>
            <w:tcBorders>
              <w:top w:val="nil"/>
              <w:left w:val="nil"/>
              <w:bottom w:val="single" w:sz="4" w:space="0" w:color="auto"/>
              <w:right w:val="single" w:sz="4" w:space="0" w:color="auto"/>
            </w:tcBorders>
            <w:shd w:val="clear" w:color="000000" w:fill="F2F2F2"/>
            <w:noWrap/>
            <w:hideMark/>
          </w:tcPr>
          <w:p w14:paraId="3A00A801" w14:textId="67391767"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16</w:t>
            </w:r>
          </w:p>
        </w:tc>
        <w:tc>
          <w:tcPr>
            <w:tcW w:w="440" w:type="pct"/>
            <w:tcBorders>
              <w:top w:val="nil"/>
              <w:left w:val="nil"/>
              <w:bottom w:val="single" w:sz="4" w:space="0" w:color="auto"/>
              <w:right w:val="single" w:sz="4" w:space="0" w:color="auto"/>
            </w:tcBorders>
            <w:shd w:val="clear" w:color="000000" w:fill="F2F2F2"/>
            <w:noWrap/>
            <w:hideMark/>
          </w:tcPr>
          <w:p w14:paraId="4639FA1E" w14:textId="5CEC7D7B"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13</w:t>
            </w:r>
          </w:p>
        </w:tc>
        <w:tc>
          <w:tcPr>
            <w:tcW w:w="510" w:type="pct"/>
            <w:tcBorders>
              <w:top w:val="nil"/>
              <w:left w:val="nil"/>
              <w:bottom w:val="single" w:sz="4" w:space="0" w:color="auto"/>
              <w:right w:val="single" w:sz="4" w:space="0" w:color="auto"/>
            </w:tcBorders>
            <w:shd w:val="clear" w:color="000000" w:fill="F2F2F2"/>
            <w:noWrap/>
            <w:hideMark/>
          </w:tcPr>
          <w:p w14:paraId="393D1CE0" w14:textId="6B3A8CC4"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13</w:t>
            </w:r>
          </w:p>
        </w:tc>
        <w:tc>
          <w:tcPr>
            <w:tcW w:w="510" w:type="pct"/>
            <w:tcBorders>
              <w:top w:val="nil"/>
              <w:left w:val="nil"/>
              <w:bottom w:val="single" w:sz="4" w:space="0" w:color="auto"/>
              <w:right w:val="single" w:sz="4" w:space="0" w:color="auto"/>
            </w:tcBorders>
            <w:shd w:val="clear" w:color="000000" w:fill="F2F2F2"/>
            <w:noWrap/>
            <w:hideMark/>
          </w:tcPr>
          <w:p w14:paraId="78899E41" w14:textId="72D080CA"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18</w:t>
            </w:r>
          </w:p>
        </w:tc>
        <w:tc>
          <w:tcPr>
            <w:tcW w:w="510" w:type="pct"/>
            <w:tcBorders>
              <w:top w:val="nil"/>
              <w:left w:val="nil"/>
              <w:bottom w:val="single" w:sz="4" w:space="0" w:color="auto"/>
              <w:right w:val="single" w:sz="4" w:space="0" w:color="auto"/>
            </w:tcBorders>
            <w:shd w:val="clear" w:color="000000" w:fill="F2F2F2"/>
            <w:noWrap/>
            <w:hideMark/>
          </w:tcPr>
          <w:p w14:paraId="52891E7F" w14:textId="47542042"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18</w:t>
            </w:r>
          </w:p>
        </w:tc>
        <w:tc>
          <w:tcPr>
            <w:tcW w:w="510" w:type="pct"/>
            <w:tcBorders>
              <w:top w:val="nil"/>
              <w:left w:val="nil"/>
              <w:bottom w:val="single" w:sz="4" w:space="0" w:color="auto"/>
              <w:right w:val="single" w:sz="4" w:space="0" w:color="auto"/>
            </w:tcBorders>
            <w:shd w:val="clear" w:color="000000" w:fill="F2F2F2"/>
            <w:noWrap/>
            <w:hideMark/>
          </w:tcPr>
          <w:p w14:paraId="7163C3C7" w14:textId="650FEE74"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18</w:t>
            </w:r>
          </w:p>
        </w:tc>
        <w:tc>
          <w:tcPr>
            <w:tcW w:w="508" w:type="pct"/>
            <w:tcBorders>
              <w:top w:val="nil"/>
              <w:left w:val="nil"/>
              <w:bottom w:val="single" w:sz="4" w:space="0" w:color="auto"/>
              <w:right w:val="single" w:sz="4" w:space="0" w:color="auto"/>
            </w:tcBorders>
            <w:shd w:val="clear" w:color="000000" w:fill="F2F2F2"/>
            <w:noWrap/>
            <w:hideMark/>
          </w:tcPr>
          <w:p w14:paraId="1B5A9ABD" w14:textId="13553053"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20</w:t>
            </w:r>
          </w:p>
        </w:tc>
      </w:tr>
      <w:tr w:rsidR="00E64937" w:rsidRPr="00D07E3A" w14:paraId="4371D183" w14:textId="77777777" w:rsidTr="00057CBC">
        <w:trPr>
          <w:trHeight w:val="170"/>
        </w:trPr>
        <w:tc>
          <w:tcPr>
            <w:tcW w:w="1432" w:type="pct"/>
            <w:tcBorders>
              <w:top w:val="nil"/>
              <w:left w:val="single" w:sz="4" w:space="0" w:color="auto"/>
              <w:bottom w:val="single" w:sz="4" w:space="0" w:color="auto"/>
              <w:right w:val="single" w:sz="4" w:space="0" w:color="auto"/>
            </w:tcBorders>
            <w:shd w:val="clear" w:color="auto" w:fill="auto"/>
            <w:noWrap/>
            <w:hideMark/>
          </w:tcPr>
          <w:p w14:paraId="53BDA7DE" w14:textId="77777777" w:rsidR="00E64937" w:rsidRPr="00D07E3A" w:rsidRDefault="00E64937" w:rsidP="00B964B0">
            <w:pPr>
              <w:spacing w:after="0" w:line="240" w:lineRule="auto"/>
              <w:rPr>
                <w:rFonts w:ascii="Arial Narrow" w:eastAsia="Times New Roman" w:hAnsi="Arial Narrow" w:cs="Calibri"/>
                <w:sz w:val="20"/>
                <w:szCs w:val="20"/>
                <w:lang w:eastAsia="en-AU"/>
              </w:rPr>
            </w:pPr>
            <w:r w:rsidRPr="00D07E3A">
              <w:rPr>
                <w:rFonts w:ascii="Arial Narrow" w:eastAsia="Times New Roman" w:hAnsi="Arial Narrow" w:cs="Calibri"/>
                <w:sz w:val="20"/>
                <w:szCs w:val="20"/>
                <w:lang w:eastAsia="en-AU"/>
              </w:rPr>
              <w:t>Non-Indigenous ≥65 YOA</w:t>
            </w:r>
          </w:p>
        </w:tc>
        <w:tc>
          <w:tcPr>
            <w:tcW w:w="580" w:type="pct"/>
            <w:tcBorders>
              <w:top w:val="nil"/>
              <w:left w:val="nil"/>
              <w:bottom w:val="single" w:sz="4" w:space="0" w:color="auto"/>
              <w:right w:val="single" w:sz="4" w:space="0" w:color="auto"/>
            </w:tcBorders>
            <w:shd w:val="clear" w:color="auto" w:fill="auto"/>
            <w:noWrap/>
            <w:hideMark/>
          </w:tcPr>
          <w:p w14:paraId="2DDDDF11" w14:textId="53C21D1D"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13</w:t>
            </w:r>
          </w:p>
        </w:tc>
        <w:tc>
          <w:tcPr>
            <w:tcW w:w="440" w:type="pct"/>
            <w:tcBorders>
              <w:top w:val="nil"/>
              <w:left w:val="nil"/>
              <w:bottom w:val="single" w:sz="4" w:space="0" w:color="auto"/>
              <w:right w:val="single" w:sz="4" w:space="0" w:color="auto"/>
            </w:tcBorders>
            <w:shd w:val="clear" w:color="auto" w:fill="auto"/>
            <w:noWrap/>
            <w:hideMark/>
          </w:tcPr>
          <w:p w14:paraId="33C36CD6" w14:textId="77698FA3"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13</w:t>
            </w:r>
          </w:p>
        </w:tc>
        <w:tc>
          <w:tcPr>
            <w:tcW w:w="510" w:type="pct"/>
            <w:tcBorders>
              <w:top w:val="nil"/>
              <w:left w:val="nil"/>
              <w:bottom w:val="single" w:sz="4" w:space="0" w:color="auto"/>
              <w:right w:val="single" w:sz="4" w:space="0" w:color="auto"/>
            </w:tcBorders>
            <w:shd w:val="clear" w:color="auto" w:fill="auto"/>
            <w:noWrap/>
            <w:hideMark/>
          </w:tcPr>
          <w:p w14:paraId="6B332987" w14:textId="636FA95C"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13</w:t>
            </w:r>
          </w:p>
        </w:tc>
        <w:tc>
          <w:tcPr>
            <w:tcW w:w="510" w:type="pct"/>
            <w:tcBorders>
              <w:top w:val="nil"/>
              <w:left w:val="nil"/>
              <w:bottom w:val="single" w:sz="4" w:space="0" w:color="auto"/>
              <w:right w:val="single" w:sz="4" w:space="0" w:color="auto"/>
            </w:tcBorders>
            <w:shd w:val="clear" w:color="auto" w:fill="auto"/>
            <w:noWrap/>
            <w:hideMark/>
          </w:tcPr>
          <w:p w14:paraId="24CD0D71" w14:textId="45E7C867"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14</w:t>
            </w:r>
          </w:p>
        </w:tc>
        <w:tc>
          <w:tcPr>
            <w:tcW w:w="510" w:type="pct"/>
            <w:tcBorders>
              <w:top w:val="nil"/>
              <w:left w:val="nil"/>
              <w:bottom w:val="single" w:sz="4" w:space="0" w:color="auto"/>
              <w:right w:val="single" w:sz="4" w:space="0" w:color="auto"/>
            </w:tcBorders>
            <w:shd w:val="clear" w:color="auto" w:fill="auto"/>
            <w:noWrap/>
            <w:hideMark/>
          </w:tcPr>
          <w:p w14:paraId="69896304" w14:textId="70E7811E"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18</w:t>
            </w:r>
          </w:p>
        </w:tc>
        <w:tc>
          <w:tcPr>
            <w:tcW w:w="510" w:type="pct"/>
            <w:tcBorders>
              <w:top w:val="nil"/>
              <w:left w:val="nil"/>
              <w:bottom w:val="single" w:sz="4" w:space="0" w:color="auto"/>
              <w:right w:val="single" w:sz="4" w:space="0" w:color="auto"/>
            </w:tcBorders>
            <w:shd w:val="clear" w:color="auto" w:fill="auto"/>
            <w:noWrap/>
            <w:hideMark/>
          </w:tcPr>
          <w:p w14:paraId="56A88EC8" w14:textId="5481F3C4"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18</w:t>
            </w:r>
          </w:p>
        </w:tc>
        <w:tc>
          <w:tcPr>
            <w:tcW w:w="508" w:type="pct"/>
            <w:tcBorders>
              <w:top w:val="nil"/>
              <w:left w:val="nil"/>
              <w:bottom w:val="single" w:sz="4" w:space="0" w:color="auto"/>
              <w:right w:val="single" w:sz="4" w:space="0" w:color="auto"/>
            </w:tcBorders>
            <w:shd w:val="clear" w:color="auto" w:fill="auto"/>
            <w:noWrap/>
            <w:hideMark/>
          </w:tcPr>
          <w:p w14:paraId="1B7A71F0" w14:textId="3211A447"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FA76D2">
              <w:rPr>
                <w:rFonts w:ascii="Arial Narrow" w:hAnsi="Arial Narrow"/>
                <w:sz w:val="18"/>
                <w:szCs w:val="18"/>
                <w:vertAlign w:val="superscript"/>
                <w:lang w:bidi="en-US"/>
              </w:rPr>
              <w:t>20</w:t>
            </w:r>
          </w:p>
        </w:tc>
      </w:tr>
      <w:tr w:rsidR="00E64937" w:rsidRPr="00D07E3A" w14:paraId="37D47F63" w14:textId="77777777" w:rsidTr="00057CBC">
        <w:trPr>
          <w:trHeight w:val="170"/>
        </w:trPr>
        <w:tc>
          <w:tcPr>
            <w:tcW w:w="1432" w:type="pct"/>
            <w:tcBorders>
              <w:top w:val="nil"/>
              <w:left w:val="single" w:sz="4" w:space="0" w:color="auto"/>
              <w:bottom w:val="single" w:sz="4" w:space="0" w:color="auto"/>
              <w:right w:val="single" w:sz="4" w:space="0" w:color="auto"/>
            </w:tcBorders>
            <w:shd w:val="clear" w:color="auto" w:fill="auto"/>
            <w:noWrap/>
            <w:hideMark/>
          </w:tcPr>
          <w:p w14:paraId="007F79D1" w14:textId="77777777" w:rsidR="00E64937" w:rsidRPr="00D07E3A" w:rsidRDefault="00E64937" w:rsidP="00B964B0">
            <w:pPr>
              <w:spacing w:after="0" w:line="240" w:lineRule="auto"/>
              <w:rPr>
                <w:rFonts w:ascii="Arial Narrow" w:eastAsia="Times New Roman" w:hAnsi="Arial Narrow" w:cs="Calibri"/>
                <w:sz w:val="20"/>
                <w:szCs w:val="20"/>
                <w:lang w:eastAsia="en-AU"/>
              </w:rPr>
            </w:pPr>
            <w:r w:rsidRPr="00D07E3A">
              <w:rPr>
                <w:rFonts w:ascii="Arial Narrow" w:eastAsia="Times New Roman" w:hAnsi="Arial Narrow" w:cs="Calibri"/>
                <w:sz w:val="20"/>
                <w:szCs w:val="20"/>
                <w:lang w:eastAsia="en-AU"/>
              </w:rPr>
              <w:t>First Nations People ≥50 YOA</w:t>
            </w:r>
          </w:p>
        </w:tc>
        <w:tc>
          <w:tcPr>
            <w:tcW w:w="580" w:type="pct"/>
            <w:tcBorders>
              <w:top w:val="nil"/>
              <w:left w:val="nil"/>
              <w:bottom w:val="single" w:sz="4" w:space="0" w:color="auto"/>
              <w:right w:val="single" w:sz="4" w:space="0" w:color="auto"/>
            </w:tcBorders>
            <w:shd w:val="clear" w:color="auto" w:fill="auto"/>
            <w:noWrap/>
            <w:hideMark/>
          </w:tcPr>
          <w:p w14:paraId="3570F7A1" w14:textId="5578CBB9"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2</w:t>
            </w:r>
          </w:p>
        </w:tc>
        <w:tc>
          <w:tcPr>
            <w:tcW w:w="440" w:type="pct"/>
            <w:tcBorders>
              <w:top w:val="nil"/>
              <w:left w:val="nil"/>
              <w:bottom w:val="single" w:sz="4" w:space="0" w:color="auto"/>
              <w:right w:val="single" w:sz="4" w:space="0" w:color="auto"/>
            </w:tcBorders>
            <w:shd w:val="clear" w:color="auto" w:fill="auto"/>
            <w:noWrap/>
            <w:hideMark/>
          </w:tcPr>
          <w:p w14:paraId="49D8B7E0" w14:textId="1FEF9114"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3</w:t>
            </w:r>
          </w:p>
        </w:tc>
        <w:tc>
          <w:tcPr>
            <w:tcW w:w="510" w:type="pct"/>
            <w:tcBorders>
              <w:top w:val="nil"/>
              <w:left w:val="nil"/>
              <w:bottom w:val="single" w:sz="4" w:space="0" w:color="auto"/>
              <w:right w:val="single" w:sz="4" w:space="0" w:color="auto"/>
            </w:tcBorders>
            <w:shd w:val="clear" w:color="auto" w:fill="auto"/>
            <w:noWrap/>
            <w:hideMark/>
          </w:tcPr>
          <w:p w14:paraId="1A12F042" w14:textId="5B51CE85"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8</w:t>
            </w:r>
          </w:p>
        </w:tc>
        <w:tc>
          <w:tcPr>
            <w:tcW w:w="510" w:type="pct"/>
            <w:tcBorders>
              <w:top w:val="nil"/>
              <w:left w:val="nil"/>
              <w:bottom w:val="single" w:sz="4" w:space="0" w:color="auto"/>
              <w:right w:val="single" w:sz="4" w:space="0" w:color="auto"/>
            </w:tcBorders>
            <w:shd w:val="clear" w:color="auto" w:fill="auto"/>
            <w:noWrap/>
            <w:hideMark/>
          </w:tcPr>
          <w:p w14:paraId="6397CC52" w14:textId="603EBEBE"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4</w:t>
            </w:r>
          </w:p>
        </w:tc>
        <w:tc>
          <w:tcPr>
            <w:tcW w:w="510" w:type="pct"/>
            <w:tcBorders>
              <w:top w:val="nil"/>
              <w:left w:val="nil"/>
              <w:bottom w:val="single" w:sz="4" w:space="0" w:color="auto"/>
              <w:right w:val="single" w:sz="4" w:space="0" w:color="auto"/>
            </w:tcBorders>
            <w:shd w:val="clear" w:color="auto" w:fill="auto"/>
            <w:noWrap/>
            <w:hideMark/>
          </w:tcPr>
          <w:p w14:paraId="51865668" w14:textId="0BD667A0"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4</w:t>
            </w:r>
          </w:p>
        </w:tc>
        <w:tc>
          <w:tcPr>
            <w:tcW w:w="510" w:type="pct"/>
            <w:tcBorders>
              <w:top w:val="nil"/>
              <w:left w:val="nil"/>
              <w:bottom w:val="single" w:sz="4" w:space="0" w:color="auto"/>
              <w:right w:val="single" w:sz="4" w:space="0" w:color="auto"/>
            </w:tcBorders>
            <w:shd w:val="clear" w:color="auto" w:fill="auto"/>
            <w:noWrap/>
            <w:hideMark/>
          </w:tcPr>
          <w:p w14:paraId="29ADADD9" w14:textId="6779D945"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4</w:t>
            </w:r>
          </w:p>
        </w:tc>
        <w:tc>
          <w:tcPr>
            <w:tcW w:w="508" w:type="pct"/>
            <w:tcBorders>
              <w:top w:val="nil"/>
              <w:left w:val="nil"/>
              <w:bottom w:val="single" w:sz="4" w:space="0" w:color="auto"/>
              <w:right w:val="single" w:sz="4" w:space="0" w:color="auto"/>
            </w:tcBorders>
            <w:shd w:val="clear" w:color="auto" w:fill="auto"/>
            <w:noWrap/>
            <w:hideMark/>
          </w:tcPr>
          <w:p w14:paraId="06F31E0D" w14:textId="313F885A"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10</w:t>
            </w:r>
          </w:p>
        </w:tc>
      </w:tr>
      <w:tr w:rsidR="00E64937" w:rsidRPr="00D07E3A" w14:paraId="2DEDFC98" w14:textId="77777777" w:rsidTr="00057CBC">
        <w:trPr>
          <w:trHeight w:val="170"/>
        </w:trPr>
        <w:tc>
          <w:tcPr>
            <w:tcW w:w="1432" w:type="pct"/>
            <w:tcBorders>
              <w:top w:val="nil"/>
              <w:left w:val="single" w:sz="4" w:space="0" w:color="auto"/>
              <w:bottom w:val="single" w:sz="4" w:space="0" w:color="auto"/>
              <w:right w:val="single" w:sz="4" w:space="0" w:color="auto"/>
            </w:tcBorders>
            <w:shd w:val="clear" w:color="auto" w:fill="auto"/>
            <w:noWrap/>
            <w:hideMark/>
          </w:tcPr>
          <w:p w14:paraId="6E27C850" w14:textId="77777777" w:rsidR="00E64937" w:rsidRPr="00D07E3A" w:rsidRDefault="00E64937" w:rsidP="00B964B0">
            <w:pPr>
              <w:spacing w:after="0" w:line="240" w:lineRule="auto"/>
              <w:rPr>
                <w:rFonts w:ascii="Arial Narrow" w:eastAsia="Times New Roman" w:hAnsi="Arial Narrow" w:cs="Calibri"/>
                <w:sz w:val="20"/>
                <w:szCs w:val="20"/>
                <w:lang w:eastAsia="en-AU"/>
              </w:rPr>
            </w:pPr>
            <w:r w:rsidRPr="00D07E3A">
              <w:rPr>
                <w:rFonts w:ascii="Arial Narrow" w:eastAsia="Times New Roman" w:hAnsi="Arial Narrow" w:cs="Calibri"/>
                <w:sz w:val="20"/>
                <w:szCs w:val="20"/>
                <w:lang w:eastAsia="en-AU"/>
              </w:rPr>
              <w:t>High-risk IC ≥18 YOA (Mar-23 recommendation)</w:t>
            </w:r>
          </w:p>
        </w:tc>
        <w:tc>
          <w:tcPr>
            <w:tcW w:w="580" w:type="pct"/>
            <w:tcBorders>
              <w:top w:val="nil"/>
              <w:left w:val="nil"/>
              <w:bottom w:val="single" w:sz="4" w:space="0" w:color="auto"/>
              <w:right w:val="single" w:sz="4" w:space="0" w:color="auto"/>
            </w:tcBorders>
            <w:shd w:val="clear" w:color="auto" w:fill="auto"/>
            <w:noWrap/>
            <w:hideMark/>
          </w:tcPr>
          <w:p w14:paraId="073C8C9E" w14:textId="2A3AA621"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2</w:t>
            </w:r>
          </w:p>
        </w:tc>
        <w:tc>
          <w:tcPr>
            <w:tcW w:w="440" w:type="pct"/>
            <w:tcBorders>
              <w:top w:val="nil"/>
              <w:left w:val="nil"/>
              <w:bottom w:val="single" w:sz="4" w:space="0" w:color="auto"/>
              <w:right w:val="single" w:sz="4" w:space="0" w:color="auto"/>
            </w:tcBorders>
            <w:shd w:val="clear" w:color="auto" w:fill="auto"/>
            <w:noWrap/>
            <w:hideMark/>
          </w:tcPr>
          <w:p w14:paraId="38EB3E13" w14:textId="26F60929"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3</w:t>
            </w:r>
          </w:p>
        </w:tc>
        <w:tc>
          <w:tcPr>
            <w:tcW w:w="510" w:type="pct"/>
            <w:tcBorders>
              <w:top w:val="nil"/>
              <w:left w:val="nil"/>
              <w:bottom w:val="single" w:sz="4" w:space="0" w:color="auto"/>
              <w:right w:val="single" w:sz="4" w:space="0" w:color="auto"/>
            </w:tcBorders>
            <w:shd w:val="clear" w:color="auto" w:fill="auto"/>
            <w:noWrap/>
            <w:hideMark/>
          </w:tcPr>
          <w:p w14:paraId="33B92CFB" w14:textId="1E8F0C9A"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4</w:t>
            </w:r>
          </w:p>
        </w:tc>
        <w:tc>
          <w:tcPr>
            <w:tcW w:w="510" w:type="pct"/>
            <w:tcBorders>
              <w:top w:val="nil"/>
              <w:left w:val="nil"/>
              <w:bottom w:val="single" w:sz="4" w:space="0" w:color="auto"/>
              <w:right w:val="single" w:sz="4" w:space="0" w:color="auto"/>
            </w:tcBorders>
            <w:shd w:val="clear" w:color="auto" w:fill="auto"/>
            <w:noWrap/>
            <w:hideMark/>
          </w:tcPr>
          <w:p w14:paraId="61FF56FF" w14:textId="4AA3F2CF"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4</w:t>
            </w:r>
          </w:p>
        </w:tc>
        <w:tc>
          <w:tcPr>
            <w:tcW w:w="510" w:type="pct"/>
            <w:tcBorders>
              <w:top w:val="nil"/>
              <w:left w:val="nil"/>
              <w:bottom w:val="single" w:sz="4" w:space="0" w:color="auto"/>
              <w:right w:val="single" w:sz="4" w:space="0" w:color="auto"/>
            </w:tcBorders>
            <w:shd w:val="clear" w:color="auto" w:fill="auto"/>
            <w:noWrap/>
            <w:hideMark/>
          </w:tcPr>
          <w:p w14:paraId="1BB96F39" w14:textId="783E82BE"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9</w:t>
            </w:r>
          </w:p>
        </w:tc>
        <w:tc>
          <w:tcPr>
            <w:tcW w:w="510" w:type="pct"/>
            <w:tcBorders>
              <w:top w:val="nil"/>
              <w:left w:val="nil"/>
              <w:bottom w:val="single" w:sz="4" w:space="0" w:color="auto"/>
              <w:right w:val="single" w:sz="4" w:space="0" w:color="auto"/>
            </w:tcBorders>
            <w:shd w:val="clear" w:color="auto" w:fill="auto"/>
            <w:noWrap/>
            <w:hideMark/>
          </w:tcPr>
          <w:p w14:paraId="33EC977A" w14:textId="58486DC8"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9</w:t>
            </w:r>
          </w:p>
        </w:tc>
        <w:tc>
          <w:tcPr>
            <w:tcW w:w="508" w:type="pct"/>
            <w:tcBorders>
              <w:top w:val="nil"/>
              <w:left w:val="nil"/>
              <w:bottom w:val="single" w:sz="4" w:space="0" w:color="auto"/>
              <w:right w:val="single" w:sz="4" w:space="0" w:color="auto"/>
            </w:tcBorders>
            <w:shd w:val="clear" w:color="auto" w:fill="auto"/>
            <w:noWrap/>
            <w:hideMark/>
          </w:tcPr>
          <w:p w14:paraId="167BFEE3" w14:textId="15DB09BE"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1</w:t>
            </w:r>
          </w:p>
        </w:tc>
      </w:tr>
      <w:tr w:rsidR="00E64937" w:rsidRPr="00D07E3A" w14:paraId="6BC10ACB" w14:textId="77777777" w:rsidTr="00057CBC">
        <w:trPr>
          <w:trHeight w:val="170"/>
        </w:trPr>
        <w:tc>
          <w:tcPr>
            <w:tcW w:w="1432" w:type="pct"/>
            <w:tcBorders>
              <w:top w:val="nil"/>
              <w:left w:val="single" w:sz="4" w:space="0" w:color="auto"/>
              <w:bottom w:val="double" w:sz="6" w:space="0" w:color="auto"/>
              <w:right w:val="single" w:sz="4" w:space="0" w:color="auto"/>
            </w:tcBorders>
            <w:shd w:val="clear" w:color="000000" w:fill="FFF2CC"/>
            <w:noWrap/>
            <w:hideMark/>
          </w:tcPr>
          <w:p w14:paraId="1E001A8E" w14:textId="77777777" w:rsidR="00E64937" w:rsidRPr="00D07E3A" w:rsidRDefault="00E64937" w:rsidP="00B964B0">
            <w:pPr>
              <w:spacing w:after="0" w:line="240" w:lineRule="auto"/>
              <w:rPr>
                <w:rFonts w:ascii="Arial Narrow" w:eastAsia="Times New Roman" w:hAnsi="Arial Narrow" w:cs="Calibri"/>
                <w:b/>
                <w:bCs/>
                <w:sz w:val="20"/>
                <w:szCs w:val="20"/>
                <w:lang w:eastAsia="en-AU"/>
              </w:rPr>
            </w:pPr>
            <w:r w:rsidRPr="00D07E3A">
              <w:rPr>
                <w:rFonts w:ascii="Arial Narrow" w:eastAsia="Times New Roman" w:hAnsi="Arial Narrow" w:cs="Calibri"/>
                <w:b/>
                <w:bCs/>
                <w:sz w:val="20"/>
                <w:szCs w:val="20"/>
                <w:lang w:eastAsia="en-AU"/>
              </w:rPr>
              <w:t>Total</w:t>
            </w:r>
          </w:p>
        </w:tc>
        <w:tc>
          <w:tcPr>
            <w:tcW w:w="580" w:type="pct"/>
            <w:tcBorders>
              <w:top w:val="nil"/>
              <w:left w:val="nil"/>
              <w:bottom w:val="double" w:sz="6" w:space="0" w:color="auto"/>
              <w:right w:val="single" w:sz="4" w:space="0" w:color="auto"/>
            </w:tcBorders>
            <w:shd w:val="clear" w:color="000000" w:fill="FFF2CC"/>
            <w:noWrap/>
            <w:hideMark/>
          </w:tcPr>
          <w:p w14:paraId="05076A12" w14:textId="52D7483B" w:rsidR="00E64937" w:rsidRPr="00FA76D2" w:rsidRDefault="00447F02" w:rsidP="00971F34">
            <w:pPr>
              <w:spacing w:after="0" w:line="240" w:lineRule="auto"/>
              <w:jc w:val="right"/>
              <w:rPr>
                <w:rFonts w:ascii="Arial Narrow" w:eastAsia="Times New Roman" w:hAnsi="Arial Narrow" w:cs="Calibri"/>
                <w:b/>
                <w:bCs/>
                <w:sz w:val="20"/>
                <w:szCs w:val="20"/>
                <w:highlight w:val="darkGray"/>
                <w:lang w:eastAsia="en-AU"/>
              </w:rPr>
            </w:pPr>
            <w:r w:rsidRPr="00447F02">
              <w:rPr>
                <w:rFonts w:ascii="Arial Narrow" w:hAnsi="Arial Narrow" w:cs="Calibri"/>
                <w:b/>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b/>
                <w:sz w:val="20"/>
                <w:szCs w:val="20"/>
              </w:rPr>
              <w:t xml:space="preserve"> </w:t>
            </w:r>
            <w:r w:rsidR="002819BB">
              <w:rPr>
                <w:rFonts w:ascii="Arial Narrow" w:hAnsi="Arial Narrow"/>
                <w:sz w:val="18"/>
                <w:szCs w:val="18"/>
                <w:vertAlign w:val="superscript"/>
                <w:lang w:bidi="en-US"/>
              </w:rPr>
              <w:t>16</w:t>
            </w:r>
          </w:p>
        </w:tc>
        <w:tc>
          <w:tcPr>
            <w:tcW w:w="440" w:type="pct"/>
            <w:tcBorders>
              <w:top w:val="nil"/>
              <w:left w:val="nil"/>
              <w:bottom w:val="double" w:sz="6" w:space="0" w:color="auto"/>
              <w:right w:val="single" w:sz="4" w:space="0" w:color="auto"/>
            </w:tcBorders>
            <w:shd w:val="clear" w:color="000000" w:fill="FFF2CC"/>
            <w:noWrap/>
            <w:hideMark/>
          </w:tcPr>
          <w:p w14:paraId="087CD5A9" w14:textId="0AFEA03A" w:rsidR="00E64937" w:rsidRPr="00FA76D2" w:rsidRDefault="00447F02" w:rsidP="00971F34">
            <w:pPr>
              <w:spacing w:after="0" w:line="240" w:lineRule="auto"/>
              <w:jc w:val="right"/>
              <w:rPr>
                <w:rFonts w:ascii="Arial Narrow" w:eastAsia="Times New Roman" w:hAnsi="Arial Narrow" w:cs="Calibri"/>
                <w:b/>
                <w:bCs/>
                <w:sz w:val="20"/>
                <w:szCs w:val="20"/>
                <w:highlight w:val="darkGray"/>
                <w:lang w:eastAsia="en-AU"/>
              </w:rPr>
            </w:pPr>
            <w:r w:rsidRPr="00447F02">
              <w:rPr>
                <w:rFonts w:ascii="Arial Narrow" w:hAnsi="Arial Narrow" w:cs="Calibri"/>
                <w:b/>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b/>
                <w:sz w:val="20"/>
                <w:szCs w:val="20"/>
              </w:rPr>
              <w:t xml:space="preserve"> </w:t>
            </w:r>
            <w:r w:rsidR="002819BB">
              <w:rPr>
                <w:rFonts w:ascii="Arial Narrow" w:hAnsi="Arial Narrow"/>
                <w:sz w:val="18"/>
                <w:szCs w:val="18"/>
                <w:vertAlign w:val="superscript"/>
                <w:lang w:bidi="en-US"/>
              </w:rPr>
              <w:t>13</w:t>
            </w:r>
          </w:p>
        </w:tc>
        <w:tc>
          <w:tcPr>
            <w:tcW w:w="510" w:type="pct"/>
            <w:tcBorders>
              <w:top w:val="nil"/>
              <w:left w:val="nil"/>
              <w:bottom w:val="double" w:sz="6" w:space="0" w:color="auto"/>
              <w:right w:val="single" w:sz="4" w:space="0" w:color="auto"/>
            </w:tcBorders>
            <w:shd w:val="clear" w:color="000000" w:fill="FFF2CC"/>
            <w:noWrap/>
            <w:hideMark/>
          </w:tcPr>
          <w:p w14:paraId="381D72D0" w14:textId="6C5CCBD5" w:rsidR="00E64937" w:rsidRPr="00FA76D2" w:rsidRDefault="00447F02" w:rsidP="00971F34">
            <w:pPr>
              <w:spacing w:after="0" w:line="240" w:lineRule="auto"/>
              <w:jc w:val="right"/>
              <w:rPr>
                <w:rFonts w:ascii="Arial Narrow" w:eastAsia="Times New Roman" w:hAnsi="Arial Narrow" w:cs="Calibri"/>
                <w:b/>
                <w:bCs/>
                <w:sz w:val="20"/>
                <w:szCs w:val="20"/>
                <w:highlight w:val="darkGray"/>
                <w:lang w:eastAsia="en-AU"/>
              </w:rPr>
            </w:pPr>
            <w:r w:rsidRPr="00447F02">
              <w:rPr>
                <w:rFonts w:ascii="Arial Narrow" w:hAnsi="Arial Narrow" w:cs="Calibri"/>
                <w:b/>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b/>
                <w:sz w:val="20"/>
                <w:szCs w:val="20"/>
              </w:rPr>
              <w:t xml:space="preserve"> </w:t>
            </w:r>
            <w:r w:rsidR="002819BB">
              <w:rPr>
                <w:rFonts w:ascii="Arial Narrow" w:hAnsi="Arial Narrow"/>
                <w:sz w:val="18"/>
                <w:szCs w:val="18"/>
                <w:vertAlign w:val="superscript"/>
                <w:lang w:bidi="en-US"/>
              </w:rPr>
              <w:t>13</w:t>
            </w:r>
          </w:p>
        </w:tc>
        <w:tc>
          <w:tcPr>
            <w:tcW w:w="510" w:type="pct"/>
            <w:tcBorders>
              <w:top w:val="nil"/>
              <w:left w:val="nil"/>
              <w:bottom w:val="double" w:sz="6" w:space="0" w:color="auto"/>
              <w:right w:val="single" w:sz="4" w:space="0" w:color="auto"/>
            </w:tcBorders>
            <w:shd w:val="clear" w:color="000000" w:fill="FFF2CC"/>
            <w:noWrap/>
            <w:hideMark/>
          </w:tcPr>
          <w:p w14:paraId="5CCA54CD" w14:textId="3378E748" w:rsidR="00E64937" w:rsidRPr="00FA76D2" w:rsidRDefault="00447F02" w:rsidP="00971F34">
            <w:pPr>
              <w:spacing w:after="0" w:line="240" w:lineRule="auto"/>
              <w:jc w:val="right"/>
              <w:rPr>
                <w:rFonts w:ascii="Arial Narrow" w:eastAsia="Times New Roman" w:hAnsi="Arial Narrow" w:cs="Calibri"/>
                <w:b/>
                <w:bCs/>
                <w:sz w:val="20"/>
                <w:szCs w:val="20"/>
                <w:highlight w:val="darkGray"/>
                <w:lang w:eastAsia="en-AU"/>
              </w:rPr>
            </w:pPr>
            <w:r w:rsidRPr="00447F02">
              <w:rPr>
                <w:rFonts w:ascii="Arial Narrow" w:hAnsi="Arial Narrow" w:cs="Calibri"/>
                <w:b/>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b/>
                <w:sz w:val="20"/>
                <w:szCs w:val="20"/>
              </w:rPr>
              <w:t xml:space="preserve"> </w:t>
            </w:r>
            <w:r w:rsidR="002819BB">
              <w:rPr>
                <w:rFonts w:ascii="Arial Narrow" w:hAnsi="Arial Narrow"/>
                <w:sz w:val="18"/>
                <w:szCs w:val="18"/>
                <w:vertAlign w:val="superscript"/>
                <w:lang w:bidi="en-US"/>
              </w:rPr>
              <w:t>21</w:t>
            </w:r>
          </w:p>
        </w:tc>
        <w:tc>
          <w:tcPr>
            <w:tcW w:w="510" w:type="pct"/>
            <w:tcBorders>
              <w:top w:val="nil"/>
              <w:left w:val="nil"/>
              <w:bottom w:val="double" w:sz="6" w:space="0" w:color="auto"/>
              <w:right w:val="single" w:sz="4" w:space="0" w:color="auto"/>
            </w:tcBorders>
            <w:shd w:val="clear" w:color="000000" w:fill="FFF2CC"/>
            <w:noWrap/>
            <w:hideMark/>
          </w:tcPr>
          <w:p w14:paraId="59242200" w14:textId="18D01C75" w:rsidR="00E64937" w:rsidRPr="00FA76D2" w:rsidRDefault="00447F02" w:rsidP="00971F34">
            <w:pPr>
              <w:spacing w:after="0" w:line="240" w:lineRule="auto"/>
              <w:jc w:val="right"/>
              <w:rPr>
                <w:rFonts w:ascii="Arial Narrow" w:eastAsia="Times New Roman" w:hAnsi="Arial Narrow" w:cs="Calibri"/>
                <w:b/>
                <w:bCs/>
                <w:sz w:val="20"/>
                <w:szCs w:val="20"/>
                <w:highlight w:val="darkGray"/>
                <w:lang w:eastAsia="en-AU"/>
              </w:rPr>
            </w:pPr>
            <w:r w:rsidRPr="00447F02">
              <w:rPr>
                <w:rFonts w:ascii="Arial Narrow" w:hAnsi="Arial Narrow" w:cs="Calibri"/>
                <w:b/>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b/>
                <w:sz w:val="20"/>
                <w:szCs w:val="20"/>
              </w:rPr>
              <w:t xml:space="preserve"> </w:t>
            </w:r>
            <w:r w:rsidR="002819BB">
              <w:rPr>
                <w:rFonts w:ascii="Arial Narrow" w:hAnsi="Arial Narrow"/>
                <w:sz w:val="18"/>
                <w:szCs w:val="18"/>
                <w:vertAlign w:val="superscript"/>
                <w:lang w:bidi="en-US"/>
              </w:rPr>
              <w:t>18</w:t>
            </w:r>
          </w:p>
        </w:tc>
        <w:tc>
          <w:tcPr>
            <w:tcW w:w="510" w:type="pct"/>
            <w:tcBorders>
              <w:top w:val="nil"/>
              <w:left w:val="nil"/>
              <w:bottom w:val="double" w:sz="6" w:space="0" w:color="auto"/>
              <w:right w:val="single" w:sz="4" w:space="0" w:color="auto"/>
            </w:tcBorders>
            <w:shd w:val="clear" w:color="000000" w:fill="FFF2CC"/>
            <w:noWrap/>
            <w:hideMark/>
          </w:tcPr>
          <w:p w14:paraId="5A39388F" w14:textId="7A825DF2" w:rsidR="00E64937" w:rsidRPr="00FA76D2" w:rsidRDefault="00447F02" w:rsidP="00971F34">
            <w:pPr>
              <w:spacing w:after="0" w:line="240" w:lineRule="auto"/>
              <w:jc w:val="right"/>
              <w:rPr>
                <w:rFonts w:ascii="Arial Narrow" w:eastAsia="Times New Roman" w:hAnsi="Arial Narrow" w:cs="Calibri"/>
                <w:b/>
                <w:bCs/>
                <w:sz w:val="20"/>
                <w:szCs w:val="20"/>
                <w:highlight w:val="darkGray"/>
                <w:lang w:eastAsia="en-AU"/>
              </w:rPr>
            </w:pPr>
            <w:r w:rsidRPr="00447F02">
              <w:rPr>
                <w:rFonts w:ascii="Arial Narrow" w:hAnsi="Arial Narrow" w:cs="Calibri"/>
                <w:b/>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b/>
                <w:sz w:val="20"/>
                <w:szCs w:val="20"/>
              </w:rPr>
              <w:t xml:space="preserve"> </w:t>
            </w:r>
            <w:r w:rsidR="002819BB">
              <w:rPr>
                <w:rFonts w:ascii="Arial Narrow" w:hAnsi="Arial Narrow"/>
                <w:sz w:val="18"/>
                <w:szCs w:val="18"/>
                <w:vertAlign w:val="superscript"/>
                <w:lang w:bidi="en-US"/>
              </w:rPr>
              <w:t>18</w:t>
            </w:r>
          </w:p>
        </w:tc>
        <w:tc>
          <w:tcPr>
            <w:tcW w:w="508" w:type="pct"/>
            <w:tcBorders>
              <w:top w:val="nil"/>
              <w:left w:val="nil"/>
              <w:bottom w:val="double" w:sz="6" w:space="0" w:color="auto"/>
              <w:right w:val="single" w:sz="4" w:space="0" w:color="auto"/>
            </w:tcBorders>
            <w:shd w:val="clear" w:color="000000" w:fill="FFF2CC"/>
            <w:noWrap/>
            <w:hideMark/>
          </w:tcPr>
          <w:p w14:paraId="603BA8A1" w14:textId="7FF30732" w:rsidR="00E64937" w:rsidRPr="00FA76D2" w:rsidRDefault="00447F02" w:rsidP="00971F34">
            <w:pPr>
              <w:spacing w:after="0" w:line="240" w:lineRule="auto"/>
              <w:jc w:val="right"/>
              <w:rPr>
                <w:rFonts w:ascii="Arial Narrow" w:eastAsia="Times New Roman" w:hAnsi="Arial Narrow" w:cs="Calibri"/>
                <w:b/>
                <w:bCs/>
                <w:sz w:val="20"/>
                <w:szCs w:val="20"/>
                <w:highlight w:val="darkGray"/>
                <w:lang w:eastAsia="en-AU"/>
              </w:rPr>
            </w:pPr>
            <w:r w:rsidRPr="00447F02">
              <w:rPr>
                <w:rFonts w:ascii="Arial Narrow" w:hAnsi="Arial Narrow" w:cs="Calibri"/>
                <w:b/>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b/>
                <w:sz w:val="20"/>
                <w:szCs w:val="20"/>
              </w:rPr>
              <w:t xml:space="preserve"> </w:t>
            </w:r>
            <w:r w:rsidR="002819BB">
              <w:rPr>
                <w:rFonts w:ascii="Arial Narrow" w:hAnsi="Arial Narrow"/>
                <w:sz w:val="18"/>
                <w:szCs w:val="18"/>
                <w:vertAlign w:val="superscript"/>
                <w:lang w:bidi="en-US"/>
              </w:rPr>
              <w:t>22</w:t>
            </w:r>
          </w:p>
        </w:tc>
      </w:tr>
      <w:tr w:rsidR="00E64937" w:rsidRPr="00D07E3A" w14:paraId="27D46C8E" w14:textId="77777777" w:rsidTr="00057CBC">
        <w:trPr>
          <w:trHeight w:val="170"/>
        </w:trPr>
        <w:tc>
          <w:tcPr>
            <w:tcW w:w="1432" w:type="pct"/>
            <w:tcBorders>
              <w:top w:val="nil"/>
              <w:left w:val="single" w:sz="4" w:space="0" w:color="auto"/>
              <w:bottom w:val="single" w:sz="4" w:space="0" w:color="auto"/>
              <w:right w:val="nil"/>
            </w:tcBorders>
            <w:shd w:val="clear" w:color="000000" w:fill="D9D9D9"/>
            <w:noWrap/>
            <w:hideMark/>
          </w:tcPr>
          <w:p w14:paraId="67C7F392" w14:textId="77777777" w:rsidR="00E64937" w:rsidRPr="00D07E3A" w:rsidRDefault="00E64937" w:rsidP="00B964B0">
            <w:pPr>
              <w:spacing w:after="0" w:line="240" w:lineRule="auto"/>
              <w:rPr>
                <w:rFonts w:ascii="Arial Narrow" w:eastAsia="Times New Roman" w:hAnsi="Arial Narrow" w:cs="Calibri"/>
                <w:b/>
                <w:bCs/>
                <w:sz w:val="20"/>
                <w:szCs w:val="20"/>
                <w:lang w:eastAsia="en-AU"/>
              </w:rPr>
            </w:pPr>
            <w:r w:rsidRPr="00D07E3A">
              <w:rPr>
                <w:rFonts w:ascii="Arial Narrow" w:eastAsia="Times New Roman" w:hAnsi="Arial Narrow" w:cs="Calibri"/>
                <w:b/>
                <w:bCs/>
                <w:sz w:val="20"/>
                <w:szCs w:val="20"/>
                <w:lang w:eastAsia="en-AU"/>
              </w:rPr>
              <w:t>Cost to NIP</w:t>
            </w:r>
          </w:p>
        </w:tc>
        <w:tc>
          <w:tcPr>
            <w:tcW w:w="580" w:type="pct"/>
            <w:tcBorders>
              <w:top w:val="nil"/>
              <w:left w:val="nil"/>
              <w:bottom w:val="single" w:sz="4" w:space="0" w:color="auto"/>
              <w:right w:val="nil"/>
            </w:tcBorders>
            <w:shd w:val="clear" w:color="000000" w:fill="D9D9D9"/>
            <w:noWrap/>
            <w:hideMark/>
          </w:tcPr>
          <w:p w14:paraId="7CD8228B" w14:textId="77777777" w:rsidR="00E64937" w:rsidRPr="00D07E3A" w:rsidRDefault="00E64937" w:rsidP="00B964B0">
            <w:pPr>
              <w:spacing w:after="0" w:line="240" w:lineRule="auto"/>
              <w:rPr>
                <w:rFonts w:ascii="Arial Narrow" w:eastAsia="Times New Roman" w:hAnsi="Arial Narrow" w:cs="Calibri"/>
                <w:b/>
                <w:bCs/>
                <w:sz w:val="20"/>
                <w:szCs w:val="20"/>
                <w:lang w:eastAsia="en-AU"/>
              </w:rPr>
            </w:pPr>
            <w:r w:rsidRPr="00D07E3A">
              <w:rPr>
                <w:rFonts w:ascii="Arial Narrow" w:hAnsi="Arial Narrow" w:cs="Calibri"/>
                <w:b/>
                <w:bCs/>
                <w:sz w:val="20"/>
                <w:szCs w:val="20"/>
              </w:rPr>
              <w:t> </w:t>
            </w:r>
          </w:p>
        </w:tc>
        <w:tc>
          <w:tcPr>
            <w:tcW w:w="440" w:type="pct"/>
            <w:tcBorders>
              <w:top w:val="nil"/>
              <w:left w:val="nil"/>
              <w:bottom w:val="single" w:sz="4" w:space="0" w:color="auto"/>
              <w:right w:val="nil"/>
            </w:tcBorders>
            <w:shd w:val="clear" w:color="000000" w:fill="D9D9D9"/>
            <w:noWrap/>
            <w:hideMark/>
          </w:tcPr>
          <w:p w14:paraId="0AB22E07" w14:textId="77777777" w:rsidR="00E64937" w:rsidRPr="00D07E3A" w:rsidRDefault="00E64937" w:rsidP="00B964B0">
            <w:pPr>
              <w:spacing w:after="0" w:line="240" w:lineRule="auto"/>
              <w:rPr>
                <w:rFonts w:ascii="Arial Narrow" w:eastAsia="Times New Roman" w:hAnsi="Arial Narrow" w:cs="Calibri"/>
                <w:b/>
                <w:bCs/>
                <w:sz w:val="20"/>
                <w:szCs w:val="20"/>
                <w:lang w:eastAsia="en-AU"/>
              </w:rPr>
            </w:pPr>
            <w:r w:rsidRPr="00D07E3A">
              <w:rPr>
                <w:rFonts w:ascii="Arial Narrow" w:hAnsi="Arial Narrow" w:cs="Calibri"/>
                <w:b/>
                <w:bCs/>
                <w:sz w:val="20"/>
                <w:szCs w:val="20"/>
              </w:rPr>
              <w:t> </w:t>
            </w:r>
          </w:p>
        </w:tc>
        <w:tc>
          <w:tcPr>
            <w:tcW w:w="510" w:type="pct"/>
            <w:tcBorders>
              <w:top w:val="nil"/>
              <w:left w:val="nil"/>
              <w:bottom w:val="single" w:sz="4" w:space="0" w:color="auto"/>
              <w:right w:val="nil"/>
            </w:tcBorders>
            <w:shd w:val="clear" w:color="000000" w:fill="D9D9D9"/>
            <w:noWrap/>
            <w:hideMark/>
          </w:tcPr>
          <w:p w14:paraId="709C7C03" w14:textId="77777777" w:rsidR="00E64937" w:rsidRPr="00D07E3A" w:rsidRDefault="00E64937" w:rsidP="00B964B0">
            <w:pPr>
              <w:spacing w:after="0" w:line="240" w:lineRule="auto"/>
              <w:rPr>
                <w:rFonts w:ascii="Arial Narrow" w:eastAsia="Times New Roman" w:hAnsi="Arial Narrow" w:cs="Calibri"/>
                <w:b/>
                <w:bCs/>
                <w:sz w:val="20"/>
                <w:szCs w:val="20"/>
                <w:lang w:eastAsia="en-AU"/>
              </w:rPr>
            </w:pPr>
            <w:r w:rsidRPr="00D07E3A">
              <w:rPr>
                <w:rFonts w:ascii="Arial Narrow" w:hAnsi="Arial Narrow" w:cs="Calibri"/>
                <w:b/>
                <w:bCs/>
                <w:sz w:val="20"/>
                <w:szCs w:val="20"/>
              </w:rPr>
              <w:t> </w:t>
            </w:r>
          </w:p>
        </w:tc>
        <w:tc>
          <w:tcPr>
            <w:tcW w:w="510" w:type="pct"/>
            <w:tcBorders>
              <w:top w:val="nil"/>
              <w:left w:val="nil"/>
              <w:bottom w:val="single" w:sz="4" w:space="0" w:color="auto"/>
              <w:right w:val="nil"/>
            </w:tcBorders>
            <w:shd w:val="clear" w:color="000000" w:fill="D9D9D9"/>
            <w:noWrap/>
            <w:hideMark/>
          </w:tcPr>
          <w:p w14:paraId="3E4E6525" w14:textId="77777777" w:rsidR="00E64937" w:rsidRPr="00D07E3A" w:rsidRDefault="00E64937" w:rsidP="00B964B0">
            <w:pPr>
              <w:spacing w:after="0" w:line="240" w:lineRule="auto"/>
              <w:rPr>
                <w:rFonts w:ascii="Arial Narrow" w:eastAsia="Times New Roman" w:hAnsi="Arial Narrow" w:cs="Calibri"/>
                <w:b/>
                <w:bCs/>
                <w:sz w:val="20"/>
                <w:szCs w:val="20"/>
                <w:lang w:eastAsia="en-AU"/>
              </w:rPr>
            </w:pPr>
            <w:r w:rsidRPr="00D07E3A">
              <w:rPr>
                <w:rFonts w:ascii="Arial Narrow" w:hAnsi="Arial Narrow" w:cs="Calibri"/>
                <w:b/>
                <w:bCs/>
                <w:sz w:val="20"/>
                <w:szCs w:val="20"/>
              </w:rPr>
              <w:t> </w:t>
            </w:r>
          </w:p>
        </w:tc>
        <w:tc>
          <w:tcPr>
            <w:tcW w:w="510" w:type="pct"/>
            <w:tcBorders>
              <w:top w:val="nil"/>
              <w:left w:val="nil"/>
              <w:bottom w:val="single" w:sz="4" w:space="0" w:color="auto"/>
              <w:right w:val="nil"/>
            </w:tcBorders>
            <w:shd w:val="clear" w:color="000000" w:fill="D9D9D9"/>
            <w:noWrap/>
            <w:hideMark/>
          </w:tcPr>
          <w:p w14:paraId="608AFF33" w14:textId="77777777" w:rsidR="00E64937" w:rsidRPr="00D07E3A" w:rsidRDefault="00E64937" w:rsidP="00B964B0">
            <w:pPr>
              <w:spacing w:after="0" w:line="240" w:lineRule="auto"/>
              <w:rPr>
                <w:rFonts w:ascii="Arial Narrow" w:eastAsia="Times New Roman" w:hAnsi="Arial Narrow" w:cs="Calibri"/>
                <w:b/>
                <w:bCs/>
                <w:sz w:val="20"/>
                <w:szCs w:val="20"/>
                <w:lang w:eastAsia="en-AU"/>
              </w:rPr>
            </w:pPr>
            <w:r w:rsidRPr="00D07E3A">
              <w:rPr>
                <w:rFonts w:ascii="Arial Narrow" w:hAnsi="Arial Narrow" w:cs="Calibri"/>
                <w:b/>
                <w:bCs/>
                <w:sz w:val="20"/>
                <w:szCs w:val="20"/>
              </w:rPr>
              <w:t> </w:t>
            </w:r>
          </w:p>
        </w:tc>
        <w:tc>
          <w:tcPr>
            <w:tcW w:w="510" w:type="pct"/>
            <w:tcBorders>
              <w:top w:val="nil"/>
              <w:left w:val="nil"/>
              <w:bottom w:val="single" w:sz="4" w:space="0" w:color="auto"/>
              <w:right w:val="nil"/>
            </w:tcBorders>
            <w:shd w:val="clear" w:color="000000" w:fill="D9D9D9"/>
            <w:noWrap/>
            <w:hideMark/>
          </w:tcPr>
          <w:p w14:paraId="4F6D41A9" w14:textId="77777777" w:rsidR="00E64937" w:rsidRPr="00D07E3A" w:rsidRDefault="00E64937" w:rsidP="00B964B0">
            <w:pPr>
              <w:spacing w:after="0" w:line="240" w:lineRule="auto"/>
              <w:rPr>
                <w:rFonts w:ascii="Arial Narrow" w:eastAsia="Times New Roman" w:hAnsi="Arial Narrow" w:cs="Calibri"/>
                <w:b/>
                <w:bCs/>
                <w:sz w:val="20"/>
                <w:szCs w:val="20"/>
                <w:lang w:eastAsia="en-AU"/>
              </w:rPr>
            </w:pPr>
            <w:r w:rsidRPr="00D07E3A">
              <w:rPr>
                <w:rFonts w:ascii="Arial Narrow" w:hAnsi="Arial Narrow" w:cs="Calibri"/>
                <w:b/>
                <w:bCs/>
                <w:sz w:val="20"/>
                <w:szCs w:val="20"/>
              </w:rPr>
              <w:t> </w:t>
            </w:r>
          </w:p>
        </w:tc>
        <w:tc>
          <w:tcPr>
            <w:tcW w:w="508" w:type="pct"/>
            <w:tcBorders>
              <w:top w:val="nil"/>
              <w:left w:val="nil"/>
              <w:bottom w:val="single" w:sz="4" w:space="0" w:color="auto"/>
              <w:right w:val="single" w:sz="4" w:space="0" w:color="auto"/>
            </w:tcBorders>
            <w:shd w:val="clear" w:color="000000" w:fill="D9D9D9"/>
            <w:noWrap/>
            <w:hideMark/>
          </w:tcPr>
          <w:p w14:paraId="2D7CCD15" w14:textId="77777777" w:rsidR="00E64937" w:rsidRPr="00D07E3A" w:rsidRDefault="00E64937" w:rsidP="00B964B0">
            <w:pPr>
              <w:spacing w:after="0" w:line="240" w:lineRule="auto"/>
              <w:rPr>
                <w:rFonts w:ascii="Arial Narrow" w:eastAsia="Times New Roman" w:hAnsi="Arial Narrow" w:cs="Calibri"/>
                <w:b/>
                <w:bCs/>
                <w:sz w:val="20"/>
                <w:szCs w:val="20"/>
                <w:lang w:eastAsia="en-AU"/>
              </w:rPr>
            </w:pPr>
            <w:r w:rsidRPr="00D07E3A">
              <w:rPr>
                <w:rFonts w:ascii="Arial Narrow" w:hAnsi="Arial Narrow" w:cs="Calibri"/>
                <w:b/>
                <w:bCs/>
                <w:sz w:val="20"/>
                <w:szCs w:val="20"/>
              </w:rPr>
              <w:t> </w:t>
            </w:r>
          </w:p>
        </w:tc>
      </w:tr>
      <w:tr w:rsidR="00E64937" w:rsidRPr="00D07E3A" w14:paraId="420B478D" w14:textId="77777777" w:rsidTr="00057CBC">
        <w:trPr>
          <w:trHeight w:val="170"/>
        </w:trPr>
        <w:tc>
          <w:tcPr>
            <w:tcW w:w="1432" w:type="pct"/>
            <w:tcBorders>
              <w:top w:val="nil"/>
              <w:left w:val="single" w:sz="4" w:space="0" w:color="auto"/>
              <w:bottom w:val="single" w:sz="4" w:space="0" w:color="auto"/>
              <w:right w:val="single" w:sz="4" w:space="0" w:color="auto"/>
            </w:tcBorders>
            <w:shd w:val="clear" w:color="000000" w:fill="F2F2F2"/>
            <w:noWrap/>
            <w:hideMark/>
          </w:tcPr>
          <w:p w14:paraId="1B5559D5" w14:textId="77777777" w:rsidR="00E64937" w:rsidRPr="00D07E3A" w:rsidRDefault="00E64937" w:rsidP="00B964B0">
            <w:pPr>
              <w:spacing w:after="0" w:line="240" w:lineRule="auto"/>
              <w:rPr>
                <w:rFonts w:ascii="Arial Narrow" w:eastAsia="Times New Roman" w:hAnsi="Arial Narrow" w:cs="Calibri"/>
                <w:sz w:val="20"/>
                <w:szCs w:val="20"/>
                <w:lang w:eastAsia="en-AU"/>
              </w:rPr>
            </w:pPr>
            <w:r w:rsidRPr="00D07E3A">
              <w:rPr>
                <w:rFonts w:ascii="Arial Narrow" w:eastAsia="Times New Roman" w:hAnsi="Arial Narrow" w:cs="Calibri"/>
                <w:sz w:val="20"/>
                <w:szCs w:val="20"/>
                <w:lang w:eastAsia="en-AU"/>
              </w:rPr>
              <w:t>Additional NIP cohorts</w:t>
            </w:r>
          </w:p>
        </w:tc>
        <w:tc>
          <w:tcPr>
            <w:tcW w:w="580" w:type="pct"/>
            <w:tcBorders>
              <w:top w:val="nil"/>
              <w:left w:val="nil"/>
              <w:bottom w:val="single" w:sz="4" w:space="0" w:color="auto"/>
              <w:right w:val="single" w:sz="4" w:space="0" w:color="auto"/>
            </w:tcBorders>
            <w:shd w:val="clear" w:color="000000" w:fill="F2F2F2"/>
            <w:noWrap/>
            <w:hideMark/>
          </w:tcPr>
          <w:p w14:paraId="3463F67A" w14:textId="3D955D0E"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23</w:t>
            </w:r>
          </w:p>
        </w:tc>
        <w:tc>
          <w:tcPr>
            <w:tcW w:w="440" w:type="pct"/>
            <w:tcBorders>
              <w:top w:val="nil"/>
              <w:left w:val="nil"/>
              <w:bottom w:val="single" w:sz="4" w:space="0" w:color="auto"/>
              <w:right w:val="single" w:sz="4" w:space="0" w:color="auto"/>
            </w:tcBorders>
            <w:shd w:val="clear" w:color="000000" w:fill="F2F2F2"/>
            <w:noWrap/>
            <w:hideMark/>
          </w:tcPr>
          <w:p w14:paraId="79F385B3" w14:textId="5020B8F9"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24</w:t>
            </w:r>
          </w:p>
        </w:tc>
        <w:tc>
          <w:tcPr>
            <w:tcW w:w="510" w:type="pct"/>
            <w:tcBorders>
              <w:top w:val="nil"/>
              <w:left w:val="nil"/>
              <w:bottom w:val="single" w:sz="4" w:space="0" w:color="auto"/>
              <w:right w:val="single" w:sz="4" w:space="0" w:color="auto"/>
            </w:tcBorders>
            <w:shd w:val="clear" w:color="000000" w:fill="F2F2F2"/>
            <w:noWrap/>
            <w:hideMark/>
          </w:tcPr>
          <w:p w14:paraId="0E5D2D00" w14:textId="44DD4A73"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25</w:t>
            </w:r>
          </w:p>
        </w:tc>
        <w:tc>
          <w:tcPr>
            <w:tcW w:w="510" w:type="pct"/>
            <w:tcBorders>
              <w:top w:val="nil"/>
              <w:left w:val="nil"/>
              <w:bottom w:val="single" w:sz="4" w:space="0" w:color="auto"/>
              <w:right w:val="single" w:sz="4" w:space="0" w:color="auto"/>
            </w:tcBorders>
            <w:shd w:val="clear" w:color="000000" w:fill="F2F2F2"/>
            <w:noWrap/>
            <w:hideMark/>
          </w:tcPr>
          <w:p w14:paraId="27940DFA" w14:textId="36FD996C"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25</w:t>
            </w:r>
          </w:p>
        </w:tc>
        <w:tc>
          <w:tcPr>
            <w:tcW w:w="510" w:type="pct"/>
            <w:tcBorders>
              <w:top w:val="nil"/>
              <w:left w:val="nil"/>
              <w:bottom w:val="single" w:sz="4" w:space="0" w:color="auto"/>
              <w:right w:val="single" w:sz="4" w:space="0" w:color="auto"/>
            </w:tcBorders>
            <w:shd w:val="clear" w:color="000000" w:fill="F2F2F2"/>
            <w:noWrap/>
            <w:hideMark/>
          </w:tcPr>
          <w:p w14:paraId="75E8F367" w14:textId="1A58C665"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26</w:t>
            </w:r>
          </w:p>
        </w:tc>
        <w:tc>
          <w:tcPr>
            <w:tcW w:w="510" w:type="pct"/>
            <w:tcBorders>
              <w:top w:val="nil"/>
              <w:left w:val="nil"/>
              <w:bottom w:val="single" w:sz="4" w:space="0" w:color="auto"/>
              <w:right w:val="single" w:sz="4" w:space="0" w:color="auto"/>
            </w:tcBorders>
            <w:shd w:val="clear" w:color="000000" w:fill="F2F2F2"/>
            <w:noWrap/>
            <w:hideMark/>
          </w:tcPr>
          <w:p w14:paraId="04CEB07B" w14:textId="3647F8D8"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26</w:t>
            </w:r>
          </w:p>
        </w:tc>
        <w:tc>
          <w:tcPr>
            <w:tcW w:w="508" w:type="pct"/>
            <w:tcBorders>
              <w:top w:val="nil"/>
              <w:left w:val="nil"/>
              <w:bottom w:val="single" w:sz="4" w:space="0" w:color="auto"/>
              <w:right w:val="single" w:sz="4" w:space="0" w:color="auto"/>
            </w:tcBorders>
            <w:shd w:val="clear" w:color="000000" w:fill="F2F2F2"/>
            <w:noWrap/>
            <w:hideMark/>
          </w:tcPr>
          <w:p w14:paraId="08550E1E" w14:textId="69A87642"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27</w:t>
            </w:r>
          </w:p>
        </w:tc>
      </w:tr>
      <w:tr w:rsidR="00E64937" w:rsidRPr="00D07E3A" w14:paraId="5A47E252" w14:textId="77777777" w:rsidTr="00057CBC">
        <w:trPr>
          <w:trHeight w:val="170"/>
        </w:trPr>
        <w:tc>
          <w:tcPr>
            <w:tcW w:w="1432" w:type="pct"/>
            <w:tcBorders>
              <w:top w:val="nil"/>
              <w:left w:val="single" w:sz="4" w:space="0" w:color="auto"/>
              <w:bottom w:val="single" w:sz="4" w:space="0" w:color="auto"/>
              <w:right w:val="single" w:sz="4" w:space="0" w:color="auto"/>
            </w:tcBorders>
            <w:shd w:val="clear" w:color="auto" w:fill="auto"/>
            <w:noWrap/>
            <w:hideMark/>
          </w:tcPr>
          <w:p w14:paraId="45C4BDF8" w14:textId="77777777" w:rsidR="00E64937" w:rsidRPr="00D07E3A" w:rsidRDefault="00E64937" w:rsidP="00B964B0">
            <w:pPr>
              <w:spacing w:after="0" w:line="240" w:lineRule="auto"/>
              <w:rPr>
                <w:rFonts w:ascii="Arial Narrow" w:eastAsia="Times New Roman" w:hAnsi="Arial Narrow" w:cs="Calibri"/>
                <w:sz w:val="20"/>
                <w:szCs w:val="20"/>
                <w:lang w:eastAsia="en-AU"/>
              </w:rPr>
            </w:pPr>
            <w:r w:rsidRPr="00D07E3A">
              <w:rPr>
                <w:rFonts w:ascii="Arial Narrow" w:eastAsia="Times New Roman" w:hAnsi="Arial Narrow" w:cs="Calibri"/>
                <w:sz w:val="20"/>
                <w:szCs w:val="20"/>
                <w:lang w:eastAsia="en-AU"/>
              </w:rPr>
              <w:t>High-risk IC ≥18 YOA</w:t>
            </w:r>
          </w:p>
        </w:tc>
        <w:tc>
          <w:tcPr>
            <w:tcW w:w="580" w:type="pct"/>
            <w:tcBorders>
              <w:top w:val="nil"/>
              <w:left w:val="nil"/>
              <w:bottom w:val="single" w:sz="4" w:space="0" w:color="auto"/>
              <w:right w:val="single" w:sz="4" w:space="0" w:color="auto"/>
            </w:tcBorders>
            <w:shd w:val="clear" w:color="auto" w:fill="auto"/>
            <w:noWrap/>
            <w:hideMark/>
          </w:tcPr>
          <w:p w14:paraId="27B8B374" w14:textId="7D1EAB54"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24</w:t>
            </w:r>
          </w:p>
        </w:tc>
        <w:tc>
          <w:tcPr>
            <w:tcW w:w="440" w:type="pct"/>
            <w:tcBorders>
              <w:top w:val="nil"/>
              <w:left w:val="nil"/>
              <w:bottom w:val="single" w:sz="4" w:space="0" w:color="auto"/>
              <w:right w:val="single" w:sz="4" w:space="0" w:color="auto"/>
            </w:tcBorders>
            <w:shd w:val="clear" w:color="auto" w:fill="auto"/>
            <w:noWrap/>
            <w:hideMark/>
          </w:tcPr>
          <w:p w14:paraId="73C9333E" w14:textId="087C852E"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25</w:t>
            </w:r>
          </w:p>
        </w:tc>
        <w:tc>
          <w:tcPr>
            <w:tcW w:w="510" w:type="pct"/>
            <w:tcBorders>
              <w:top w:val="nil"/>
              <w:left w:val="nil"/>
              <w:bottom w:val="single" w:sz="4" w:space="0" w:color="auto"/>
              <w:right w:val="single" w:sz="4" w:space="0" w:color="auto"/>
            </w:tcBorders>
            <w:shd w:val="clear" w:color="auto" w:fill="auto"/>
            <w:noWrap/>
            <w:hideMark/>
          </w:tcPr>
          <w:p w14:paraId="08BFC404" w14:textId="5CFECB4C"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25</w:t>
            </w:r>
          </w:p>
        </w:tc>
        <w:tc>
          <w:tcPr>
            <w:tcW w:w="510" w:type="pct"/>
            <w:tcBorders>
              <w:top w:val="nil"/>
              <w:left w:val="nil"/>
              <w:bottom w:val="single" w:sz="4" w:space="0" w:color="auto"/>
              <w:right w:val="single" w:sz="4" w:space="0" w:color="auto"/>
            </w:tcBorders>
            <w:shd w:val="clear" w:color="auto" w:fill="auto"/>
            <w:noWrap/>
            <w:hideMark/>
          </w:tcPr>
          <w:p w14:paraId="3FCF95E9" w14:textId="74EE2750"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25</w:t>
            </w:r>
          </w:p>
        </w:tc>
        <w:tc>
          <w:tcPr>
            <w:tcW w:w="510" w:type="pct"/>
            <w:tcBorders>
              <w:top w:val="nil"/>
              <w:left w:val="nil"/>
              <w:bottom w:val="single" w:sz="4" w:space="0" w:color="auto"/>
              <w:right w:val="single" w:sz="4" w:space="0" w:color="auto"/>
            </w:tcBorders>
            <w:shd w:val="clear" w:color="auto" w:fill="auto"/>
            <w:noWrap/>
            <w:hideMark/>
          </w:tcPr>
          <w:p w14:paraId="19B6D7ED" w14:textId="1C26D9D8"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26</w:t>
            </w:r>
          </w:p>
        </w:tc>
        <w:tc>
          <w:tcPr>
            <w:tcW w:w="510" w:type="pct"/>
            <w:tcBorders>
              <w:top w:val="nil"/>
              <w:left w:val="nil"/>
              <w:bottom w:val="single" w:sz="4" w:space="0" w:color="auto"/>
              <w:right w:val="single" w:sz="4" w:space="0" w:color="auto"/>
            </w:tcBorders>
            <w:shd w:val="clear" w:color="auto" w:fill="auto"/>
            <w:noWrap/>
            <w:hideMark/>
          </w:tcPr>
          <w:p w14:paraId="16864F21" w14:textId="4185BA67"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26</w:t>
            </w:r>
          </w:p>
        </w:tc>
        <w:tc>
          <w:tcPr>
            <w:tcW w:w="508" w:type="pct"/>
            <w:tcBorders>
              <w:top w:val="nil"/>
              <w:left w:val="nil"/>
              <w:bottom w:val="single" w:sz="4" w:space="0" w:color="auto"/>
              <w:right w:val="single" w:sz="4" w:space="0" w:color="auto"/>
            </w:tcBorders>
            <w:shd w:val="clear" w:color="auto" w:fill="auto"/>
            <w:noWrap/>
            <w:hideMark/>
          </w:tcPr>
          <w:p w14:paraId="39966906" w14:textId="7863801B"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28</w:t>
            </w:r>
          </w:p>
        </w:tc>
      </w:tr>
      <w:tr w:rsidR="00E64937" w:rsidRPr="00D07E3A" w14:paraId="1521694D" w14:textId="77777777" w:rsidTr="00057CBC">
        <w:trPr>
          <w:trHeight w:val="170"/>
        </w:trPr>
        <w:tc>
          <w:tcPr>
            <w:tcW w:w="1432" w:type="pct"/>
            <w:tcBorders>
              <w:top w:val="nil"/>
              <w:left w:val="single" w:sz="4" w:space="0" w:color="auto"/>
              <w:bottom w:val="single" w:sz="4" w:space="0" w:color="auto"/>
              <w:right w:val="single" w:sz="4" w:space="0" w:color="auto"/>
            </w:tcBorders>
            <w:shd w:val="clear" w:color="auto" w:fill="auto"/>
            <w:noWrap/>
            <w:hideMark/>
          </w:tcPr>
          <w:p w14:paraId="12C24726" w14:textId="77777777" w:rsidR="00E64937" w:rsidRPr="00D07E3A" w:rsidRDefault="00E64937" w:rsidP="00B964B0">
            <w:pPr>
              <w:spacing w:after="0" w:line="240" w:lineRule="auto"/>
              <w:rPr>
                <w:rFonts w:ascii="Arial Narrow" w:eastAsia="Times New Roman" w:hAnsi="Arial Narrow" w:cs="Calibri"/>
                <w:sz w:val="20"/>
                <w:szCs w:val="20"/>
                <w:lang w:eastAsia="en-AU"/>
              </w:rPr>
            </w:pPr>
            <w:r w:rsidRPr="00D07E3A">
              <w:rPr>
                <w:rFonts w:ascii="Arial Narrow" w:eastAsia="Times New Roman" w:hAnsi="Arial Narrow" w:cs="Calibri"/>
                <w:sz w:val="20"/>
                <w:szCs w:val="20"/>
                <w:lang w:eastAsia="en-AU"/>
              </w:rPr>
              <w:t>Moderate-risk IC ≥18 YOA</w:t>
            </w:r>
          </w:p>
        </w:tc>
        <w:tc>
          <w:tcPr>
            <w:tcW w:w="580" w:type="pct"/>
            <w:tcBorders>
              <w:top w:val="nil"/>
              <w:left w:val="nil"/>
              <w:bottom w:val="single" w:sz="4" w:space="0" w:color="auto"/>
              <w:right w:val="single" w:sz="4" w:space="0" w:color="auto"/>
            </w:tcBorders>
            <w:shd w:val="clear" w:color="auto" w:fill="auto"/>
            <w:noWrap/>
            <w:hideMark/>
          </w:tcPr>
          <w:p w14:paraId="42302ABC" w14:textId="317B8D17"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26</w:t>
            </w:r>
          </w:p>
        </w:tc>
        <w:tc>
          <w:tcPr>
            <w:tcW w:w="440" w:type="pct"/>
            <w:tcBorders>
              <w:top w:val="nil"/>
              <w:left w:val="nil"/>
              <w:bottom w:val="single" w:sz="4" w:space="0" w:color="auto"/>
              <w:right w:val="single" w:sz="4" w:space="0" w:color="auto"/>
            </w:tcBorders>
            <w:shd w:val="clear" w:color="auto" w:fill="auto"/>
            <w:noWrap/>
            <w:hideMark/>
          </w:tcPr>
          <w:p w14:paraId="4CE45566" w14:textId="2BBEE105"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26</w:t>
            </w:r>
          </w:p>
        </w:tc>
        <w:tc>
          <w:tcPr>
            <w:tcW w:w="510" w:type="pct"/>
            <w:tcBorders>
              <w:top w:val="nil"/>
              <w:left w:val="nil"/>
              <w:bottom w:val="single" w:sz="4" w:space="0" w:color="auto"/>
              <w:right w:val="single" w:sz="4" w:space="0" w:color="auto"/>
            </w:tcBorders>
            <w:shd w:val="clear" w:color="auto" w:fill="auto"/>
            <w:noWrap/>
            <w:hideMark/>
          </w:tcPr>
          <w:p w14:paraId="6EAD017E" w14:textId="7E0CF868"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26</w:t>
            </w:r>
          </w:p>
        </w:tc>
        <w:tc>
          <w:tcPr>
            <w:tcW w:w="510" w:type="pct"/>
            <w:tcBorders>
              <w:top w:val="nil"/>
              <w:left w:val="nil"/>
              <w:bottom w:val="single" w:sz="4" w:space="0" w:color="auto"/>
              <w:right w:val="single" w:sz="4" w:space="0" w:color="auto"/>
            </w:tcBorders>
            <w:shd w:val="clear" w:color="auto" w:fill="auto"/>
            <w:noWrap/>
            <w:hideMark/>
          </w:tcPr>
          <w:p w14:paraId="7E1F3E00" w14:textId="4E5F6C59"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26</w:t>
            </w:r>
          </w:p>
        </w:tc>
        <w:tc>
          <w:tcPr>
            <w:tcW w:w="510" w:type="pct"/>
            <w:tcBorders>
              <w:top w:val="nil"/>
              <w:left w:val="nil"/>
              <w:bottom w:val="single" w:sz="4" w:space="0" w:color="auto"/>
              <w:right w:val="single" w:sz="4" w:space="0" w:color="auto"/>
            </w:tcBorders>
            <w:shd w:val="clear" w:color="auto" w:fill="auto"/>
            <w:noWrap/>
            <w:hideMark/>
          </w:tcPr>
          <w:p w14:paraId="0F9A7054" w14:textId="6C889B3D"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26</w:t>
            </w:r>
          </w:p>
        </w:tc>
        <w:tc>
          <w:tcPr>
            <w:tcW w:w="510" w:type="pct"/>
            <w:tcBorders>
              <w:top w:val="nil"/>
              <w:left w:val="nil"/>
              <w:bottom w:val="single" w:sz="4" w:space="0" w:color="auto"/>
              <w:right w:val="single" w:sz="4" w:space="0" w:color="auto"/>
            </w:tcBorders>
            <w:shd w:val="clear" w:color="auto" w:fill="auto"/>
            <w:noWrap/>
            <w:hideMark/>
          </w:tcPr>
          <w:p w14:paraId="32D3F067" w14:textId="179EFFC9"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26</w:t>
            </w:r>
          </w:p>
        </w:tc>
        <w:tc>
          <w:tcPr>
            <w:tcW w:w="508" w:type="pct"/>
            <w:tcBorders>
              <w:top w:val="nil"/>
              <w:left w:val="nil"/>
              <w:bottom w:val="single" w:sz="4" w:space="0" w:color="auto"/>
              <w:right w:val="single" w:sz="4" w:space="0" w:color="auto"/>
            </w:tcBorders>
            <w:shd w:val="clear" w:color="auto" w:fill="auto"/>
            <w:noWrap/>
            <w:hideMark/>
          </w:tcPr>
          <w:p w14:paraId="07BA6781" w14:textId="5EEFC4FB"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25</w:t>
            </w:r>
          </w:p>
        </w:tc>
      </w:tr>
      <w:tr w:rsidR="00E64937" w:rsidRPr="00D07E3A" w14:paraId="6BDF4673" w14:textId="77777777" w:rsidTr="00057CBC">
        <w:trPr>
          <w:trHeight w:val="170"/>
        </w:trPr>
        <w:tc>
          <w:tcPr>
            <w:tcW w:w="1432" w:type="pct"/>
            <w:tcBorders>
              <w:top w:val="nil"/>
              <w:left w:val="single" w:sz="4" w:space="0" w:color="auto"/>
              <w:bottom w:val="single" w:sz="4" w:space="0" w:color="auto"/>
              <w:right w:val="single" w:sz="4" w:space="0" w:color="auto"/>
            </w:tcBorders>
            <w:shd w:val="clear" w:color="000000" w:fill="F2F2F2"/>
            <w:noWrap/>
            <w:hideMark/>
          </w:tcPr>
          <w:p w14:paraId="3DD1739C" w14:textId="77777777" w:rsidR="00E64937" w:rsidRPr="00D07E3A" w:rsidRDefault="00E64937" w:rsidP="00B964B0">
            <w:pPr>
              <w:spacing w:after="0" w:line="240" w:lineRule="auto"/>
              <w:rPr>
                <w:rFonts w:ascii="Arial Narrow" w:eastAsia="Times New Roman" w:hAnsi="Arial Narrow" w:cs="Calibri"/>
                <w:sz w:val="20"/>
                <w:szCs w:val="20"/>
                <w:lang w:eastAsia="en-AU"/>
              </w:rPr>
            </w:pPr>
            <w:r w:rsidRPr="00D07E3A">
              <w:rPr>
                <w:rFonts w:ascii="Arial Narrow" w:eastAsia="Times New Roman" w:hAnsi="Arial Narrow" w:cs="Calibri"/>
                <w:sz w:val="20"/>
                <w:szCs w:val="20"/>
                <w:lang w:eastAsia="en-AU"/>
              </w:rPr>
              <w:t>Existing NIP cohorts</w:t>
            </w:r>
          </w:p>
        </w:tc>
        <w:tc>
          <w:tcPr>
            <w:tcW w:w="580" w:type="pct"/>
            <w:tcBorders>
              <w:top w:val="nil"/>
              <w:left w:val="nil"/>
              <w:bottom w:val="single" w:sz="4" w:space="0" w:color="auto"/>
              <w:right w:val="single" w:sz="4" w:space="0" w:color="auto"/>
            </w:tcBorders>
            <w:shd w:val="clear" w:color="000000" w:fill="F2F2F2"/>
            <w:noWrap/>
            <w:hideMark/>
          </w:tcPr>
          <w:p w14:paraId="274CE9D6" w14:textId="73CE5F16"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29</w:t>
            </w:r>
          </w:p>
        </w:tc>
        <w:tc>
          <w:tcPr>
            <w:tcW w:w="440" w:type="pct"/>
            <w:tcBorders>
              <w:top w:val="nil"/>
              <w:left w:val="nil"/>
              <w:bottom w:val="single" w:sz="4" w:space="0" w:color="auto"/>
              <w:right w:val="single" w:sz="4" w:space="0" w:color="auto"/>
            </w:tcBorders>
            <w:shd w:val="clear" w:color="000000" w:fill="F2F2F2"/>
            <w:noWrap/>
            <w:hideMark/>
          </w:tcPr>
          <w:p w14:paraId="4CB37921" w14:textId="1758A0A8"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31</w:t>
            </w:r>
          </w:p>
        </w:tc>
        <w:tc>
          <w:tcPr>
            <w:tcW w:w="510" w:type="pct"/>
            <w:tcBorders>
              <w:top w:val="nil"/>
              <w:left w:val="nil"/>
              <w:bottom w:val="single" w:sz="4" w:space="0" w:color="auto"/>
              <w:right w:val="single" w:sz="4" w:space="0" w:color="auto"/>
            </w:tcBorders>
            <w:shd w:val="clear" w:color="000000" w:fill="F2F2F2"/>
            <w:noWrap/>
            <w:hideMark/>
          </w:tcPr>
          <w:p w14:paraId="1C3ABE48" w14:textId="07715976"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31</w:t>
            </w:r>
          </w:p>
        </w:tc>
        <w:tc>
          <w:tcPr>
            <w:tcW w:w="510" w:type="pct"/>
            <w:tcBorders>
              <w:top w:val="nil"/>
              <w:left w:val="nil"/>
              <w:bottom w:val="single" w:sz="4" w:space="0" w:color="auto"/>
              <w:right w:val="single" w:sz="4" w:space="0" w:color="auto"/>
            </w:tcBorders>
            <w:shd w:val="clear" w:color="000000" w:fill="F2F2F2"/>
            <w:noWrap/>
            <w:hideMark/>
          </w:tcPr>
          <w:p w14:paraId="14A29B16" w14:textId="5135D4E7"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31</w:t>
            </w:r>
          </w:p>
        </w:tc>
        <w:tc>
          <w:tcPr>
            <w:tcW w:w="510" w:type="pct"/>
            <w:tcBorders>
              <w:top w:val="nil"/>
              <w:left w:val="nil"/>
              <w:bottom w:val="single" w:sz="4" w:space="0" w:color="auto"/>
              <w:right w:val="single" w:sz="4" w:space="0" w:color="auto"/>
            </w:tcBorders>
            <w:shd w:val="clear" w:color="000000" w:fill="F2F2F2"/>
            <w:noWrap/>
            <w:hideMark/>
          </w:tcPr>
          <w:p w14:paraId="3D24670B" w14:textId="160F8792"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31</w:t>
            </w:r>
          </w:p>
        </w:tc>
        <w:tc>
          <w:tcPr>
            <w:tcW w:w="510" w:type="pct"/>
            <w:tcBorders>
              <w:top w:val="nil"/>
              <w:left w:val="nil"/>
              <w:bottom w:val="single" w:sz="4" w:space="0" w:color="auto"/>
              <w:right w:val="single" w:sz="4" w:space="0" w:color="auto"/>
            </w:tcBorders>
            <w:shd w:val="clear" w:color="000000" w:fill="F2F2F2"/>
            <w:noWrap/>
            <w:hideMark/>
          </w:tcPr>
          <w:p w14:paraId="3891F8D9" w14:textId="76FA5948"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31</w:t>
            </w:r>
          </w:p>
        </w:tc>
        <w:tc>
          <w:tcPr>
            <w:tcW w:w="508" w:type="pct"/>
            <w:tcBorders>
              <w:top w:val="nil"/>
              <w:left w:val="nil"/>
              <w:bottom w:val="single" w:sz="4" w:space="0" w:color="auto"/>
              <w:right w:val="single" w:sz="4" w:space="0" w:color="auto"/>
            </w:tcBorders>
            <w:shd w:val="clear" w:color="000000" w:fill="F2F2F2"/>
            <w:noWrap/>
            <w:hideMark/>
          </w:tcPr>
          <w:p w14:paraId="53046D3B" w14:textId="21C21876"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32</w:t>
            </w:r>
          </w:p>
        </w:tc>
      </w:tr>
      <w:tr w:rsidR="00E64937" w:rsidRPr="00D07E3A" w14:paraId="0B1BD9B1" w14:textId="77777777" w:rsidTr="00057CBC">
        <w:trPr>
          <w:trHeight w:val="170"/>
        </w:trPr>
        <w:tc>
          <w:tcPr>
            <w:tcW w:w="1432" w:type="pct"/>
            <w:tcBorders>
              <w:top w:val="nil"/>
              <w:left w:val="single" w:sz="4" w:space="0" w:color="auto"/>
              <w:bottom w:val="single" w:sz="4" w:space="0" w:color="auto"/>
              <w:right w:val="single" w:sz="4" w:space="0" w:color="auto"/>
            </w:tcBorders>
            <w:shd w:val="clear" w:color="auto" w:fill="auto"/>
            <w:noWrap/>
            <w:hideMark/>
          </w:tcPr>
          <w:p w14:paraId="6F9E97B2" w14:textId="77777777" w:rsidR="00E64937" w:rsidRPr="00D07E3A" w:rsidRDefault="00E64937" w:rsidP="00B964B0">
            <w:pPr>
              <w:spacing w:after="0" w:line="240" w:lineRule="auto"/>
              <w:rPr>
                <w:rFonts w:ascii="Arial Narrow" w:eastAsia="Times New Roman" w:hAnsi="Arial Narrow" w:cs="Calibri"/>
                <w:sz w:val="20"/>
                <w:szCs w:val="20"/>
                <w:lang w:eastAsia="en-AU"/>
              </w:rPr>
            </w:pPr>
            <w:r w:rsidRPr="00D07E3A">
              <w:rPr>
                <w:rFonts w:ascii="Arial Narrow" w:eastAsia="Times New Roman" w:hAnsi="Arial Narrow" w:cs="Calibri"/>
                <w:sz w:val="20"/>
                <w:szCs w:val="20"/>
                <w:lang w:eastAsia="en-AU"/>
              </w:rPr>
              <w:t>Non-Indigenous ≥65 YOA</w:t>
            </w:r>
          </w:p>
        </w:tc>
        <w:tc>
          <w:tcPr>
            <w:tcW w:w="580" w:type="pct"/>
            <w:tcBorders>
              <w:top w:val="nil"/>
              <w:left w:val="nil"/>
              <w:bottom w:val="single" w:sz="4" w:space="0" w:color="auto"/>
              <w:right w:val="single" w:sz="4" w:space="0" w:color="auto"/>
            </w:tcBorders>
            <w:shd w:val="clear" w:color="auto" w:fill="auto"/>
            <w:noWrap/>
            <w:hideMark/>
          </w:tcPr>
          <w:p w14:paraId="322E737D" w14:textId="3113CC5A"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30</w:t>
            </w:r>
          </w:p>
        </w:tc>
        <w:tc>
          <w:tcPr>
            <w:tcW w:w="440" w:type="pct"/>
            <w:tcBorders>
              <w:top w:val="nil"/>
              <w:left w:val="nil"/>
              <w:bottom w:val="single" w:sz="4" w:space="0" w:color="auto"/>
              <w:right w:val="single" w:sz="4" w:space="0" w:color="auto"/>
            </w:tcBorders>
            <w:shd w:val="clear" w:color="auto" w:fill="auto"/>
            <w:noWrap/>
            <w:hideMark/>
          </w:tcPr>
          <w:p w14:paraId="3B114493" w14:textId="03758B22"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31</w:t>
            </w:r>
          </w:p>
        </w:tc>
        <w:tc>
          <w:tcPr>
            <w:tcW w:w="510" w:type="pct"/>
            <w:tcBorders>
              <w:top w:val="nil"/>
              <w:left w:val="nil"/>
              <w:bottom w:val="single" w:sz="4" w:space="0" w:color="auto"/>
              <w:right w:val="single" w:sz="4" w:space="0" w:color="auto"/>
            </w:tcBorders>
            <w:shd w:val="clear" w:color="auto" w:fill="auto"/>
            <w:noWrap/>
            <w:hideMark/>
          </w:tcPr>
          <w:p w14:paraId="20807DCB" w14:textId="3A1FDEBF"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31</w:t>
            </w:r>
          </w:p>
        </w:tc>
        <w:tc>
          <w:tcPr>
            <w:tcW w:w="510" w:type="pct"/>
            <w:tcBorders>
              <w:top w:val="nil"/>
              <w:left w:val="nil"/>
              <w:bottom w:val="single" w:sz="4" w:space="0" w:color="auto"/>
              <w:right w:val="single" w:sz="4" w:space="0" w:color="auto"/>
            </w:tcBorders>
            <w:shd w:val="clear" w:color="auto" w:fill="auto"/>
            <w:noWrap/>
            <w:hideMark/>
          </w:tcPr>
          <w:p w14:paraId="7C6685AC" w14:textId="1ACD935A"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27</w:t>
            </w:r>
          </w:p>
        </w:tc>
        <w:tc>
          <w:tcPr>
            <w:tcW w:w="510" w:type="pct"/>
            <w:tcBorders>
              <w:top w:val="nil"/>
              <w:left w:val="nil"/>
              <w:bottom w:val="single" w:sz="4" w:space="0" w:color="auto"/>
              <w:right w:val="single" w:sz="4" w:space="0" w:color="auto"/>
            </w:tcBorders>
            <w:shd w:val="clear" w:color="auto" w:fill="auto"/>
            <w:noWrap/>
            <w:hideMark/>
          </w:tcPr>
          <w:p w14:paraId="042308C8" w14:textId="7004D01B"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31</w:t>
            </w:r>
          </w:p>
        </w:tc>
        <w:tc>
          <w:tcPr>
            <w:tcW w:w="510" w:type="pct"/>
            <w:tcBorders>
              <w:top w:val="nil"/>
              <w:left w:val="nil"/>
              <w:bottom w:val="single" w:sz="4" w:space="0" w:color="auto"/>
              <w:right w:val="single" w:sz="4" w:space="0" w:color="auto"/>
            </w:tcBorders>
            <w:shd w:val="clear" w:color="auto" w:fill="auto"/>
            <w:noWrap/>
            <w:hideMark/>
          </w:tcPr>
          <w:p w14:paraId="4F148658" w14:textId="28AB7888"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31</w:t>
            </w:r>
          </w:p>
        </w:tc>
        <w:tc>
          <w:tcPr>
            <w:tcW w:w="508" w:type="pct"/>
            <w:tcBorders>
              <w:top w:val="nil"/>
              <w:left w:val="nil"/>
              <w:bottom w:val="single" w:sz="4" w:space="0" w:color="auto"/>
              <w:right w:val="single" w:sz="4" w:space="0" w:color="auto"/>
            </w:tcBorders>
            <w:shd w:val="clear" w:color="auto" w:fill="auto"/>
            <w:noWrap/>
            <w:hideMark/>
          </w:tcPr>
          <w:p w14:paraId="6172C5D1" w14:textId="7FFFF579"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32</w:t>
            </w:r>
          </w:p>
        </w:tc>
      </w:tr>
      <w:tr w:rsidR="00E64937" w:rsidRPr="00D07E3A" w14:paraId="0F046CF1" w14:textId="77777777" w:rsidTr="00057CBC">
        <w:trPr>
          <w:trHeight w:val="170"/>
        </w:trPr>
        <w:tc>
          <w:tcPr>
            <w:tcW w:w="1432" w:type="pct"/>
            <w:tcBorders>
              <w:top w:val="nil"/>
              <w:left w:val="single" w:sz="4" w:space="0" w:color="auto"/>
              <w:bottom w:val="single" w:sz="4" w:space="0" w:color="auto"/>
              <w:right w:val="single" w:sz="4" w:space="0" w:color="auto"/>
            </w:tcBorders>
            <w:shd w:val="clear" w:color="auto" w:fill="auto"/>
            <w:noWrap/>
            <w:hideMark/>
          </w:tcPr>
          <w:p w14:paraId="467B0AF5" w14:textId="77777777" w:rsidR="00E64937" w:rsidRPr="00D07E3A" w:rsidRDefault="00E64937" w:rsidP="00B964B0">
            <w:pPr>
              <w:spacing w:after="0" w:line="240" w:lineRule="auto"/>
              <w:rPr>
                <w:rFonts w:ascii="Arial Narrow" w:eastAsia="Times New Roman" w:hAnsi="Arial Narrow" w:cs="Calibri"/>
                <w:sz w:val="20"/>
                <w:szCs w:val="20"/>
                <w:lang w:eastAsia="en-AU"/>
              </w:rPr>
            </w:pPr>
            <w:r w:rsidRPr="00D07E3A">
              <w:rPr>
                <w:rFonts w:ascii="Arial Narrow" w:eastAsia="Times New Roman" w:hAnsi="Arial Narrow" w:cs="Calibri"/>
                <w:sz w:val="20"/>
                <w:szCs w:val="20"/>
                <w:lang w:eastAsia="en-AU"/>
              </w:rPr>
              <w:t>First Nations People ≥50 YOA</w:t>
            </w:r>
          </w:p>
        </w:tc>
        <w:tc>
          <w:tcPr>
            <w:tcW w:w="580" w:type="pct"/>
            <w:tcBorders>
              <w:top w:val="nil"/>
              <w:left w:val="nil"/>
              <w:bottom w:val="single" w:sz="4" w:space="0" w:color="auto"/>
              <w:right w:val="single" w:sz="4" w:space="0" w:color="auto"/>
            </w:tcBorders>
            <w:shd w:val="clear" w:color="auto" w:fill="auto"/>
            <w:noWrap/>
            <w:hideMark/>
          </w:tcPr>
          <w:p w14:paraId="7960208F" w14:textId="7A68E6AE"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25</w:t>
            </w:r>
          </w:p>
        </w:tc>
        <w:tc>
          <w:tcPr>
            <w:tcW w:w="440" w:type="pct"/>
            <w:tcBorders>
              <w:top w:val="nil"/>
              <w:left w:val="nil"/>
              <w:bottom w:val="single" w:sz="4" w:space="0" w:color="auto"/>
              <w:right w:val="single" w:sz="4" w:space="0" w:color="auto"/>
            </w:tcBorders>
            <w:shd w:val="clear" w:color="auto" w:fill="auto"/>
            <w:noWrap/>
            <w:hideMark/>
          </w:tcPr>
          <w:p w14:paraId="77CDF9B1" w14:textId="10CCA1A5"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26</w:t>
            </w:r>
          </w:p>
        </w:tc>
        <w:tc>
          <w:tcPr>
            <w:tcW w:w="510" w:type="pct"/>
            <w:tcBorders>
              <w:top w:val="nil"/>
              <w:left w:val="nil"/>
              <w:bottom w:val="single" w:sz="4" w:space="0" w:color="auto"/>
              <w:right w:val="single" w:sz="4" w:space="0" w:color="auto"/>
            </w:tcBorders>
            <w:shd w:val="clear" w:color="auto" w:fill="auto"/>
            <w:noWrap/>
            <w:hideMark/>
          </w:tcPr>
          <w:p w14:paraId="33F1034C" w14:textId="47940AA2"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26</w:t>
            </w:r>
          </w:p>
        </w:tc>
        <w:tc>
          <w:tcPr>
            <w:tcW w:w="510" w:type="pct"/>
            <w:tcBorders>
              <w:top w:val="nil"/>
              <w:left w:val="nil"/>
              <w:bottom w:val="single" w:sz="4" w:space="0" w:color="auto"/>
              <w:right w:val="single" w:sz="4" w:space="0" w:color="auto"/>
            </w:tcBorders>
            <w:shd w:val="clear" w:color="auto" w:fill="auto"/>
            <w:noWrap/>
            <w:hideMark/>
          </w:tcPr>
          <w:p w14:paraId="40184829" w14:textId="5347C951"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26</w:t>
            </w:r>
          </w:p>
        </w:tc>
        <w:tc>
          <w:tcPr>
            <w:tcW w:w="510" w:type="pct"/>
            <w:tcBorders>
              <w:top w:val="nil"/>
              <w:left w:val="nil"/>
              <w:bottom w:val="single" w:sz="4" w:space="0" w:color="auto"/>
              <w:right w:val="single" w:sz="4" w:space="0" w:color="auto"/>
            </w:tcBorders>
            <w:shd w:val="clear" w:color="auto" w:fill="auto"/>
            <w:noWrap/>
            <w:hideMark/>
          </w:tcPr>
          <w:p w14:paraId="7E9526A8" w14:textId="138EB4E4"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26</w:t>
            </w:r>
          </w:p>
        </w:tc>
        <w:tc>
          <w:tcPr>
            <w:tcW w:w="510" w:type="pct"/>
            <w:tcBorders>
              <w:top w:val="nil"/>
              <w:left w:val="nil"/>
              <w:bottom w:val="single" w:sz="4" w:space="0" w:color="auto"/>
              <w:right w:val="single" w:sz="4" w:space="0" w:color="auto"/>
            </w:tcBorders>
            <w:shd w:val="clear" w:color="auto" w:fill="auto"/>
            <w:noWrap/>
            <w:hideMark/>
          </w:tcPr>
          <w:p w14:paraId="3AF8EC19" w14:textId="13DF2D42"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26</w:t>
            </w:r>
          </w:p>
        </w:tc>
        <w:tc>
          <w:tcPr>
            <w:tcW w:w="508" w:type="pct"/>
            <w:tcBorders>
              <w:top w:val="nil"/>
              <w:left w:val="nil"/>
              <w:bottom w:val="single" w:sz="4" w:space="0" w:color="auto"/>
              <w:right w:val="single" w:sz="4" w:space="0" w:color="auto"/>
            </w:tcBorders>
            <w:shd w:val="clear" w:color="auto" w:fill="auto"/>
            <w:noWrap/>
            <w:hideMark/>
          </w:tcPr>
          <w:p w14:paraId="7A8658AA" w14:textId="0B3A5894"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33</w:t>
            </w:r>
          </w:p>
        </w:tc>
      </w:tr>
      <w:tr w:rsidR="00E64937" w:rsidRPr="00D07E3A" w14:paraId="6A375227" w14:textId="77777777" w:rsidTr="00057CBC">
        <w:trPr>
          <w:trHeight w:val="170"/>
        </w:trPr>
        <w:tc>
          <w:tcPr>
            <w:tcW w:w="1432" w:type="pct"/>
            <w:tcBorders>
              <w:top w:val="nil"/>
              <w:left w:val="single" w:sz="4" w:space="0" w:color="auto"/>
              <w:bottom w:val="single" w:sz="4" w:space="0" w:color="auto"/>
              <w:right w:val="single" w:sz="4" w:space="0" w:color="auto"/>
            </w:tcBorders>
            <w:shd w:val="clear" w:color="auto" w:fill="auto"/>
            <w:noWrap/>
            <w:hideMark/>
          </w:tcPr>
          <w:p w14:paraId="37D424B4" w14:textId="77777777" w:rsidR="00E64937" w:rsidRPr="00D07E3A" w:rsidRDefault="00E64937" w:rsidP="00B964B0">
            <w:pPr>
              <w:spacing w:after="0" w:line="240" w:lineRule="auto"/>
              <w:rPr>
                <w:rFonts w:ascii="Arial Narrow" w:eastAsia="Times New Roman" w:hAnsi="Arial Narrow" w:cs="Calibri"/>
                <w:sz w:val="20"/>
                <w:szCs w:val="20"/>
                <w:lang w:eastAsia="en-AU"/>
              </w:rPr>
            </w:pPr>
            <w:r w:rsidRPr="00D07E3A">
              <w:rPr>
                <w:rFonts w:ascii="Arial Narrow" w:eastAsia="Times New Roman" w:hAnsi="Arial Narrow" w:cs="Calibri"/>
                <w:sz w:val="20"/>
                <w:szCs w:val="20"/>
                <w:lang w:eastAsia="en-AU"/>
              </w:rPr>
              <w:t>High-risk IC ≥18 YOA (Mar-23 recommendation)</w:t>
            </w:r>
          </w:p>
        </w:tc>
        <w:tc>
          <w:tcPr>
            <w:tcW w:w="580" w:type="pct"/>
            <w:tcBorders>
              <w:top w:val="nil"/>
              <w:left w:val="nil"/>
              <w:bottom w:val="single" w:sz="4" w:space="0" w:color="auto"/>
              <w:right w:val="single" w:sz="4" w:space="0" w:color="auto"/>
            </w:tcBorders>
            <w:shd w:val="clear" w:color="auto" w:fill="auto"/>
            <w:noWrap/>
            <w:hideMark/>
          </w:tcPr>
          <w:p w14:paraId="6090EE59" w14:textId="1E46066B"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25</w:t>
            </w:r>
          </w:p>
        </w:tc>
        <w:tc>
          <w:tcPr>
            <w:tcW w:w="440" w:type="pct"/>
            <w:tcBorders>
              <w:top w:val="nil"/>
              <w:left w:val="nil"/>
              <w:bottom w:val="single" w:sz="4" w:space="0" w:color="auto"/>
              <w:right w:val="single" w:sz="4" w:space="0" w:color="auto"/>
            </w:tcBorders>
            <w:shd w:val="clear" w:color="auto" w:fill="auto"/>
            <w:noWrap/>
            <w:hideMark/>
          </w:tcPr>
          <w:p w14:paraId="3314A7D2" w14:textId="7866C013"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26</w:t>
            </w:r>
          </w:p>
        </w:tc>
        <w:tc>
          <w:tcPr>
            <w:tcW w:w="510" w:type="pct"/>
            <w:tcBorders>
              <w:top w:val="nil"/>
              <w:left w:val="nil"/>
              <w:bottom w:val="single" w:sz="4" w:space="0" w:color="auto"/>
              <w:right w:val="single" w:sz="4" w:space="0" w:color="auto"/>
            </w:tcBorders>
            <w:shd w:val="clear" w:color="auto" w:fill="auto"/>
            <w:noWrap/>
            <w:hideMark/>
          </w:tcPr>
          <w:p w14:paraId="3A76F4D0" w14:textId="3019F3C4"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26</w:t>
            </w:r>
          </w:p>
        </w:tc>
        <w:tc>
          <w:tcPr>
            <w:tcW w:w="510" w:type="pct"/>
            <w:tcBorders>
              <w:top w:val="nil"/>
              <w:left w:val="nil"/>
              <w:bottom w:val="single" w:sz="4" w:space="0" w:color="auto"/>
              <w:right w:val="single" w:sz="4" w:space="0" w:color="auto"/>
            </w:tcBorders>
            <w:shd w:val="clear" w:color="auto" w:fill="auto"/>
            <w:noWrap/>
            <w:hideMark/>
          </w:tcPr>
          <w:p w14:paraId="009A9B05" w14:textId="2C65505D"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26</w:t>
            </w:r>
          </w:p>
        </w:tc>
        <w:tc>
          <w:tcPr>
            <w:tcW w:w="510" w:type="pct"/>
            <w:tcBorders>
              <w:top w:val="nil"/>
              <w:left w:val="nil"/>
              <w:bottom w:val="single" w:sz="4" w:space="0" w:color="auto"/>
              <w:right w:val="single" w:sz="4" w:space="0" w:color="auto"/>
            </w:tcBorders>
            <w:shd w:val="clear" w:color="auto" w:fill="auto"/>
            <w:noWrap/>
            <w:hideMark/>
          </w:tcPr>
          <w:p w14:paraId="4639BEEC" w14:textId="547D857F"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26</w:t>
            </w:r>
          </w:p>
        </w:tc>
        <w:tc>
          <w:tcPr>
            <w:tcW w:w="510" w:type="pct"/>
            <w:tcBorders>
              <w:top w:val="nil"/>
              <w:left w:val="nil"/>
              <w:bottom w:val="single" w:sz="4" w:space="0" w:color="auto"/>
              <w:right w:val="single" w:sz="4" w:space="0" w:color="auto"/>
            </w:tcBorders>
            <w:shd w:val="clear" w:color="auto" w:fill="auto"/>
            <w:noWrap/>
            <w:hideMark/>
          </w:tcPr>
          <w:p w14:paraId="305E2EBD" w14:textId="77D24829"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26</w:t>
            </w:r>
          </w:p>
        </w:tc>
        <w:tc>
          <w:tcPr>
            <w:tcW w:w="508" w:type="pct"/>
            <w:tcBorders>
              <w:top w:val="nil"/>
              <w:left w:val="nil"/>
              <w:bottom w:val="single" w:sz="4" w:space="0" w:color="auto"/>
              <w:right w:val="single" w:sz="4" w:space="0" w:color="auto"/>
            </w:tcBorders>
            <w:shd w:val="clear" w:color="auto" w:fill="auto"/>
            <w:noWrap/>
            <w:hideMark/>
          </w:tcPr>
          <w:p w14:paraId="2833E726" w14:textId="189F8009" w:rsidR="00E64937" w:rsidRPr="00FA76D2" w:rsidRDefault="00447F02" w:rsidP="00971F34">
            <w:pPr>
              <w:spacing w:after="0" w:line="240" w:lineRule="auto"/>
              <w:jc w:val="right"/>
              <w:rPr>
                <w:rFonts w:ascii="Arial Narrow" w:eastAsia="Times New Roman" w:hAnsi="Arial Narrow" w:cs="Calibri"/>
                <w:sz w:val="20"/>
                <w:szCs w:val="20"/>
                <w:highlight w:val="darkGray"/>
                <w:lang w:eastAsia="en-AU"/>
              </w:rPr>
            </w:pPr>
            <w:r w:rsidRPr="00447F02">
              <w:rPr>
                <w:rFonts w:ascii="Arial Narrow" w:hAnsi="Arial Narrow" w:cs="Calibri"/>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sz w:val="20"/>
                <w:szCs w:val="20"/>
              </w:rPr>
              <w:t xml:space="preserve"> </w:t>
            </w:r>
            <w:r w:rsidR="002819BB">
              <w:rPr>
                <w:rFonts w:ascii="Arial Narrow" w:hAnsi="Arial Narrow"/>
                <w:sz w:val="18"/>
                <w:szCs w:val="18"/>
                <w:vertAlign w:val="superscript"/>
                <w:lang w:bidi="en-US"/>
              </w:rPr>
              <w:t>23</w:t>
            </w:r>
          </w:p>
        </w:tc>
      </w:tr>
      <w:tr w:rsidR="00E64937" w:rsidRPr="00D07E3A" w14:paraId="145A3FB8" w14:textId="77777777" w:rsidTr="00057CBC">
        <w:trPr>
          <w:trHeight w:val="170"/>
        </w:trPr>
        <w:tc>
          <w:tcPr>
            <w:tcW w:w="1432" w:type="pct"/>
            <w:tcBorders>
              <w:top w:val="nil"/>
              <w:left w:val="single" w:sz="4" w:space="0" w:color="auto"/>
              <w:bottom w:val="double" w:sz="6" w:space="0" w:color="auto"/>
              <w:right w:val="single" w:sz="4" w:space="0" w:color="auto"/>
            </w:tcBorders>
            <w:shd w:val="clear" w:color="000000" w:fill="FFF2CC"/>
            <w:noWrap/>
            <w:hideMark/>
          </w:tcPr>
          <w:p w14:paraId="67578898" w14:textId="77777777" w:rsidR="00E64937" w:rsidRPr="00D07E3A" w:rsidRDefault="00E64937" w:rsidP="00B964B0">
            <w:pPr>
              <w:spacing w:after="0" w:line="240" w:lineRule="auto"/>
              <w:rPr>
                <w:rFonts w:ascii="Arial Narrow" w:eastAsia="Times New Roman" w:hAnsi="Arial Narrow" w:cs="Calibri"/>
                <w:b/>
                <w:bCs/>
                <w:sz w:val="20"/>
                <w:szCs w:val="20"/>
                <w:lang w:eastAsia="en-AU"/>
              </w:rPr>
            </w:pPr>
            <w:r w:rsidRPr="00D07E3A">
              <w:rPr>
                <w:rFonts w:ascii="Arial Narrow" w:eastAsia="Times New Roman" w:hAnsi="Arial Narrow" w:cs="Calibri"/>
                <w:b/>
                <w:bCs/>
                <w:sz w:val="20"/>
                <w:szCs w:val="20"/>
                <w:lang w:eastAsia="en-AU"/>
              </w:rPr>
              <w:t>Total</w:t>
            </w:r>
          </w:p>
        </w:tc>
        <w:tc>
          <w:tcPr>
            <w:tcW w:w="580" w:type="pct"/>
            <w:tcBorders>
              <w:top w:val="nil"/>
              <w:left w:val="nil"/>
              <w:bottom w:val="double" w:sz="6" w:space="0" w:color="auto"/>
              <w:right w:val="single" w:sz="4" w:space="0" w:color="auto"/>
            </w:tcBorders>
            <w:shd w:val="clear" w:color="000000" w:fill="FFF2CC"/>
            <w:noWrap/>
            <w:hideMark/>
          </w:tcPr>
          <w:p w14:paraId="242014AC" w14:textId="1FED6EA8" w:rsidR="00E64937" w:rsidRPr="00FA76D2" w:rsidRDefault="00447F02" w:rsidP="00971F34">
            <w:pPr>
              <w:spacing w:after="0" w:line="240" w:lineRule="auto"/>
              <w:jc w:val="right"/>
              <w:rPr>
                <w:rFonts w:ascii="Arial Narrow" w:eastAsia="Times New Roman" w:hAnsi="Arial Narrow" w:cs="Calibri"/>
                <w:b/>
                <w:bCs/>
                <w:sz w:val="20"/>
                <w:szCs w:val="20"/>
                <w:highlight w:val="darkGray"/>
                <w:lang w:eastAsia="en-AU"/>
              </w:rPr>
            </w:pPr>
            <w:r w:rsidRPr="00447F02">
              <w:rPr>
                <w:rFonts w:ascii="Arial Narrow" w:hAnsi="Arial Narrow" w:cs="Calibri"/>
                <w:b/>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b/>
                <w:sz w:val="20"/>
                <w:szCs w:val="20"/>
              </w:rPr>
              <w:t xml:space="preserve"> </w:t>
            </w:r>
            <w:r w:rsidR="002819BB">
              <w:rPr>
                <w:rFonts w:ascii="Arial Narrow" w:hAnsi="Arial Narrow"/>
                <w:sz w:val="18"/>
                <w:szCs w:val="18"/>
                <w:vertAlign w:val="superscript"/>
                <w:lang w:bidi="en-US"/>
              </w:rPr>
              <w:t>29</w:t>
            </w:r>
          </w:p>
        </w:tc>
        <w:tc>
          <w:tcPr>
            <w:tcW w:w="440" w:type="pct"/>
            <w:tcBorders>
              <w:top w:val="nil"/>
              <w:left w:val="nil"/>
              <w:bottom w:val="double" w:sz="6" w:space="0" w:color="auto"/>
              <w:right w:val="single" w:sz="4" w:space="0" w:color="auto"/>
            </w:tcBorders>
            <w:shd w:val="clear" w:color="000000" w:fill="FFF2CC"/>
            <w:noWrap/>
            <w:hideMark/>
          </w:tcPr>
          <w:p w14:paraId="7DC5E212" w14:textId="3A0580E3" w:rsidR="00E64937" w:rsidRPr="00FA76D2" w:rsidRDefault="00447F02" w:rsidP="00971F34">
            <w:pPr>
              <w:spacing w:after="0" w:line="240" w:lineRule="auto"/>
              <w:jc w:val="right"/>
              <w:rPr>
                <w:rFonts w:ascii="Arial Narrow" w:eastAsia="Times New Roman" w:hAnsi="Arial Narrow" w:cs="Calibri"/>
                <w:b/>
                <w:bCs/>
                <w:sz w:val="20"/>
                <w:szCs w:val="20"/>
                <w:highlight w:val="darkGray"/>
                <w:lang w:eastAsia="en-AU"/>
              </w:rPr>
            </w:pPr>
            <w:r w:rsidRPr="00447F02">
              <w:rPr>
                <w:rFonts w:ascii="Arial Narrow" w:hAnsi="Arial Narrow" w:cs="Calibri"/>
                <w:b/>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b/>
                <w:sz w:val="20"/>
                <w:szCs w:val="20"/>
              </w:rPr>
              <w:t xml:space="preserve"> </w:t>
            </w:r>
            <w:r w:rsidR="002819BB">
              <w:rPr>
                <w:rFonts w:ascii="Arial Narrow" w:hAnsi="Arial Narrow"/>
                <w:sz w:val="18"/>
                <w:szCs w:val="18"/>
                <w:vertAlign w:val="superscript"/>
                <w:lang w:bidi="en-US"/>
              </w:rPr>
              <w:t>30</w:t>
            </w:r>
          </w:p>
        </w:tc>
        <w:tc>
          <w:tcPr>
            <w:tcW w:w="510" w:type="pct"/>
            <w:tcBorders>
              <w:top w:val="nil"/>
              <w:left w:val="nil"/>
              <w:bottom w:val="double" w:sz="6" w:space="0" w:color="auto"/>
              <w:right w:val="single" w:sz="4" w:space="0" w:color="auto"/>
            </w:tcBorders>
            <w:shd w:val="clear" w:color="000000" w:fill="FFF2CC"/>
            <w:noWrap/>
            <w:hideMark/>
          </w:tcPr>
          <w:p w14:paraId="2B7ED9B5" w14:textId="4BBDAD1A" w:rsidR="00E64937" w:rsidRPr="00FA76D2" w:rsidRDefault="00447F02" w:rsidP="00971F34">
            <w:pPr>
              <w:spacing w:after="0" w:line="240" w:lineRule="auto"/>
              <w:jc w:val="right"/>
              <w:rPr>
                <w:rFonts w:ascii="Arial Narrow" w:eastAsia="Times New Roman" w:hAnsi="Arial Narrow" w:cs="Calibri"/>
                <w:b/>
                <w:bCs/>
                <w:sz w:val="20"/>
                <w:szCs w:val="20"/>
                <w:highlight w:val="darkGray"/>
                <w:lang w:eastAsia="en-AU"/>
              </w:rPr>
            </w:pPr>
            <w:r w:rsidRPr="00447F02">
              <w:rPr>
                <w:rFonts w:ascii="Arial Narrow" w:hAnsi="Arial Narrow" w:cs="Calibri"/>
                <w:b/>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b/>
                <w:sz w:val="20"/>
                <w:szCs w:val="20"/>
              </w:rPr>
              <w:t xml:space="preserve"> </w:t>
            </w:r>
            <w:r w:rsidR="002819BB">
              <w:rPr>
                <w:rFonts w:ascii="Arial Narrow" w:hAnsi="Arial Narrow"/>
                <w:sz w:val="18"/>
                <w:szCs w:val="18"/>
                <w:vertAlign w:val="superscript"/>
                <w:lang w:bidi="en-US"/>
              </w:rPr>
              <w:t>31</w:t>
            </w:r>
          </w:p>
        </w:tc>
        <w:tc>
          <w:tcPr>
            <w:tcW w:w="510" w:type="pct"/>
            <w:tcBorders>
              <w:top w:val="nil"/>
              <w:left w:val="nil"/>
              <w:bottom w:val="double" w:sz="6" w:space="0" w:color="auto"/>
              <w:right w:val="single" w:sz="4" w:space="0" w:color="auto"/>
            </w:tcBorders>
            <w:shd w:val="clear" w:color="000000" w:fill="FFF2CC"/>
            <w:noWrap/>
            <w:hideMark/>
          </w:tcPr>
          <w:p w14:paraId="3C72B053" w14:textId="2E98ED51" w:rsidR="00E64937" w:rsidRPr="00FA76D2" w:rsidRDefault="00447F02" w:rsidP="00971F34">
            <w:pPr>
              <w:spacing w:after="0" w:line="240" w:lineRule="auto"/>
              <w:jc w:val="right"/>
              <w:rPr>
                <w:rFonts w:ascii="Arial Narrow" w:eastAsia="Times New Roman" w:hAnsi="Arial Narrow" w:cs="Calibri"/>
                <w:b/>
                <w:bCs/>
                <w:sz w:val="20"/>
                <w:szCs w:val="20"/>
                <w:highlight w:val="darkGray"/>
                <w:lang w:eastAsia="en-AU"/>
              </w:rPr>
            </w:pPr>
            <w:r w:rsidRPr="00447F02">
              <w:rPr>
                <w:rFonts w:ascii="Arial Narrow" w:hAnsi="Arial Narrow" w:cs="Calibri"/>
                <w:b/>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b/>
                <w:sz w:val="20"/>
                <w:szCs w:val="20"/>
              </w:rPr>
              <w:t xml:space="preserve"> </w:t>
            </w:r>
            <w:r w:rsidR="002819BB">
              <w:rPr>
                <w:rFonts w:ascii="Arial Narrow" w:hAnsi="Arial Narrow"/>
                <w:sz w:val="18"/>
                <w:szCs w:val="18"/>
                <w:vertAlign w:val="superscript"/>
                <w:lang w:bidi="en-US"/>
              </w:rPr>
              <w:t>31</w:t>
            </w:r>
          </w:p>
        </w:tc>
        <w:tc>
          <w:tcPr>
            <w:tcW w:w="510" w:type="pct"/>
            <w:tcBorders>
              <w:top w:val="nil"/>
              <w:left w:val="nil"/>
              <w:bottom w:val="double" w:sz="6" w:space="0" w:color="auto"/>
              <w:right w:val="single" w:sz="4" w:space="0" w:color="auto"/>
            </w:tcBorders>
            <w:shd w:val="clear" w:color="000000" w:fill="FFF2CC"/>
            <w:noWrap/>
            <w:hideMark/>
          </w:tcPr>
          <w:p w14:paraId="16E32324" w14:textId="0D76EDE9" w:rsidR="00E64937" w:rsidRPr="00FA76D2" w:rsidRDefault="00447F02" w:rsidP="00971F34">
            <w:pPr>
              <w:spacing w:after="0" w:line="240" w:lineRule="auto"/>
              <w:jc w:val="right"/>
              <w:rPr>
                <w:rFonts w:ascii="Arial Narrow" w:eastAsia="Times New Roman" w:hAnsi="Arial Narrow" w:cs="Calibri"/>
                <w:b/>
                <w:bCs/>
                <w:sz w:val="20"/>
                <w:szCs w:val="20"/>
                <w:highlight w:val="darkGray"/>
                <w:lang w:eastAsia="en-AU"/>
              </w:rPr>
            </w:pPr>
            <w:r w:rsidRPr="00447F02">
              <w:rPr>
                <w:rFonts w:ascii="Arial Narrow" w:hAnsi="Arial Narrow" w:cs="Calibri"/>
                <w:b/>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b/>
                <w:sz w:val="20"/>
                <w:szCs w:val="20"/>
              </w:rPr>
              <w:t xml:space="preserve"> </w:t>
            </w:r>
            <w:r w:rsidR="002819BB">
              <w:rPr>
                <w:rFonts w:ascii="Arial Narrow" w:hAnsi="Arial Narrow"/>
                <w:sz w:val="18"/>
                <w:szCs w:val="18"/>
                <w:vertAlign w:val="superscript"/>
                <w:lang w:bidi="en-US"/>
              </w:rPr>
              <w:t>31</w:t>
            </w:r>
          </w:p>
        </w:tc>
        <w:tc>
          <w:tcPr>
            <w:tcW w:w="510" w:type="pct"/>
            <w:tcBorders>
              <w:top w:val="nil"/>
              <w:left w:val="nil"/>
              <w:bottom w:val="double" w:sz="6" w:space="0" w:color="auto"/>
              <w:right w:val="single" w:sz="4" w:space="0" w:color="auto"/>
            </w:tcBorders>
            <w:shd w:val="clear" w:color="000000" w:fill="FFF2CC"/>
            <w:noWrap/>
            <w:hideMark/>
          </w:tcPr>
          <w:p w14:paraId="22C7DE64" w14:textId="1930A957" w:rsidR="00E64937" w:rsidRPr="00FA76D2" w:rsidRDefault="00447F02" w:rsidP="00971F34">
            <w:pPr>
              <w:spacing w:after="0" w:line="240" w:lineRule="auto"/>
              <w:jc w:val="right"/>
              <w:rPr>
                <w:rFonts w:ascii="Arial Narrow" w:eastAsia="Times New Roman" w:hAnsi="Arial Narrow" w:cs="Calibri"/>
                <w:b/>
                <w:bCs/>
                <w:sz w:val="20"/>
                <w:szCs w:val="20"/>
                <w:highlight w:val="darkGray"/>
                <w:lang w:eastAsia="en-AU"/>
              </w:rPr>
            </w:pPr>
            <w:r w:rsidRPr="00447F02">
              <w:rPr>
                <w:rFonts w:ascii="Arial Narrow" w:hAnsi="Arial Narrow" w:cs="Calibri"/>
                <w:b/>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b/>
                <w:sz w:val="20"/>
                <w:szCs w:val="20"/>
              </w:rPr>
              <w:t xml:space="preserve"> </w:t>
            </w:r>
            <w:r w:rsidR="002819BB">
              <w:rPr>
                <w:rFonts w:ascii="Arial Narrow" w:hAnsi="Arial Narrow"/>
                <w:sz w:val="18"/>
                <w:szCs w:val="18"/>
                <w:vertAlign w:val="superscript"/>
                <w:lang w:bidi="en-US"/>
              </w:rPr>
              <w:t>31</w:t>
            </w:r>
          </w:p>
        </w:tc>
        <w:tc>
          <w:tcPr>
            <w:tcW w:w="508" w:type="pct"/>
            <w:tcBorders>
              <w:top w:val="nil"/>
              <w:left w:val="nil"/>
              <w:bottom w:val="double" w:sz="6" w:space="0" w:color="auto"/>
              <w:right w:val="single" w:sz="4" w:space="0" w:color="auto"/>
            </w:tcBorders>
            <w:shd w:val="clear" w:color="000000" w:fill="FFF2CC"/>
            <w:noWrap/>
            <w:hideMark/>
          </w:tcPr>
          <w:p w14:paraId="68AB72A6" w14:textId="046BD700" w:rsidR="00E64937" w:rsidRPr="00FA76D2" w:rsidRDefault="00447F02" w:rsidP="00971F34">
            <w:pPr>
              <w:spacing w:after="0" w:line="240" w:lineRule="auto"/>
              <w:jc w:val="right"/>
              <w:rPr>
                <w:rFonts w:ascii="Arial Narrow" w:eastAsia="Times New Roman" w:hAnsi="Arial Narrow" w:cs="Calibri"/>
                <w:b/>
                <w:bCs/>
                <w:sz w:val="20"/>
                <w:szCs w:val="20"/>
                <w:highlight w:val="darkGray"/>
                <w:lang w:eastAsia="en-AU"/>
              </w:rPr>
            </w:pPr>
            <w:r w:rsidRPr="00447F02">
              <w:rPr>
                <w:rFonts w:ascii="Arial Narrow" w:hAnsi="Arial Narrow" w:cs="Calibri"/>
                <w:b/>
                <w:color w:val="000000"/>
                <w:sz w:val="20"/>
                <w:szCs w:val="20"/>
                <w:shd w:val="solid" w:color="000000" w:fill="000000"/>
                <w14:textFill>
                  <w14:solidFill>
                    <w14:srgbClr w14:val="000000">
                      <w14:alpha w14:val="100000"/>
                    </w14:srgbClr>
                  </w14:solidFill>
                </w14:textFill>
              </w:rPr>
              <w:t>|</w:t>
            </w:r>
            <w:r w:rsidRPr="00447F02">
              <w:rPr>
                <w:rFonts w:ascii="Arial Narrow" w:hAnsi="Arial Narrow" w:cs="Calibri"/>
                <w:b/>
                <w:sz w:val="20"/>
                <w:szCs w:val="20"/>
              </w:rPr>
              <w:t xml:space="preserve"> </w:t>
            </w:r>
            <w:r w:rsidR="002819BB">
              <w:rPr>
                <w:rFonts w:ascii="Arial Narrow" w:hAnsi="Arial Narrow"/>
                <w:sz w:val="18"/>
                <w:szCs w:val="18"/>
                <w:vertAlign w:val="superscript"/>
                <w:lang w:bidi="en-US"/>
              </w:rPr>
              <w:t>34</w:t>
            </w:r>
          </w:p>
        </w:tc>
      </w:tr>
    </w:tbl>
    <w:p w14:paraId="73FE4A77" w14:textId="6DC1136E" w:rsidR="00E64937" w:rsidRDefault="00E64937" w:rsidP="00057CBC">
      <w:pPr>
        <w:pStyle w:val="3-BodyText"/>
        <w:numPr>
          <w:ilvl w:val="0"/>
          <w:numId w:val="0"/>
        </w:numPr>
        <w:spacing w:after="0"/>
        <w:jc w:val="left"/>
        <w:rPr>
          <w:rFonts w:ascii="Arial Narrow" w:hAnsi="Arial Narrow"/>
          <w:sz w:val="18"/>
          <w:szCs w:val="18"/>
          <w:lang w:bidi="en-US"/>
        </w:rPr>
      </w:pPr>
      <w:r w:rsidRPr="00D07E3A">
        <w:rPr>
          <w:rFonts w:ascii="Arial Narrow" w:hAnsi="Arial Narrow"/>
          <w:sz w:val="18"/>
          <w:szCs w:val="18"/>
          <w:lang w:bidi="en-US"/>
        </w:rPr>
        <w:t>IC = immunocompromised, NIP = National Immunisation Program, YOA = years of age.</w:t>
      </w:r>
      <w:r w:rsidRPr="00D07E3A">
        <w:rPr>
          <w:rFonts w:ascii="Arial Narrow" w:hAnsi="Arial Narrow"/>
          <w:sz w:val="18"/>
          <w:szCs w:val="18"/>
          <w:lang w:bidi="en-US"/>
        </w:rPr>
        <w:br/>
        <w:t>Source: Budget impact model - ‘Results summary’ worksheet, rows 4:31 (must select High-Risk and Moderate-Risk IC and exclude systemic corticosteroids in the ‘Inputs’ worksheet)</w:t>
      </w:r>
    </w:p>
    <w:p w14:paraId="23134472" w14:textId="5335D34D" w:rsidR="00FA76D2" w:rsidRPr="00057CBC" w:rsidRDefault="00FA76D2" w:rsidP="00FA76D2">
      <w:pPr>
        <w:pStyle w:val="3-BodyText"/>
        <w:numPr>
          <w:ilvl w:val="0"/>
          <w:numId w:val="0"/>
        </w:numPr>
        <w:spacing w:after="0"/>
        <w:jc w:val="left"/>
        <w:rPr>
          <w:rFonts w:ascii="Arial Narrow" w:hAnsi="Arial Narrow"/>
          <w:i/>
          <w:iCs/>
          <w:sz w:val="18"/>
          <w:szCs w:val="18"/>
          <w:lang w:bidi="en-US"/>
        </w:rPr>
      </w:pPr>
      <w:r w:rsidRPr="00057CBC">
        <w:rPr>
          <w:rFonts w:ascii="Arial Narrow" w:hAnsi="Arial Narrow"/>
          <w:i/>
          <w:iCs/>
          <w:sz w:val="18"/>
          <w:szCs w:val="18"/>
          <w:lang w:bidi="en-US"/>
        </w:rPr>
        <w:t>The redacted values correspond to the following ranges:</w:t>
      </w:r>
    </w:p>
    <w:p w14:paraId="52F81CF2" w14:textId="78174832" w:rsidR="00FA76D2" w:rsidRPr="00057CBC" w:rsidRDefault="00FA76D2" w:rsidP="00FA76D2">
      <w:pPr>
        <w:pStyle w:val="3-BodyText"/>
        <w:numPr>
          <w:ilvl w:val="0"/>
          <w:numId w:val="0"/>
        </w:numPr>
        <w:spacing w:after="0"/>
        <w:jc w:val="left"/>
        <w:rPr>
          <w:rFonts w:ascii="Arial Narrow" w:hAnsi="Arial Narrow"/>
          <w:i/>
          <w:iCs/>
          <w:sz w:val="18"/>
          <w:szCs w:val="18"/>
          <w:lang w:bidi="en-US"/>
        </w:rPr>
      </w:pPr>
      <w:r w:rsidRPr="00057CBC">
        <w:rPr>
          <w:rFonts w:ascii="Arial Narrow" w:hAnsi="Arial Narrow"/>
          <w:i/>
          <w:iCs/>
          <w:sz w:val="18"/>
          <w:szCs w:val="18"/>
          <w:vertAlign w:val="superscript"/>
          <w:lang w:bidi="en-US"/>
        </w:rPr>
        <w:t>1</w:t>
      </w:r>
      <w:r w:rsidRPr="00057CBC">
        <w:rPr>
          <w:rFonts w:ascii="Arial Narrow" w:hAnsi="Arial Narrow"/>
          <w:i/>
          <w:iCs/>
          <w:sz w:val="18"/>
          <w:szCs w:val="18"/>
          <w:lang w:bidi="en-US"/>
        </w:rPr>
        <w:t xml:space="preserve"> 100,000 to &lt; 200,000</w:t>
      </w:r>
    </w:p>
    <w:p w14:paraId="3039AA1D" w14:textId="46EA3054" w:rsidR="00FA76D2" w:rsidRPr="00057CBC" w:rsidRDefault="00FA76D2" w:rsidP="00FA76D2">
      <w:pPr>
        <w:pStyle w:val="3-BodyText"/>
        <w:numPr>
          <w:ilvl w:val="0"/>
          <w:numId w:val="0"/>
        </w:numPr>
        <w:spacing w:after="0"/>
        <w:jc w:val="left"/>
        <w:rPr>
          <w:rFonts w:ascii="Arial Narrow" w:hAnsi="Arial Narrow"/>
          <w:i/>
          <w:iCs/>
          <w:sz w:val="18"/>
          <w:szCs w:val="18"/>
          <w:lang w:bidi="en-US"/>
        </w:rPr>
      </w:pPr>
      <w:r w:rsidRPr="00057CBC">
        <w:rPr>
          <w:rFonts w:ascii="Arial Narrow" w:hAnsi="Arial Narrow"/>
          <w:i/>
          <w:iCs/>
          <w:sz w:val="18"/>
          <w:szCs w:val="18"/>
          <w:vertAlign w:val="superscript"/>
          <w:lang w:bidi="en-US"/>
        </w:rPr>
        <w:t>2</w:t>
      </w:r>
      <w:r w:rsidRPr="00057CBC">
        <w:rPr>
          <w:rFonts w:ascii="Arial Narrow" w:hAnsi="Arial Narrow"/>
          <w:i/>
          <w:iCs/>
          <w:sz w:val="18"/>
          <w:szCs w:val="18"/>
          <w:lang w:bidi="en-US"/>
        </w:rPr>
        <w:t xml:space="preserve"> 70,000 to &lt; 80,000</w:t>
      </w:r>
    </w:p>
    <w:p w14:paraId="214CF2CA" w14:textId="58293C5C" w:rsidR="00FA76D2" w:rsidRPr="00057CBC" w:rsidRDefault="00FA76D2" w:rsidP="00FA76D2">
      <w:pPr>
        <w:pStyle w:val="3-BodyText"/>
        <w:numPr>
          <w:ilvl w:val="0"/>
          <w:numId w:val="0"/>
        </w:numPr>
        <w:spacing w:after="0"/>
        <w:jc w:val="left"/>
        <w:rPr>
          <w:rFonts w:ascii="Arial Narrow" w:hAnsi="Arial Narrow"/>
          <w:i/>
          <w:iCs/>
          <w:sz w:val="18"/>
          <w:szCs w:val="18"/>
          <w:lang w:bidi="en-US"/>
        </w:rPr>
      </w:pPr>
      <w:r w:rsidRPr="00057CBC">
        <w:rPr>
          <w:rFonts w:ascii="Arial Narrow" w:hAnsi="Arial Narrow"/>
          <w:i/>
          <w:iCs/>
          <w:sz w:val="18"/>
          <w:szCs w:val="18"/>
          <w:vertAlign w:val="superscript"/>
          <w:lang w:bidi="en-US"/>
        </w:rPr>
        <w:t>3</w:t>
      </w:r>
      <w:r w:rsidRPr="00057CBC">
        <w:rPr>
          <w:rFonts w:ascii="Arial Narrow" w:hAnsi="Arial Narrow"/>
          <w:i/>
          <w:iCs/>
          <w:sz w:val="18"/>
          <w:szCs w:val="18"/>
          <w:lang w:bidi="en-US"/>
        </w:rPr>
        <w:t xml:space="preserve"> 40,000 to &lt; 50,000</w:t>
      </w:r>
    </w:p>
    <w:p w14:paraId="40FD6BF7" w14:textId="0CBF0E2A" w:rsidR="00FA76D2" w:rsidRPr="00057CBC" w:rsidRDefault="00FA76D2" w:rsidP="00FA76D2">
      <w:pPr>
        <w:pStyle w:val="3-BodyText"/>
        <w:numPr>
          <w:ilvl w:val="0"/>
          <w:numId w:val="0"/>
        </w:numPr>
        <w:spacing w:after="0"/>
        <w:jc w:val="left"/>
        <w:rPr>
          <w:rFonts w:ascii="Arial Narrow" w:hAnsi="Arial Narrow"/>
          <w:i/>
          <w:iCs/>
          <w:sz w:val="18"/>
          <w:szCs w:val="18"/>
          <w:lang w:bidi="en-US"/>
        </w:rPr>
      </w:pPr>
      <w:r w:rsidRPr="00057CBC">
        <w:rPr>
          <w:rFonts w:ascii="Arial Narrow" w:hAnsi="Arial Narrow"/>
          <w:i/>
          <w:iCs/>
          <w:sz w:val="18"/>
          <w:szCs w:val="18"/>
          <w:vertAlign w:val="superscript"/>
          <w:lang w:bidi="en-US"/>
        </w:rPr>
        <w:t>4</w:t>
      </w:r>
      <w:r w:rsidRPr="00057CBC">
        <w:rPr>
          <w:rFonts w:ascii="Arial Narrow" w:hAnsi="Arial Narrow"/>
          <w:i/>
          <w:iCs/>
          <w:sz w:val="18"/>
          <w:szCs w:val="18"/>
          <w:lang w:bidi="en-US"/>
        </w:rPr>
        <w:t xml:space="preserve"> 20,000 to &lt; 30,000</w:t>
      </w:r>
    </w:p>
    <w:p w14:paraId="188F07D9" w14:textId="703FB569" w:rsidR="00FA76D2" w:rsidRPr="00057CBC" w:rsidRDefault="00FA76D2" w:rsidP="00FA76D2">
      <w:pPr>
        <w:pStyle w:val="3-BodyText"/>
        <w:numPr>
          <w:ilvl w:val="0"/>
          <w:numId w:val="0"/>
        </w:numPr>
        <w:spacing w:after="0"/>
        <w:jc w:val="left"/>
        <w:rPr>
          <w:rFonts w:ascii="Arial Narrow" w:hAnsi="Arial Narrow"/>
          <w:i/>
          <w:iCs/>
          <w:sz w:val="18"/>
          <w:szCs w:val="18"/>
          <w:lang w:bidi="en-US"/>
        </w:rPr>
      </w:pPr>
      <w:r w:rsidRPr="00057CBC">
        <w:rPr>
          <w:rFonts w:ascii="Arial Narrow" w:hAnsi="Arial Narrow"/>
          <w:i/>
          <w:iCs/>
          <w:sz w:val="18"/>
          <w:szCs w:val="18"/>
          <w:vertAlign w:val="superscript"/>
          <w:lang w:bidi="en-US"/>
        </w:rPr>
        <w:t>5</w:t>
      </w:r>
      <w:r w:rsidRPr="00057CBC">
        <w:rPr>
          <w:rFonts w:ascii="Arial Narrow" w:hAnsi="Arial Narrow"/>
          <w:i/>
          <w:iCs/>
          <w:sz w:val="18"/>
          <w:szCs w:val="18"/>
          <w:lang w:bidi="en-US"/>
        </w:rPr>
        <w:t xml:space="preserve"> 300,000 to &lt; 400,000</w:t>
      </w:r>
    </w:p>
    <w:p w14:paraId="571F6059" w14:textId="5AC41761" w:rsidR="00FA76D2" w:rsidRPr="00057CBC" w:rsidRDefault="00FA76D2" w:rsidP="00FA76D2">
      <w:pPr>
        <w:pStyle w:val="3-BodyText"/>
        <w:numPr>
          <w:ilvl w:val="0"/>
          <w:numId w:val="0"/>
        </w:numPr>
        <w:spacing w:after="0"/>
        <w:jc w:val="left"/>
        <w:rPr>
          <w:rFonts w:ascii="Arial Narrow" w:hAnsi="Arial Narrow"/>
          <w:i/>
          <w:iCs/>
          <w:sz w:val="18"/>
          <w:szCs w:val="18"/>
          <w:lang w:bidi="en-US"/>
        </w:rPr>
      </w:pPr>
      <w:r w:rsidRPr="00057CBC">
        <w:rPr>
          <w:rFonts w:ascii="Arial Narrow" w:hAnsi="Arial Narrow"/>
          <w:i/>
          <w:iCs/>
          <w:sz w:val="18"/>
          <w:szCs w:val="18"/>
          <w:vertAlign w:val="superscript"/>
          <w:lang w:bidi="en-US"/>
        </w:rPr>
        <w:t>6</w:t>
      </w:r>
      <w:r w:rsidRPr="00057CBC">
        <w:rPr>
          <w:rFonts w:ascii="Arial Narrow" w:hAnsi="Arial Narrow"/>
          <w:i/>
          <w:iCs/>
          <w:sz w:val="18"/>
          <w:szCs w:val="18"/>
          <w:lang w:bidi="en-US"/>
        </w:rPr>
        <w:t xml:space="preserve"> 90,000 to &lt; 100,000</w:t>
      </w:r>
    </w:p>
    <w:p w14:paraId="2FC1B7DC" w14:textId="5190F327" w:rsidR="00FA76D2" w:rsidRPr="00057CBC" w:rsidRDefault="00FA76D2" w:rsidP="00FA76D2">
      <w:pPr>
        <w:pStyle w:val="3-BodyText"/>
        <w:numPr>
          <w:ilvl w:val="0"/>
          <w:numId w:val="0"/>
        </w:numPr>
        <w:spacing w:after="0"/>
        <w:jc w:val="left"/>
        <w:rPr>
          <w:rFonts w:ascii="Arial Narrow" w:hAnsi="Arial Narrow"/>
          <w:i/>
          <w:iCs/>
          <w:sz w:val="18"/>
          <w:szCs w:val="18"/>
          <w:lang w:bidi="en-US"/>
        </w:rPr>
      </w:pPr>
      <w:r w:rsidRPr="00057CBC">
        <w:rPr>
          <w:rFonts w:ascii="Arial Narrow" w:hAnsi="Arial Narrow"/>
          <w:i/>
          <w:iCs/>
          <w:sz w:val="18"/>
          <w:szCs w:val="18"/>
          <w:vertAlign w:val="superscript"/>
          <w:lang w:bidi="en-US"/>
        </w:rPr>
        <w:t>7</w:t>
      </w:r>
      <w:r w:rsidRPr="00057CBC">
        <w:rPr>
          <w:rFonts w:ascii="Arial Narrow" w:hAnsi="Arial Narrow"/>
          <w:i/>
          <w:iCs/>
          <w:sz w:val="18"/>
          <w:szCs w:val="18"/>
          <w:lang w:bidi="en-US"/>
        </w:rPr>
        <w:t xml:space="preserve"> 50,000 to &lt; 60,000</w:t>
      </w:r>
    </w:p>
    <w:p w14:paraId="40CD04D9" w14:textId="3C792FCD" w:rsidR="00FA76D2" w:rsidRPr="00057CBC" w:rsidRDefault="00FA76D2" w:rsidP="00FA76D2">
      <w:pPr>
        <w:pStyle w:val="3-BodyText"/>
        <w:numPr>
          <w:ilvl w:val="0"/>
          <w:numId w:val="0"/>
        </w:numPr>
        <w:spacing w:after="0"/>
        <w:jc w:val="left"/>
        <w:rPr>
          <w:rFonts w:ascii="Arial Narrow" w:hAnsi="Arial Narrow"/>
          <w:i/>
          <w:iCs/>
          <w:sz w:val="18"/>
          <w:szCs w:val="18"/>
          <w:lang w:bidi="en-US"/>
        </w:rPr>
      </w:pPr>
      <w:r w:rsidRPr="00057CBC">
        <w:rPr>
          <w:rFonts w:ascii="Arial Narrow" w:hAnsi="Arial Narrow"/>
          <w:i/>
          <w:iCs/>
          <w:sz w:val="18"/>
          <w:szCs w:val="18"/>
          <w:vertAlign w:val="superscript"/>
          <w:lang w:bidi="en-US"/>
        </w:rPr>
        <w:t>8</w:t>
      </w:r>
      <w:r w:rsidRPr="00057CBC">
        <w:rPr>
          <w:rFonts w:ascii="Arial Narrow" w:hAnsi="Arial Narrow"/>
          <w:i/>
          <w:iCs/>
          <w:sz w:val="18"/>
          <w:szCs w:val="18"/>
          <w:lang w:bidi="en-US"/>
        </w:rPr>
        <w:t xml:space="preserve"> 30,000 to &lt; 40,000</w:t>
      </w:r>
    </w:p>
    <w:p w14:paraId="102BAD8F" w14:textId="04A6DFA6" w:rsidR="00FA76D2" w:rsidRPr="00057CBC" w:rsidRDefault="00FA76D2" w:rsidP="00FA76D2">
      <w:pPr>
        <w:pStyle w:val="3-BodyText"/>
        <w:numPr>
          <w:ilvl w:val="0"/>
          <w:numId w:val="0"/>
        </w:numPr>
        <w:spacing w:after="0"/>
        <w:jc w:val="left"/>
        <w:rPr>
          <w:rFonts w:ascii="Arial Narrow" w:hAnsi="Arial Narrow"/>
          <w:i/>
          <w:iCs/>
          <w:sz w:val="18"/>
          <w:szCs w:val="18"/>
          <w:lang w:bidi="en-US"/>
        </w:rPr>
      </w:pPr>
      <w:r w:rsidRPr="00057CBC">
        <w:rPr>
          <w:rFonts w:ascii="Arial Narrow" w:hAnsi="Arial Narrow"/>
          <w:i/>
          <w:iCs/>
          <w:sz w:val="18"/>
          <w:szCs w:val="18"/>
          <w:vertAlign w:val="superscript"/>
          <w:lang w:bidi="en-US"/>
        </w:rPr>
        <w:t>9</w:t>
      </w:r>
      <w:r w:rsidRPr="00057CBC">
        <w:rPr>
          <w:rFonts w:ascii="Arial Narrow" w:hAnsi="Arial Narrow"/>
          <w:i/>
          <w:iCs/>
          <w:sz w:val="18"/>
          <w:szCs w:val="18"/>
          <w:lang w:bidi="en-US"/>
        </w:rPr>
        <w:t xml:space="preserve"> 10,000 to &lt; 20,000</w:t>
      </w:r>
    </w:p>
    <w:p w14:paraId="10DE851A" w14:textId="73BA7648" w:rsidR="00FA76D2" w:rsidRPr="00057CBC" w:rsidRDefault="00FA76D2" w:rsidP="00FA76D2">
      <w:pPr>
        <w:pStyle w:val="3-BodyText"/>
        <w:numPr>
          <w:ilvl w:val="0"/>
          <w:numId w:val="0"/>
        </w:numPr>
        <w:spacing w:after="0"/>
        <w:jc w:val="left"/>
        <w:rPr>
          <w:rFonts w:ascii="Arial Narrow" w:hAnsi="Arial Narrow"/>
          <w:i/>
          <w:iCs/>
          <w:sz w:val="18"/>
          <w:szCs w:val="18"/>
          <w:lang w:bidi="en-US"/>
        </w:rPr>
      </w:pPr>
      <w:r w:rsidRPr="00057CBC">
        <w:rPr>
          <w:rFonts w:ascii="Arial Narrow" w:hAnsi="Arial Narrow"/>
          <w:i/>
          <w:iCs/>
          <w:sz w:val="18"/>
          <w:szCs w:val="18"/>
          <w:vertAlign w:val="superscript"/>
          <w:lang w:bidi="en-US"/>
        </w:rPr>
        <w:t>10</w:t>
      </w:r>
      <w:r w:rsidRPr="00057CBC">
        <w:rPr>
          <w:rFonts w:ascii="Arial Narrow" w:hAnsi="Arial Narrow"/>
          <w:i/>
          <w:iCs/>
          <w:sz w:val="18"/>
          <w:szCs w:val="18"/>
          <w:lang w:bidi="en-US"/>
        </w:rPr>
        <w:t xml:space="preserve"> 200,000 to &lt; 300,000</w:t>
      </w:r>
    </w:p>
    <w:p w14:paraId="5358A9EE" w14:textId="7CFA5EC8" w:rsidR="00FA76D2" w:rsidRPr="00057CBC" w:rsidRDefault="00FA76D2" w:rsidP="00FA76D2">
      <w:pPr>
        <w:pStyle w:val="3-BodyText"/>
        <w:numPr>
          <w:ilvl w:val="0"/>
          <w:numId w:val="0"/>
        </w:numPr>
        <w:spacing w:after="0"/>
        <w:jc w:val="left"/>
        <w:rPr>
          <w:rFonts w:ascii="Arial Narrow" w:hAnsi="Arial Narrow"/>
          <w:i/>
          <w:iCs/>
          <w:sz w:val="18"/>
          <w:szCs w:val="18"/>
          <w:lang w:bidi="en-US"/>
        </w:rPr>
      </w:pPr>
      <w:r w:rsidRPr="00057CBC">
        <w:rPr>
          <w:rFonts w:ascii="Arial Narrow" w:hAnsi="Arial Narrow"/>
          <w:i/>
          <w:iCs/>
          <w:sz w:val="18"/>
          <w:szCs w:val="18"/>
          <w:vertAlign w:val="superscript"/>
          <w:lang w:bidi="en-US"/>
        </w:rPr>
        <w:t>11</w:t>
      </w:r>
      <w:r w:rsidRPr="00057CBC">
        <w:rPr>
          <w:rFonts w:ascii="Arial Narrow" w:hAnsi="Arial Narrow"/>
          <w:i/>
          <w:iCs/>
          <w:sz w:val="18"/>
          <w:szCs w:val="18"/>
          <w:lang w:bidi="en-US"/>
        </w:rPr>
        <w:t xml:space="preserve"> 5,000 to &lt; 10,000</w:t>
      </w:r>
    </w:p>
    <w:p w14:paraId="2C1312DF" w14:textId="2D3AE772" w:rsidR="00FA76D2" w:rsidRPr="00057CBC" w:rsidRDefault="00FA76D2" w:rsidP="00FA76D2">
      <w:pPr>
        <w:pStyle w:val="3-BodyText"/>
        <w:numPr>
          <w:ilvl w:val="0"/>
          <w:numId w:val="0"/>
        </w:numPr>
        <w:spacing w:after="0"/>
        <w:jc w:val="left"/>
        <w:rPr>
          <w:rFonts w:ascii="Arial Narrow" w:hAnsi="Arial Narrow"/>
          <w:i/>
          <w:iCs/>
          <w:sz w:val="18"/>
          <w:szCs w:val="18"/>
          <w:lang w:bidi="en-US"/>
        </w:rPr>
      </w:pPr>
      <w:r w:rsidRPr="00057CBC">
        <w:rPr>
          <w:rFonts w:ascii="Arial Narrow" w:hAnsi="Arial Narrow"/>
          <w:i/>
          <w:iCs/>
          <w:sz w:val="18"/>
          <w:szCs w:val="18"/>
          <w:vertAlign w:val="superscript"/>
          <w:lang w:bidi="en-US"/>
        </w:rPr>
        <w:t>12</w:t>
      </w:r>
      <w:r w:rsidRPr="00057CBC">
        <w:rPr>
          <w:rFonts w:ascii="Arial Narrow" w:hAnsi="Arial Narrow"/>
          <w:i/>
          <w:iCs/>
          <w:sz w:val="18"/>
          <w:szCs w:val="18"/>
          <w:lang w:bidi="en-US"/>
        </w:rPr>
        <w:t xml:space="preserve"> 60,000 to &lt; 70,000</w:t>
      </w:r>
    </w:p>
    <w:p w14:paraId="47CDDC93" w14:textId="49DFC21E" w:rsidR="00FA76D2" w:rsidRPr="00057CBC" w:rsidRDefault="00FA76D2" w:rsidP="00FA76D2">
      <w:pPr>
        <w:pStyle w:val="3-BodyText"/>
        <w:numPr>
          <w:ilvl w:val="0"/>
          <w:numId w:val="0"/>
        </w:numPr>
        <w:spacing w:after="0"/>
        <w:jc w:val="left"/>
        <w:rPr>
          <w:rFonts w:ascii="Arial Narrow" w:hAnsi="Arial Narrow"/>
          <w:i/>
          <w:iCs/>
          <w:sz w:val="18"/>
          <w:szCs w:val="18"/>
          <w:lang w:bidi="en-US"/>
        </w:rPr>
      </w:pPr>
      <w:r w:rsidRPr="00057CBC">
        <w:rPr>
          <w:rFonts w:ascii="Arial Narrow" w:hAnsi="Arial Narrow"/>
          <w:i/>
          <w:iCs/>
          <w:sz w:val="18"/>
          <w:szCs w:val="18"/>
          <w:vertAlign w:val="superscript"/>
          <w:lang w:bidi="en-US"/>
        </w:rPr>
        <w:t>13</w:t>
      </w:r>
      <w:r w:rsidRPr="00057CBC">
        <w:rPr>
          <w:rFonts w:ascii="Arial Narrow" w:hAnsi="Arial Narrow"/>
          <w:i/>
          <w:iCs/>
          <w:sz w:val="18"/>
          <w:szCs w:val="18"/>
          <w:lang w:bidi="en-US"/>
        </w:rPr>
        <w:t xml:space="preserve"> 1,000,000 to &lt; 2,000,000</w:t>
      </w:r>
    </w:p>
    <w:p w14:paraId="2826DEA7" w14:textId="2DA2A41D" w:rsidR="00FA76D2" w:rsidRPr="00057CBC" w:rsidRDefault="00FA76D2" w:rsidP="00FA76D2">
      <w:pPr>
        <w:pStyle w:val="3-BodyText"/>
        <w:numPr>
          <w:ilvl w:val="0"/>
          <w:numId w:val="0"/>
        </w:numPr>
        <w:spacing w:after="0"/>
        <w:jc w:val="left"/>
        <w:rPr>
          <w:rFonts w:ascii="Arial Narrow" w:hAnsi="Arial Narrow"/>
          <w:i/>
          <w:iCs/>
          <w:sz w:val="18"/>
          <w:szCs w:val="18"/>
          <w:lang w:bidi="en-US"/>
        </w:rPr>
      </w:pPr>
      <w:r w:rsidRPr="00057CBC">
        <w:rPr>
          <w:rFonts w:ascii="Arial Narrow" w:hAnsi="Arial Narrow"/>
          <w:i/>
          <w:iCs/>
          <w:sz w:val="18"/>
          <w:szCs w:val="18"/>
          <w:vertAlign w:val="superscript"/>
          <w:lang w:bidi="en-US"/>
        </w:rPr>
        <w:t>14</w:t>
      </w:r>
      <w:r w:rsidRPr="00057CBC">
        <w:rPr>
          <w:rFonts w:ascii="Arial Narrow" w:hAnsi="Arial Narrow"/>
          <w:i/>
          <w:iCs/>
          <w:sz w:val="18"/>
          <w:szCs w:val="18"/>
          <w:lang w:bidi="en-US"/>
        </w:rPr>
        <w:t xml:space="preserve"> 600,000 to &lt; 700,000</w:t>
      </w:r>
    </w:p>
    <w:p w14:paraId="537EBAAF" w14:textId="4EE0CD3E" w:rsidR="00FA76D2" w:rsidRPr="00057CBC" w:rsidRDefault="00FA76D2" w:rsidP="00FA76D2">
      <w:pPr>
        <w:pStyle w:val="3-BodyText"/>
        <w:numPr>
          <w:ilvl w:val="0"/>
          <w:numId w:val="0"/>
        </w:numPr>
        <w:spacing w:after="0"/>
        <w:jc w:val="left"/>
        <w:rPr>
          <w:rFonts w:ascii="Arial Narrow" w:hAnsi="Arial Narrow"/>
          <w:i/>
          <w:iCs/>
          <w:sz w:val="18"/>
          <w:szCs w:val="18"/>
          <w:lang w:bidi="en-US"/>
        </w:rPr>
      </w:pPr>
      <w:r w:rsidRPr="00057CBC">
        <w:rPr>
          <w:rFonts w:ascii="Arial Narrow" w:hAnsi="Arial Narrow"/>
          <w:i/>
          <w:iCs/>
          <w:sz w:val="18"/>
          <w:szCs w:val="18"/>
          <w:vertAlign w:val="superscript"/>
          <w:lang w:bidi="en-US"/>
        </w:rPr>
        <w:t>15</w:t>
      </w:r>
      <w:r w:rsidRPr="00057CBC">
        <w:rPr>
          <w:rFonts w:ascii="Arial Narrow" w:hAnsi="Arial Narrow"/>
          <w:i/>
          <w:iCs/>
          <w:sz w:val="18"/>
          <w:szCs w:val="18"/>
          <w:lang w:bidi="en-US"/>
        </w:rPr>
        <w:t xml:space="preserve"> 400,000 to &lt; 500,000</w:t>
      </w:r>
    </w:p>
    <w:p w14:paraId="212E9798" w14:textId="355CFA47" w:rsidR="00FA76D2" w:rsidRPr="00057CBC" w:rsidRDefault="00FA76D2" w:rsidP="00FA76D2">
      <w:pPr>
        <w:pStyle w:val="3-BodyText"/>
        <w:numPr>
          <w:ilvl w:val="0"/>
          <w:numId w:val="0"/>
        </w:numPr>
        <w:spacing w:after="0"/>
        <w:jc w:val="left"/>
        <w:rPr>
          <w:rFonts w:ascii="Arial Narrow" w:hAnsi="Arial Narrow"/>
          <w:i/>
          <w:iCs/>
          <w:sz w:val="18"/>
          <w:szCs w:val="18"/>
          <w:lang w:bidi="en-US"/>
        </w:rPr>
      </w:pPr>
      <w:r w:rsidRPr="00057CBC">
        <w:rPr>
          <w:rFonts w:ascii="Arial Narrow" w:hAnsi="Arial Narrow"/>
          <w:i/>
          <w:iCs/>
          <w:sz w:val="18"/>
          <w:szCs w:val="18"/>
          <w:vertAlign w:val="superscript"/>
          <w:lang w:bidi="en-US"/>
        </w:rPr>
        <w:t>16</w:t>
      </w:r>
      <w:r w:rsidRPr="00057CBC">
        <w:rPr>
          <w:rFonts w:ascii="Arial Narrow" w:hAnsi="Arial Narrow"/>
          <w:i/>
          <w:iCs/>
          <w:sz w:val="18"/>
          <w:szCs w:val="18"/>
          <w:lang w:bidi="en-US"/>
        </w:rPr>
        <w:t xml:space="preserve"> 2,000,000 to &lt; 3,000,000</w:t>
      </w:r>
    </w:p>
    <w:p w14:paraId="4AFA4178" w14:textId="30237ADD" w:rsidR="00FA76D2" w:rsidRPr="00057CBC" w:rsidRDefault="00FA76D2" w:rsidP="00FA76D2">
      <w:pPr>
        <w:pStyle w:val="3-BodyText"/>
        <w:numPr>
          <w:ilvl w:val="0"/>
          <w:numId w:val="0"/>
        </w:numPr>
        <w:spacing w:after="0"/>
        <w:jc w:val="left"/>
        <w:rPr>
          <w:rFonts w:ascii="Arial Narrow" w:hAnsi="Arial Narrow"/>
          <w:i/>
          <w:iCs/>
          <w:sz w:val="18"/>
          <w:szCs w:val="18"/>
          <w:lang w:bidi="en-US"/>
        </w:rPr>
      </w:pPr>
      <w:r w:rsidRPr="00057CBC">
        <w:rPr>
          <w:rFonts w:ascii="Arial Narrow" w:hAnsi="Arial Narrow"/>
          <w:i/>
          <w:iCs/>
          <w:sz w:val="18"/>
          <w:szCs w:val="18"/>
          <w:vertAlign w:val="superscript"/>
          <w:lang w:bidi="en-US"/>
        </w:rPr>
        <w:t>17</w:t>
      </w:r>
      <w:r w:rsidRPr="00057CBC">
        <w:rPr>
          <w:rFonts w:ascii="Arial Narrow" w:hAnsi="Arial Narrow"/>
          <w:i/>
          <w:iCs/>
          <w:sz w:val="18"/>
          <w:szCs w:val="18"/>
          <w:lang w:bidi="en-US"/>
        </w:rPr>
        <w:t xml:space="preserve"> 500,000 to &lt; 600,000</w:t>
      </w:r>
    </w:p>
    <w:p w14:paraId="5C2D2EA0" w14:textId="4B09342D" w:rsidR="00FA76D2" w:rsidRPr="00057CBC" w:rsidRDefault="00FA76D2" w:rsidP="00FA76D2">
      <w:pPr>
        <w:pStyle w:val="3-BodyText"/>
        <w:numPr>
          <w:ilvl w:val="0"/>
          <w:numId w:val="0"/>
        </w:numPr>
        <w:spacing w:after="0"/>
        <w:jc w:val="left"/>
        <w:rPr>
          <w:rFonts w:ascii="Arial Narrow" w:hAnsi="Arial Narrow"/>
          <w:i/>
          <w:iCs/>
          <w:sz w:val="18"/>
          <w:szCs w:val="18"/>
          <w:lang w:bidi="en-US"/>
        </w:rPr>
      </w:pPr>
      <w:r w:rsidRPr="00057CBC">
        <w:rPr>
          <w:rFonts w:ascii="Arial Narrow" w:hAnsi="Arial Narrow"/>
          <w:i/>
          <w:iCs/>
          <w:sz w:val="18"/>
          <w:szCs w:val="18"/>
          <w:vertAlign w:val="superscript"/>
          <w:lang w:bidi="en-US"/>
        </w:rPr>
        <w:t>18</w:t>
      </w:r>
      <w:r w:rsidRPr="00057CBC">
        <w:rPr>
          <w:rFonts w:ascii="Arial Narrow" w:hAnsi="Arial Narrow"/>
          <w:i/>
          <w:iCs/>
          <w:sz w:val="18"/>
          <w:szCs w:val="18"/>
          <w:lang w:bidi="en-US"/>
        </w:rPr>
        <w:t xml:space="preserve"> 700,000 to &lt; 800,000</w:t>
      </w:r>
    </w:p>
    <w:p w14:paraId="3B238BC6" w14:textId="4E86E90C" w:rsidR="00FA76D2" w:rsidRPr="00057CBC" w:rsidRDefault="00FA76D2" w:rsidP="00FA76D2">
      <w:pPr>
        <w:pStyle w:val="3-BodyText"/>
        <w:numPr>
          <w:ilvl w:val="0"/>
          <w:numId w:val="0"/>
        </w:numPr>
        <w:spacing w:after="0"/>
        <w:jc w:val="left"/>
        <w:rPr>
          <w:rFonts w:ascii="Arial Narrow" w:hAnsi="Arial Narrow"/>
          <w:i/>
          <w:iCs/>
          <w:sz w:val="18"/>
          <w:szCs w:val="18"/>
          <w:lang w:bidi="en-US"/>
        </w:rPr>
      </w:pPr>
      <w:r w:rsidRPr="00057CBC">
        <w:rPr>
          <w:rFonts w:ascii="Arial Narrow" w:hAnsi="Arial Narrow"/>
          <w:i/>
          <w:iCs/>
          <w:sz w:val="18"/>
          <w:szCs w:val="18"/>
          <w:vertAlign w:val="superscript"/>
          <w:lang w:bidi="en-US"/>
        </w:rPr>
        <w:t>19</w:t>
      </w:r>
      <w:r w:rsidRPr="00057CBC">
        <w:rPr>
          <w:rFonts w:ascii="Arial Narrow" w:hAnsi="Arial Narrow"/>
          <w:i/>
          <w:iCs/>
          <w:sz w:val="18"/>
          <w:szCs w:val="18"/>
          <w:lang w:bidi="en-US"/>
        </w:rPr>
        <w:t xml:space="preserve"> 4,000,000 to &lt; 5,000,000</w:t>
      </w:r>
    </w:p>
    <w:p w14:paraId="28A761FA" w14:textId="2CFA0B62" w:rsidR="00FA76D2" w:rsidRPr="00057CBC" w:rsidRDefault="00FA76D2" w:rsidP="00FA76D2">
      <w:pPr>
        <w:pStyle w:val="3-BodyText"/>
        <w:numPr>
          <w:ilvl w:val="0"/>
          <w:numId w:val="0"/>
        </w:numPr>
        <w:spacing w:after="0"/>
        <w:jc w:val="left"/>
        <w:rPr>
          <w:rFonts w:ascii="Arial Narrow" w:hAnsi="Arial Narrow"/>
          <w:i/>
          <w:iCs/>
          <w:sz w:val="18"/>
          <w:szCs w:val="18"/>
          <w:lang w:bidi="en-US"/>
        </w:rPr>
      </w:pPr>
      <w:r w:rsidRPr="00057CBC">
        <w:rPr>
          <w:rFonts w:ascii="Arial Narrow" w:hAnsi="Arial Narrow"/>
          <w:i/>
          <w:iCs/>
          <w:sz w:val="18"/>
          <w:szCs w:val="18"/>
          <w:vertAlign w:val="superscript"/>
          <w:lang w:bidi="en-US"/>
        </w:rPr>
        <w:t>20</w:t>
      </w:r>
      <w:r w:rsidRPr="00057CBC">
        <w:rPr>
          <w:rFonts w:ascii="Arial Narrow" w:hAnsi="Arial Narrow"/>
          <w:i/>
          <w:iCs/>
          <w:sz w:val="18"/>
          <w:szCs w:val="18"/>
          <w:lang w:bidi="en-US"/>
        </w:rPr>
        <w:t xml:space="preserve"> 6,000,000 to &lt; 7,000,000</w:t>
      </w:r>
    </w:p>
    <w:p w14:paraId="0F937437" w14:textId="22A35094" w:rsidR="002819BB" w:rsidRPr="00057CBC" w:rsidRDefault="002819BB" w:rsidP="00FA76D2">
      <w:pPr>
        <w:pStyle w:val="3-BodyText"/>
        <w:numPr>
          <w:ilvl w:val="0"/>
          <w:numId w:val="0"/>
        </w:numPr>
        <w:spacing w:after="0"/>
        <w:jc w:val="left"/>
        <w:rPr>
          <w:rFonts w:ascii="Arial Narrow" w:hAnsi="Arial Narrow"/>
          <w:i/>
          <w:iCs/>
          <w:sz w:val="18"/>
          <w:szCs w:val="18"/>
          <w:lang w:bidi="en-US"/>
        </w:rPr>
      </w:pPr>
      <w:r w:rsidRPr="00057CBC">
        <w:rPr>
          <w:rFonts w:ascii="Arial Narrow" w:hAnsi="Arial Narrow"/>
          <w:i/>
          <w:iCs/>
          <w:sz w:val="18"/>
          <w:szCs w:val="18"/>
          <w:vertAlign w:val="superscript"/>
          <w:lang w:bidi="en-US"/>
        </w:rPr>
        <w:t>21</w:t>
      </w:r>
      <w:r w:rsidRPr="00057CBC">
        <w:rPr>
          <w:rFonts w:ascii="Arial Narrow" w:hAnsi="Arial Narrow"/>
          <w:i/>
          <w:iCs/>
          <w:sz w:val="18"/>
          <w:szCs w:val="18"/>
          <w:lang w:bidi="en-US"/>
        </w:rPr>
        <w:t xml:space="preserve"> 800,000 to &lt; 900,000</w:t>
      </w:r>
    </w:p>
    <w:p w14:paraId="6E56F2D0" w14:textId="2FF81116" w:rsidR="002819BB" w:rsidRPr="00057CBC" w:rsidRDefault="002819BB" w:rsidP="00FA76D2">
      <w:pPr>
        <w:pStyle w:val="3-BodyText"/>
        <w:numPr>
          <w:ilvl w:val="0"/>
          <w:numId w:val="0"/>
        </w:numPr>
        <w:spacing w:after="0"/>
        <w:jc w:val="left"/>
        <w:rPr>
          <w:rFonts w:ascii="Arial Narrow" w:hAnsi="Arial Narrow"/>
          <w:i/>
          <w:iCs/>
          <w:sz w:val="18"/>
          <w:szCs w:val="18"/>
          <w:lang w:bidi="en-US"/>
        </w:rPr>
      </w:pPr>
      <w:r w:rsidRPr="00057CBC">
        <w:rPr>
          <w:rFonts w:ascii="Arial Narrow" w:hAnsi="Arial Narrow"/>
          <w:i/>
          <w:iCs/>
          <w:sz w:val="18"/>
          <w:szCs w:val="18"/>
          <w:vertAlign w:val="superscript"/>
          <w:lang w:bidi="en-US"/>
        </w:rPr>
        <w:t>22</w:t>
      </w:r>
      <w:r w:rsidRPr="00057CBC">
        <w:rPr>
          <w:rFonts w:ascii="Arial Narrow" w:hAnsi="Arial Narrow"/>
          <w:i/>
          <w:iCs/>
          <w:sz w:val="18"/>
          <w:szCs w:val="18"/>
          <w:lang w:bidi="en-US"/>
        </w:rPr>
        <w:t xml:space="preserve"> 7,000,000 to &lt; 8,000,000</w:t>
      </w:r>
    </w:p>
    <w:p w14:paraId="5AB45381" w14:textId="66FA1406" w:rsidR="002819BB" w:rsidRPr="00057CBC" w:rsidRDefault="002819BB" w:rsidP="00FA76D2">
      <w:pPr>
        <w:pStyle w:val="3-BodyText"/>
        <w:numPr>
          <w:ilvl w:val="0"/>
          <w:numId w:val="0"/>
        </w:numPr>
        <w:spacing w:after="0"/>
        <w:jc w:val="left"/>
        <w:rPr>
          <w:rFonts w:ascii="Arial Narrow" w:hAnsi="Arial Narrow"/>
          <w:i/>
          <w:iCs/>
          <w:sz w:val="18"/>
          <w:szCs w:val="18"/>
          <w:lang w:bidi="en-US"/>
        </w:rPr>
      </w:pPr>
      <w:r w:rsidRPr="00057CBC">
        <w:rPr>
          <w:rFonts w:ascii="Arial Narrow" w:hAnsi="Arial Narrow"/>
          <w:i/>
          <w:iCs/>
          <w:sz w:val="18"/>
          <w:szCs w:val="18"/>
          <w:vertAlign w:val="superscript"/>
          <w:lang w:bidi="en-US"/>
        </w:rPr>
        <w:t>23</w:t>
      </w:r>
      <w:r w:rsidRPr="00057CBC">
        <w:rPr>
          <w:rFonts w:ascii="Arial Narrow" w:hAnsi="Arial Narrow"/>
          <w:i/>
          <w:iCs/>
          <w:sz w:val="18"/>
          <w:szCs w:val="18"/>
          <w:lang w:bidi="en-US"/>
        </w:rPr>
        <w:t xml:space="preserve"> $30 million to &lt; $40 million</w:t>
      </w:r>
    </w:p>
    <w:p w14:paraId="22DF09DD" w14:textId="6D090738" w:rsidR="002819BB" w:rsidRPr="00057CBC" w:rsidRDefault="002819BB" w:rsidP="00FA76D2">
      <w:pPr>
        <w:pStyle w:val="3-BodyText"/>
        <w:numPr>
          <w:ilvl w:val="0"/>
          <w:numId w:val="0"/>
        </w:numPr>
        <w:spacing w:after="0"/>
        <w:jc w:val="left"/>
        <w:rPr>
          <w:rFonts w:ascii="Arial Narrow" w:hAnsi="Arial Narrow"/>
          <w:i/>
          <w:iCs/>
          <w:sz w:val="18"/>
          <w:szCs w:val="18"/>
          <w:lang w:bidi="en-US"/>
        </w:rPr>
      </w:pPr>
      <w:r w:rsidRPr="00057CBC">
        <w:rPr>
          <w:rFonts w:ascii="Arial Narrow" w:hAnsi="Arial Narrow"/>
          <w:i/>
          <w:iCs/>
          <w:sz w:val="18"/>
          <w:szCs w:val="18"/>
          <w:vertAlign w:val="superscript"/>
          <w:lang w:bidi="en-US"/>
        </w:rPr>
        <w:t>24</w:t>
      </w:r>
      <w:r w:rsidRPr="00057CBC">
        <w:rPr>
          <w:rFonts w:ascii="Arial Narrow" w:hAnsi="Arial Narrow"/>
          <w:i/>
          <w:iCs/>
          <w:sz w:val="18"/>
          <w:szCs w:val="18"/>
          <w:lang w:bidi="en-US"/>
        </w:rPr>
        <w:t xml:space="preserve"> $20 million to &lt; $30 million</w:t>
      </w:r>
    </w:p>
    <w:p w14:paraId="0E66EA01" w14:textId="6D843987" w:rsidR="002819BB" w:rsidRPr="00057CBC" w:rsidRDefault="002819BB" w:rsidP="00FA76D2">
      <w:pPr>
        <w:pStyle w:val="3-BodyText"/>
        <w:numPr>
          <w:ilvl w:val="0"/>
          <w:numId w:val="0"/>
        </w:numPr>
        <w:spacing w:after="0"/>
        <w:jc w:val="left"/>
        <w:rPr>
          <w:rFonts w:ascii="Arial Narrow" w:hAnsi="Arial Narrow"/>
          <w:i/>
          <w:iCs/>
          <w:sz w:val="18"/>
          <w:szCs w:val="18"/>
          <w:lang w:bidi="en-US"/>
        </w:rPr>
      </w:pPr>
      <w:r w:rsidRPr="00057CBC">
        <w:rPr>
          <w:rFonts w:ascii="Arial Narrow" w:hAnsi="Arial Narrow"/>
          <w:i/>
          <w:iCs/>
          <w:sz w:val="18"/>
          <w:szCs w:val="18"/>
          <w:vertAlign w:val="superscript"/>
          <w:lang w:bidi="en-US"/>
        </w:rPr>
        <w:t>25</w:t>
      </w:r>
      <w:r w:rsidRPr="00057CBC">
        <w:rPr>
          <w:rFonts w:ascii="Arial Narrow" w:hAnsi="Arial Narrow"/>
          <w:i/>
          <w:iCs/>
          <w:sz w:val="18"/>
          <w:szCs w:val="18"/>
          <w:lang w:bidi="en-US"/>
        </w:rPr>
        <w:t xml:space="preserve"> $10 million to &lt; $20 million</w:t>
      </w:r>
    </w:p>
    <w:p w14:paraId="049FD7F9" w14:textId="3224535F" w:rsidR="002819BB" w:rsidRPr="00057CBC" w:rsidRDefault="002819BB" w:rsidP="00FA76D2">
      <w:pPr>
        <w:pStyle w:val="3-BodyText"/>
        <w:numPr>
          <w:ilvl w:val="0"/>
          <w:numId w:val="0"/>
        </w:numPr>
        <w:spacing w:after="0"/>
        <w:jc w:val="left"/>
        <w:rPr>
          <w:rFonts w:ascii="Arial Narrow" w:hAnsi="Arial Narrow"/>
          <w:i/>
          <w:iCs/>
          <w:sz w:val="18"/>
          <w:szCs w:val="18"/>
          <w:lang w:bidi="en-US"/>
        </w:rPr>
      </w:pPr>
      <w:r w:rsidRPr="00057CBC">
        <w:rPr>
          <w:rFonts w:ascii="Arial Narrow" w:hAnsi="Arial Narrow"/>
          <w:i/>
          <w:iCs/>
          <w:sz w:val="18"/>
          <w:szCs w:val="18"/>
          <w:vertAlign w:val="superscript"/>
          <w:lang w:bidi="en-US"/>
        </w:rPr>
        <w:t>26</w:t>
      </w:r>
      <w:r w:rsidRPr="00057CBC">
        <w:rPr>
          <w:rFonts w:ascii="Arial Narrow" w:hAnsi="Arial Narrow"/>
          <w:i/>
          <w:iCs/>
          <w:sz w:val="18"/>
          <w:szCs w:val="18"/>
          <w:lang w:bidi="en-US"/>
        </w:rPr>
        <w:t xml:space="preserve"> $0 to &lt; $10 million</w:t>
      </w:r>
    </w:p>
    <w:p w14:paraId="369F2021" w14:textId="0195E1BE" w:rsidR="002819BB" w:rsidRPr="00057CBC" w:rsidRDefault="002819BB" w:rsidP="00FA76D2">
      <w:pPr>
        <w:pStyle w:val="3-BodyText"/>
        <w:numPr>
          <w:ilvl w:val="0"/>
          <w:numId w:val="0"/>
        </w:numPr>
        <w:spacing w:after="0"/>
        <w:jc w:val="left"/>
        <w:rPr>
          <w:rFonts w:ascii="Arial Narrow" w:hAnsi="Arial Narrow"/>
          <w:i/>
          <w:iCs/>
          <w:sz w:val="18"/>
          <w:szCs w:val="18"/>
          <w:lang w:bidi="en-US"/>
        </w:rPr>
      </w:pPr>
      <w:r w:rsidRPr="00057CBC">
        <w:rPr>
          <w:rFonts w:ascii="Arial Narrow" w:hAnsi="Arial Narrow"/>
          <w:i/>
          <w:iCs/>
          <w:sz w:val="18"/>
          <w:szCs w:val="18"/>
          <w:vertAlign w:val="superscript"/>
          <w:lang w:bidi="en-US"/>
        </w:rPr>
        <w:t>27</w:t>
      </w:r>
      <w:r w:rsidRPr="00057CBC">
        <w:rPr>
          <w:rFonts w:ascii="Arial Narrow" w:hAnsi="Arial Narrow"/>
          <w:i/>
          <w:iCs/>
          <w:sz w:val="18"/>
          <w:szCs w:val="18"/>
          <w:lang w:bidi="en-US"/>
        </w:rPr>
        <w:t xml:space="preserve"> $90 million to &lt; $100 million </w:t>
      </w:r>
    </w:p>
    <w:p w14:paraId="6E01E29A" w14:textId="419528DF" w:rsidR="002819BB" w:rsidRPr="00057CBC" w:rsidRDefault="002819BB" w:rsidP="00FA76D2">
      <w:pPr>
        <w:pStyle w:val="3-BodyText"/>
        <w:numPr>
          <w:ilvl w:val="0"/>
          <w:numId w:val="0"/>
        </w:numPr>
        <w:spacing w:after="0"/>
        <w:jc w:val="left"/>
        <w:rPr>
          <w:rFonts w:ascii="Arial Narrow" w:hAnsi="Arial Narrow"/>
          <w:i/>
          <w:iCs/>
          <w:sz w:val="18"/>
          <w:szCs w:val="18"/>
          <w:lang w:bidi="en-US"/>
        </w:rPr>
      </w:pPr>
      <w:r w:rsidRPr="00057CBC">
        <w:rPr>
          <w:rFonts w:ascii="Arial Narrow" w:hAnsi="Arial Narrow"/>
          <w:i/>
          <w:iCs/>
          <w:sz w:val="18"/>
          <w:szCs w:val="18"/>
          <w:vertAlign w:val="superscript"/>
          <w:lang w:bidi="en-US"/>
        </w:rPr>
        <w:t>28</w:t>
      </w:r>
      <w:r w:rsidRPr="00057CBC">
        <w:rPr>
          <w:rFonts w:ascii="Arial Narrow" w:hAnsi="Arial Narrow"/>
          <w:i/>
          <w:iCs/>
          <w:sz w:val="18"/>
          <w:szCs w:val="18"/>
          <w:lang w:bidi="en-US"/>
        </w:rPr>
        <w:t xml:space="preserve"> $70 million to &lt; $80 million</w:t>
      </w:r>
    </w:p>
    <w:p w14:paraId="124DCA28" w14:textId="128E99BD" w:rsidR="002819BB" w:rsidRPr="00057CBC" w:rsidRDefault="002819BB" w:rsidP="00FA76D2">
      <w:pPr>
        <w:pStyle w:val="3-BodyText"/>
        <w:numPr>
          <w:ilvl w:val="0"/>
          <w:numId w:val="0"/>
        </w:numPr>
        <w:spacing w:after="0"/>
        <w:jc w:val="left"/>
        <w:rPr>
          <w:rFonts w:ascii="Arial Narrow" w:hAnsi="Arial Narrow"/>
          <w:i/>
          <w:iCs/>
          <w:sz w:val="18"/>
          <w:szCs w:val="18"/>
          <w:lang w:bidi="en-US"/>
        </w:rPr>
      </w:pPr>
      <w:r w:rsidRPr="00057CBC">
        <w:rPr>
          <w:rFonts w:ascii="Arial Narrow" w:hAnsi="Arial Narrow"/>
          <w:i/>
          <w:iCs/>
          <w:sz w:val="18"/>
          <w:szCs w:val="18"/>
          <w:vertAlign w:val="superscript"/>
          <w:lang w:bidi="en-US"/>
        </w:rPr>
        <w:t>29</w:t>
      </w:r>
      <w:r w:rsidRPr="00057CBC">
        <w:rPr>
          <w:rFonts w:ascii="Arial Narrow" w:hAnsi="Arial Narrow"/>
          <w:i/>
          <w:iCs/>
          <w:sz w:val="18"/>
          <w:szCs w:val="18"/>
          <w:lang w:bidi="en-US"/>
        </w:rPr>
        <w:t xml:space="preserve"> $300 million to &lt; $400 million</w:t>
      </w:r>
    </w:p>
    <w:p w14:paraId="03ACABD9" w14:textId="0B6CF23A" w:rsidR="002819BB" w:rsidRPr="00057CBC" w:rsidRDefault="002819BB" w:rsidP="00FA76D2">
      <w:pPr>
        <w:pStyle w:val="3-BodyText"/>
        <w:numPr>
          <w:ilvl w:val="0"/>
          <w:numId w:val="0"/>
        </w:numPr>
        <w:spacing w:after="0"/>
        <w:jc w:val="left"/>
        <w:rPr>
          <w:rFonts w:ascii="Arial Narrow" w:hAnsi="Arial Narrow"/>
          <w:i/>
          <w:iCs/>
          <w:sz w:val="18"/>
          <w:szCs w:val="18"/>
          <w:lang w:bidi="en-US"/>
        </w:rPr>
      </w:pPr>
      <w:r w:rsidRPr="00057CBC">
        <w:rPr>
          <w:rFonts w:ascii="Arial Narrow" w:hAnsi="Arial Narrow"/>
          <w:i/>
          <w:iCs/>
          <w:sz w:val="18"/>
          <w:szCs w:val="18"/>
          <w:vertAlign w:val="superscript"/>
          <w:lang w:bidi="en-US"/>
        </w:rPr>
        <w:t>30</w:t>
      </w:r>
      <w:r w:rsidRPr="00057CBC">
        <w:rPr>
          <w:rFonts w:ascii="Arial Narrow" w:hAnsi="Arial Narrow"/>
          <w:i/>
          <w:iCs/>
          <w:sz w:val="18"/>
          <w:szCs w:val="18"/>
          <w:lang w:bidi="en-US"/>
        </w:rPr>
        <w:t xml:space="preserve"> $200 million to &lt; $300 million </w:t>
      </w:r>
    </w:p>
    <w:p w14:paraId="6D9559C8" w14:textId="63208056" w:rsidR="002819BB" w:rsidRPr="00057CBC" w:rsidRDefault="002819BB" w:rsidP="00FA76D2">
      <w:pPr>
        <w:pStyle w:val="3-BodyText"/>
        <w:numPr>
          <w:ilvl w:val="0"/>
          <w:numId w:val="0"/>
        </w:numPr>
        <w:spacing w:after="0"/>
        <w:jc w:val="left"/>
        <w:rPr>
          <w:rFonts w:ascii="Arial Narrow" w:hAnsi="Arial Narrow"/>
          <w:i/>
          <w:iCs/>
          <w:sz w:val="18"/>
          <w:szCs w:val="18"/>
          <w:lang w:bidi="en-US"/>
        </w:rPr>
      </w:pPr>
      <w:r w:rsidRPr="00057CBC">
        <w:rPr>
          <w:rFonts w:ascii="Arial Narrow" w:hAnsi="Arial Narrow"/>
          <w:i/>
          <w:iCs/>
          <w:sz w:val="18"/>
          <w:szCs w:val="18"/>
          <w:vertAlign w:val="superscript"/>
          <w:lang w:bidi="en-US"/>
        </w:rPr>
        <w:t>31</w:t>
      </w:r>
      <w:r w:rsidRPr="00057CBC">
        <w:rPr>
          <w:rFonts w:ascii="Arial Narrow" w:hAnsi="Arial Narrow"/>
          <w:i/>
          <w:iCs/>
          <w:sz w:val="18"/>
          <w:szCs w:val="18"/>
          <w:lang w:bidi="en-US"/>
        </w:rPr>
        <w:t xml:space="preserve"> $100 million to &lt; $200 million</w:t>
      </w:r>
    </w:p>
    <w:p w14:paraId="70E83BF4" w14:textId="291A2966" w:rsidR="002819BB" w:rsidRPr="00057CBC" w:rsidRDefault="002819BB" w:rsidP="00FA76D2">
      <w:pPr>
        <w:pStyle w:val="3-BodyText"/>
        <w:numPr>
          <w:ilvl w:val="0"/>
          <w:numId w:val="0"/>
        </w:numPr>
        <w:spacing w:after="0"/>
        <w:jc w:val="left"/>
        <w:rPr>
          <w:rFonts w:ascii="Arial Narrow" w:hAnsi="Arial Narrow"/>
          <w:i/>
          <w:iCs/>
          <w:sz w:val="18"/>
          <w:szCs w:val="18"/>
          <w:lang w:bidi="en-US"/>
        </w:rPr>
      </w:pPr>
      <w:r w:rsidRPr="00057CBC">
        <w:rPr>
          <w:rFonts w:ascii="Arial Narrow" w:hAnsi="Arial Narrow"/>
          <w:i/>
          <w:iCs/>
          <w:sz w:val="18"/>
          <w:szCs w:val="18"/>
          <w:vertAlign w:val="superscript"/>
          <w:lang w:bidi="en-US"/>
        </w:rPr>
        <w:t>32</w:t>
      </w:r>
      <w:r w:rsidRPr="00057CBC">
        <w:rPr>
          <w:rFonts w:ascii="Arial Narrow" w:hAnsi="Arial Narrow"/>
          <w:i/>
          <w:iCs/>
          <w:sz w:val="18"/>
          <w:szCs w:val="18"/>
          <w:lang w:bidi="en-US"/>
        </w:rPr>
        <w:t xml:space="preserve"> $900 million to &lt; $1 billion</w:t>
      </w:r>
    </w:p>
    <w:p w14:paraId="6BB2FFA6" w14:textId="6CD513BB" w:rsidR="002819BB" w:rsidRPr="00057CBC" w:rsidRDefault="002819BB" w:rsidP="00FA76D2">
      <w:pPr>
        <w:pStyle w:val="3-BodyText"/>
        <w:numPr>
          <w:ilvl w:val="0"/>
          <w:numId w:val="0"/>
        </w:numPr>
        <w:spacing w:after="0"/>
        <w:jc w:val="left"/>
        <w:rPr>
          <w:rFonts w:ascii="Arial Narrow" w:hAnsi="Arial Narrow"/>
          <w:i/>
          <w:iCs/>
          <w:sz w:val="18"/>
          <w:szCs w:val="18"/>
          <w:lang w:bidi="en-US"/>
        </w:rPr>
      </w:pPr>
      <w:r w:rsidRPr="00057CBC">
        <w:rPr>
          <w:rFonts w:ascii="Arial Narrow" w:hAnsi="Arial Narrow"/>
          <w:i/>
          <w:iCs/>
          <w:sz w:val="18"/>
          <w:szCs w:val="18"/>
          <w:vertAlign w:val="superscript"/>
          <w:lang w:bidi="en-US"/>
        </w:rPr>
        <w:t>33</w:t>
      </w:r>
      <w:r w:rsidRPr="00057CBC">
        <w:rPr>
          <w:rFonts w:ascii="Arial Narrow" w:hAnsi="Arial Narrow"/>
          <w:i/>
          <w:iCs/>
          <w:sz w:val="18"/>
          <w:szCs w:val="18"/>
          <w:lang w:bidi="en-US"/>
        </w:rPr>
        <w:t xml:space="preserve"> $40 million to &lt; $50 million</w:t>
      </w:r>
    </w:p>
    <w:p w14:paraId="4562ED83" w14:textId="24A21E36" w:rsidR="002819BB" w:rsidRPr="00057CBC" w:rsidRDefault="002819BB" w:rsidP="00057CBC">
      <w:pPr>
        <w:pStyle w:val="3-BodyText"/>
        <w:numPr>
          <w:ilvl w:val="0"/>
          <w:numId w:val="0"/>
        </w:numPr>
        <w:spacing w:after="0"/>
        <w:jc w:val="left"/>
        <w:rPr>
          <w:rFonts w:ascii="Arial Narrow" w:hAnsi="Arial Narrow"/>
          <w:i/>
          <w:iCs/>
          <w:sz w:val="18"/>
          <w:szCs w:val="18"/>
          <w:lang w:bidi="en-US"/>
        </w:rPr>
      </w:pPr>
      <w:r w:rsidRPr="00057CBC">
        <w:rPr>
          <w:rFonts w:ascii="Arial Narrow" w:hAnsi="Arial Narrow"/>
          <w:i/>
          <w:iCs/>
          <w:sz w:val="18"/>
          <w:szCs w:val="18"/>
          <w:vertAlign w:val="superscript"/>
          <w:lang w:bidi="en-US"/>
        </w:rPr>
        <w:t>34</w:t>
      </w:r>
      <w:r w:rsidRPr="00057CBC">
        <w:rPr>
          <w:rFonts w:ascii="Arial Narrow" w:hAnsi="Arial Narrow"/>
          <w:i/>
          <w:iCs/>
          <w:sz w:val="18"/>
          <w:szCs w:val="18"/>
          <w:lang w:bidi="en-US"/>
        </w:rPr>
        <w:t xml:space="preserve"> &gt; $ 1 billion</w:t>
      </w:r>
    </w:p>
    <w:p w14:paraId="199C9B30" w14:textId="27FA4141" w:rsidR="00E64937" w:rsidRPr="00D07E3A" w:rsidRDefault="00E64937" w:rsidP="00E64937">
      <w:pPr>
        <w:pStyle w:val="3-BodyText"/>
        <w:numPr>
          <w:ilvl w:val="0"/>
          <w:numId w:val="0"/>
        </w:numPr>
        <w:rPr>
          <w:rFonts w:eastAsiaTheme="majorEastAsia"/>
        </w:rPr>
      </w:pPr>
    </w:p>
    <w:p w14:paraId="6C26B223" w14:textId="77777777" w:rsidR="00E64937" w:rsidRPr="00D07E3A" w:rsidRDefault="00E64937" w:rsidP="00E64937">
      <w:pPr>
        <w:pStyle w:val="3-BodyText"/>
        <w:numPr>
          <w:ilvl w:val="0"/>
          <w:numId w:val="0"/>
        </w:numPr>
        <w:rPr>
          <w:rFonts w:eastAsiaTheme="majorEastAsia"/>
        </w:rPr>
        <w:sectPr w:rsidR="00E64937" w:rsidRPr="00D07E3A" w:rsidSect="00E64937">
          <w:pgSz w:w="16838" w:h="11906" w:orient="landscape"/>
          <w:pgMar w:top="1440" w:right="1440" w:bottom="1440" w:left="1440" w:header="708" w:footer="708" w:gutter="0"/>
          <w:cols w:space="708"/>
          <w:docGrid w:linePitch="360"/>
        </w:sectPr>
      </w:pPr>
    </w:p>
    <w:p w14:paraId="65B598D8" w14:textId="4B3E389B" w:rsidR="00DE1005" w:rsidRPr="00D07E3A" w:rsidRDefault="00DE1005" w:rsidP="00DE1005">
      <w:pPr>
        <w:keepNext/>
        <w:spacing w:before="120" w:after="120"/>
        <w:outlineLvl w:val="1"/>
        <w:rPr>
          <w:rFonts w:asciiTheme="minorHAnsi" w:eastAsiaTheme="majorEastAsia" w:hAnsiTheme="minorHAnsi" w:cstheme="majorBidi"/>
          <w:b/>
          <w:i/>
          <w:spacing w:val="5"/>
          <w:kern w:val="28"/>
          <w:sz w:val="28"/>
          <w:szCs w:val="36"/>
        </w:rPr>
      </w:pPr>
      <w:bookmarkStart w:id="12" w:name="_Ref150247003"/>
      <w:r w:rsidRPr="00D07E3A">
        <w:rPr>
          <w:rFonts w:asciiTheme="minorHAnsi" w:eastAsiaTheme="majorEastAsia" w:hAnsiTheme="minorHAnsi" w:cstheme="majorBidi"/>
          <w:b/>
          <w:i/>
          <w:spacing w:val="5"/>
          <w:kern w:val="28"/>
          <w:sz w:val="28"/>
          <w:szCs w:val="36"/>
        </w:rPr>
        <w:t xml:space="preserve">Additional </w:t>
      </w:r>
      <w:r w:rsidR="00500C50" w:rsidRPr="00D07E3A">
        <w:rPr>
          <w:rFonts w:asciiTheme="minorHAnsi" w:eastAsiaTheme="majorEastAsia" w:hAnsiTheme="minorHAnsi" w:cstheme="majorBidi"/>
          <w:b/>
          <w:i/>
          <w:spacing w:val="5"/>
          <w:kern w:val="28"/>
          <w:sz w:val="28"/>
          <w:szCs w:val="36"/>
        </w:rPr>
        <w:t xml:space="preserve">high risk </w:t>
      </w:r>
      <w:r w:rsidRPr="00D07E3A">
        <w:rPr>
          <w:rFonts w:asciiTheme="minorHAnsi" w:eastAsiaTheme="majorEastAsia" w:hAnsiTheme="minorHAnsi" w:cstheme="majorBidi"/>
          <w:b/>
          <w:i/>
          <w:spacing w:val="5"/>
          <w:kern w:val="28"/>
          <w:sz w:val="28"/>
          <w:szCs w:val="36"/>
        </w:rPr>
        <w:t>populations proposed by the sponsor</w:t>
      </w:r>
    </w:p>
    <w:p w14:paraId="503B7BF0" w14:textId="260FDB79" w:rsidR="00E64937" w:rsidRPr="00D07E3A" w:rsidRDefault="006A6A0D" w:rsidP="00962090">
      <w:pPr>
        <w:pStyle w:val="3-BodyText"/>
      </w:pPr>
      <w:r w:rsidRPr="00D07E3A">
        <w:t>The sponsor proposed inclusion of the following individuals</w:t>
      </w:r>
      <w:r w:rsidR="00DE1005" w:rsidRPr="00D07E3A">
        <w:t xml:space="preserve"> </w:t>
      </w:r>
      <w:r w:rsidRPr="00D07E3A">
        <w:t xml:space="preserve">in the </w:t>
      </w:r>
      <w:r w:rsidR="00FB1B13" w:rsidRPr="00D07E3A">
        <w:t xml:space="preserve">funded </w:t>
      </w:r>
      <w:r w:rsidRPr="00D07E3A">
        <w:t>populations</w:t>
      </w:r>
      <w:r w:rsidR="00DE1005" w:rsidRPr="00D07E3A">
        <w:t xml:space="preserve">, in addition to the populations recommended by ATAGI. Further ATAGI advice was provided addressing the issues raised by the sponsor. </w:t>
      </w:r>
      <w:bookmarkEnd w:id="12"/>
    </w:p>
    <w:p w14:paraId="436B8D6C" w14:textId="18EDF0FB" w:rsidR="00DE1005" w:rsidRPr="00D07E3A" w:rsidRDefault="000D02D7" w:rsidP="00547B42">
      <w:pPr>
        <w:pStyle w:val="3-BodyText"/>
      </w:pPr>
      <w:r w:rsidRPr="00D07E3A">
        <w:t>T</w:t>
      </w:r>
      <w:r w:rsidR="006A6A0D" w:rsidRPr="00D07E3A">
        <w:t xml:space="preserve">hose on a daily dose of </w:t>
      </w:r>
      <w:r w:rsidR="006A6A0D" w:rsidRPr="00D07E3A">
        <w:rPr>
          <w:rFonts w:cstheme="minorHAnsi"/>
        </w:rPr>
        <w:t>≥</w:t>
      </w:r>
      <w:r w:rsidR="006A6A0D" w:rsidRPr="00D07E3A">
        <w:t xml:space="preserve"> 10 mg of </w:t>
      </w:r>
      <w:r w:rsidR="00FB1B13" w:rsidRPr="00D07E3A">
        <w:t>prednisolone (or equivalent)</w:t>
      </w:r>
      <w:r w:rsidR="006A6A0D" w:rsidRPr="00D07E3A">
        <w:t xml:space="preserve"> (criteria and financial estimates were </w:t>
      </w:r>
      <w:r w:rsidR="00C05AB6" w:rsidRPr="00D07E3A">
        <w:t xml:space="preserve">provided </w:t>
      </w:r>
      <w:r w:rsidR="006A6A0D" w:rsidRPr="00D07E3A">
        <w:t>for this population)</w:t>
      </w:r>
      <w:r w:rsidRPr="00D07E3A">
        <w:t xml:space="preserve">. The submission noted the ATAGI had previously advised that individuals receiving regular higher doses of systemic corticosteroids are at a high risk of HZ (paragraph 4.3, RZV </w:t>
      </w:r>
      <w:r w:rsidR="002819BB">
        <w:t>Public Summary Document (</w:t>
      </w:r>
      <w:r w:rsidRPr="00D07E3A">
        <w:t>PSD</w:t>
      </w:r>
      <w:r w:rsidR="002819BB">
        <w:t>)</w:t>
      </w:r>
      <w:r w:rsidRPr="00D07E3A">
        <w:t>, March 2023 PBAC meeting)</w:t>
      </w:r>
      <w:r w:rsidR="00D07E3A">
        <w:t xml:space="preserve">. </w:t>
      </w:r>
      <w:r w:rsidR="00DE1005" w:rsidRPr="00D07E3A">
        <w:t>The ATAGI did not support inclusion of individuals receiving ≥10 mg prednisolone (or equivalent) for NIP funding. The ATAGI noted the risk arising from this use alone is likely to be short-term. In most clinical situations people requiring longer term use of moderate to high-dose systemic corticosteroids, and therefore at sustained increased risk of HZ, are likely to be transitioned to an alternate ‘steroid sparing’ therapy, which would likely be eligible for inclusion in the new high or moderate risk categories.</w:t>
      </w:r>
    </w:p>
    <w:p w14:paraId="3D3C50A3" w14:textId="77777777" w:rsidR="00DE1005" w:rsidRPr="00D07E3A" w:rsidRDefault="000D02D7" w:rsidP="00DE1005">
      <w:pPr>
        <w:pStyle w:val="3-BodyText"/>
      </w:pPr>
      <w:r w:rsidRPr="00D07E3A">
        <w:t>T</w:t>
      </w:r>
      <w:r w:rsidR="006A6A0D" w:rsidRPr="00D07E3A">
        <w:t xml:space="preserve">hose aged 50 to 64 years of age with inflammatory bowel disease </w:t>
      </w:r>
      <w:r w:rsidRPr="00D07E3A">
        <w:t xml:space="preserve">(IBD) </w:t>
      </w:r>
      <w:r w:rsidR="006A6A0D" w:rsidRPr="00D07E3A">
        <w:t>or diabetes</w:t>
      </w:r>
      <w:r w:rsidRPr="00D07E3A">
        <w:t>. Large observational studies cited in previous ATAGI advice suggested that individuals with IBD and diabetes aged 50-64 years of age have a similar or higher level of risk as the general population ≥65 years of age.</w:t>
      </w:r>
      <w:r w:rsidR="00DE1005" w:rsidRPr="00D07E3A">
        <w:t xml:space="preserve"> The ATAGI did not support inclusion of individuals with IBD or diabetes for NIP funding, based on the diagnosis alone. ATAGI noted that those with IBD are at increased risk of HZ but advised it was appropriate that some risk populations (including IBD) be defined by therapy and not just by the risk condition itself. ATAGI did not find evidence of high or moderate certainty to support an increased risk of HZ in people with diabetes that was not heavily confounded by age.</w:t>
      </w:r>
    </w:p>
    <w:p w14:paraId="493547EB" w14:textId="53B9E7C7" w:rsidR="00DE1005" w:rsidRPr="00D07E3A" w:rsidRDefault="000D02D7" w:rsidP="00DE1005">
      <w:pPr>
        <w:pStyle w:val="3-BodyText"/>
      </w:pPr>
      <w:r w:rsidRPr="00D07E3A">
        <w:t>T</w:t>
      </w:r>
      <w:r w:rsidR="006A6A0D" w:rsidRPr="00D07E3A">
        <w:t>hose with chronic kidney disease with renal failure who are not receiving dialysis</w:t>
      </w:r>
      <w:bookmarkStart w:id="13" w:name="_Ref150325834"/>
      <w:r w:rsidRPr="00D07E3A">
        <w:t>. The sponsor noted the ATAGI advice reported a risk ratio of 2.14 for chronic kidney disease (CKD) patients with renal failure (Hata, 2011), and a risk ratio of 1.98 for CKD patients on dialysis (no reference provided) (Sep-23 ATAGI advice, Appendix Table 1). However, only CKD patients on dialysis were included in ATAGI’s definition of high-risk patient groups, despite reporting a higher risk ratio for CKD with renal failure.</w:t>
      </w:r>
      <w:bookmarkEnd w:id="13"/>
      <w:r w:rsidR="00DE1005" w:rsidRPr="00D07E3A">
        <w:t xml:space="preserve"> The ATAGI acknowledged the sponsor’s comments regarding patients with chronic kidney disease. Noting the two key studies from which the risk estimates were derived were in patients on long-term dialysis</w:t>
      </w:r>
      <w:r w:rsidR="00E632D3" w:rsidRPr="00D07E3A">
        <w:rPr>
          <w:rStyle w:val="FootnoteReference"/>
        </w:rPr>
        <w:footnoteReference w:id="4"/>
      </w:r>
      <w:r w:rsidR="00DE1005" w:rsidRPr="00D07E3A">
        <w:t xml:space="preserve"> and patients with renal failure</w:t>
      </w:r>
      <w:r w:rsidR="00E632D3" w:rsidRPr="00D07E3A">
        <w:rPr>
          <w:rStyle w:val="FootnoteReference"/>
        </w:rPr>
        <w:footnoteReference w:id="5"/>
      </w:r>
      <w:r w:rsidR="00DE1005" w:rsidRPr="00D07E3A">
        <w:t xml:space="preserve"> the ATAGI supported revising the recommended description/definition of the cohort, to “End stage renal disease (Stage 5 chronic kidney disease) or on long-term dialysis”.</w:t>
      </w:r>
    </w:p>
    <w:p w14:paraId="2EC900D3" w14:textId="58958A41" w:rsidR="00DE1005" w:rsidRPr="00D07E3A" w:rsidRDefault="000D02D7" w:rsidP="00E632D3">
      <w:pPr>
        <w:pStyle w:val="3-BodyText"/>
      </w:pPr>
      <w:bookmarkStart w:id="14" w:name="_Ref151643230"/>
      <w:r w:rsidRPr="00D07E3A">
        <w:t>T</w:t>
      </w:r>
      <w:r w:rsidR="006A6A0D" w:rsidRPr="00D07E3A">
        <w:t xml:space="preserve">hose </w:t>
      </w:r>
      <w:r w:rsidR="00FB1B13" w:rsidRPr="00D07E3A">
        <w:t xml:space="preserve">living </w:t>
      </w:r>
      <w:r w:rsidR="006A6A0D" w:rsidRPr="00D07E3A">
        <w:t>with HIV, regardless of CD4 counts.</w:t>
      </w:r>
      <w:r w:rsidRPr="00D07E3A">
        <w:t xml:space="preserve"> The sponsor noted the ATAGI advice amended the population of individuals with HIV infection, with a threshold CD4 cell count lowered to &lt;200/µL from &lt;250/µL</w:t>
      </w:r>
      <w:r w:rsidR="00D07E3A">
        <w:t xml:space="preserve">. </w:t>
      </w:r>
      <w:r w:rsidRPr="00D07E3A">
        <w:t xml:space="preserve">The sponsor questioned the rationale for the reduction in CD4 counts and further stated that disclosure of CD4+ counts may be a sensitive issue. </w:t>
      </w:r>
      <w:r w:rsidR="00DE1005" w:rsidRPr="00D07E3A">
        <w:t>ATAGI considered the use of CD4 counts to determine the cohort of people living with HIV for funded RZV to be appropriate. The update of the definition for CD4 count for people with HIV was based on expert consensus within ATAGI to align with other international clinical case definitions for significant immunosuppression in people living with HIV generally being associated with a CD4 count &lt;200/uL</w:t>
      </w:r>
      <w:r w:rsidR="00E632D3" w:rsidRPr="00D07E3A">
        <w:rPr>
          <w:rStyle w:val="FootnoteReference"/>
        </w:rPr>
        <w:footnoteReference w:id="6"/>
      </w:r>
      <w:r w:rsidR="00E632D3" w:rsidRPr="00D07E3A">
        <w:t>,</w:t>
      </w:r>
      <w:r w:rsidR="00E632D3" w:rsidRPr="00D07E3A">
        <w:rPr>
          <w:rStyle w:val="FootnoteReference"/>
        </w:rPr>
        <w:footnoteReference w:id="7"/>
      </w:r>
      <w:r w:rsidR="00DE1005" w:rsidRPr="00D07E3A">
        <w:t xml:space="preserve"> ATAGI considered CD4 counts as basic information all clinicians involved in the care of people living with HIV would have access to and/ or would measure. The ATAGI noted the CD4 count does not need to be revealed to receive </w:t>
      </w:r>
      <w:r w:rsidR="00D07E3A" w:rsidRPr="00D07E3A">
        <w:t>RZV</w:t>
      </w:r>
      <w:r w:rsidR="00DE1005" w:rsidRPr="00D07E3A">
        <w:t>, or be recorded on the Australian Immunisation Register once administered.</w:t>
      </w:r>
      <w:bookmarkEnd w:id="14"/>
      <w:r w:rsidR="00DE1005" w:rsidRPr="00D07E3A">
        <w:t xml:space="preserve"> </w:t>
      </w:r>
    </w:p>
    <w:p w14:paraId="506B3284" w14:textId="5C3D157B" w:rsidR="00627A45" w:rsidRPr="00D07E3A" w:rsidRDefault="006A6A0D" w:rsidP="00F63AC8">
      <w:pPr>
        <w:pStyle w:val="3-BodyText"/>
      </w:pPr>
      <w:bookmarkStart w:id="15" w:name="_Ref150247013"/>
      <w:r w:rsidRPr="00D07E3A">
        <w:t xml:space="preserve">Additionally, the sponsor proposed inclusion of a criteria (see circumstance (c) (iii) in paragraph </w:t>
      </w:r>
      <w:r w:rsidRPr="00D07E3A">
        <w:fldChar w:fldCharType="begin"/>
      </w:r>
      <w:r w:rsidRPr="00D07E3A">
        <w:instrText xml:space="preserve"> REF _Ref150245529 \r \h </w:instrText>
      </w:r>
      <w:r w:rsidRPr="00D07E3A">
        <w:fldChar w:fldCharType="separate"/>
      </w:r>
      <w:r w:rsidR="00FE6944">
        <w:t>2.1</w:t>
      </w:r>
      <w:r w:rsidRPr="00D07E3A">
        <w:fldChar w:fldCharType="end"/>
      </w:r>
      <w:r w:rsidR="00DE1005" w:rsidRPr="00D07E3A">
        <w:t xml:space="preserve"> – ‘Vaccine may be provided to a person who (c) is at least 18 years of age and considered at increased risk of herpes zoster (iii) as determined by the treating physician to be at comparable risk to an individual in paragraph i’</w:t>
      </w:r>
      <w:r w:rsidRPr="00D07E3A">
        <w:t>) to capture additional conditions or therapies that contain immunocompromised individuals who are at a similar level of risk as high or moderate risk groups currently not covered by the population level guidance provided by ATAGI, including combination therapies and immunomodulatory/immunosuppressive therapies which are not currently listed on the PBS.</w:t>
      </w:r>
      <w:bookmarkEnd w:id="15"/>
      <w:r w:rsidR="00DE1005" w:rsidRPr="00D07E3A">
        <w:t xml:space="preserve"> ATAGI does not agree to the proposal to allow NIP funded doses to be given based on clinician judgement as it would be subjective and may lead to substantial variation in practice and potentially result in use in a large cohort of people without significantly increased risk of HZ. ATAGI reiterated its previous advice that new</w:t>
      </w:r>
      <w:r w:rsidR="00971F34">
        <w:t xml:space="preserve"> medicines</w:t>
      </w:r>
      <w:r w:rsidR="00DE1005" w:rsidRPr="00D07E3A">
        <w:t xml:space="preserve"> in each of the listed medication classes should automatically be considered as eligible for funded doses.</w:t>
      </w:r>
    </w:p>
    <w:p w14:paraId="6BAA5D53" w14:textId="3858791B" w:rsidR="00935890" w:rsidRPr="00D07E3A" w:rsidRDefault="00D6737E" w:rsidP="00D6737E">
      <w:pPr>
        <w:pStyle w:val="2-SectionHeading"/>
      </w:pPr>
      <w:r w:rsidRPr="00D07E3A">
        <w:t>PBAC outcome</w:t>
      </w:r>
    </w:p>
    <w:p w14:paraId="34CCCCEF" w14:textId="1322F380" w:rsidR="00FB1B13" w:rsidRPr="00D07E3A" w:rsidRDefault="00D6737E" w:rsidP="005C2398">
      <w:pPr>
        <w:pStyle w:val="3-BodyText"/>
      </w:pPr>
      <w:r w:rsidRPr="00971F34">
        <w:t xml:space="preserve">The PBAC recommended that varicella zoster virus recombinant vaccine (RZV) be a designated vaccine for the purposes of the </w:t>
      </w:r>
      <w:r w:rsidRPr="00971F34">
        <w:rPr>
          <w:i/>
          <w:iCs/>
        </w:rPr>
        <w:t>National Health Act 1953</w:t>
      </w:r>
      <w:r w:rsidRPr="00971F34">
        <w:t>, for the prevention of herpes zoster (HZ) and post-herpetic neuralgia (PHN) for individuals aged 18 years and older at a moderate to high risk of infection, as defined by the Australian Technical Advisory Group on Immunisation (ATAGI)</w:t>
      </w:r>
      <w:r w:rsidR="00EC3CE5" w:rsidRPr="00971F34">
        <w:t xml:space="preserve"> in </w:t>
      </w:r>
      <w:r w:rsidR="00EC3CE5" w:rsidRPr="00971F34">
        <w:fldChar w:fldCharType="begin"/>
      </w:r>
      <w:r w:rsidR="00EC3CE5" w:rsidRPr="00971F34">
        <w:instrText xml:space="preserve"> REF _Ref150243059 \h </w:instrText>
      </w:r>
      <w:r w:rsidR="00EC3CE5" w:rsidRPr="00971F34">
        <w:fldChar w:fldCharType="separate"/>
      </w:r>
      <w:r w:rsidR="00FE6944" w:rsidRPr="00D07E3A">
        <w:t xml:space="preserve">Table </w:t>
      </w:r>
      <w:r w:rsidR="00FE6944">
        <w:rPr>
          <w:noProof/>
        </w:rPr>
        <w:t>1</w:t>
      </w:r>
      <w:r w:rsidR="00EC3CE5" w:rsidRPr="00971F34">
        <w:fldChar w:fldCharType="end"/>
      </w:r>
      <w:r w:rsidRPr="00971F34">
        <w:t xml:space="preserve">. </w:t>
      </w:r>
      <w:r w:rsidR="00FB1B13" w:rsidRPr="00D07E3A">
        <w:t>The PBAC considered that</w:t>
      </w:r>
      <w:r w:rsidR="006A716C" w:rsidRPr="00D07E3A">
        <w:t xml:space="preserve"> </w:t>
      </w:r>
      <w:r w:rsidR="00FB1B13" w:rsidRPr="00D07E3A">
        <w:t xml:space="preserve">RZV was likely to be cost effective at the requested cost per dose in the moderate </w:t>
      </w:r>
      <w:r w:rsidR="00026168" w:rsidRPr="00D07E3A">
        <w:t>($</w:t>
      </w:r>
      <w:r w:rsidR="00447F02" w:rsidRPr="00FE6944">
        <w:rPr>
          <w:color w:val="000000"/>
          <w:w w:val="15"/>
          <w:shd w:val="solid" w:color="000000" w:fill="000000"/>
          <w:fitText w:val="-20" w:id="-1032142848"/>
          <w14:textFill>
            <w14:solidFill>
              <w14:srgbClr w14:val="000000">
                <w14:alpha w14:val="100000"/>
              </w14:srgbClr>
            </w14:solidFill>
          </w14:textFill>
        </w:rPr>
        <w:t xml:space="preserve">|  </w:t>
      </w:r>
      <w:r w:rsidR="00447F02" w:rsidRPr="00FE6944">
        <w:rPr>
          <w:color w:val="000000"/>
          <w:spacing w:val="-69"/>
          <w:w w:val="15"/>
          <w:shd w:val="solid" w:color="000000" w:fill="000000"/>
          <w:fitText w:val="-20" w:id="-1032142848"/>
          <w14:textFill>
            <w14:solidFill>
              <w14:srgbClr w14:val="000000">
                <w14:alpha w14:val="100000"/>
              </w14:srgbClr>
            </w14:solidFill>
          </w14:textFill>
        </w:rPr>
        <w:t>|</w:t>
      </w:r>
      <w:r w:rsidR="00026168" w:rsidRPr="00D07E3A">
        <w:t xml:space="preserve">) </w:t>
      </w:r>
      <w:r w:rsidR="00FB1B13" w:rsidRPr="00D07E3A">
        <w:t>and high risk populations</w:t>
      </w:r>
      <w:r w:rsidR="00026168" w:rsidRPr="00D07E3A">
        <w:t xml:space="preserve"> ($</w:t>
      </w:r>
      <w:r w:rsidR="00447F02" w:rsidRPr="00FE6944">
        <w:rPr>
          <w:color w:val="000000"/>
          <w:w w:val="15"/>
          <w:shd w:val="solid" w:color="000000" w:fill="000000"/>
          <w:fitText w:val="-20" w:id="-1032142847"/>
          <w14:textFill>
            <w14:solidFill>
              <w14:srgbClr w14:val="000000">
                <w14:alpha w14:val="100000"/>
              </w14:srgbClr>
            </w14:solidFill>
          </w14:textFill>
        </w:rPr>
        <w:t xml:space="preserve">|  </w:t>
      </w:r>
      <w:r w:rsidR="00447F02" w:rsidRPr="00FE6944">
        <w:rPr>
          <w:color w:val="000000"/>
          <w:spacing w:val="-69"/>
          <w:w w:val="15"/>
          <w:shd w:val="solid" w:color="000000" w:fill="000000"/>
          <w:fitText w:val="-20" w:id="-1032142847"/>
          <w14:textFill>
            <w14:solidFill>
              <w14:srgbClr w14:val="000000">
                <w14:alpha w14:val="100000"/>
              </w14:srgbClr>
            </w14:solidFill>
          </w14:textFill>
        </w:rPr>
        <w:t>|</w:t>
      </w:r>
      <w:r w:rsidR="00026168" w:rsidRPr="00D07E3A">
        <w:t>)</w:t>
      </w:r>
      <w:r w:rsidR="00FB1B13" w:rsidRPr="00D07E3A">
        <w:t>. The PBAC advised th</w:t>
      </w:r>
      <w:r w:rsidR="006A716C" w:rsidRPr="00D07E3A">
        <w:t>is</w:t>
      </w:r>
      <w:r w:rsidR="00FB1B13" w:rsidRPr="00D07E3A">
        <w:t xml:space="preserve"> cost per dose only applied to individuals not </w:t>
      </w:r>
      <w:r w:rsidR="00CC4519" w:rsidRPr="00D07E3A">
        <w:t xml:space="preserve">currently </w:t>
      </w:r>
      <w:r w:rsidR="00FB1B13" w:rsidRPr="00D07E3A">
        <w:t xml:space="preserve">covered on the National Immunisation Program (NIP). </w:t>
      </w:r>
    </w:p>
    <w:p w14:paraId="404F209E" w14:textId="5713B1DA" w:rsidR="005C2398" w:rsidRPr="00D07E3A" w:rsidRDefault="00026168" w:rsidP="005C2398">
      <w:pPr>
        <w:pStyle w:val="3-BodyText"/>
      </w:pPr>
      <w:r w:rsidRPr="00D07E3A">
        <w:t>The PBAC</w:t>
      </w:r>
      <w:r w:rsidR="00782B32" w:rsidRPr="00D07E3A">
        <w:t xml:space="preserve"> </w:t>
      </w:r>
      <w:r w:rsidRPr="00D07E3A">
        <w:t xml:space="preserve">noted the </w:t>
      </w:r>
      <w:r w:rsidR="00782B32" w:rsidRPr="00D07E3A">
        <w:t xml:space="preserve">consumer </w:t>
      </w:r>
      <w:r w:rsidR="00782B32" w:rsidRPr="00971F34">
        <w:t>comments were supportive of expanding access to RZV on the NIP.</w:t>
      </w:r>
      <w:r w:rsidR="00433835" w:rsidRPr="00971F34">
        <w:t xml:space="preserve"> Many of the comments noted the benefits of vaccinating immunocompromised individuals against HZ infection and described the effectiveness and safety of RZV in this population. </w:t>
      </w:r>
      <w:r w:rsidR="00407B45" w:rsidRPr="00971F34">
        <w:t>The PBAC noted a majority of the populations considered to be at high risk of HZ infection (and referred to in the consumer comments) will be covered by this recommendation</w:t>
      </w:r>
      <w:r w:rsidR="00D07E3A">
        <w:t xml:space="preserve">. </w:t>
      </w:r>
    </w:p>
    <w:p w14:paraId="19A28D7E" w14:textId="542C4ADD" w:rsidR="00F4452D" w:rsidRPr="00D07E3A" w:rsidRDefault="00F4452D" w:rsidP="00F4452D">
      <w:pPr>
        <w:pStyle w:val="3-BodyText"/>
      </w:pPr>
      <w:r w:rsidRPr="00D07E3A">
        <w:t xml:space="preserve">The PBAC noted the ATAGI advice provided in September 2023 in response to the PBAC’s March 2023 deferral for the broader population of immunocompromised individuals at increased risk of HZ infection. The PBAC noted the additional conditions and </w:t>
      </w:r>
      <w:r w:rsidR="00E40410" w:rsidRPr="00D07E3A">
        <w:t xml:space="preserve">the </w:t>
      </w:r>
      <w:r w:rsidRPr="00D07E3A">
        <w:t xml:space="preserve">immunosuppressive therapies (as outlined in </w:t>
      </w:r>
      <w:r w:rsidRPr="00D07E3A">
        <w:fldChar w:fldCharType="begin"/>
      </w:r>
      <w:r w:rsidRPr="00D07E3A">
        <w:instrText xml:space="preserve"> REF _Ref150243059 \h </w:instrText>
      </w:r>
      <w:r w:rsidRPr="00D07E3A">
        <w:fldChar w:fldCharType="separate"/>
      </w:r>
      <w:r w:rsidR="00FE6944" w:rsidRPr="00D07E3A">
        <w:t xml:space="preserve">Table </w:t>
      </w:r>
      <w:r w:rsidR="00FE6944">
        <w:rPr>
          <w:noProof/>
        </w:rPr>
        <w:t>1</w:t>
      </w:r>
      <w:r w:rsidRPr="00D07E3A">
        <w:fldChar w:fldCharType="end"/>
      </w:r>
      <w:r w:rsidRPr="00D07E3A">
        <w:t xml:space="preserve">) </w:t>
      </w:r>
      <w:r w:rsidR="00B02F40" w:rsidRPr="00D07E3A">
        <w:t xml:space="preserve">that </w:t>
      </w:r>
      <w:r w:rsidRPr="00D07E3A">
        <w:t xml:space="preserve">conferred a moderate or high risk for HZ, both categories which ATAGI considered appropriate for funded vaccination with RZV. </w:t>
      </w:r>
      <w:r w:rsidR="00B02F40" w:rsidRPr="00D07E3A">
        <w:t xml:space="preserve">The PBAC </w:t>
      </w:r>
      <w:r w:rsidR="00B565D1" w:rsidRPr="00D07E3A">
        <w:t xml:space="preserve">noted </w:t>
      </w:r>
      <w:r w:rsidR="00B02F40" w:rsidRPr="00D07E3A">
        <w:t>the number of individuals within each of</w:t>
      </w:r>
      <w:r w:rsidR="00433835" w:rsidRPr="00D07E3A">
        <w:t xml:space="preserve"> </w:t>
      </w:r>
      <w:r w:rsidR="00B02F40" w:rsidRPr="00D07E3A">
        <w:t xml:space="preserve">these populations (as outlined in Table </w:t>
      </w:r>
      <w:r w:rsidR="00B02F40" w:rsidRPr="00971F34">
        <w:t>1</w:t>
      </w:r>
      <w:r w:rsidR="00B02F40" w:rsidRPr="00D07E3A">
        <w:t>)</w:t>
      </w:r>
      <w:r w:rsidR="00433835" w:rsidRPr="00D07E3A">
        <w:t xml:space="preserve"> did not account for non-Indigenous individuals over 65 years of age and Aboriginal and Torres Strait Islander individuals over 50 years of age who are currently able to access RZV on the NIP</w:t>
      </w:r>
      <w:r w:rsidR="00D07E3A">
        <w:t xml:space="preserve">. </w:t>
      </w:r>
    </w:p>
    <w:p w14:paraId="60CBF7F8" w14:textId="299ADE8D" w:rsidR="00500C50" w:rsidRPr="00D07E3A" w:rsidRDefault="00407B45" w:rsidP="00500C50">
      <w:pPr>
        <w:pStyle w:val="3-BodyText"/>
      </w:pPr>
      <w:r w:rsidRPr="00D07E3A">
        <w:t xml:space="preserve">The PBAC noted the sponsor provided information to support the cost-effectiveness of RZV and associated financial implications based on the ATAGI advice. </w:t>
      </w:r>
      <w:r w:rsidR="00500C50" w:rsidRPr="00D07E3A">
        <w:t xml:space="preserve">The PBAC noted the sponsor’s estimated total number of moderate and high risk individuals eligible for vaccination was largely consistent with the ATAGI estimates with the exception of the inclusion of </w:t>
      </w:r>
      <w:r w:rsidR="00B03DEC">
        <w:t>40,000 to &lt; 50,000</w:t>
      </w:r>
      <w:r w:rsidR="00500C50" w:rsidRPr="00D07E3A">
        <w:t xml:space="preserve"> high risk individuals estimated to be on high dose methotrexate. </w:t>
      </w:r>
      <w:r w:rsidR="0032246E">
        <w:t xml:space="preserve">The PBAC advised individuals on high dose MTX would largely be covered within other risk categories and it was not reasonable to include these additional </w:t>
      </w:r>
      <w:r w:rsidR="00B03DEC">
        <w:t>40,000 to &lt; 50,000</w:t>
      </w:r>
      <w:r w:rsidR="0032246E">
        <w:t xml:space="preserve"> individuals in the financial estimates. </w:t>
      </w:r>
    </w:p>
    <w:p w14:paraId="74DE3C78" w14:textId="487FE026" w:rsidR="00D05606" w:rsidRPr="00D07E3A" w:rsidRDefault="002517B6" w:rsidP="00500C50">
      <w:pPr>
        <w:pStyle w:val="3-BodyText"/>
      </w:pPr>
      <w:r w:rsidRPr="00D07E3A">
        <w:t>In addition to the high risk population defined by ATAGI, t</w:t>
      </w:r>
      <w:r w:rsidR="00500C50" w:rsidRPr="00D07E3A">
        <w:t xml:space="preserve">he PBAC noted the sponsor requested individuals on systemic corticosteroids and individuals aged 50 to 64 years of age with other conditions that confer a higher risk </w:t>
      </w:r>
      <w:r w:rsidRPr="00D07E3A">
        <w:t xml:space="preserve">of HZ infection </w:t>
      </w:r>
      <w:r w:rsidR="00500C50" w:rsidRPr="00D07E3A">
        <w:t xml:space="preserve">be included in the high risk cohorts. </w:t>
      </w:r>
      <w:r w:rsidR="00D05606" w:rsidRPr="00D07E3A">
        <w:t xml:space="preserve">The PBAC </w:t>
      </w:r>
      <w:r w:rsidR="00026168" w:rsidRPr="00D07E3A">
        <w:t xml:space="preserve">noted the </w:t>
      </w:r>
      <w:r w:rsidR="00500C50" w:rsidRPr="00D07E3A">
        <w:t xml:space="preserve">additional </w:t>
      </w:r>
      <w:r w:rsidR="00D05606" w:rsidRPr="00D07E3A">
        <w:t xml:space="preserve">ATAGI </w:t>
      </w:r>
      <w:r w:rsidR="00026168" w:rsidRPr="00D07E3A">
        <w:t xml:space="preserve">advice </w:t>
      </w:r>
      <w:r w:rsidR="005C2398" w:rsidRPr="00D07E3A">
        <w:t xml:space="preserve">that </w:t>
      </w:r>
      <w:r w:rsidR="00D05606" w:rsidRPr="00D07E3A">
        <w:t>system</w:t>
      </w:r>
      <w:r w:rsidR="005C2398" w:rsidRPr="00D07E3A">
        <w:t>ic</w:t>
      </w:r>
      <w:r w:rsidR="00D05606" w:rsidRPr="00D07E3A">
        <w:t xml:space="preserve"> corticosteroid use and </w:t>
      </w:r>
      <w:r w:rsidR="005C2398" w:rsidRPr="00D07E3A">
        <w:t xml:space="preserve">some diseases (i.e., </w:t>
      </w:r>
      <w:r w:rsidR="00407B45" w:rsidRPr="00D07E3A">
        <w:t xml:space="preserve">inflammatory bowel diseases </w:t>
      </w:r>
      <w:r w:rsidR="005C2398" w:rsidRPr="00D07E3A">
        <w:t xml:space="preserve">and diabetes) alone should not be included in the high risk cohorts </w:t>
      </w:r>
      <w:r w:rsidR="00D05606" w:rsidRPr="00D07E3A">
        <w:t xml:space="preserve">on </w:t>
      </w:r>
      <w:r w:rsidR="00026168" w:rsidRPr="00D07E3A">
        <w:t xml:space="preserve">the </w:t>
      </w:r>
      <w:r w:rsidR="00D05606" w:rsidRPr="00D07E3A">
        <w:t xml:space="preserve">basis of uncertainty in </w:t>
      </w:r>
      <w:r w:rsidR="005C2398" w:rsidRPr="00D07E3A">
        <w:t xml:space="preserve">the </w:t>
      </w:r>
      <w:r w:rsidR="00D05606" w:rsidRPr="00D07E3A">
        <w:t xml:space="preserve">evidence of additional risk from </w:t>
      </w:r>
      <w:r w:rsidRPr="00D07E3A">
        <w:t>cortico</w:t>
      </w:r>
      <w:r w:rsidR="00D05606" w:rsidRPr="00D07E3A">
        <w:t>steroid</w:t>
      </w:r>
      <w:r w:rsidRPr="00D07E3A">
        <w:t xml:space="preserve"> use</w:t>
      </w:r>
      <w:r w:rsidR="00D05606" w:rsidRPr="00D07E3A">
        <w:t>/disease alone</w:t>
      </w:r>
      <w:r w:rsidR="005C2398" w:rsidRPr="00D07E3A">
        <w:t>. The PBAC noted many of these individuals were likely to access RZV via either the age or therapy criteria</w:t>
      </w:r>
      <w:r w:rsidR="00D07E3A">
        <w:t xml:space="preserve">. </w:t>
      </w:r>
    </w:p>
    <w:p w14:paraId="39B8EA87" w14:textId="5E598363" w:rsidR="002517B6" w:rsidRPr="00D07E3A" w:rsidRDefault="002517B6" w:rsidP="002517B6">
      <w:pPr>
        <w:pStyle w:val="3-BodyText"/>
      </w:pPr>
      <w:r w:rsidRPr="00D07E3A">
        <w:t xml:space="preserve">The PBAC </w:t>
      </w:r>
      <w:r w:rsidR="00407B45" w:rsidRPr="00D07E3A">
        <w:t xml:space="preserve">noted the sponsor stated that recommendations from the March 2023 PBAC meeting and July 2023 PBAC meeting were used as a frame of reference for cost-effectiveness within the proposed additional cohorts. The PBAC </w:t>
      </w:r>
      <w:r w:rsidRPr="00D07E3A">
        <w:t>considered that</w:t>
      </w:r>
      <w:r w:rsidR="00407B45" w:rsidRPr="00D07E3A">
        <w:t xml:space="preserve">, on balance, </w:t>
      </w:r>
      <w:r w:rsidRPr="00D07E3A">
        <w:t>RZV was likely to be cost effective at the requested cost per dose in the moderate ($</w:t>
      </w:r>
      <w:r w:rsidR="00447F02" w:rsidRPr="00FE6944">
        <w:rPr>
          <w:color w:val="000000"/>
          <w:w w:val="15"/>
          <w:shd w:val="solid" w:color="000000" w:fill="000000"/>
          <w:fitText w:val="-20" w:id="-1032142846"/>
          <w14:textFill>
            <w14:solidFill>
              <w14:srgbClr w14:val="000000">
                <w14:alpha w14:val="100000"/>
              </w14:srgbClr>
            </w14:solidFill>
          </w14:textFill>
        </w:rPr>
        <w:t xml:space="preserve">|  </w:t>
      </w:r>
      <w:r w:rsidR="00447F02" w:rsidRPr="00FE6944">
        <w:rPr>
          <w:color w:val="000000"/>
          <w:spacing w:val="-69"/>
          <w:w w:val="15"/>
          <w:shd w:val="solid" w:color="000000" w:fill="000000"/>
          <w:fitText w:val="-20" w:id="-1032142846"/>
          <w14:textFill>
            <w14:solidFill>
              <w14:srgbClr w14:val="000000">
                <w14:alpha w14:val="100000"/>
              </w14:srgbClr>
            </w14:solidFill>
          </w14:textFill>
        </w:rPr>
        <w:t>|</w:t>
      </w:r>
      <w:r w:rsidRPr="00D07E3A">
        <w:t>) and high risk populations ($</w:t>
      </w:r>
      <w:r w:rsidR="00447F02" w:rsidRPr="00FE6944">
        <w:rPr>
          <w:color w:val="000000"/>
          <w:w w:val="15"/>
          <w:shd w:val="solid" w:color="000000" w:fill="000000"/>
          <w:fitText w:val="-20" w:id="-1032142845"/>
          <w14:textFill>
            <w14:solidFill>
              <w14:srgbClr w14:val="000000">
                <w14:alpha w14:val="100000"/>
              </w14:srgbClr>
            </w14:solidFill>
          </w14:textFill>
        </w:rPr>
        <w:t xml:space="preserve">|  </w:t>
      </w:r>
      <w:r w:rsidR="00447F02" w:rsidRPr="00FE6944">
        <w:rPr>
          <w:color w:val="000000"/>
          <w:spacing w:val="-69"/>
          <w:w w:val="15"/>
          <w:shd w:val="solid" w:color="000000" w:fill="000000"/>
          <w:fitText w:val="-20" w:id="-1032142845"/>
          <w14:textFill>
            <w14:solidFill>
              <w14:srgbClr w14:val="000000">
                <w14:alpha w14:val="100000"/>
              </w14:srgbClr>
            </w14:solidFill>
          </w14:textFill>
        </w:rPr>
        <w:t>|</w:t>
      </w:r>
      <w:r w:rsidRPr="00D07E3A">
        <w:t xml:space="preserve">). The PBAC advised this cost per dose only applied to individuals not currently covered on the NIP. </w:t>
      </w:r>
    </w:p>
    <w:p w14:paraId="5209CAD7" w14:textId="2B12514C" w:rsidR="00D6737E" w:rsidRPr="00D07E3A" w:rsidRDefault="00D05606" w:rsidP="00D6737E">
      <w:pPr>
        <w:pStyle w:val="3-BodyText"/>
      </w:pPr>
      <w:r w:rsidRPr="00D07E3A">
        <w:t xml:space="preserve">The PBAC considered RZV was not likely to be cost effective at the requested cost per dose </w:t>
      </w:r>
      <w:r w:rsidR="00B565D1" w:rsidRPr="00D07E3A">
        <w:t>($</w:t>
      </w:r>
      <w:r w:rsidR="00447F02" w:rsidRPr="00FE6944">
        <w:rPr>
          <w:color w:val="000000"/>
          <w:w w:val="15"/>
          <w:shd w:val="solid" w:color="000000" w:fill="000000"/>
          <w:fitText w:val="-20" w:id="-1032142844"/>
          <w14:textFill>
            <w14:solidFill>
              <w14:srgbClr w14:val="000000">
                <w14:alpha w14:val="100000"/>
              </w14:srgbClr>
            </w14:solidFill>
          </w14:textFill>
        </w:rPr>
        <w:t xml:space="preserve">|  </w:t>
      </w:r>
      <w:r w:rsidR="00447F02" w:rsidRPr="00FE6944">
        <w:rPr>
          <w:color w:val="000000"/>
          <w:spacing w:val="-69"/>
          <w:w w:val="15"/>
          <w:shd w:val="solid" w:color="000000" w:fill="000000"/>
          <w:fitText w:val="-20" w:id="-1032142844"/>
          <w14:textFill>
            <w14:solidFill>
              <w14:srgbClr w14:val="000000">
                <w14:alpha w14:val="100000"/>
              </w14:srgbClr>
            </w14:solidFill>
          </w14:textFill>
        </w:rPr>
        <w:t>|</w:t>
      </w:r>
      <w:r w:rsidR="00B565D1" w:rsidRPr="00D07E3A">
        <w:t xml:space="preserve">) </w:t>
      </w:r>
      <w:r w:rsidRPr="00D07E3A">
        <w:t xml:space="preserve">in the low risk populations. The PBAC noted ATAGI advised this population </w:t>
      </w:r>
      <w:r w:rsidR="00FB1B13" w:rsidRPr="00D07E3A">
        <w:t>w</w:t>
      </w:r>
      <w:r w:rsidRPr="00D07E3A">
        <w:t>as of a lower priority</w:t>
      </w:r>
      <w:r w:rsidR="005C2398" w:rsidRPr="00D07E3A">
        <w:t xml:space="preserve"> for funding</w:t>
      </w:r>
      <w:r w:rsidRPr="00D07E3A">
        <w:t xml:space="preserve">. </w:t>
      </w:r>
    </w:p>
    <w:p w14:paraId="7CE65505" w14:textId="504CC925" w:rsidR="00026168" w:rsidRPr="00D07E3A" w:rsidRDefault="00407B45" w:rsidP="00407B45">
      <w:pPr>
        <w:pStyle w:val="3-BodyText"/>
      </w:pPr>
      <w:r w:rsidRPr="00D07E3A">
        <w:t xml:space="preserve">The PBAC noted the sponsor stated the incremental impact of providing access to RZV on the NIP for moderate and high risk individuals (as defined by ATAGI) was an additional </w:t>
      </w:r>
      <w:r w:rsidR="0034461F">
        <w:t>200,000 to &lt; 300,000</w:t>
      </w:r>
      <w:r w:rsidRPr="00D07E3A">
        <w:t xml:space="preserve"> persons vaccinated, </w:t>
      </w:r>
      <w:r w:rsidR="0034461F">
        <w:t>300,000 to &lt; 400,000</w:t>
      </w:r>
      <w:r w:rsidRPr="00D07E3A">
        <w:t xml:space="preserve"> doses administered, and a cost to the NIP of $</w:t>
      </w:r>
      <w:r w:rsidR="00057CBC" w:rsidRPr="0034533F">
        <w:rPr>
          <w:rFonts w:eastAsiaTheme="majorEastAsia"/>
        </w:rPr>
        <w:t>60 million to &lt; $70 million</w:t>
      </w:r>
      <w:r w:rsidRPr="0034461F">
        <w:t>. The</w:t>
      </w:r>
      <w:r w:rsidRPr="00D07E3A">
        <w:t xml:space="preserve"> PBAC noted this incremental cost was substantially overestimated for the reasons outlined in paragraph </w:t>
      </w:r>
      <w:r w:rsidRPr="00D07E3A">
        <w:fldChar w:fldCharType="begin"/>
      </w:r>
      <w:r w:rsidRPr="00D07E3A">
        <w:instrText xml:space="preserve"> REF _Ref150846587 \r \h </w:instrText>
      </w:r>
      <w:r w:rsidRPr="00D07E3A">
        <w:fldChar w:fldCharType="separate"/>
      </w:r>
      <w:r w:rsidR="00FE6944">
        <w:t>3.26</w:t>
      </w:r>
      <w:r w:rsidRPr="00D07E3A">
        <w:fldChar w:fldCharType="end"/>
      </w:r>
      <w:r w:rsidRPr="00D07E3A">
        <w:t xml:space="preserve">. </w:t>
      </w:r>
      <w:r w:rsidR="00026168" w:rsidRPr="00D07E3A">
        <w:t xml:space="preserve">The PBAC considered that, overall, the financial estimates provided by the sponsor were reasonable in the context of the overall cost of the program </w:t>
      </w:r>
      <w:r w:rsidRPr="00D07E3A">
        <w:t xml:space="preserve">(approx. </w:t>
      </w:r>
      <w:r w:rsidR="0034461F">
        <w:t>&gt;</w:t>
      </w:r>
      <w:r w:rsidRPr="00D07E3A">
        <w:t>$</w:t>
      </w:r>
      <w:r w:rsidRPr="0034461F">
        <w:t>1</w:t>
      </w:r>
      <w:r w:rsidR="0034461F">
        <w:t xml:space="preserve"> </w:t>
      </w:r>
      <w:r w:rsidRPr="00D07E3A">
        <w:t>b</w:t>
      </w:r>
      <w:r w:rsidR="0034461F">
        <w:t>illion</w:t>
      </w:r>
      <w:r w:rsidRPr="00D07E3A">
        <w:t xml:space="preserve">) </w:t>
      </w:r>
      <w:r w:rsidR="00026168" w:rsidRPr="00D07E3A">
        <w:t xml:space="preserve">but advised it would be appropriate to revise </w:t>
      </w:r>
      <w:r w:rsidR="00E10E3D" w:rsidRPr="00D07E3A">
        <w:t xml:space="preserve">the financials </w:t>
      </w:r>
      <w:r w:rsidR="006A716C" w:rsidRPr="00D07E3A">
        <w:t xml:space="preserve">to </w:t>
      </w:r>
      <w:r w:rsidR="00E10E3D" w:rsidRPr="00D07E3A">
        <w:t xml:space="preserve">only include </w:t>
      </w:r>
      <w:r w:rsidR="006A716C" w:rsidRPr="00D07E3A">
        <w:t xml:space="preserve">individuals not </w:t>
      </w:r>
      <w:r w:rsidR="00034C9E" w:rsidRPr="00D07E3A">
        <w:t xml:space="preserve">currently </w:t>
      </w:r>
      <w:r w:rsidR="00026168" w:rsidRPr="00D07E3A">
        <w:t>covered on the NIP.</w:t>
      </w:r>
    </w:p>
    <w:p w14:paraId="12001DAF" w14:textId="356F27E4" w:rsidR="00D65874" w:rsidRPr="00D07E3A" w:rsidRDefault="00D65874" w:rsidP="00D65874">
      <w:pPr>
        <w:pStyle w:val="3-BodyText"/>
      </w:pPr>
      <w:r w:rsidRPr="00D07E3A">
        <w:t xml:space="preserve">The PBAC advised that, based on advice from ATAGI, the following changes to the determination proposed by the sponsor were appropriate: </w:t>
      </w:r>
    </w:p>
    <w:p w14:paraId="297F7D18" w14:textId="57EFAE9A" w:rsidR="00D65874" w:rsidRPr="00D07E3A" w:rsidRDefault="00D65874" w:rsidP="00D65874">
      <w:pPr>
        <w:pStyle w:val="3-BodyText"/>
        <w:numPr>
          <w:ilvl w:val="0"/>
          <w:numId w:val="18"/>
        </w:numPr>
        <w:ind w:left="1134" w:hanging="425"/>
      </w:pPr>
      <w:r w:rsidRPr="00D07E3A">
        <w:t xml:space="preserve">Removal of the circumstances: </w:t>
      </w:r>
      <w:r w:rsidRPr="00D07E3A">
        <w:rPr>
          <w:rFonts w:ascii="Arial Narrow" w:hAnsi="Arial Narrow"/>
          <w:sz w:val="22"/>
          <w:szCs w:val="22"/>
        </w:rPr>
        <w:t>“due</w:t>
      </w:r>
      <w:r w:rsidRPr="00D07E3A">
        <w:rPr>
          <w:rFonts w:ascii="Arial Narrow" w:hAnsi="Arial Narrow" w:cstheme="minorHAnsi"/>
          <w:sz w:val="22"/>
          <w:szCs w:val="22"/>
        </w:rPr>
        <w:t xml:space="preserve"> to treatment with systemic corticosteroids (≥ 10 mg/day prednisolone equivalent dose) and considered by the treating physician to be at comparable risk to an individual in paragraph </w:t>
      </w:r>
      <w:r w:rsidRPr="00D07E3A">
        <w:rPr>
          <w:rFonts w:ascii="Arial Narrow" w:hAnsi="Arial Narrow"/>
          <w:sz w:val="22"/>
          <w:szCs w:val="22"/>
        </w:rPr>
        <w:t>i”</w:t>
      </w:r>
      <w:r w:rsidRPr="00D07E3A">
        <w:t xml:space="preserve"> and “</w:t>
      </w:r>
      <w:r w:rsidRPr="00D07E3A">
        <w:rPr>
          <w:rFonts w:ascii="Arial Narrow" w:eastAsia="Calibri" w:hAnsi="Arial Narrow" w:cs="Calibri"/>
          <w:color w:val="000000" w:themeColor="text1"/>
          <w:sz w:val="22"/>
          <w:szCs w:val="22"/>
        </w:rPr>
        <w:t xml:space="preserve">as </w:t>
      </w:r>
      <w:r w:rsidRPr="00D07E3A">
        <w:rPr>
          <w:rFonts w:ascii="Arial Narrow" w:hAnsi="Arial Narrow"/>
          <w:sz w:val="22"/>
          <w:szCs w:val="22"/>
        </w:rPr>
        <w:t>determined</w:t>
      </w:r>
      <w:r w:rsidRPr="00D07E3A">
        <w:rPr>
          <w:rFonts w:ascii="Arial Narrow" w:eastAsia="Calibri" w:hAnsi="Arial Narrow" w:cs="Calibri"/>
          <w:color w:val="000000" w:themeColor="text1"/>
          <w:sz w:val="22"/>
          <w:szCs w:val="22"/>
        </w:rPr>
        <w:t xml:space="preserve"> by the treating physician to be at comparable risk to an individual in paragraph i”.</w:t>
      </w:r>
    </w:p>
    <w:p w14:paraId="1AEED63E" w14:textId="4DF21D03" w:rsidR="00D65874" w:rsidRPr="00D07E3A" w:rsidRDefault="00D65874" w:rsidP="00D65874">
      <w:pPr>
        <w:pStyle w:val="3-BodyText"/>
        <w:numPr>
          <w:ilvl w:val="0"/>
          <w:numId w:val="18"/>
        </w:numPr>
        <w:ind w:left="1134" w:hanging="425"/>
      </w:pPr>
      <w:r w:rsidRPr="00D07E3A">
        <w:t xml:space="preserve">Amend the circumstance: </w:t>
      </w:r>
      <w:r w:rsidRPr="00D07E3A">
        <w:rPr>
          <w:sz w:val="28"/>
          <w:szCs w:val="28"/>
        </w:rPr>
        <w:t>“</w:t>
      </w:r>
      <w:r w:rsidRPr="00D07E3A">
        <w:rPr>
          <w:rFonts w:ascii="Arial Narrow" w:hAnsi="Arial Narrow"/>
          <w:sz w:val="22"/>
          <w:szCs w:val="22"/>
        </w:rPr>
        <w:t xml:space="preserve">End stage renal disease/renal failure/chronic kidney disease on dialysis” </w:t>
      </w:r>
      <w:r w:rsidRPr="00D07E3A">
        <w:t>to</w:t>
      </w:r>
      <w:r w:rsidRPr="00D07E3A">
        <w:rPr>
          <w:rFonts w:ascii="Arial Narrow" w:hAnsi="Arial Narrow"/>
          <w:sz w:val="20"/>
          <w:szCs w:val="20"/>
        </w:rPr>
        <w:t xml:space="preserve"> </w:t>
      </w:r>
      <w:r w:rsidRPr="00D07E3A">
        <w:rPr>
          <w:rFonts w:ascii="Arial Narrow" w:hAnsi="Arial Narrow"/>
          <w:sz w:val="22"/>
          <w:szCs w:val="22"/>
        </w:rPr>
        <w:t>“Stage 5 kidney disease or on dialysis”.</w:t>
      </w:r>
    </w:p>
    <w:p w14:paraId="606598A1" w14:textId="77777777" w:rsidR="00D6737E" w:rsidRPr="00971F34" w:rsidRDefault="00D6737E" w:rsidP="00F63AC8">
      <w:pPr>
        <w:pStyle w:val="3-BodyText"/>
      </w:pPr>
      <w:r w:rsidRPr="00D07E3A">
        <w:t>The PBAC noted that this submission is not eligible for an independent review as independent review is only relevant to requests for PBS listing.</w:t>
      </w:r>
    </w:p>
    <w:p w14:paraId="62681662" w14:textId="5A77BF5D" w:rsidR="005C2398" w:rsidRPr="00D07E3A" w:rsidRDefault="005C2398" w:rsidP="00F63AC8">
      <w:pPr>
        <w:spacing w:after="0" w:line="240" w:lineRule="auto"/>
        <w:rPr>
          <w:rFonts w:asciiTheme="minorHAnsi" w:hAnsiTheme="minorHAnsi" w:cstheme="minorHAnsi"/>
          <w:b/>
          <w:bCs/>
        </w:rPr>
      </w:pPr>
      <w:r w:rsidRPr="00D07E3A">
        <w:rPr>
          <w:rFonts w:asciiTheme="minorHAnsi" w:hAnsiTheme="minorHAnsi" w:cstheme="minorHAnsi"/>
          <w:b/>
          <w:bCs/>
        </w:rPr>
        <w:t>Outcome:</w:t>
      </w:r>
    </w:p>
    <w:p w14:paraId="3EF54B32" w14:textId="6F7FFE5A" w:rsidR="005C2398" w:rsidRPr="00D07E3A" w:rsidRDefault="005C2398" w:rsidP="00EE422F">
      <w:pPr>
        <w:spacing w:after="0" w:line="240" w:lineRule="auto"/>
        <w:rPr>
          <w:rFonts w:asciiTheme="minorHAnsi" w:hAnsiTheme="minorHAnsi" w:cstheme="minorHAnsi"/>
        </w:rPr>
      </w:pPr>
      <w:r w:rsidRPr="00D07E3A">
        <w:rPr>
          <w:rFonts w:asciiTheme="minorHAnsi" w:hAnsiTheme="minorHAnsi" w:cstheme="minorHAnsi"/>
        </w:rPr>
        <w:t>Recommended.</w:t>
      </w:r>
    </w:p>
    <w:p w14:paraId="58DDE967" w14:textId="77777777" w:rsidR="000E54D1" w:rsidRPr="00D07E3A" w:rsidRDefault="000E54D1" w:rsidP="000E54D1">
      <w:pPr>
        <w:pStyle w:val="2-SectionHeading"/>
      </w:pPr>
      <w:r w:rsidRPr="00D07E3A">
        <w:t>Recommended listing</w:t>
      </w:r>
    </w:p>
    <w:p w14:paraId="7D9D1A00" w14:textId="1B9A6B7D" w:rsidR="000E54D1" w:rsidRPr="00D07E3A" w:rsidRDefault="000E54D1" w:rsidP="000E54D1">
      <w:pPr>
        <w:pStyle w:val="3-BodyText"/>
      </w:pPr>
      <w:r w:rsidRPr="00D07E3A">
        <w:rPr>
          <w:bCs/>
        </w:rPr>
        <w:t xml:space="preserve">Amend existing </w:t>
      </w:r>
      <w:r w:rsidR="005C2398" w:rsidRPr="00D07E3A">
        <w:rPr>
          <w:bCs/>
        </w:rPr>
        <w:t>D</w:t>
      </w:r>
      <w:r w:rsidRPr="00D07E3A">
        <w:rPr>
          <w:bCs/>
        </w:rPr>
        <w:t>etermination as follows</w:t>
      </w:r>
      <w:r w:rsidRPr="00D07E3A">
        <w:t>:</w:t>
      </w:r>
    </w:p>
    <w:tbl>
      <w:tblPr>
        <w:tblW w:w="5000" w:type="pct"/>
        <w:tblInd w:w="28" w:type="dxa"/>
        <w:tblCellMar>
          <w:left w:w="28" w:type="dxa"/>
          <w:right w:w="28" w:type="dxa"/>
        </w:tblCellMar>
        <w:tblLook w:val="0000" w:firstRow="0" w:lastRow="0" w:firstColumn="0" w:lastColumn="0" w:noHBand="0" w:noVBand="0"/>
      </w:tblPr>
      <w:tblGrid>
        <w:gridCol w:w="2099"/>
        <w:gridCol w:w="1415"/>
        <w:gridCol w:w="1560"/>
        <w:gridCol w:w="3952"/>
      </w:tblGrid>
      <w:tr w:rsidR="000E54D1" w:rsidRPr="00D07E3A" w14:paraId="7B0952A1" w14:textId="77777777" w:rsidTr="00B964B0">
        <w:trPr>
          <w:cantSplit/>
          <w:trHeight w:val="463"/>
        </w:trPr>
        <w:tc>
          <w:tcPr>
            <w:tcW w:w="1163" w:type="pct"/>
            <w:tcBorders>
              <w:top w:val="single" w:sz="4" w:space="0" w:color="auto"/>
              <w:bottom w:val="single" w:sz="4" w:space="0" w:color="auto"/>
            </w:tcBorders>
            <w:vAlign w:val="center"/>
          </w:tcPr>
          <w:p w14:paraId="43C7A8B9" w14:textId="77777777" w:rsidR="000E54D1" w:rsidRPr="00D07E3A" w:rsidRDefault="000E54D1" w:rsidP="00B964B0">
            <w:pPr>
              <w:keepNext/>
              <w:rPr>
                <w:rFonts w:ascii="Arial Narrow" w:hAnsi="Arial Narrow"/>
                <w:b/>
                <w:sz w:val="20"/>
              </w:rPr>
            </w:pPr>
            <w:r w:rsidRPr="00D07E3A">
              <w:rPr>
                <w:rFonts w:ascii="Arial Narrow" w:hAnsi="Arial Narrow"/>
                <w:b/>
                <w:sz w:val="20"/>
              </w:rPr>
              <w:t>Vaccine and the circumstances in which vaccine may be provided</w:t>
            </w:r>
          </w:p>
        </w:tc>
        <w:tc>
          <w:tcPr>
            <w:tcW w:w="784" w:type="pct"/>
            <w:tcBorders>
              <w:top w:val="single" w:sz="4" w:space="0" w:color="auto"/>
              <w:bottom w:val="single" w:sz="4" w:space="0" w:color="auto"/>
            </w:tcBorders>
            <w:vAlign w:val="center"/>
          </w:tcPr>
          <w:p w14:paraId="5DA09AF8" w14:textId="77777777" w:rsidR="000E54D1" w:rsidRPr="00D07E3A" w:rsidRDefault="000E54D1" w:rsidP="00B964B0">
            <w:pPr>
              <w:keepNext/>
              <w:jc w:val="center"/>
              <w:rPr>
                <w:rFonts w:ascii="Arial Narrow" w:hAnsi="Arial Narrow"/>
                <w:b/>
                <w:sz w:val="20"/>
              </w:rPr>
            </w:pPr>
            <w:r w:rsidRPr="00D07E3A">
              <w:rPr>
                <w:rFonts w:ascii="Arial Narrow" w:hAnsi="Arial Narrow"/>
                <w:b/>
                <w:sz w:val="20"/>
              </w:rPr>
              <w:t>Brand</w:t>
            </w:r>
          </w:p>
        </w:tc>
        <w:tc>
          <w:tcPr>
            <w:tcW w:w="864" w:type="pct"/>
            <w:tcBorders>
              <w:top w:val="single" w:sz="4" w:space="0" w:color="auto"/>
              <w:bottom w:val="single" w:sz="4" w:space="0" w:color="auto"/>
            </w:tcBorders>
            <w:vAlign w:val="center"/>
          </w:tcPr>
          <w:p w14:paraId="75660D28" w14:textId="77777777" w:rsidR="000E54D1" w:rsidRPr="00D07E3A" w:rsidRDefault="000E54D1" w:rsidP="00B964B0">
            <w:pPr>
              <w:keepNext/>
              <w:jc w:val="center"/>
              <w:rPr>
                <w:rFonts w:ascii="Arial Narrow" w:hAnsi="Arial Narrow"/>
                <w:b/>
                <w:sz w:val="20"/>
              </w:rPr>
            </w:pPr>
            <w:r w:rsidRPr="00D07E3A">
              <w:rPr>
                <w:rFonts w:ascii="Arial Narrow" w:hAnsi="Arial Narrow"/>
                <w:b/>
                <w:sz w:val="20"/>
              </w:rPr>
              <w:t>Formulation</w:t>
            </w:r>
          </w:p>
        </w:tc>
        <w:tc>
          <w:tcPr>
            <w:tcW w:w="2189" w:type="pct"/>
            <w:tcBorders>
              <w:top w:val="single" w:sz="4" w:space="0" w:color="auto"/>
              <w:bottom w:val="single" w:sz="4" w:space="0" w:color="auto"/>
            </w:tcBorders>
            <w:vAlign w:val="center"/>
          </w:tcPr>
          <w:p w14:paraId="6713BB67" w14:textId="77777777" w:rsidR="000E54D1" w:rsidRPr="00971F34" w:rsidRDefault="000E54D1" w:rsidP="00B964B0">
            <w:pPr>
              <w:keepNext/>
              <w:rPr>
                <w:rFonts w:ascii="Arial Narrow" w:hAnsi="Arial Narrow"/>
                <w:b/>
                <w:sz w:val="20"/>
              </w:rPr>
            </w:pPr>
            <w:r w:rsidRPr="00971F34">
              <w:rPr>
                <w:rFonts w:ascii="Arial Narrow" w:hAnsi="Arial Narrow"/>
                <w:b/>
                <w:sz w:val="20"/>
              </w:rPr>
              <w:t>Number and timing of doses</w:t>
            </w:r>
          </w:p>
        </w:tc>
      </w:tr>
      <w:tr w:rsidR="000E54D1" w:rsidRPr="00D07E3A" w14:paraId="31AEDD75" w14:textId="77777777" w:rsidTr="00B964B0">
        <w:trPr>
          <w:cantSplit/>
          <w:trHeight w:val="567"/>
        </w:trPr>
        <w:tc>
          <w:tcPr>
            <w:tcW w:w="1163" w:type="pct"/>
            <w:tcBorders>
              <w:top w:val="single" w:sz="4" w:space="0" w:color="auto"/>
              <w:bottom w:val="single" w:sz="4" w:space="0" w:color="auto"/>
            </w:tcBorders>
            <w:vAlign w:val="center"/>
          </w:tcPr>
          <w:p w14:paraId="2FB3E021" w14:textId="77777777" w:rsidR="000E54D1" w:rsidRPr="00D07E3A" w:rsidRDefault="000E54D1" w:rsidP="00B964B0">
            <w:pPr>
              <w:keepNext/>
              <w:rPr>
                <w:rFonts w:ascii="Arial Narrow" w:eastAsiaTheme="majorEastAsia" w:hAnsi="Arial Narrow" w:cstheme="majorBidi"/>
                <w:bCs/>
                <w:sz w:val="20"/>
                <w:szCs w:val="20"/>
              </w:rPr>
            </w:pPr>
            <w:r w:rsidRPr="00D07E3A">
              <w:rPr>
                <w:rFonts w:ascii="Arial Narrow" w:eastAsiaTheme="majorEastAsia" w:hAnsi="Arial Narrow" w:cstheme="majorBidi"/>
                <w:bCs/>
                <w:sz w:val="20"/>
                <w:szCs w:val="20"/>
              </w:rPr>
              <w:t>recombinant varicella zoster virus glycoprotein E antigen (AS01B Adjuvanted) vaccine</w:t>
            </w:r>
          </w:p>
        </w:tc>
        <w:tc>
          <w:tcPr>
            <w:tcW w:w="784" w:type="pct"/>
            <w:tcBorders>
              <w:top w:val="single" w:sz="4" w:space="0" w:color="auto"/>
              <w:bottom w:val="single" w:sz="4" w:space="0" w:color="auto"/>
            </w:tcBorders>
            <w:vAlign w:val="center"/>
          </w:tcPr>
          <w:p w14:paraId="22AA0C5C" w14:textId="77777777" w:rsidR="000E54D1" w:rsidRPr="00D07E3A" w:rsidRDefault="000E54D1" w:rsidP="00B964B0">
            <w:pPr>
              <w:keepNext/>
              <w:jc w:val="center"/>
              <w:rPr>
                <w:rFonts w:ascii="Arial Narrow" w:eastAsiaTheme="majorEastAsia" w:hAnsi="Arial Narrow" w:cstheme="majorBidi"/>
                <w:bCs/>
                <w:sz w:val="20"/>
                <w:szCs w:val="20"/>
              </w:rPr>
            </w:pPr>
            <w:r w:rsidRPr="00D07E3A">
              <w:rPr>
                <w:rFonts w:ascii="Arial Narrow" w:eastAsiaTheme="majorEastAsia" w:hAnsi="Arial Narrow" w:cstheme="majorBidi"/>
                <w:bCs/>
                <w:sz w:val="20"/>
                <w:szCs w:val="20"/>
              </w:rPr>
              <w:t>Shingrix</w:t>
            </w:r>
          </w:p>
        </w:tc>
        <w:tc>
          <w:tcPr>
            <w:tcW w:w="864" w:type="pct"/>
            <w:tcBorders>
              <w:top w:val="single" w:sz="4" w:space="0" w:color="auto"/>
              <w:bottom w:val="single" w:sz="4" w:space="0" w:color="auto"/>
            </w:tcBorders>
            <w:vAlign w:val="center"/>
          </w:tcPr>
          <w:p w14:paraId="70A8EC00" w14:textId="77777777" w:rsidR="000E54D1" w:rsidRPr="00D07E3A" w:rsidRDefault="000E54D1" w:rsidP="00B964B0">
            <w:pPr>
              <w:keepNext/>
              <w:jc w:val="center"/>
              <w:rPr>
                <w:rFonts w:ascii="Arial Narrow" w:hAnsi="Arial Narrow"/>
                <w:sz w:val="20"/>
              </w:rPr>
            </w:pPr>
            <w:r w:rsidRPr="00D07E3A">
              <w:rPr>
                <w:rFonts w:ascii="Arial Narrow" w:eastAsiaTheme="majorEastAsia" w:hAnsi="Arial Narrow" w:cstheme="majorBidi"/>
                <w:bCs/>
                <w:sz w:val="20"/>
                <w:szCs w:val="20"/>
              </w:rPr>
              <w:t>powder and suspension for injection, 0.5 mL</w:t>
            </w:r>
          </w:p>
        </w:tc>
        <w:tc>
          <w:tcPr>
            <w:tcW w:w="2189" w:type="pct"/>
            <w:tcBorders>
              <w:top w:val="single" w:sz="4" w:space="0" w:color="auto"/>
              <w:bottom w:val="single" w:sz="4" w:space="0" w:color="auto"/>
            </w:tcBorders>
            <w:vAlign w:val="center"/>
          </w:tcPr>
          <w:p w14:paraId="1B72C040" w14:textId="77777777" w:rsidR="000E54D1" w:rsidRPr="00D07E3A" w:rsidRDefault="000E54D1" w:rsidP="00474CFE">
            <w:pPr>
              <w:pStyle w:val="Tabletext"/>
              <w:numPr>
                <w:ilvl w:val="4"/>
                <w:numId w:val="14"/>
              </w:numPr>
              <w:ind w:left="399" w:hanging="283"/>
            </w:pPr>
            <w:r w:rsidRPr="00D07E3A">
              <w:t>Two primary doses 2 to 6 months apart</w:t>
            </w:r>
          </w:p>
          <w:p w14:paraId="1C4621A8" w14:textId="77777777" w:rsidR="000E54D1" w:rsidRPr="00D07E3A" w:rsidRDefault="000E54D1" w:rsidP="00474CFE">
            <w:pPr>
              <w:pStyle w:val="Tabletext"/>
              <w:numPr>
                <w:ilvl w:val="4"/>
                <w:numId w:val="14"/>
              </w:numPr>
              <w:ind w:left="399" w:hanging="283"/>
            </w:pPr>
            <w:r w:rsidRPr="00D07E3A">
              <w:rPr>
                <w:snapToGrid/>
              </w:rPr>
              <w:t xml:space="preserve">For subjects who are immunodeficient, immunosuppressed or likely to become immunosuppressed due to known disease or therapy, two primary doses can be given 1 to 2 months apart </w:t>
            </w:r>
          </w:p>
          <w:p w14:paraId="4985EBAB" w14:textId="77777777" w:rsidR="000E54D1" w:rsidRPr="00D07E3A" w:rsidRDefault="000E54D1" w:rsidP="00474CFE">
            <w:pPr>
              <w:pStyle w:val="Tabletext"/>
              <w:numPr>
                <w:ilvl w:val="4"/>
                <w:numId w:val="14"/>
              </w:numPr>
              <w:ind w:left="399" w:hanging="283"/>
            </w:pPr>
            <w:r w:rsidRPr="00D07E3A">
              <w:rPr>
                <w:snapToGrid/>
              </w:rPr>
              <w:t>Those eligible populations who have received one dose privately can receive their second dose on the NIP</w:t>
            </w:r>
          </w:p>
        </w:tc>
      </w:tr>
    </w:tbl>
    <w:p w14:paraId="4F6ABEED" w14:textId="77777777" w:rsidR="000E54D1" w:rsidRPr="00D07E3A" w:rsidRDefault="000E54D1" w:rsidP="000E54D1">
      <w:pPr>
        <w:pStyle w:val="Tabletext"/>
        <w:widowControl w:val="0"/>
        <w:rPr>
          <w:rFonts w:cstheme="minorHAnsi"/>
          <w:b/>
          <w:bCs/>
        </w:rPr>
      </w:pPr>
    </w:p>
    <w:p w14:paraId="48E0BF05" w14:textId="18F378B7" w:rsidR="000E54D1" w:rsidRPr="00D07E3A" w:rsidRDefault="000E54D1" w:rsidP="000E54D1">
      <w:pPr>
        <w:pStyle w:val="Tabletext"/>
        <w:widowControl w:val="0"/>
        <w:rPr>
          <w:rFonts w:cstheme="minorHAnsi"/>
          <w:b/>
          <w:bCs/>
        </w:rPr>
      </w:pPr>
      <w:r w:rsidRPr="00D07E3A">
        <w:rPr>
          <w:rFonts w:cstheme="minorHAnsi"/>
          <w:b/>
          <w:bCs/>
        </w:rPr>
        <w:t>Circumstances</w:t>
      </w:r>
    </w:p>
    <w:p w14:paraId="710D0605" w14:textId="77777777" w:rsidR="000E54D1" w:rsidRPr="00D07E3A" w:rsidRDefault="000E54D1" w:rsidP="000E54D1">
      <w:pPr>
        <w:widowControl w:val="0"/>
        <w:spacing w:after="0" w:line="240" w:lineRule="auto"/>
        <w:rPr>
          <w:rStyle w:val="normaltextrun"/>
          <w:rFonts w:ascii="Arial Narrow" w:hAnsi="Arial Narrow"/>
          <w:sz w:val="20"/>
          <w:szCs w:val="20"/>
        </w:rPr>
      </w:pPr>
      <w:r w:rsidRPr="00D07E3A">
        <w:rPr>
          <w:rFonts w:ascii="Arial Narrow" w:hAnsi="Arial Narrow"/>
          <w:sz w:val="20"/>
          <w:szCs w:val="20"/>
        </w:rPr>
        <w:t>Vaccine may be provided to a person who:</w:t>
      </w:r>
    </w:p>
    <w:p w14:paraId="1BACDA8A" w14:textId="77777777" w:rsidR="000E54D1" w:rsidRPr="00D07E3A" w:rsidRDefault="000E54D1" w:rsidP="000E54D1">
      <w:pPr>
        <w:pStyle w:val="paragraph"/>
        <w:widowControl w:val="0"/>
        <w:spacing w:before="0" w:beforeAutospacing="0" w:after="0" w:afterAutospacing="0"/>
        <w:ind w:left="360"/>
        <w:textAlignment w:val="baseline"/>
        <w:rPr>
          <w:rFonts w:ascii="Arial Narrow" w:hAnsi="Arial Narrow" w:cs="Calibri"/>
          <w:sz w:val="20"/>
          <w:szCs w:val="20"/>
        </w:rPr>
      </w:pPr>
      <w:r w:rsidRPr="00D07E3A">
        <w:rPr>
          <w:rStyle w:val="normaltextrun"/>
          <w:rFonts w:ascii="Arial Narrow" w:hAnsi="Arial Narrow" w:cs="Calibri"/>
          <w:b/>
          <w:bCs/>
          <w:sz w:val="20"/>
          <w:szCs w:val="20"/>
        </w:rPr>
        <w:t>(a)</w:t>
      </w:r>
      <w:r w:rsidRPr="00D07E3A">
        <w:rPr>
          <w:rStyle w:val="normaltextrun"/>
          <w:rFonts w:ascii="Arial Narrow" w:hAnsi="Arial Narrow" w:cs="Calibri"/>
          <w:sz w:val="20"/>
          <w:szCs w:val="20"/>
        </w:rPr>
        <w:t xml:space="preserve"> is at least 65 years of age; or</w:t>
      </w:r>
    </w:p>
    <w:p w14:paraId="5148A930" w14:textId="77777777" w:rsidR="000E54D1" w:rsidRPr="00D07E3A" w:rsidRDefault="000E54D1" w:rsidP="000E54D1">
      <w:pPr>
        <w:pStyle w:val="paragraph"/>
        <w:widowControl w:val="0"/>
        <w:spacing w:before="0" w:beforeAutospacing="0" w:after="0" w:afterAutospacing="0"/>
        <w:ind w:left="360"/>
        <w:textAlignment w:val="baseline"/>
        <w:rPr>
          <w:rFonts w:ascii="Arial Narrow" w:hAnsi="Arial Narrow" w:cs="Calibri"/>
          <w:sz w:val="20"/>
          <w:szCs w:val="20"/>
        </w:rPr>
      </w:pPr>
      <w:r w:rsidRPr="00D07E3A">
        <w:rPr>
          <w:rStyle w:val="normaltextrun"/>
          <w:rFonts w:ascii="Arial Narrow" w:hAnsi="Arial Narrow" w:cs="Calibri"/>
          <w:b/>
          <w:bCs/>
          <w:sz w:val="20"/>
          <w:szCs w:val="20"/>
        </w:rPr>
        <w:t xml:space="preserve">(b) </w:t>
      </w:r>
      <w:r w:rsidRPr="00D07E3A">
        <w:rPr>
          <w:rStyle w:val="normaltextrun"/>
          <w:rFonts w:ascii="Arial Narrow" w:hAnsi="Arial Narrow" w:cs="Calibri"/>
          <w:sz w:val="20"/>
          <w:szCs w:val="20"/>
        </w:rPr>
        <w:t>is an Aboriginal and Torres Strait Islander individual who is at least 50 years</w:t>
      </w:r>
      <w:r w:rsidRPr="00D07E3A" w:rsidDel="00B359E6">
        <w:rPr>
          <w:rStyle w:val="normaltextrun"/>
          <w:rFonts w:ascii="Arial Narrow" w:hAnsi="Arial Narrow" w:cs="Calibri"/>
          <w:sz w:val="20"/>
          <w:szCs w:val="20"/>
        </w:rPr>
        <w:t xml:space="preserve"> of</w:t>
      </w:r>
      <w:r w:rsidRPr="00D07E3A">
        <w:rPr>
          <w:rStyle w:val="normaltextrun"/>
          <w:rFonts w:ascii="Arial Narrow" w:hAnsi="Arial Narrow" w:cs="Calibri"/>
          <w:sz w:val="20"/>
          <w:szCs w:val="20"/>
        </w:rPr>
        <w:t xml:space="preserve"> age; or</w:t>
      </w:r>
    </w:p>
    <w:p w14:paraId="5D6D8BDB" w14:textId="05A036EE" w:rsidR="000E54D1" w:rsidRPr="00D07E3A" w:rsidRDefault="000E54D1" w:rsidP="000E54D1">
      <w:pPr>
        <w:widowControl w:val="0"/>
        <w:spacing w:after="0" w:line="240" w:lineRule="auto"/>
        <w:ind w:left="360"/>
        <w:rPr>
          <w:rFonts w:ascii="Arial Narrow" w:hAnsi="Arial Narrow"/>
          <w:sz w:val="20"/>
          <w:szCs w:val="20"/>
        </w:rPr>
      </w:pPr>
      <w:r w:rsidRPr="00D07E3A">
        <w:rPr>
          <w:rFonts w:ascii="Arial Narrow" w:hAnsi="Arial Narrow"/>
          <w:b/>
          <w:bCs/>
          <w:sz w:val="20"/>
          <w:szCs w:val="20"/>
        </w:rPr>
        <w:t>(c)</w:t>
      </w:r>
      <w:r w:rsidRPr="00D07E3A">
        <w:rPr>
          <w:rFonts w:ascii="Arial Narrow" w:hAnsi="Arial Narrow"/>
          <w:sz w:val="20"/>
          <w:szCs w:val="20"/>
        </w:rPr>
        <w:t xml:space="preserve"> is at least 18 years of age and considered at increased risk of herpes zoster, due to an underlying </w:t>
      </w:r>
      <w:r w:rsidRPr="00D07E3A">
        <w:rPr>
          <w:rFonts w:ascii="Arial Narrow" w:eastAsia="Calibri" w:hAnsi="Arial Narrow" w:cs="Calibri"/>
          <w:color w:val="000000" w:themeColor="text1"/>
          <w:sz w:val="20"/>
          <w:szCs w:val="20"/>
        </w:rPr>
        <w:t xml:space="preserve">condition and/or immunomodulatory/immunosuppressive treatments </w:t>
      </w:r>
      <w:r w:rsidRPr="00D07E3A">
        <w:rPr>
          <w:rFonts w:ascii="Arial Narrow" w:hAnsi="Arial Narrow" w:cstheme="minorHAnsi"/>
          <w:sz w:val="20"/>
          <w:szCs w:val="20"/>
        </w:rPr>
        <w:t>as specified in subsection 7.</w:t>
      </w:r>
    </w:p>
    <w:tbl>
      <w:tblPr>
        <w:tblW w:w="9072" w:type="dxa"/>
        <w:tblBorders>
          <w:top w:val="single" w:sz="4" w:space="0" w:color="auto"/>
          <w:bottom w:val="single" w:sz="4" w:space="0" w:color="auto"/>
          <w:insideH w:val="single" w:sz="4" w:space="0" w:color="auto"/>
        </w:tblBorders>
        <w:tblLook w:val="04A0" w:firstRow="1" w:lastRow="0" w:firstColumn="1" w:lastColumn="0" w:noHBand="0" w:noVBand="1"/>
      </w:tblPr>
      <w:tblGrid>
        <w:gridCol w:w="9072"/>
      </w:tblGrid>
      <w:tr w:rsidR="000E54D1" w:rsidRPr="00D07E3A" w14:paraId="5AE86AF8" w14:textId="77777777" w:rsidTr="00B964B0">
        <w:trPr>
          <w:trHeight w:val="357"/>
        </w:trPr>
        <w:tc>
          <w:tcPr>
            <w:tcW w:w="9072" w:type="dxa"/>
            <w:tcBorders>
              <w:top w:val="nil"/>
              <w:bottom w:val="nil"/>
            </w:tcBorders>
          </w:tcPr>
          <w:p w14:paraId="74555576" w14:textId="2378EB01" w:rsidR="000E54D1" w:rsidRPr="00D07E3A" w:rsidRDefault="000E54D1" w:rsidP="00B964B0">
            <w:pPr>
              <w:pStyle w:val="Tabletext"/>
              <w:rPr>
                <w:b/>
                <w:bCs/>
              </w:rPr>
            </w:pPr>
          </w:p>
          <w:p w14:paraId="58435075" w14:textId="7EF5E3D5" w:rsidR="000E54D1" w:rsidRPr="00D07E3A" w:rsidRDefault="000E54D1" w:rsidP="00B964B0">
            <w:pPr>
              <w:pStyle w:val="Tabletext"/>
              <w:rPr>
                <w:b/>
                <w:bCs/>
              </w:rPr>
            </w:pPr>
            <w:r w:rsidRPr="00D07E3A">
              <w:rPr>
                <w:b/>
                <w:bCs/>
              </w:rPr>
              <w:t>Subsection 7</w:t>
            </w:r>
          </w:p>
          <w:p w14:paraId="376F2BBF" w14:textId="1BCF34EC" w:rsidR="000E54D1" w:rsidRPr="00D07E3A" w:rsidRDefault="000E54D1" w:rsidP="000E54D1">
            <w:pPr>
              <w:spacing w:after="60" w:line="240" w:lineRule="auto"/>
              <w:contextualSpacing/>
              <w:rPr>
                <w:rFonts w:cstheme="minorHAnsi"/>
                <w:strike/>
                <w:sz w:val="20"/>
                <w:szCs w:val="18"/>
              </w:rPr>
            </w:pPr>
            <w:r w:rsidRPr="00D07E3A">
              <w:rPr>
                <w:rFonts w:ascii="Arial Narrow" w:hAnsi="Arial Narrow" w:cstheme="minorHAnsi"/>
                <w:sz w:val="20"/>
                <w:szCs w:val="18"/>
              </w:rPr>
              <w:t xml:space="preserve">For item 217A of Schedule 1, a designated vaccine in that item may be provided to a person who </w:t>
            </w:r>
            <w:r w:rsidRPr="00D07E3A">
              <w:rPr>
                <w:rFonts w:ascii="Arial Narrow" w:hAnsi="Arial Narrow"/>
                <w:sz w:val="20"/>
                <w:szCs w:val="20"/>
              </w:rPr>
              <w:t xml:space="preserve">is at least 18 years of age </w:t>
            </w:r>
            <w:r w:rsidR="00D6737E" w:rsidRPr="00D07E3A">
              <w:rPr>
                <w:rFonts w:ascii="Arial Narrow" w:hAnsi="Arial Narrow"/>
                <w:sz w:val="20"/>
                <w:szCs w:val="20"/>
              </w:rPr>
              <w:t xml:space="preserve">who: </w:t>
            </w:r>
            <w:r w:rsidRPr="00D07E3A">
              <w:rPr>
                <w:rFonts w:ascii="Arial Narrow" w:hAnsi="Arial Narrow"/>
                <w:sz w:val="20"/>
                <w:szCs w:val="20"/>
              </w:rPr>
              <w:t>and considered at increased risk of herpes zoster, i.e. individuals with:</w:t>
            </w:r>
          </w:p>
          <w:p w14:paraId="3EEE160E" w14:textId="3879FFC6" w:rsidR="000E54D1" w:rsidRPr="00D07E3A" w:rsidRDefault="00D6737E" w:rsidP="00474CFE">
            <w:pPr>
              <w:pStyle w:val="ListParagraph"/>
              <w:numPr>
                <w:ilvl w:val="0"/>
                <w:numId w:val="4"/>
              </w:numPr>
              <w:spacing w:after="60" w:line="240" w:lineRule="auto"/>
              <w:ind w:left="720"/>
              <w:rPr>
                <w:rFonts w:cstheme="minorHAnsi"/>
                <w:sz w:val="20"/>
                <w:szCs w:val="18"/>
              </w:rPr>
            </w:pPr>
            <w:r w:rsidRPr="00D07E3A">
              <w:rPr>
                <w:rFonts w:ascii="Arial Narrow" w:hAnsi="Arial Narrow"/>
                <w:sz w:val="20"/>
                <w:szCs w:val="20"/>
              </w:rPr>
              <w:t xml:space="preserve">has </w:t>
            </w:r>
            <w:r w:rsidR="000E54D1" w:rsidRPr="00D07E3A">
              <w:rPr>
                <w:rFonts w:ascii="Arial Narrow" w:hAnsi="Arial Narrow"/>
                <w:sz w:val="20"/>
                <w:szCs w:val="20"/>
              </w:rPr>
              <w:t xml:space="preserve">an underlying </w:t>
            </w:r>
            <w:r w:rsidR="000E54D1" w:rsidRPr="00D07E3A">
              <w:rPr>
                <w:rFonts w:ascii="Arial Narrow" w:eastAsia="Calibri" w:hAnsi="Arial Narrow" w:cs="Calibri"/>
                <w:color w:val="000000" w:themeColor="text1"/>
                <w:sz w:val="20"/>
                <w:szCs w:val="20"/>
              </w:rPr>
              <w:t xml:space="preserve">condition: </w:t>
            </w:r>
          </w:p>
          <w:p w14:paraId="4ED0DE7E" w14:textId="77777777" w:rsidR="000E54D1" w:rsidRPr="00D07E3A" w:rsidRDefault="000E54D1" w:rsidP="00474CFE">
            <w:pPr>
              <w:pStyle w:val="ListParagraph"/>
              <w:numPr>
                <w:ilvl w:val="1"/>
                <w:numId w:val="4"/>
              </w:numPr>
              <w:spacing w:after="60" w:line="240" w:lineRule="auto"/>
              <w:ind w:left="1276" w:hanging="357"/>
              <w:rPr>
                <w:rFonts w:ascii="Arial Narrow" w:hAnsi="Arial Narrow" w:cstheme="minorHAnsi"/>
                <w:sz w:val="20"/>
                <w:szCs w:val="20"/>
              </w:rPr>
            </w:pPr>
            <w:r w:rsidRPr="00D07E3A">
              <w:rPr>
                <w:rFonts w:ascii="Arial Narrow" w:hAnsi="Arial Narrow"/>
                <w:sz w:val="20"/>
                <w:szCs w:val="20"/>
              </w:rPr>
              <w:t>Acute haematological malignancies (acute leukaemia, aggressive lymphomas)</w:t>
            </w:r>
          </w:p>
          <w:p w14:paraId="3DF46596" w14:textId="77777777" w:rsidR="000E54D1" w:rsidRPr="00D07E3A" w:rsidRDefault="000E54D1" w:rsidP="00474CFE">
            <w:pPr>
              <w:pStyle w:val="ListParagraph"/>
              <w:numPr>
                <w:ilvl w:val="1"/>
                <w:numId w:val="4"/>
              </w:numPr>
              <w:spacing w:after="60" w:line="240" w:lineRule="auto"/>
              <w:ind w:left="1276" w:hanging="357"/>
              <w:rPr>
                <w:rFonts w:ascii="Arial Narrow" w:hAnsi="Arial Narrow" w:cstheme="minorHAnsi"/>
                <w:sz w:val="20"/>
                <w:szCs w:val="20"/>
              </w:rPr>
            </w:pPr>
            <w:r w:rsidRPr="00D07E3A">
              <w:rPr>
                <w:rFonts w:ascii="Arial Narrow" w:hAnsi="Arial Narrow" w:cstheme="minorHAnsi"/>
                <w:sz w:val="20"/>
                <w:szCs w:val="20"/>
              </w:rPr>
              <w:t>Chronic haematological malignancies including myelodysplastic syndromes/chronic myeloproliferative disorders, lymphoproliferative malignancies and plasma cell dyscrasias e.g., myeloproliferative neoplasms, chronic lymphocytic leukaemia, indolent non-Hodgkin lymphoma, multiple myeloma</w:t>
            </w:r>
          </w:p>
          <w:p w14:paraId="63E9EEDA" w14:textId="55EA4C19" w:rsidR="000E54D1" w:rsidRPr="00D07E3A" w:rsidRDefault="000E54D1" w:rsidP="00474CFE">
            <w:pPr>
              <w:pStyle w:val="ListParagraph"/>
              <w:numPr>
                <w:ilvl w:val="1"/>
                <w:numId w:val="4"/>
              </w:numPr>
              <w:spacing w:after="60" w:line="240" w:lineRule="auto"/>
              <w:ind w:left="1276" w:hanging="357"/>
              <w:rPr>
                <w:rFonts w:ascii="Arial Narrow" w:hAnsi="Arial Narrow"/>
                <w:sz w:val="20"/>
                <w:szCs w:val="20"/>
              </w:rPr>
            </w:pPr>
            <w:r w:rsidRPr="00D07E3A">
              <w:rPr>
                <w:rFonts w:ascii="Arial Narrow" w:hAnsi="Arial Narrow"/>
                <w:sz w:val="20"/>
                <w:szCs w:val="20"/>
              </w:rPr>
              <w:t>Human immunodeficiency virus infection with CD4</w:t>
            </w:r>
            <w:r w:rsidRPr="00D07E3A">
              <w:rPr>
                <w:rFonts w:ascii="Arial Narrow" w:hAnsi="Arial Narrow"/>
                <w:sz w:val="20"/>
                <w:szCs w:val="20"/>
                <w:vertAlign w:val="superscript"/>
              </w:rPr>
              <w:t>+</w:t>
            </w:r>
            <w:r w:rsidRPr="00D07E3A">
              <w:rPr>
                <w:rFonts w:ascii="Arial Narrow" w:hAnsi="Arial Narrow"/>
                <w:sz w:val="20"/>
                <w:szCs w:val="20"/>
              </w:rPr>
              <w:t xml:space="preserve"> cell count &lt; 200/µL</w:t>
            </w:r>
            <w:r w:rsidR="00FB1B13" w:rsidRPr="00D07E3A">
              <w:rPr>
                <w:rFonts w:ascii="Arial Narrow" w:hAnsi="Arial Narrow"/>
                <w:sz w:val="20"/>
                <w:szCs w:val="20"/>
              </w:rPr>
              <w:t xml:space="preserve"> </w:t>
            </w:r>
          </w:p>
          <w:p w14:paraId="207D065A" w14:textId="77777777" w:rsidR="000E54D1" w:rsidRPr="00D07E3A" w:rsidRDefault="000E54D1" w:rsidP="00474CFE">
            <w:pPr>
              <w:pStyle w:val="ListParagraph"/>
              <w:numPr>
                <w:ilvl w:val="1"/>
                <w:numId w:val="4"/>
              </w:numPr>
              <w:spacing w:after="0" w:line="240" w:lineRule="auto"/>
              <w:ind w:left="1276" w:hanging="357"/>
              <w:contextualSpacing w:val="0"/>
              <w:rPr>
                <w:rFonts w:ascii="Arial Narrow" w:hAnsi="Arial Narrow" w:cstheme="minorHAnsi"/>
                <w:sz w:val="20"/>
                <w:szCs w:val="18"/>
              </w:rPr>
            </w:pPr>
            <w:r w:rsidRPr="00D07E3A">
              <w:rPr>
                <w:rFonts w:ascii="Arial Narrow" w:hAnsi="Arial Narrow" w:cstheme="minorHAnsi"/>
                <w:sz w:val="20"/>
                <w:szCs w:val="18"/>
              </w:rPr>
              <w:t>Inborn errors of immunity with ongoing functional deficits including:</w:t>
            </w:r>
          </w:p>
          <w:p w14:paraId="77696669" w14:textId="77777777" w:rsidR="000E54D1" w:rsidRPr="00D07E3A" w:rsidRDefault="000E54D1" w:rsidP="00474CFE">
            <w:pPr>
              <w:pStyle w:val="ListParagraph"/>
              <w:numPr>
                <w:ilvl w:val="2"/>
                <w:numId w:val="3"/>
              </w:numPr>
              <w:spacing w:after="0" w:line="240" w:lineRule="auto"/>
              <w:ind w:left="1985"/>
              <w:rPr>
                <w:rFonts w:ascii="Arial Narrow" w:hAnsi="Arial Narrow"/>
                <w:sz w:val="20"/>
                <w:szCs w:val="20"/>
              </w:rPr>
            </w:pPr>
            <w:r w:rsidRPr="00D07E3A">
              <w:rPr>
                <w:rFonts w:ascii="Arial Narrow" w:hAnsi="Arial Narrow"/>
                <w:sz w:val="20"/>
                <w:szCs w:val="20"/>
              </w:rPr>
              <w:t xml:space="preserve">humoral e.g., X-linked agammaglobulinemia </w:t>
            </w:r>
          </w:p>
          <w:p w14:paraId="218AC16F" w14:textId="77777777" w:rsidR="000E54D1" w:rsidRPr="00D07E3A" w:rsidRDefault="000E54D1" w:rsidP="00474CFE">
            <w:pPr>
              <w:pStyle w:val="ListParagraph"/>
              <w:numPr>
                <w:ilvl w:val="2"/>
                <w:numId w:val="3"/>
              </w:numPr>
              <w:spacing w:after="0" w:line="240" w:lineRule="auto"/>
              <w:ind w:left="1985"/>
              <w:rPr>
                <w:rFonts w:ascii="Arial Narrow" w:hAnsi="Arial Narrow"/>
                <w:sz w:val="20"/>
                <w:szCs w:val="20"/>
              </w:rPr>
            </w:pPr>
            <w:r w:rsidRPr="00D07E3A">
              <w:rPr>
                <w:rFonts w:ascii="Arial Narrow" w:hAnsi="Arial Narrow"/>
                <w:sz w:val="20"/>
                <w:szCs w:val="20"/>
              </w:rPr>
              <w:t xml:space="preserve">combined defects e.g., severe combined immunodeficiency (SCID) </w:t>
            </w:r>
          </w:p>
          <w:p w14:paraId="632B7964" w14:textId="77777777" w:rsidR="000E54D1" w:rsidRPr="00D07E3A" w:rsidRDefault="000E54D1" w:rsidP="00474CFE">
            <w:pPr>
              <w:pStyle w:val="ListParagraph"/>
              <w:numPr>
                <w:ilvl w:val="2"/>
                <w:numId w:val="3"/>
              </w:numPr>
              <w:spacing w:after="0" w:line="240" w:lineRule="auto"/>
              <w:ind w:left="1985"/>
              <w:rPr>
                <w:rFonts w:ascii="Arial Narrow" w:hAnsi="Arial Narrow"/>
                <w:sz w:val="20"/>
                <w:szCs w:val="20"/>
              </w:rPr>
            </w:pPr>
            <w:r w:rsidRPr="00D07E3A">
              <w:rPr>
                <w:rFonts w:ascii="Arial Narrow" w:hAnsi="Arial Narrow"/>
                <w:sz w:val="20"/>
                <w:szCs w:val="20"/>
              </w:rPr>
              <w:t>phagocytic disorders e.g., chronic granulomatous disease (CGD)</w:t>
            </w:r>
          </w:p>
          <w:p w14:paraId="15DCE8C4" w14:textId="77777777" w:rsidR="000E54D1" w:rsidRPr="00D07E3A" w:rsidRDefault="000E54D1" w:rsidP="00474CFE">
            <w:pPr>
              <w:pStyle w:val="ListParagraph"/>
              <w:numPr>
                <w:ilvl w:val="2"/>
                <w:numId w:val="3"/>
              </w:numPr>
              <w:spacing w:after="0" w:line="240" w:lineRule="auto"/>
              <w:ind w:left="1985"/>
              <w:rPr>
                <w:rFonts w:ascii="Arial Narrow" w:hAnsi="Arial Narrow"/>
                <w:sz w:val="20"/>
                <w:szCs w:val="20"/>
              </w:rPr>
            </w:pPr>
            <w:r w:rsidRPr="00D07E3A">
              <w:rPr>
                <w:rFonts w:ascii="Arial Narrow" w:hAnsi="Arial Narrow"/>
                <w:sz w:val="20"/>
                <w:szCs w:val="20"/>
              </w:rPr>
              <w:t xml:space="preserve">other inborn errors of immunity except complement disorders, hereditary angioedema (HAE) and IgA deficiency (considered lower risk). </w:t>
            </w:r>
          </w:p>
          <w:p w14:paraId="56DA6F35" w14:textId="15F27125" w:rsidR="000E54D1" w:rsidRPr="00D07E3A" w:rsidRDefault="00FB1B13" w:rsidP="00474CFE">
            <w:pPr>
              <w:pStyle w:val="ListParagraph"/>
              <w:numPr>
                <w:ilvl w:val="1"/>
                <w:numId w:val="4"/>
              </w:numPr>
              <w:spacing w:after="0" w:line="240" w:lineRule="auto"/>
              <w:ind w:left="1276" w:hanging="357"/>
              <w:contextualSpacing w:val="0"/>
              <w:rPr>
                <w:rFonts w:ascii="Arial Narrow" w:hAnsi="Arial Narrow" w:cstheme="minorHAnsi"/>
                <w:sz w:val="20"/>
                <w:szCs w:val="18"/>
              </w:rPr>
            </w:pPr>
            <w:r w:rsidRPr="00D07E3A">
              <w:rPr>
                <w:rFonts w:ascii="Arial Narrow" w:hAnsi="Arial Narrow" w:cstheme="minorHAnsi"/>
                <w:sz w:val="20"/>
                <w:szCs w:val="18"/>
              </w:rPr>
              <w:t xml:space="preserve">Stage 5 kidney disease or on dialysis </w:t>
            </w:r>
          </w:p>
          <w:p w14:paraId="14E93373" w14:textId="77777777" w:rsidR="000E54D1" w:rsidRPr="00D07E3A" w:rsidRDefault="000E54D1" w:rsidP="00474CFE">
            <w:pPr>
              <w:pStyle w:val="ListParagraph"/>
              <w:numPr>
                <w:ilvl w:val="0"/>
                <w:numId w:val="4"/>
              </w:numPr>
              <w:spacing w:before="60" w:after="0" w:line="240" w:lineRule="auto"/>
              <w:ind w:left="720"/>
              <w:contextualSpacing w:val="0"/>
              <w:rPr>
                <w:rFonts w:ascii="Arial Narrow" w:hAnsi="Arial Narrow" w:cstheme="minorHAnsi"/>
                <w:sz w:val="20"/>
                <w:szCs w:val="18"/>
              </w:rPr>
            </w:pPr>
            <w:r w:rsidRPr="00D07E3A">
              <w:rPr>
                <w:rFonts w:ascii="Arial Narrow" w:eastAsia="Calibri" w:hAnsi="Arial Narrow" w:cs="Calibri"/>
                <w:color w:val="000000" w:themeColor="text1"/>
                <w:sz w:val="20"/>
                <w:szCs w:val="20"/>
              </w:rPr>
              <w:t>malignancy, autoimmune or inflammatory conditions receiving immunomodulatory/immunosuppressive treatments including:</w:t>
            </w:r>
          </w:p>
          <w:p w14:paraId="51678B88" w14:textId="77777777" w:rsidR="000E54D1" w:rsidRPr="00D07E3A" w:rsidRDefault="000E54D1" w:rsidP="00474CFE">
            <w:pPr>
              <w:pStyle w:val="ListParagraph"/>
              <w:numPr>
                <w:ilvl w:val="1"/>
                <w:numId w:val="4"/>
              </w:numPr>
              <w:spacing w:after="60" w:line="240" w:lineRule="auto"/>
              <w:ind w:left="1276"/>
              <w:rPr>
                <w:rFonts w:ascii="Arial Narrow" w:hAnsi="Arial Narrow" w:cstheme="minorHAnsi"/>
                <w:sz w:val="20"/>
                <w:szCs w:val="20"/>
              </w:rPr>
            </w:pPr>
            <w:r w:rsidRPr="00D07E3A">
              <w:rPr>
                <w:rFonts w:ascii="Arial Narrow" w:hAnsi="Arial Narrow"/>
                <w:sz w:val="20"/>
                <w:szCs w:val="20"/>
              </w:rPr>
              <w:t>Cellular therapies (currently receiving or within the previous 24 months), including:</w:t>
            </w:r>
          </w:p>
          <w:p w14:paraId="0C60C88F" w14:textId="77777777" w:rsidR="000E54D1" w:rsidRPr="00D07E3A" w:rsidRDefault="000E54D1" w:rsidP="00474CFE">
            <w:pPr>
              <w:pStyle w:val="ListParagraph"/>
              <w:numPr>
                <w:ilvl w:val="2"/>
                <w:numId w:val="5"/>
              </w:numPr>
              <w:spacing w:after="0" w:line="240" w:lineRule="auto"/>
              <w:ind w:left="1985"/>
              <w:rPr>
                <w:rFonts w:ascii="Arial Narrow" w:hAnsi="Arial Narrow"/>
                <w:sz w:val="20"/>
                <w:szCs w:val="20"/>
              </w:rPr>
            </w:pPr>
            <w:r w:rsidRPr="00D07E3A">
              <w:rPr>
                <w:rFonts w:ascii="Arial Narrow" w:hAnsi="Arial Narrow"/>
                <w:sz w:val="20"/>
                <w:szCs w:val="20"/>
              </w:rPr>
              <w:t xml:space="preserve">autologous haematopoietic stem cell transplant </w:t>
            </w:r>
          </w:p>
          <w:p w14:paraId="77FADBDB" w14:textId="77777777" w:rsidR="000E54D1" w:rsidRPr="00D07E3A" w:rsidRDefault="000E54D1" w:rsidP="00474CFE">
            <w:pPr>
              <w:pStyle w:val="ListParagraph"/>
              <w:numPr>
                <w:ilvl w:val="2"/>
                <w:numId w:val="5"/>
              </w:numPr>
              <w:spacing w:after="0" w:line="240" w:lineRule="auto"/>
              <w:ind w:left="1985"/>
              <w:rPr>
                <w:rFonts w:ascii="Arial Narrow" w:hAnsi="Arial Narrow"/>
                <w:sz w:val="20"/>
                <w:szCs w:val="20"/>
              </w:rPr>
            </w:pPr>
            <w:r w:rsidRPr="00D07E3A">
              <w:rPr>
                <w:rFonts w:ascii="Arial Narrow" w:hAnsi="Arial Narrow"/>
                <w:sz w:val="20"/>
                <w:szCs w:val="20"/>
              </w:rPr>
              <w:t>allogeneic haematopoietic stem cell transplant (unless ongoing graft vs host disease with immunosuppressive therapy, where they remain at high risk beyond 24 months)</w:t>
            </w:r>
          </w:p>
          <w:p w14:paraId="6DD14C74" w14:textId="77777777" w:rsidR="000E54D1" w:rsidRPr="00D07E3A" w:rsidRDefault="000E54D1" w:rsidP="00474CFE">
            <w:pPr>
              <w:pStyle w:val="ListParagraph"/>
              <w:numPr>
                <w:ilvl w:val="2"/>
                <w:numId w:val="5"/>
              </w:numPr>
              <w:spacing w:after="0" w:line="240" w:lineRule="auto"/>
              <w:ind w:left="1985"/>
              <w:rPr>
                <w:rFonts w:ascii="Arial Narrow" w:hAnsi="Arial Narrow"/>
                <w:sz w:val="20"/>
                <w:szCs w:val="20"/>
              </w:rPr>
            </w:pPr>
            <w:r w:rsidRPr="00D07E3A">
              <w:rPr>
                <w:rFonts w:ascii="Arial Narrow" w:hAnsi="Arial Narrow"/>
                <w:sz w:val="20"/>
                <w:szCs w:val="20"/>
              </w:rPr>
              <w:t>chimeric antigen receptor T-cell therapy</w:t>
            </w:r>
          </w:p>
          <w:p w14:paraId="116EED90" w14:textId="77777777" w:rsidR="000E54D1" w:rsidRPr="00D07E3A" w:rsidRDefault="000E54D1" w:rsidP="00474CFE">
            <w:pPr>
              <w:pStyle w:val="ListParagraph"/>
              <w:numPr>
                <w:ilvl w:val="1"/>
                <w:numId w:val="4"/>
              </w:numPr>
              <w:spacing w:after="60" w:line="240" w:lineRule="auto"/>
              <w:ind w:left="1276"/>
              <w:rPr>
                <w:rFonts w:ascii="Arial Narrow" w:hAnsi="Arial Narrow" w:cstheme="minorHAnsi"/>
                <w:sz w:val="20"/>
                <w:szCs w:val="20"/>
              </w:rPr>
            </w:pPr>
            <w:r w:rsidRPr="00D07E3A">
              <w:rPr>
                <w:rFonts w:ascii="Arial Narrow" w:hAnsi="Arial Narrow" w:cstheme="minorHAnsi"/>
                <w:sz w:val="20"/>
                <w:szCs w:val="20"/>
              </w:rPr>
              <w:t>B and T-cell targeted monoclonal antibody therapies, currently or within the last 6 months, including:</w:t>
            </w:r>
          </w:p>
          <w:p w14:paraId="679C64AF" w14:textId="77777777" w:rsidR="000E54D1" w:rsidRPr="00D07E3A" w:rsidRDefault="000E54D1" w:rsidP="00474CFE">
            <w:pPr>
              <w:pStyle w:val="ListParagraph"/>
              <w:numPr>
                <w:ilvl w:val="2"/>
                <w:numId w:val="6"/>
              </w:numPr>
              <w:spacing w:after="0" w:line="240" w:lineRule="auto"/>
              <w:ind w:left="1985"/>
              <w:rPr>
                <w:rFonts w:ascii="Arial Narrow" w:hAnsi="Arial Narrow"/>
                <w:sz w:val="20"/>
                <w:szCs w:val="20"/>
              </w:rPr>
            </w:pPr>
            <w:r w:rsidRPr="00D07E3A">
              <w:rPr>
                <w:rFonts w:ascii="Arial Narrow" w:hAnsi="Arial Narrow"/>
                <w:sz w:val="20"/>
                <w:szCs w:val="20"/>
              </w:rPr>
              <w:t xml:space="preserve">anti-CD20 </w:t>
            </w:r>
          </w:p>
          <w:p w14:paraId="75CF7054" w14:textId="77777777" w:rsidR="000E54D1" w:rsidRPr="00D07E3A" w:rsidRDefault="000E54D1" w:rsidP="00474CFE">
            <w:pPr>
              <w:pStyle w:val="ListParagraph"/>
              <w:numPr>
                <w:ilvl w:val="2"/>
                <w:numId w:val="6"/>
              </w:numPr>
              <w:spacing w:after="0" w:line="240" w:lineRule="auto"/>
              <w:ind w:left="1985"/>
              <w:rPr>
                <w:rFonts w:ascii="Arial Narrow" w:hAnsi="Arial Narrow"/>
                <w:sz w:val="20"/>
                <w:szCs w:val="20"/>
              </w:rPr>
            </w:pPr>
            <w:r w:rsidRPr="00D07E3A">
              <w:rPr>
                <w:rFonts w:ascii="Arial Narrow" w:hAnsi="Arial Narrow"/>
                <w:sz w:val="20"/>
                <w:szCs w:val="20"/>
              </w:rPr>
              <w:t xml:space="preserve">anti B-cell activating factor (BAFF) </w:t>
            </w:r>
          </w:p>
          <w:p w14:paraId="32152FCB" w14:textId="77777777" w:rsidR="000E54D1" w:rsidRPr="00D07E3A" w:rsidRDefault="000E54D1" w:rsidP="00474CFE">
            <w:pPr>
              <w:pStyle w:val="ListParagraph"/>
              <w:numPr>
                <w:ilvl w:val="2"/>
                <w:numId w:val="6"/>
              </w:numPr>
              <w:spacing w:after="0" w:line="240" w:lineRule="auto"/>
              <w:ind w:left="1985"/>
              <w:rPr>
                <w:rFonts w:ascii="Arial Narrow" w:hAnsi="Arial Narrow"/>
                <w:sz w:val="20"/>
                <w:szCs w:val="20"/>
              </w:rPr>
            </w:pPr>
            <w:r w:rsidRPr="00D07E3A">
              <w:rPr>
                <w:rFonts w:ascii="Arial Narrow" w:hAnsi="Arial Narrow"/>
                <w:sz w:val="20"/>
                <w:szCs w:val="20"/>
              </w:rPr>
              <w:t xml:space="preserve">anti-CD52 </w:t>
            </w:r>
          </w:p>
          <w:p w14:paraId="71D73A29" w14:textId="77777777" w:rsidR="000E54D1" w:rsidRPr="00D07E3A" w:rsidRDefault="000E54D1" w:rsidP="00474CFE">
            <w:pPr>
              <w:pStyle w:val="ListParagraph"/>
              <w:numPr>
                <w:ilvl w:val="2"/>
                <w:numId w:val="6"/>
              </w:numPr>
              <w:spacing w:after="0" w:line="240" w:lineRule="auto"/>
              <w:ind w:left="1985"/>
              <w:rPr>
                <w:rFonts w:ascii="Arial Narrow" w:hAnsi="Arial Narrow"/>
                <w:sz w:val="20"/>
                <w:szCs w:val="20"/>
              </w:rPr>
            </w:pPr>
            <w:r w:rsidRPr="00D07E3A">
              <w:rPr>
                <w:rFonts w:ascii="Arial Narrow" w:hAnsi="Arial Narrow"/>
                <w:sz w:val="20"/>
                <w:szCs w:val="20"/>
              </w:rPr>
              <w:t>anti-thymocyte globulin</w:t>
            </w:r>
          </w:p>
          <w:p w14:paraId="68DF38AB" w14:textId="77777777" w:rsidR="000E54D1" w:rsidRPr="00D07E3A" w:rsidRDefault="000E54D1" w:rsidP="00474CFE">
            <w:pPr>
              <w:pStyle w:val="ListParagraph"/>
              <w:numPr>
                <w:ilvl w:val="1"/>
                <w:numId w:val="4"/>
              </w:numPr>
              <w:spacing w:after="60" w:line="240" w:lineRule="auto"/>
              <w:ind w:left="1276"/>
              <w:rPr>
                <w:rFonts w:ascii="Arial Narrow" w:hAnsi="Arial Narrow" w:cstheme="minorHAnsi"/>
                <w:sz w:val="20"/>
                <w:szCs w:val="20"/>
              </w:rPr>
            </w:pPr>
            <w:r w:rsidRPr="00D07E3A">
              <w:rPr>
                <w:rFonts w:ascii="Arial Narrow" w:hAnsi="Arial Narrow" w:cstheme="minorHAnsi"/>
                <w:sz w:val="20"/>
                <w:szCs w:val="20"/>
              </w:rPr>
              <w:t>Conventional chemotherapy for:</w:t>
            </w:r>
          </w:p>
          <w:p w14:paraId="568DE909" w14:textId="77777777" w:rsidR="000E54D1" w:rsidRPr="00D07E3A" w:rsidRDefault="000E54D1" w:rsidP="00474CFE">
            <w:pPr>
              <w:pStyle w:val="ListParagraph"/>
              <w:numPr>
                <w:ilvl w:val="2"/>
                <w:numId w:val="7"/>
              </w:numPr>
              <w:spacing w:after="0" w:line="240" w:lineRule="auto"/>
              <w:ind w:left="1985"/>
              <w:rPr>
                <w:rFonts w:ascii="Arial Narrow" w:hAnsi="Arial Narrow" w:cstheme="minorHAnsi"/>
                <w:sz w:val="20"/>
                <w:szCs w:val="20"/>
              </w:rPr>
            </w:pPr>
            <w:r w:rsidRPr="00D07E3A">
              <w:rPr>
                <w:rFonts w:ascii="Arial Narrow" w:hAnsi="Arial Narrow"/>
                <w:sz w:val="20"/>
                <w:szCs w:val="20"/>
              </w:rPr>
              <w:t>treatment of haematological malignancy</w:t>
            </w:r>
          </w:p>
          <w:p w14:paraId="1D31F436" w14:textId="77777777" w:rsidR="000E54D1" w:rsidRPr="00D07E3A" w:rsidRDefault="000E54D1" w:rsidP="00474CFE">
            <w:pPr>
              <w:pStyle w:val="ListParagraph"/>
              <w:numPr>
                <w:ilvl w:val="2"/>
                <w:numId w:val="7"/>
              </w:numPr>
              <w:spacing w:after="0" w:line="240" w:lineRule="auto"/>
              <w:ind w:left="1985"/>
              <w:rPr>
                <w:rFonts w:ascii="Arial Narrow" w:hAnsi="Arial Narrow" w:cstheme="minorHAnsi"/>
                <w:sz w:val="20"/>
                <w:szCs w:val="20"/>
              </w:rPr>
            </w:pPr>
            <w:r w:rsidRPr="00D07E3A">
              <w:rPr>
                <w:rFonts w:ascii="Arial Narrow" w:hAnsi="Arial Narrow" w:cstheme="minorHAnsi"/>
                <w:sz w:val="20"/>
                <w:szCs w:val="20"/>
              </w:rPr>
              <w:t>solid organ tumours, currently or within the last 6 months</w:t>
            </w:r>
          </w:p>
          <w:p w14:paraId="20726B59" w14:textId="77777777" w:rsidR="000E54D1" w:rsidRPr="00D07E3A" w:rsidRDefault="000E54D1" w:rsidP="00474CFE">
            <w:pPr>
              <w:pStyle w:val="ListParagraph"/>
              <w:numPr>
                <w:ilvl w:val="1"/>
                <w:numId w:val="4"/>
              </w:numPr>
              <w:spacing w:after="0" w:line="240" w:lineRule="auto"/>
              <w:ind w:left="1276"/>
              <w:rPr>
                <w:rFonts w:ascii="Arial Narrow" w:hAnsi="Arial Narrow" w:cstheme="minorHAnsi"/>
                <w:sz w:val="20"/>
                <w:szCs w:val="20"/>
              </w:rPr>
            </w:pPr>
            <w:r w:rsidRPr="00D07E3A">
              <w:rPr>
                <w:rFonts w:ascii="Arial Narrow" w:hAnsi="Arial Narrow" w:cstheme="minorHAnsi"/>
                <w:sz w:val="20"/>
                <w:szCs w:val="20"/>
              </w:rPr>
              <w:t>Immunosuppressive therapy to prevent organ rejection prior to or following solid organ transplantation, currently, or within the last 6 months</w:t>
            </w:r>
          </w:p>
          <w:p w14:paraId="608D03DB" w14:textId="77777777" w:rsidR="000E54D1" w:rsidRPr="00D07E3A" w:rsidRDefault="000E54D1" w:rsidP="00474CFE">
            <w:pPr>
              <w:pStyle w:val="ListParagraph"/>
              <w:numPr>
                <w:ilvl w:val="1"/>
                <w:numId w:val="4"/>
              </w:numPr>
              <w:spacing w:after="0"/>
              <w:ind w:left="1276"/>
              <w:rPr>
                <w:rFonts w:ascii="Arial Narrow" w:hAnsi="Arial Narrow" w:cstheme="minorHAnsi"/>
                <w:sz w:val="20"/>
                <w:szCs w:val="20"/>
              </w:rPr>
            </w:pPr>
            <w:r w:rsidRPr="00D07E3A">
              <w:rPr>
                <w:rFonts w:ascii="Arial Narrow" w:hAnsi="Arial Narrow" w:cstheme="minorHAnsi"/>
                <w:sz w:val="20"/>
                <w:szCs w:val="20"/>
              </w:rPr>
              <w:t xml:space="preserve">Conventional immunosuppressive agents currently or within the last 6 months, such as: </w:t>
            </w:r>
          </w:p>
          <w:p w14:paraId="1CD9D030" w14:textId="77777777" w:rsidR="000E54D1" w:rsidRPr="00D07E3A" w:rsidRDefault="000E54D1" w:rsidP="00474CFE">
            <w:pPr>
              <w:pStyle w:val="ListParagraph"/>
              <w:numPr>
                <w:ilvl w:val="2"/>
                <w:numId w:val="8"/>
              </w:numPr>
              <w:spacing w:after="0" w:line="240" w:lineRule="auto"/>
              <w:ind w:left="1985"/>
              <w:rPr>
                <w:rFonts w:ascii="Arial Narrow" w:hAnsi="Arial Narrow"/>
                <w:sz w:val="20"/>
                <w:szCs w:val="20"/>
              </w:rPr>
            </w:pPr>
            <w:r w:rsidRPr="00D07E3A">
              <w:rPr>
                <w:rFonts w:ascii="Arial Narrow" w:hAnsi="Arial Narrow"/>
                <w:sz w:val="20"/>
                <w:szCs w:val="20"/>
              </w:rPr>
              <w:t xml:space="preserve">high dose methotrexate ≥20mg per week (oral and subcutaneous) </w:t>
            </w:r>
          </w:p>
          <w:p w14:paraId="6B147CEE" w14:textId="77777777" w:rsidR="000E54D1" w:rsidRPr="00D07E3A" w:rsidRDefault="000E54D1" w:rsidP="00474CFE">
            <w:pPr>
              <w:pStyle w:val="ListParagraph"/>
              <w:numPr>
                <w:ilvl w:val="2"/>
                <w:numId w:val="8"/>
              </w:numPr>
              <w:spacing w:after="0" w:line="240" w:lineRule="auto"/>
              <w:ind w:left="1985"/>
              <w:rPr>
                <w:rFonts w:ascii="Arial Narrow" w:hAnsi="Arial Narrow"/>
                <w:sz w:val="20"/>
                <w:szCs w:val="20"/>
              </w:rPr>
            </w:pPr>
            <w:r w:rsidRPr="00D07E3A">
              <w:rPr>
                <w:rFonts w:ascii="Arial Narrow" w:hAnsi="Arial Narrow"/>
                <w:sz w:val="20"/>
                <w:szCs w:val="20"/>
              </w:rPr>
              <w:t xml:space="preserve">azathioprine ≥3.0mg/kg/day </w:t>
            </w:r>
          </w:p>
          <w:p w14:paraId="0C0998D8" w14:textId="77777777" w:rsidR="000E54D1" w:rsidRPr="00D07E3A" w:rsidRDefault="000E54D1" w:rsidP="00474CFE">
            <w:pPr>
              <w:pStyle w:val="ListParagraph"/>
              <w:numPr>
                <w:ilvl w:val="2"/>
                <w:numId w:val="8"/>
              </w:numPr>
              <w:spacing w:after="0" w:line="240" w:lineRule="auto"/>
              <w:ind w:left="1985"/>
              <w:rPr>
                <w:rFonts w:ascii="Arial Narrow" w:hAnsi="Arial Narrow"/>
                <w:sz w:val="20"/>
                <w:szCs w:val="20"/>
              </w:rPr>
            </w:pPr>
            <w:r w:rsidRPr="00D07E3A">
              <w:rPr>
                <w:rFonts w:ascii="Arial Narrow" w:hAnsi="Arial Narrow"/>
                <w:sz w:val="20"/>
                <w:szCs w:val="20"/>
              </w:rPr>
              <w:t>6-mercaptopurine ≥1.5mg/kg/day</w:t>
            </w:r>
          </w:p>
          <w:p w14:paraId="67395CF9" w14:textId="77777777" w:rsidR="000E54D1" w:rsidRPr="00D07E3A" w:rsidRDefault="000E54D1" w:rsidP="00474CFE">
            <w:pPr>
              <w:pStyle w:val="ListParagraph"/>
              <w:numPr>
                <w:ilvl w:val="2"/>
                <w:numId w:val="8"/>
              </w:numPr>
              <w:spacing w:after="0" w:line="240" w:lineRule="auto"/>
              <w:ind w:left="1985"/>
              <w:rPr>
                <w:rFonts w:ascii="Arial Narrow" w:hAnsi="Arial Narrow"/>
                <w:sz w:val="20"/>
                <w:szCs w:val="20"/>
              </w:rPr>
            </w:pPr>
            <w:r w:rsidRPr="00D07E3A">
              <w:rPr>
                <w:rFonts w:ascii="Arial Narrow" w:hAnsi="Arial Narrow"/>
                <w:sz w:val="20"/>
                <w:szCs w:val="20"/>
              </w:rPr>
              <w:t>mycophenolate ≥1g/day</w:t>
            </w:r>
          </w:p>
          <w:p w14:paraId="1EB0B9BD" w14:textId="77777777" w:rsidR="000E54D1" w:rsidRPr="00D07E3A" w:rsidRDefault="000E54D1" w:rsidP="00474CFE">
            <w:pPr>
              <w:pStyle w:val="ListParagraph"/>
              <w:numPr>
                <w:ilvl w:val="2"/>
                <w:numId w:val="8"/>
              </w:numPr>
              <w:spacing w:after="0" w:line="240" w:lineRule="auto"/>
              <w:ind w:left="1985"/>
              <w:rPr>
                <w:rFonts w:ascii="Arial Narrow" w:hAnsi="Arial Narrow"/>
                <w:sz w:val="20"/>
                <w:szCs w:val="20"/>
              </w:rPr>
            </w:pPr>
            <w:r w:rsidRPr="00D07E3A">
              <w:rPr>
                <w:rFonts w:ascii="Arial Narrow" w:hAnsi="Arial Narrow"/>
                <w:sz w:val="20"/>
                <w:szCs w:val="20"/>
              </w:rPr>
              <w:t xml:space="preserve">cyclophosphamide </w:t>
            </w:r>
          </w:p>
          <w:p w14:paraId="7CD2561B" w14:textId="77777777" w:rsidR="000E54D1" w:rsidRPr="00D07E3A" w:rsidRDefault="000E54D1" w:rsidP="00474CFE">
            <w:pPr>
              <w:pStyle w:val="ListParagraph"/>
              <w:numPr>
                <w:ilvl w:val="2"/>
                <w:numId w:val="8"/>
              </w:numPr>
              <w:spacing w:after="0" w:line="240" w:lineRule="auto"/>
              <w:ind w:left="1985"/>
              <w:rPr>
                <w:rFonts w:ascii="Arial Narrow" w:hAnsi="Arial Narrow"/>
                <w:sz w:val="20"/>
                <w:szCs w:val="20"/>
              </w:rPr>
            </w:pPr>
            <w:r w:rsidRPr="00D07E3A">
              <w:rPr>
                <w:rFonts w:ascii="Arial Narrow" w:hAnsi="Arial Narrow"/>
                <w:sz w:val="20"/>
                <w:szCs w:val="20"/>
              </w:rPr>
              <w:t>systemic calcineurin inhibitors (tacrolimus, cyclosporin)</w:t>
            </w:r>
          </w:p>
          <w:p w14:paraId="2C3E50D5" w14:textId="77777777" w:rsidR="000E54D1" w:rsidRPr="00D07E3A" w:rsidRDefault="000E54D1" w:rsidP="00474CFE">
            <w:pPr>
              <w:pStyle w:val="ListParagraph"/>
              <w:numPr>
                <w:ilvl w:val="2"/>
                <w:numId w:val="8"/>
              </w:numPr>
              <w:spacing w:after="0" w:line="240" w:lineRule="auto"/>
              <w:ind w:left="1985"/>
              <w:rPr>
                <w:rFonts w:ascii="Arial Narrow" w:hAnsi="Arial Narrow"/>
                <w:sz w:val="20"/>
                <w:szCs w:val="20"/>
              </w:rPr>
            </w:pPr>
            <w:r w:rsidRPr="00D07E3A">
              <w:rPr>
                <w:rFonts w:ascii="Arial Narrow" w:hAnsi="Arial Narrow"/>
                <w:sz w:val="20"/>
                <w:szCs w:val="20"/>
              </w:rPr>
              <w:t>mTOR inhibitors</w:t>
            </w:r>
          </w:p>
          <w:p w14:paraId="6DAFBB24" w14:textId="77777777" w:rsidR="000E54D1" w:rsidRPr="00D07E3A" w:rsidRDefault="000E54D1" w:rsidP="00474CFE">
            <w:pPr>
              <w:pStyle w:val="ListParagraph"/>
              <w:numPr>
                <w:ilvl w:val="2"/>
                <w:numId w:val="8"/>
              </w:numPr>
              <w:spacing w:after="0" w:line="240" w:lineRule="auto"/>
              <w:ind w:left="1985"/>
              <w:rPr>
                <w:rFonts w:ascii="Arial Narrow" w:hAnsi="Arial Narrow"/>
                <w:sz w:val="20"/>
                <w:szCs w:val="20"/>
              </w:rPr>
            </w:pPr>
            <w:r w:rsidRPr="00D07E3A">
              <w:rPr>
                <w:rFonts w:ascii="Arial Narrow" w:hAnsi="Arial Narrow"/>
                <w:sz w:val="20"/>
                <w:szCs w:val="20"/>
              </w:rPr>
              <w:t>purine analogues (cladribine)</w:t>
            </w:r>
          </w:p>
          <w:p w14:paraId="09AB4406" w14:textId="77777777" w:rsidR="000E54D1" w:rsidRPr="00D07E3A" w:rsidRDefault="000E54D1" w:rsidP="00474CFE">
            <w:pPr>
              <w:pStyle w:val="ListParagraph"/>
              <w:numPr>
                <w:ilvl w:val="1"/>
                <w:numId w:val="4"/>
              </w:numPr>
              <w:spacing w:after="60" w:line="240" w:lineRule="auto"/>
              <w:ind w:left="1276"/>
              <w:rPr>
                <w:rFonts w:ascii="Arial Narrow" w:hAnsi="Arial Narrow"/>
                <w:sz w:val="20"/>
                <w:szCs w:val="20"/>
              </w:rPr>
            </w:pPr>
            <w:r w:rsidRPr="00D07E3A">
              <w:rPr>
                <w:rFonts w:ascii="Arial Narrow" w:hAnsi="Arial Narrow" w:cstheme="minorHAnsi"/>
                <w:sz w:val="20"/>
                <w:szCs w:val="20"/>
              </w:rPr>
              <w:t xml:space="preserve">Biologic therapies (except lower risk biologics </w:t>
            </w:r>
            <w:r w:rsidRPr="00D07E3A">
              <w:rPr>
                <w:rFonts w:ascii="Arial Narrow" w:hAnsi="Arial Narrow" w:cstheme="minorHAnsi"/>
                <w:sz w:val="20"/>
                <w:szCs w:val="20"/>
                <w:vertAlign w:val="superscript"/>
              </w:rPr>
              <w:t>^</w:t>
            </w:r>
            <w:r w:rsidRPr="00D07E3A">
              <w:rPr>
                <w:rFonts w:ascii="Arial Narrow" w:hAnsi="Arial Narrow" w:cstheme="minorHAnsi"/>
                <w:sz w:val="20"/>
                <w:szCs w:val="20"/>
              </w:rPr>
              <w:t xml:space="preserve">) in the last 6 months, such as: </w:t>
            </w:r>
          </w:p>
          <w:p w14:paraId="0A5D5C0C" w14:textId="77777777" w:rsidR="000E54D1" w:rsidRPr="00D07E3A" w:rsidRDefault="000E54D1" w:rsidP="00474CFE">
            <w:pPr>
              <w:pStyle w:val="ListParagraph"/>
              <w:numPr>
                <w:ilvl w:val="2"/>
                <w:numId w:val="9"/>
              </w:numPr>
              <w:spacing w:after="0" w:line="240" w:lineRule="auto"/>
              <w:ind w:left="1985"/>
              <w:rPr>
                <w:rFonts w:ascii="Arial Narrow" w:hAnsi="Arial Narrow"/>
                <w:sz w:val="20"/>
                <w:szCs w:val="20"/>
              </w:rPr>
            </w:pPr>
            <w:r w:rsidRPr="00D07E3A">
              <w:rPr>
                <w:rFonts w:ascii="Arial Narrow" w:hAnsi="Arial Narrow"/>
                <w:sz w:val="20"/>
                <w:szCs w:val="20"/>
              </w:rPr>
              <w:t>tumour necrosis factor inhibitors (TNFi)</w:t>
            </w:r>
          </w:p>
          <w:p w14:paraId="3AA0DEE0" w14:textId="77777777" w:rsidR="000E54D1" w:rsidRPr="00D07E3A" w:rsidRDefault="000E54D1" w:rsidP="00474CFE">
            <w:pPr>
              <w:pStyle w:val="ListParagraph"/>
              <w:numPr>
                <w:ilvl w:val="2"/>
                <w:numId w:val="9"/>
              </w:numPr>
              <w:spacing w:after="0" w:line="240" w:lineRule="auto"/>
              <w:ind w:left="1985"/>
              <w:rPr>
                <w:rFonts w:ascii="Arial Narrow" w:hAnsi="Arial Narrow"/>
                <w:sz w:val="20"/>
                <w:szCs w:val="20"/>
              </w:rPr>
            </w:pPr>
            <w:r w:rsidRPr="00D07E3A">
              <w:rPr>
                <w:rFonts w:ascii="Arial Narrow" w:hAnsi="Arial Narrow"/>
                <w:sz w:val="20"/>
                <w:szCs w:val="20"/>
              </w:rPr>
              <w:t>T-cell co-stimulation modulators (e.g., Abatacept)</w:t>
            </w:r>
          </w:p>
          <w:p w14:paraId="4892F8CA" w14:textId="77777777" w:rsidR="000E54D1" w:rsidRPr="00D07E3A" w:rsidRDefault="000E54D1" w:rsidP="00474CFE">
            <w:pPr>
              <w:pStyle w:val="ListParagraph"/>
              <w:numPr>
                <w:ilvl w:val="2"/>
                <w:numId w:val="9"/>
              </w:numPr>
              <w:spacing w:after="0" w:line="240" w:lineRule="auto"/>
              <w:ind w:left="1985"/>
              <w:rPr>
                <w:rFonts w:ascii="Arial Narrow" w:hAnsi="Arial Narrow"/>
                <w:sz w:val="20"/>
                <w:szCs w:val="20"/>
              </w:rPr>
            </w:pPr>
            <w:r w:rsidRPr="00D07E3A">
              <w:rPr>
                <w:rFonts w:ascii="Arial Narrow" w:hAnsi="Arial Narrow"/>
                <w:sz w:val="20"/>
                <w:szCs w:val="20"/>
              </w:rPr>
              <w:t>soluble TNF receptors,</w:t>
            </w:r>
          </w:p>
          <w:p w14:paraId="495F26D0" w14:textId="77777777" w:rsidR="000E54D1" w:rsidRPr="00D07E3A" w:rsidRDefault="000E54D1" w:rsidP="00474CFE">
            <w:pPr>
              <w:pStyle w:val="ListParagraph"/>
              <w:numPr>
                <w:ilvl w:val="2"/>
                <w:numId w:val="9"/>
              </w:numPr>
              <w:spacing w:after="0" w:line="240" w:lineRule="auto"/>
              <w:ind w:left="1985"/>
              <w:rPr>
                <w:rFonts w:ascii="Arial Narrow" w:hAnsi="Arial Narrow"/>
                <w:sz w:val="20"/>
                <w:szCs w:val="20"/>
              </w:rPr>
            </w:pPr>
            <w:r w:rsidRPr="00D07E3A">
              <w:rPr>
                <w:rFonts w:ascii="Arial Narrow" w:hAnsi="Arial Narrow"/>
                <w:sz w:val="20"/>
                <w:szCs w:val="20"/>
              </w:rPr>
              <w:t xml:space="preserve">type I interferon receptor inhibitors, </w:t>
            </w:r>
          </w:p>
          <w:p w14:paraId="6260D3B3" w14:textId="77777777" w:rsidR="000E54D1" w:rsidRPr="00D07E3A" w:rsidRDefault="000E54D1" w:rsidP="00474CFE">
            <w:pPr>
              <w:pStyle w:val="ListParagraph"/>
              <w:numPr>
                <w:ilvl w:val="2"/>
                <w:numId w:val="9"/>
              </w:numPr>
              <w:spacing w:after="0" w:line="240" w:lineRule="auto"/>
              <w:ind w:left="1985"/>
              <w:rPr>
                <w:rFonts w:ascii="Arial Narrow" w:hAnsi="Arial Narrow"/>
                <w:sz w:val="20"/>
                <w:szCs w:val="20"/>
              </w:rPr>
            </w:pPr>
            <w:r w:rsidRPr="00D07E3A">
              <w:rPr>
                <w:rFonts w:ascii="Arial Narrow" w:hAnsi="Arial Narrow"/>
                <w:sz w:val="20"/>
                <w:szCs w:val="20"/>
              </w:rPr>
              <w:t>proteasome inhibitors,</w:t>
            </w:r>
          </w:p>
          <w:p w14:paraId="37A66793" w14:textId="77777777" w:rsidR="000E54D1" w:rsidRPr="00D07E3A" w:rsidRDefault="000E54D1" w:rsidP="00474CFE">
            <w:pPr>
              <w:pStyle w:val="ListParagraph"/>
              <w:numPr>
                <w:ilvl w:val="2"/>
                <w:numId w:val="9"/>
              </w:numPr>
              <w:spacing w:after="0" w:line="240" w:lineRule="auto"/>
              <w:ind w:left="1985"/>
              <w:rPr>
                <w:rFonts w:ascii="Arial Narrow" w:hAnsi="Arial Narrow"/>
                <w:sz w:val="20"/>
                <w:szCs w:val="20"/>
              </w:rPr>
            </w:pPr>
            <w:r w:rsidRPr="00D07E3A">
              <w:rPr>
                <w:rFonts w:ascii="Arial Narrow" w:hAnsi="Arial Narrow"/>
                <w:sz w:val="20"/>
                <w:szCs w:val="20"/>
              </w:rPr>
              <w:t>interleukin (IL) inhibitors currently or within the last 6 months, including anti-IL1 antibodies, anti-IL4/13 antibodies, anti-IL5 antibodies, anti-IL6 antibodies, IL-6 receptor inhibitors</w:t>
            </w:r>
          </w:p>
          <w:p w14:paraId="05E03B50" w14:textId="772DFD4D" w:rsidR="000E54D1" w:rsidRPr="00D07E3A" w:rsidRDefault="000E54D1" w:rsidP="000E54D1">
            <w:pPr>
              <w:spacing w:line="240" w:lineRule="auto"/>
              <w:ind w:left="1276"/>
              <w:rPr>
                <w:rFonts w:ascii="Arial Narrow" w:hAnsi="Arial Narrow"/>
                <w:sz w:val="20"/>
                <w:szCs w:val="20"/>
              </w:rPr>
            </w:pPr>
            <w:r w:rsidRPr="00D07E3A">
              <w:rPr>
                <w:rFonts w:ascii="Arial Narrow" w:hAnsi="Arial Narrow"/>
                <w:sz w:val="20"/>
                <w:szCs w:val="20"/>
                <w:vertAlign w:val="superscript"/>
              </w:rPr>
              <w:t>^</w:t>
            </w:r>
            <w:r w:rsidRPr="00D07E3A">
              <w:rPr>
                <w:rFonts w:ascii="Arial Narrow" w:hAnsi="Arial Narrow"/>
                <w:sz w:val="20"/>
                <w:szCs w:val="20"/>
              </w:rPr>
              <w:t xml:space="preserve"> anti-integrins e.g., natalizumab and vedolizumab, anti-IgE antibodies, anti-complement antibodies and lower risk IL inhibitors anti-IL17 antibodies, anti-IL 12/23 antibodies, anti-IL23 antibodies, and anti-IL31 antibodies </w:t>
            </w:r>
          </w:p>
          <w:p w14:paraId="0650156D" w14:textId="77777777" w:rsidR="000E54D1" w:rsidRPr="00D07E3A" w:rsidRDefault="000E54D1" w:rsidP="00474CFE">
            <w:pPr>
              <w:pStyle w:val="ListParagraph"/>
              <w:numPr>
                <w:ilvl w:val="1"/>
                <w:numId w:val="4"/>
              </w:numPr>
              <w:spacing w:after="60" w:line="240" w:lineRule="auto"/>
              <w:ind w:left="1276"/>
              <w:rPr>
                <w:rFonts w:ascii="Arial Narrow" w:hAnsi="Arial Narrow" w:cstheme="minorHAnsi"/>
                <w:sz w:val="20"/>
                <w:szCs w:val="20"/>
              </w:rPr>
            </w:pPr>
            <w:r w:rsidRPr="00D07E3A">
              <w:rPr>
                <w:rFonts w:ascii="Arial Narrow" w:hAnsi="Arial Narrow" w:cstheme="minorHAnsi"/>
                <w:sz w:val="20"/>
                <w:szCs w:val="20"/>
              </w:rPr>
              <w:t>Immunomodulatory drugs including sphingosine-1-phosphate receptor modulators within the last 6 months</w:t>
            </w:r>
          </w:p>
          <w:p w14:paraId="4952B443" w14:textId="77777777" w:rsidR="000E54D1" w:rsidRPr="00D07E3A" w:rsidRDefault="000E54D1" w:rsidP="00474CFE">
            <w:pPr>
              <w:pStyle w:val="ListParagraph"/>
              <w:numPr>
                <w:ilvl w:val="1"/>
                <w:numId w:val="4"/>
              </w:numPr>
              <w:spacing w:after="60" w:line="240" w:lineRule="auto"/>
              <w:ind w:left="1276"/>
              <w:rPr>
                <w:rFonts w:ascii="Arial Narrow" w:hAnsi="Arial Narrow" w:cstheme="minorHAnsi"/>
                <w:sz w:val="20"/>
                <w:szCs w:val="20"/>
              </w:rPr>
            </w:pPr>
            <w:r w:rsidRPr="00D07E3A">
              <w:rPr>
                <w:rFonts w:ascii="Arial Narrow" w:hAnsi="Arial Narrow" w:cstheme="minorHAnsi"/>
                <w:sz w:val="20"/>
                <w:szCs w:val="20"/>
              </w:rPr>
              <w:t>Oral small molecule targeted therapies, currently or within the last 6 months including:</w:t>
            </w:r>
            <w:r w:rsidRPr="00D07E3A">
              <w:rPr>
                <w:rFonts w:ascii="Arial Narrow" w:hAnsi="Arial Narrow" w:cstheme="minorHAnsi"/>
                <w:sz w:val="20"/>
                <w:szCs w:val="20"/>
              </w:rPr>
              <w:br/>
              <w:t>Bruton’s tyrosine kinase (BTK) inhibitors, Janus kinase (JAK) inhibitors, BCR-ABL inhibitors</w:t>
            </w:r>
          </w:p>
          <w:p w14:paraId="2ED9218A" w14:textId="012965C3" w:rsidR="000E54D1" w:rsidRPr="00D07E3A" w:rsidRDefault="000E54D1" w:rsidP="000E54D1">
            <w:pPr>
              <w:pStyle w:val="Tabletext"/>
            </w:pPr>
          </w:p>
        </w:tc>
      </w:tr>
    </w:tbl>
    <w:p w14:paraId="3FCAB07C" w14:textId="77777777" w:rsidR="000E54D1" w:rsidRPr="00D07E3A" w:rsidRDefault="000E54D1" w:rsidP="000E54D1">
      <w:pPr>
        <w:rPr>
          <w:b/>
          <w:i/>
        </w:rPr>
      </w:pPr>
      <w:r w:rsidRPr="00D07E3A">
        <w:rPr>
          <w:b/>
          <w:i/>
        </w:rPr>
        <w:t>The wording of the item may be subject to further review. Should there be any changes made to the item the sponsor will be informed.</w:t>
      </w:r>
    </w:p>
    <w:p w14:paraId="03A30BB2" w14:textId="4DF6913D" w:rsidR="00BE087E" w:rsidRPr="00BE087E" w:rsidRDefault="00BE087E" w:rsidP="00BE087E">
      <w:pPr>
        <w:pStyle w:val="2-SectionHeading"/>
      </w:pPr>
      <w:r w:rsidRPr="00C07617">
        <w:t>Context for Decision</w:t>
      </w:r>
    </w:p>
    <w:p w14:paraId="21046BA8" w14:textId="13BB3B07" w:rsidR="00BE087E" w:rsidRPr="00311EEF" w:rsidRDefault="00BE087E" w:rsidP="00BE087E">
      <w:pPr>
        <w:spacing w:after="120" w:line="240" w:lineRule="auto"/>
        <w:ind w:left="720"/>
        <w:jc w:val="both"/>
        <w:rPr>
          <w:rFonts w:asciiTheme="minorHAnsi" w:eastAsia="Times New Roman" w:hAnsiTheme="minorHAnsi" w:cs="Arial"/>
          <w:bCs/>
          <w:lang w:val="en-GB" w:eastAsia="en-AU"/>
        </w:rPr>
      </w:pPr>
      <w:r w:rsidRPr="00311EEF">
        <w:rPr>
          <w:rFonts w:asciiTheme="minorHAnsi" w:eastAsia="Times New Roman" w:hAnsiTheme="minorHAnsi" w:cs="Arial"/>
          <w:bCs/>
          <w:lang w:val="en-GB" w:eastAsia="en-AU"/>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w:t>
      </w:r>
      <w:r w:rsidR="000E51E6" w:rsidRPr="00311EEF">
        <w:rPr>
          <w:rFonts w:asciiTheme="minorHAnsi" w:eastAsia="Times New Roman" w:hAnsiTheme="minorHAnsi" w:cs="Arial"/>
          <w:bCs/>
          <w:lang w:val="en-GB" w:eastAsia="en-AU"/>
        </w:rPr>
        <w:t>latest information</w:t>
      </w:r>
      <w:r w:rsidRPr="00311EEF">
        <w:rPr>
          <w:rFonts w:asciiTheme="minorHAnsi" w:eastAsia="Times New Roman" w:hAnsiTheme="minorHAnsi" w:cs="Arial"/>
          <w:bCs/>
          <w:lang w:val="en-GB" w:eastAsia="en-AU"/>
        </w:rPr>
        <w:t xml:space="preserve"> at any time.</w:t>
      </w:r>
    </w:p>
    <w:p w14:paraId="41A2C427" w14:textId="6A601A2A" w:rsidR="00BE087E" w:rsidRPr="00311EEF" w:rsidRDefault="00BE087E" w:rsidP="00BE087E">
      <w:pPr>
        <w:pStyle w:val="2-SectionHeading"/>
      </w:pPr>
      <w:r w:rsidRPr="00311EEF">
        <w:t>Sponsor’s Comment</w:t>
      </w:r>
    </w:p>
    <w:p w14:paraId="4E15FA5C" w14:textId="77777777" w:rsidR="00026CA1" w:rsidRPr="00026CA1" w:rsidRDefault="00026CA1" w:rsidP="00026CA1">
      <w:pPr>
        <w:spacing w:after="120"/>
        <w:ind w:left="720"/>
        <w:jc w:val="both"/>
        <w:rPr>
          <w:rFonts w:asciiTheme="minorHAnsi" w:hAnsiTheme="minorHAnsi" w:cs="Arial"/>
          <w:bCs/>
          <w:lang w:val="en-GB"/>
        </w:rPr>
      </w:pPr>
      <w:r w:rsidRPr="00026CA1">
        <w:rPr>
          <w:rFonts w:asciiTheme="minorHAnsi" w:hAnsiTheme="minorHAnsi" w:cs="Arial"/>
          <w:bCs/>
          <w:lang w:val="en-GB"/>
        </w:rPr>
        <w:t>GSK welcomes the PBAC recommendation to expand eligibility of Shingrix on the National Immunisation Program (NIP) for adults aged 18 years and older who are at increased risk of herpes zoster (shingles) due to specific underlying conditions and/or treatments.</w:t>
      </w:r>
    </w:p>
    <w:p w14:paraId="3C3280E0" w14:textId="77777777" w:rsidR="00026CA1" w:rsidRPr="00026CA1" w:rsidRDefault="00026CA1" w:rsidP="00026CA1">
      <w:pPr>
        <w:spacing w:after="120"/>
        <w:ind w:left="720"/>
        <w:jc w:val="both"/>
        <w:rPr>
          <w:rFonts w:asciiTheme="minorHAnsi" w:hAnsiTheme="minorHAnsi" w:cs="Arial"/>
          <w:bCs/>
          <w:lang w:val="en-GB"/>
        </w:rPr>
      </w:pPr>
      <w:r w:rsidRPr="00026CA1">
        <w:rPr>
          <w:rFonts w:asciiTheme="minorHAnsi" w:hAnsiTheme="minorHAnsi" w:cs="Arial"/>
          <w:bCs/>
          <w:lang w:val="en-GB"/>
        </w:rPr>
        <w:t>We recognise and thank the medical societies, healthcare professionals, and patient organisations who provided advice and input about shingles and Shingrix on behalf of the communities they represent.</w:t>
      </w:r>
    </w:p>
    <w:p w14:paraId="590633CE" w14:textId="7FD17BDE" w:rsidR="00407B45" w:rsidRPr="00D07E3A" w:rsidRDefault="00026CA1" w:rsidP="005865BE">
      <w:pPr>
        <w:spacing w:after="0" w:line="240" w:lineRule="auto"/>
        <w:ind w:left="720"/>
        <w:jc w:val="both"/>
        <w:rPr>
          <w:rFonts w:ascii="Arial Narrow" w:hAnsi="Arial Narrow"/>
          <w:sz w:val="18"/>
          <w:szCs w:val="18"/>
        </w:rPr>
      </w:pPr>
      <w:r w:rsidRPr="00026CA1">
        <w:rPr>
          <w:rFonts w:asciiTheme="minorHAnsi" w:hAnsiTheme="minorHAnsi" w:cs="Arial"/>
          <w:bCs/>
          <w:lang w:val="en-GB"/>
        </w:rPr>
        <w:t>We acknowledge there remain Australians who are recommended by ATAGI to receive shingles vaccination but are not yet eligible for Shingrix under the NIP. We will continue to work to achieve equitable access to Shingrix for these groups of people.</w:t>
      </w:r>
    </w:p>
    <w:sectPr w:rsidR="00407B45" w:rsidRPr="00D07E3A" w:rsidSect="00BD1CE7">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105B5" w14:textId="77777777" w:rsidR="00E32409" w:rsidRDefault="00E32409" w:rsidP="004A2800">
      <w:pPr>
        <w:spacing w:after="0" w:line="240" w:lineRule="auto"/>
      </w:pPr>
      <w:r>
        <w:separator/>
      </w:r>
    </w:p>
  </w:endnote>
  <w:endnote w:type="continuationSeparator" w:id="0">
    <w:p w14:paraId="53257B4B" w14:textId="77777777" w:rsidR="00E32409" w:rsidRDefault="00E32409" w:rsidP="004A2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swiss"/>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F266D" w14:textId="77777777" w:rsidR="009561E0" w:rsidRDefault="009561E0">
    <w:pPr>
      <w:pStyle w:val="Footer"/>
      <w:jc w:val="center"/>
    </w:pPr>
  </w:p>
  <w:sdt>
    <w:sdtPr>
      <w:id w:val="29539079"/>
      <w:docPartObj>
        <w:docPartGallery w:val="Page Numbers (Bottom of Page)"/>
        <w:docPartUnique/>
      </w:docPartObj>
    </w:sdtPr>
    <w:sdtEndPr>
      <w:rPr>
        <w:b/>
        <w:bCs/>
        <w:noProof/>
      </w:rPr>
    </w:sdtEndPr>
    <w:sdtContent>
      <w:p w14:paraId="169B60DB" w14:textId="43620F92" w:rsidR="00034027" w:rsidRPr="009561E0" w:rsidRDefault="009561E0" w:rsidP="009561E0">
        <w:pPr>
          <w:pStyle w:val="Footer"/>
          <w:jc w:val="center"/>
          <w:rPr>
            <w:b/>
            <w:bCs/>
          </w:rPr>
        </w:pPr>
        <w:r w:rsidRPr="009561E0">
          <w:rPr>
            <w:b/>
            <w:bCs/>
          </w:rPr>
          <w:fldChar w:fldCharType="begin"/>
        </w:r>
        <w:r w:rsidRPr="009561E0">
          <w:rPr>
            <w:b/>
            <w:bCs/>
          </w:rPr>
          <w:instrText xml:space="preserve"> PAGE   \* MERGEFORMAT </w:instrText>
        </w:r>
        <w:r w:rsidRPr="009561E0">
          <w:rPr>
            <w:b/>
            <w:bCs/>
          </w:rPr>
          <w:fldChar w:fldCharType="separate"/>
        </w:r>
        <w:r w:rsidRPr="009561E0">
          <w:rPr>
            <w:b/>
            <w:bCs/>
            <w:noProof/>
          </w:rPr>
          <w:t>2</w:t>
        </w:r>
        <w:r w:rsidRPr="009561E0">
          <w:rPr>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E2240" w14:textId="77777777" w:rsidR="00E32409" w:rsidRDefault="00E32409" w:rsidP="004A2800">
      <w:pPr>
        <w:spacing w:after="0" w:line="240" w:lineRule="auto"/>
      </w:pPr>
      <w:r>
        <w:separator/>
      </w:r>
    </w:p>
  </w:footnote>
  <w:footnote w:type="continuationSeparator" w:id="0">
    <w:p w14:paraId="0C48EF43" w14:textId="77777777" w:rsidR="00E32409" w:rsidRDefault="00E32409" w:rsidP="004A2800">
      <w:pPr>
        <w:spacing w:after="0" w:line="240" w:lineRule="auto"/>
      </w:pPr>
      <w:r>
        <w:continuationSeparator/>
      </w:r>
    </w:p>
  </w:footnote>
  <w:footnote w:id="1">
    <w:p w14:paraId="12727C44" w14:textId="1119B761" w:rsidR="006367A6" w:rsidRDefault="006367A6">
      <w:pPr>
        <w:pStyle w:val="FootnoteText"/>
      </w:pPr>
      <w:r>
        <w:rPr>
          <w:rStyle w:val="FootnoteReference"/>
        </w:rPr>
        <w:footnoteRef/>
      </w:r>
      <w:r>
        <w:t xml:space="preserve"> </w:t>
      </w:r>
      <w:hyperlink r:id="rId1" w:history="1">
        <w:r w:rsidR="000E51E6" w:rsidRPr="001061AD">
          <w:rPr>
            <w:rStyle w:val="Hyperlink"/>
          </w:rPr>
          <w:t>https://www.health.gov.au/news/national-immunisation-program-changes-to-shingles-vaccination-from-1-november-2023</w:t>
        </w:r>
      </w:hyperlink>
      <w:r>
        <w:t xml:space="preserve"> </w:t>
      </w:r>
    </w:p>
  </w:footnote>
  <w:footnote w:id="2">
    <w:p w14:paraId="47715DB0" w14:textId="31D85FC8" w:rsidR="00797660" w:rsidRDefault="00797660">
      <w:pPr>
        <w:pStyle w:val="FootnoteText"/>
      </w:pPr>
      <w:r>
        <w:rPr>
          <w:rStyle w:val="FootnoteReference"/>
        </w:rPr>
        <w:footnoteRef/>
      </w:r>
      <w:r>
        <w:t xml:space="preserve"> </w:t>
      </w:r>
      <w:r w:rsidR="00146E79">
        <w:t xml:space="preserve">Calculated as </w:t>
      </w:r>
      <w:r w:rsidR="002819BB">
        <w:t>100,000 to &lt; 200,000</w:t>
      </w:r>
      <w:r>
        <w:t xml:space="preserve"> + </w:t>
      </w:r>
      <w:r w:rsidR="002819BB">
        <w:t xml:space="preserve">60,000 to &lt; </w:t>
      </w:r>
      <w:proofErr w:type="gramStart"/>
      <w:r w:rsidR="002819BB">
        <w:t>70,000</w:t>
      </w:r>
      <w:proofErr w:type="gramEnd"/>
      <w:r w:rsidR="00407B45">
        <w:t xml:space="preserve"> </w:t>
      </w:r>
    </w:p>
  </w:footnote>
  <w:footnote w:id="3">
    <w:p w14:paraId="439C1304" w14:textId="0EC4D199" w:rsidR="00797660" w:rsidRDefault="00797660">
      <w:pPr>
        <w:pStyle w:val="FootnoteText"/>
      </w:pPr>
      <w:r>
        <w:rPr>
          <w:rStyle w:val="FootnoteReference"/>
        </w:rPr>
        <w:footnoteRef/>
      </w:r>
      <w:r>
        <w:t xml:space="preserve"> </w:t>
      </w:r>
      <w:r w:rsidR="00146E79">
        <w:t xml:space="preserve">Calculated as </w:t>
      </w:r>
      <w:r w:rsidR="005C46D9">
        <w:t>90,000 to &lt; 100,000</w:t>
      </w:r>
      <w:r>
        <w:t xml:space="preserve"> + </w:t>
      </w:r>
      <w:r w:rsidR="005C46D9">
        <w:t>500 to &lt; 5,000</w:t>
      </w:r>
    </w:p>
  </w:footnote>
  <w:footnote w:id="4">
    <w:p w14:paraId="037089F1" w14:textId="1BC5F37E" w:rsidR="00E632D3" w:rsidRDefault="00E632D3">
      <w:pPr>
        <w:pStyle w:val="FootnoteText"/>
      </w:pPr>
      <w:r>
        <w:rPr>
          <w:rStyle w:val="FootnoteReference"/>
        </w:rPr>
        <w:footnoteRef/>
      </w:r>
      <w:r>
        <w:t xml:space="preserve"> Kuo CC, Lee CT, Lee IM et al. Risk of herpes zoster in patients treatment with long-term hemodialysis: a matched cohort study. </w:t>
      </w:r>
      <w:r w:rsidRPr="00E632D3">
        <w:rPr>
          <w:i/>
          <w:iCs/>
        </w:rPr>
        <w:t>American Journal of Kidney Diseases</w:t>
      </w:r>
      <w:r>
        <w:t xml:space="preserve"> 2012; 59: 428 – 33. </w:t>
      </w:r>
    </w:p>
  </w:footnote>
  <w:footnote w:id="5">
    <w:p w14:paraId="09A118CF" w14:textId="0B406B6F" w:rsidR="00E632D3" w:rsidRDefault="00E632D3">
      <w:pPr>
        <w:pStyle w:val="FootnoteText"/>
      </w:pPr>
      <w:r>
        <w:rPr>
          <w:rStyle w:val="FootnoteReference"/>
        </w:rPr>
        <w:footnoteRef/>
      </w:r>
      <w:r>
        <w:t xml:space="preserve"> Hata A, Kuniyoshi M, Ohkusa Y. Risk of herpes zoster in patients with underlying diseases: a retrospective hospital-based cohort study. </w:t>
      </w:r>
      <w:r w:rsidRPr="00E632D3">
        <w:rPr>
          <w:i/>
          <w:iCs/>
        </w:rPr>
        <w:t>Infection</w:t>
      </w:r>
      <w:r>
        <w:t xml:space="preserve"> 2011; 39: 537-44</w:t>
      </w:r>
    </w:p>
  </w:footnote>
  <w:footnote w:id="6">
    <w:p w14:paraId="7A267666" w14:textId="0DABDA33" w:rsidR="00E632D3" w:rsidRDefault="00E632D3">
      <w:pPr>
        <w:pStyle w:val="FootnoteText"/>
      </w:pPr>
      <w:r>
        <w:rPr>
          <w:rStyle w:val="FootnoteReference"/>
        </w:rPr>
        <w:footnoteRef/>
      </w:r>
      <w:r>
        <w:t xml:space="preserve"> </w:t>
      </w:r>
      <w:r w:rsidRPr="00E632D3">
        <w:t>https://clinicalinfo.hiv.gov/en/glossary/aids-case-definition#:~:text=HIV%2FAIDS%20Glossary&amp;text=Diagnostic%20criteria%20for%20AIDS%20established,an%20AIDS%2Ddefining%20condition)</w:t>
      </w:r>
    </w:p>
  </w:footnote>
  <w:footnote w:id="7">
    <w:p w14:paraId="68632582" w14:textId="299967EF" w:rsidR="00E632D3" w:rsidRDefault="00E632D3">
      <w:pPr>
        <w:pStyle w:val="FootnoteText"/>
      </w:pPr>
      <w:r>
        <w:rPr>
          <w:rStyle w:val="FootnoteReference"/>
        </w:rPr>
        <w:footnoteRef/>
      </w:r>
      <w:r w:rsidRPr="00E632D3">
        <w:t>https://assets.publishing.service.gov.uk/government/uploads/system/uploads/attachment_data/file/1174008/Shingles_Green_Book_on_Immunisation_Chapter_28a_26_7_23.pdf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C959" w14:textId="3712653B" w:rsidR="004A2800" w:rsidRPr="0034533F" w:rsidRDefault="00BE087E" w:rsidP="004A2800">
    <w:pPr>
      <w:pStyle w:val="Header"/>
      <w:jc w:val="center"/>
      <w:rPr>
        <w:i/>
        <w:iCs/>
      </w:rPr>
    </w:pPr>
    <w:r w:rsidRPr="0034533F">
      <w:rPr>
        <w:i/>
        <w:iCs/>
      </w:rPr>
      <w:t>Public Summary Document</w:t>
    </w:r>
    <w:r w:rsidR="0017355F" w:rsidRPr="0034533F">
      <w:rPr>
        <w:i/>
        <w:iCs/>
      </w:rPr>
      <w:t xml:space="preserve"> - </w:t>
    </w:r>
    <w:r w:rsidR="004A2800" w:rsidRPr="0034533F">
      <w:rPr>
        <w:i/>
        <w:iCs/>
      </w:rPr>
      <w:t>November 2023 PBAC meeting</w:t>
    </w:r>
  </w:p>
  <w:p w14:paraId="18A972F1" w14:textId="77777777" w:rsidR="00377DDE" w:rsidRDefault="00377DDE" w:rsidP="004A28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366"/>
    <w:multiLevelType w:val="multilevel"/>
    <w:tmpl w:val="287C7CB4"/>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E7039C"/>
    <w:multiLevelType w:val="hybridMultilevel"/>
    <w:tmpl w:val="54E449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392218F"/>
    <w:multiLevelType w:val="multilevel"/>
    <w:tmpl w:val="B57AAFC8"/>
    <w:lvl w:ilvl="0">
      <w:start w:val="1"/>
      <w:numFmt w:val="bullet"/>
      <w:lvlText w:val=""/>
      <w:lvlJc w:val="left"/>
      <w:pPr>
        <w:ind w:left="720" w:hanging="720"/>
      </w:pPr>
      <w:rPr>
        <w:rFonts w:ascii="Symbol" w:hAnsi="Symbol"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701F8E"/>
    <w:multiLevelType w:val="hybridMultilevel"/>
    <w:tmpl w:val="9448FE36"/>
    <w:lvl w:ilvl="0" w:tplc="6B0C20FA">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C1DEF"/>
    <w:multiLevelType w:val="hybridMultilevel"/>
    <w:tmpl w:val="0DE457F6"/>
    <w:lvl w:ilvl="0" w:tplc="FFFFFFFF">
      <w:start w:val="1"/>
      <w:numFmt w:val="bullet"/>
      <w:lvlText w:val=""/>
      <w:lvlJc w:val="left"/>
      <w:pPr>
        <w:ind w:left="720" w:hanging="360"/>
      </w:pPr>
      <w:rPr>
        <w:rFonts w:ascii="Symbol" w:hAnsi="Symbol" w:hint="default"/>
      </w:rPr>
    </w:lvl>
    <w:lvl w:ilvl="1" w:tplc="0C09001B">
      <w:start w:val="1"/>
      <w:numFmt w:val="lowerRoman"/>
      <w:lvlText w:val="%2."/>
      <w:lvlJc w:val="righ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DF0C7C"/>
    <w:multiLevelType w:val="hybridMultilevel"/>
    <w:tmpl w:val="9094E4DA"/>
    <w:lvl w:ilvl="0" w:tplc="FFFFFFFF">
      <w:start w:val="1"/>
      <w:numFmt w:val="bullet"/>
      <w:lvlText w:val="-"/>
      <w:lvlJc w:val="left"/>
      <w:pPr>
        <w:ind w:left="720" w:hanging="360"/>
      </w:pPr>
      <w:rPr>
        <w:rFonts w:ascii="Calibri" w:hAnsi="Calibri" w:hint="default"/>
      </w:rPr>
    </w:lvl>
    <w:lvl w:ilvl="1" w:tplc="E0EC3E1E">
      <w:start w:val="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0F455F"/>
    <w:multiLevelType w:val="hybridMultilevel"/>
    <w:tmpl w:val="2A649A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0053F11"/>
    <w:multiLevelType w:val="multilevel"/>
    <w:tmpl w:val="575CEDBE"/>
    <w:styleLink w:val="NumberBullet"/>
    <w:lvl w:ilvl="0">
      <w:start w:val="1"/>
      <w:numFmt w:val="decimal"/>
      <w:pStyle w:val="COMH1numbered"/>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8" w15:restartNumberingAfterBreak="0">
    <w:nsid w:val="1136651A"/>
    <w:multiLevelType w:val="multilevel"/>
    <w:tmpl w:val="C1B839F4"/>
    <w:lvl w:ilvl="0">
      <w:start w:val="1"/>
      <w:numFmt w:val="lowerLetter"/>
      <w:lvlText w:val="(%1)"/>
      <w:lvlJc w:val="left"/>
      <w:pPr>
        <w:ind w:left="360" w:hanging="360"/>
      </w:pPr>
      <w:rPr>
        <w:rFonts w:hint="default"/>
      </w:rPr>
    </w:lvl>
    <w:lvl w:ilvl="1">
      <w:start w:val="1"/>
      <w:numFmt w:val="lowerRoman"/>
      <w:lvlText w:val="%2."/>
      <w:lvlJc w:val="right"/>
      <w:pPr>
        <w:ind w:left="720" w:hanging="360"/>
      </w:pPr>
    </w:lvl>
    <w:lvl w:ilvl="2">
      <w:start w:val="1"/>
      <w:numFmt w:val="upperLetter"/>
      <w:lvlText w:val="(%3)"/>
      <w:lvlJc w:val="right"/>
      <w:pPr>
        <w:ind w:left="1080" w:hanging="360"/>
      </w:pPr>
      <w:rPr>
        <w:rFonts w:hint="default"/>
      </w:rPr>
    </w:lvl>
    <w:lvl w:ilvl="3">
      <w:start w:val="1"/>
      <w:numFmt w:val="upperLetter"/>
      <w:lvlText w:val="(%4)"/>
      <w:lvlJc w:val="righ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3C35C61"/>
    <w:multiLevelType w:val="multilevel"/>
    <w:tmpl w:val="92F8C368"/>
    <w:lvl w:ilvl="0">
      <w:start w:val="1"/>
      <w:numFmt w:val="lowerLetter"/>
      <w:lvlText w:val="(%1)"/>
      <w:lvlJc w:val="left"/>
      <w:pPr>
        <w:ind w:left="360" w:hanging="360"/>
      </w:pPr>
      <w:rPr>
        <w:rFonts w:hint="default"/>
      </w:rPr>
    </w:lvl>
    <w:lvl w:ilvl="1">
      <w:start w:val="1"/>
      <w:numFmt w:val="lowerRoman"/>
      <w:lvlText w:val="%2."/>
      <w:lvlJc w:val="right"/>
      <w:pPr>
        <w:ind w:left="720" w:hanging="360"/>
      </w:pPr>
    </w:lvl>
    <w:lvl w:ilvl="2">
      <w:start w:val="1"/>
      <w:numFmt w:val="upperLetter"/>
      <w:lvlText w:val="(%3)"/>
      <w:lvlJc w:val="right"/>
      <w:pPr>
        <w:ind w:left="1591"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5934D5F"/>
    <w:multiLevelType w:val="hybridMultilevel"/>
    <w:tmpl w:val="D680A7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62D77EA"/>
    <w:multiLevelType w:val="hybridMultilevel"/>
    <w:tmpl w:val="2C425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605A91"/>
    <w:multiLevelType w:val="hybridMultilevel"/>
    <w:tmpl w:val="81F07366"/>
    <w:lvl w:ilvl="0" w:tplc="FFFFFFFF">
      <w:start w:val="1"/>
      <w:numFmt w:val="bullet"/>
      <w:lvlText w:val="-"/>
      <w:lvlJc w:val="left"/>
      <w:pPr>
        <w:ind w:left="360" w:hanging="360"/>
      </w:pPr>
      <w:rPr>
        <w:rFonts w:ascii="Calibr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C2324F1"/>
    <w:multiLevelType w:val="hybridMultilevel"/>
    <w:tmpl w:val="FA9842A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EE60C8E"/>
    <w:multiLevelType w:val="hybridMultilevel"/>
    <w:tmpl w:val="96F26B42"/>
    <w:lvl w:ilvl="0" w:tplc="2AEE32A2">
      <w:start w:val="1"/>
      <w:numFmt w:val="decimal"/>
      <w:lvlText w:val="%1."/>
      <w:lvlJc w:val="left"/>
      <w:pPr>
        <w:tabs>
          <w:tab w:val="num" w:pos="720"/>
        </w:tabs>
        <w:ind w:left="720" w:hanging="360"/>
      </w:pPr>
    </w:lvl>
    <w:lvl w:ilvl="1" w:tplc="DABE6392" w:tentative="1">
      <w:start w:val="1"/>
      <w:numFmt w:val="decimal"/>
      <w:lvlText w:val="%2."/>
      <w:lvlJc w:val="left"/>
      <w:pPr>
        <w:tabs>
          <w:tab w:val="num" w:pos="1440"/>
        </w:tabs>
        <w:ind w:left="1440" w:hanging="360"/>
      </w:pPr>
    </w:lvl>
    <w:lvl w:ilvl="2" w:tplc="4BEE51BC" w:tentative="1">
      <w:start w:val="1"/>
      <w:numFmt w:val="decimal"/>
      <w:lvlText w:val="%3."/>
      <w:lvlJc w:val="left"/>
      <w:pPr>
        <w:tabs>
          <w:tab w:val="num" w:pos="2160"/>
        </w:tabs>
        <w:ind w:left="2160" w:hanging="360"/>
      </w:pPr>
    </w:lvl>
    <w:lvl w:ilvl="3" w:tplc="22CE96CC" w:tentative="1">
      <w:start w:val="1"/>
      <w:numFmt w:val="decimal"/>
      <w:lvlText w:val="%4."/>
      <w:lvlJc w:val="left"/>
      <w:pPr>
        <w:tabs>
          <w:tab w:val="num" w:pos="2880"/>
        </w:tabs>
        <w:ind w:left="2880" w:hanging="360"/>
      </w:pPr>
    </w:lvl>
    <w:lvl w:ilvl="4" w:tplc="A558BC4E" w:tentative="1">
      <w:start w:val="1"/>
      <w:numFmt w:val="decimal"/>
      <w:lvlText w:val="%5."/>
      <w:lvlJc w:val="left"/>
      <w:pPr>
        <w:tabs>
          <w:tab w:val="num" w:pos="3600"/>
        </w:tabs>
        <w:ind w:left="3600" w:hanging="360"/>
      </w:pPr>
    </w:lvl>
    <w:lvl w:ilvl="5" w:tplc="76C03A08" w:tentative="1">
      <w:start w:val="1"/>
      <w:numFmt w:val="decimal"/>
      <w:lvlText w:val="%6."/>
      <w:lvlJc w:val="left"/>
      <w:pPr>
        <w:tabs>
          <w:tab w:val="num" w:pos="4320"/>
        </w:tabs>
        <w:ind w:left="4320" w:hanging="360"/>
      </w:pPr>
    </w:lvl>
    <w:lvl w:ilvl="6" w:tplc="CF186AC2" w:tentative="1">
      <w:start w:val="1"/>
      <w:numFmt w:val="decimal"/>
      <w:lvlText w:val="%7."/>
      <w:lvlJc w:val="left"/>
      <w:pPr>
        <w:tabs>
          <w:tab w:val="num" w:pos="5040"/>
        </w:tabs>
        <w:ind w:left="5040" w:hanging="360"/>
      </w:pPr>
    </w:lvl>
    <w:lvl w:ilvl="7" w:tplc="0CE88A4A" w:tentative="1">
      <w:start w:val="1"/>
      <w:numFmt w:val="decimal"/>
      <w:lvlText w:val="%8."/>
      <w:lvlJc w:val="left"/>
      <w:pPr>
        <w:tabs>
          <w:tab w:val="num" w:pos="5760"/>
        </w:tabs>
        <w:ind w:left="5760" w:hanging="360"/>
      </w:pPr>
    </w:lvl>
    <w:lvl w:ilvl="8" w:tplc="BB4E35F2" w:tentative="1">
      <w:start w:val="1"/>
      <w:numFmt w:val="decimal"/>
      <w:lvlText w:val="%9."/>
      <w:lvlJc w:val="left"/>
      <w:pPr>
        <w:tabs>
          <w:tab w:val="num" w:pos="6480"/>
        </w:tabs>
        <w:ind w:left="6480" w:hanging="360"/>
      </w:pPr>
    </w:lvl>
  </w:abstractNum>
  <w:abstractNum w:abstractNumId="15" w15:restartNumberingAfterBreak="0">
    <w:nsid w:val="23813C8D"/>
    <w:multiLevelType w:val="multilevel"/>
    <w:tmpl w:val="D7B622C4"/>
    <w:lvl w:ilvl="0">
      <w:start w:val="1"/>
      <w:numFmt w:val="lowerLetter"/>
      <w:lvlText w:val="(%1)"/>
      <w:lvlJc w:val="left"/>
      <w:pPr>
        <w:ind w:left="360" w:hanging="360"/>
      </w:pPr>
      <w:rPr>
        <w:rFonts w:hint="default"/>
      </w:r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15951EC"/>
    <w:multiLevelType w:val="multilevel"/>
    <w:tmpl w:val="92F8C368"/>
    <w:lvl w:ilvl="0">
      <w:start w:val="1"/>
      <w:numFmt w:val="lowerLetter"/>
      <w:lvlText w:val="(%1)"/>
      <w:lvlJc w:val="left"/>
      <w:pPr>
        <w:ind w:left="720" w:hanging="360"/>
      </w:pPr>
      <w:rPr>
        <w:rFonts w:hint="default"/>
      </w:rPr>
    </w:lvl>
    <w:lvl w:ilvl="1">
      <w:start w:val="1"/>
      <w:numFmt w:val="lowerRoman"/>
      <w:lvlText w:val="%2."/>
      <w:lvlJc w:val="right"/>
      <w:pPr>
        <w:ind w:left="1080" w:hanging="360"/>
      </w:pPr>
    </w:lvl>
    <w:lvl w:ilvl="2">
      <w:start w:val="1"/>
      <w:numFmt w:val="upperLetter"/>
      <w:lvlText w:val="(%3)"/>
      <w:lvlJc w:val="right"/>
      <w:pPr>
        <w:ind w:left="1920" w:hanging="360"/>
      </w:pPr>
      <w:rPr>
        <w:rFonts w:hint="default"/>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38734D79"/>
    <w:multiLevelType w:val="multilevel"/>
    <w:tmpl w:val="B57AAFC8"/>
    <w:lvl w:ilvl="0">
      <w:start w:val="1"/>
      <w:numFmt w:val="bullet"/>
      <w:lvlText w:val=""/>
      <w:lvlJc w:val="left"/>
      <w:pPr>
        <w:ind w:left="720" w:hanging="720"/>
      </w:pPr>
      <w:rPr>
        <w:rFonts w:ascii="Symbol" w:hAnsi="Symbol"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8345A9"/>
    <w:multiLevelType w:val="multilevel"/>
    <w:tmpl w:val="92F8C368"/>
    <w:lvl w:ilvl="0">
      <w:start w:val="1"/>
      <w:numFmt w:val="lowerLetter"/>
      <w:lvlText w:val="(%1)"/>
      <w:lvlJc w:val="left"/>
      <w:pPr>
        <w:ind w:left="360" w:hanging="360"/>
      </w:pPr>
      <w:rPr>
        <w:rFonts w:hint="default"/>
      </w:rPr>
    </w:lvl>
    <w:lvl w:ilvl="1">
      <w:start w:val="1"/>
      <w:numFmt w:val="lowerRoman"/>
      <w:lvlText w:val="%2."/>
      <w:lvlJc w:val="right"/>
      <w:pPr>
        <w:ind w:left="720" w:hanging="360"/>
      </w:pPr>
    </w:lvl>
    <w:lvl w:ilvl="2">
      <w:start w:val="1"/>
      <w:numFmt w:val="upperLetter"/>
      <w:lvlText w:val="(%3)"/>
      <w:lvlJc w:val="right"/>
      <w:pPr>
        <w:ind w:left="156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963125"/>
    <w:multiLevelType w:val="multilevel"/>
    <w:tmpl w:val="B57AAFC8"/>
    <w:lvl w:ilvl="0">
      <w:start w:val="1"/>
      <w:numFmt w:val="bullet"/>
      <w:lvlText w:val=""/>
      <w:lvlJc w:val="left"/>
      <w:pPr>
        <w:ind w:left="720" w:hanging="720"/>
      </w:pPr>
      <w:rPr>
        <w:rFonts w:ascii="Symbol" w:hAnsi="Symbol"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EA43AC"/>
    <w:multiLevelType w:val="multilevel"/>
    <w:tmpl w:val="B57AAFC8"/>
    <w:lvl w:ilvl="0">
      <w:start w:val="1"/>
      <w:numFmt w:val="bullet"/>
      <w:lvlText w:val=""/>
      <w:lvlJc w:val="left"/>
      <w:pPr>
        <w:ind w:left="720" w:hanging="720"/>
      </w:pPr>
      <w:rPr>
        <w:rFonts w:ascii="Symbol" w:hAnsi="Symbol"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395622A"/>
    <w:multiLevelType w:val="hybridMultilevel"/>
    <w:tmpl w:val="741A81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5A63CA5"/>
    <w:multiLevelType w:val="hybridMultilevel"/>
    <w:tmpl w:val="802A4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582F28"/>
    <w:multiLevelType w:val="multilevel"/>
    <w:tmpl w:val="92F8C368"/>
    <w:lvl w:ilvl="0">
      <w:start w:val="1"/>
      <w:numFmt w:val="lowerLetter"/>
      <w:lvlText w:val="(%1)"/>
      <w:lvlJc w:val="left"/>
      <w:pPr>
        <w:ind w:left="360" w:hanging="360"/>
      </w:pPr>
      <w:rPr>
        <w:rFonts w:hint="default"/>
      </w:rPr>
    </w:lvl>
    <w:lvl w:ilvl="1">
      <w:start w:val="1"/>
      <w:numFmt w:val="lowerRoman"/>
      <w:lvlText w:val="%2."/>
      <w:lvlJc w:val="right"/>
      <w:pPr>
        <w:ind w:left="720" w:hanging="360"/>
      </w:pPr>
    </w:lvl>
    <w:lvl w:ilvl="2">
      <w:start w:val="1"/>
      <w:numFmt w:val="upperLetter"/>
      <w:lvlText w:val="(%3)"/>
      <w:lvlJc w:val="right"/>
      <w:pPr>
        <w:ind w:left="156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F877ABF"/>
    <w:multiLevelType w:val="hybridMultilevel"/>
    <w:tmpl w:val="6DEA32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E13122B"/>
    <w:multiLevelType w:val="hybridMultilevel"/>
    <w:tmpl w:val="4428207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16508E1"/>
    <w:multiLevelType w:val="multilevel"/>
    <w:tmpl w:val="92F8C368"/>
    <w:lvl w:ilvl="0">
      <w:start w:val="1"/>
      <w:numFmt w:val="lowerLetter"/>
      <w:lvlText w:val="(%1)"/>
      <w:lvlJc w:val="left"/>
      <w:pPr>
        <w:ind w:left="360" w:hanging="360"/>
      </w:pPr>
      <w:rPr>
        <w:rFonts w:hint="default"/>
      </w:rPr>
    </w:lvl>
    <w:lvl w:ilvl="1">
      <w:start w:val="1"/>
      <w:numFmt w:val="lowerRoman"/>
      <w:lvlText w:val="%2."/>
      <w:lvlJc w:val="right"/>
      <w:pPr>
        <w:ind w:left="720" w:hanging="360"/>
      </w:pPr>
    </w:lvl>
    <w:lvl w:ilvl="2">
      <w:start w:val="1"/>
      <w:numFmt w:val="upperLetter"/>
      <w:lvlText w:val="(%3)"/>
      <w:lvlJc w:val="right"/>
      <w:pPr>
        <w:ind w:left="156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E3A5AFF"/>
    <w:multiLevelType w:val="hybridMultilevel"/>
    <w:tmpl w:val="5F92D64A"/>
    <w:lvl w:ilvl="0" w:tplc="FFFFFFFF">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099398814">
    <w:abstractNumId w:val="27"/>
  </w:num>
  <w:num w:numId="2" w16cid:durableId="541138822">
    <w:abstractNumId w:val="1"/>
  </w:num>
  <w:num w:numId="3" w16cid:durableId="995449274">
    <w:abstractNumId w:val="8"/>
  </w:num>
  <w:num w:numId="4" w16cid:durableId="28999271">
    <w:abstractNumId w:val="15"/>
  </w:num>
  <w:num w:numId="5" w16cid:durableId="1097170425">
    <w:abstractNumId w:val="23"/>
  </w:num>
  <w:num w:numId="6" w16cid:durableId="2132966664">
    <w:abstractNumId w:val="16"/>
  </w:num>
  <w:num w:numId="7" w16cid:durableId="1506633478">
    <w:abstractNumId w:val="9"/>
  </w:num>
  <w:num w:numId="8" w16cid:durableId="511603634">
    <w:abstractNumId w:val="26"/>
  </w:num>
  <w:num w:numId="9" w16cid:durableId="1662081133">
    <w:abstractNumId w:val="18"/>
  </w:num>
  <w:num w:numId="10" w16cid:durableId="2076314194">
    <w:abstractNumId w:val="0"/>
  </w:num>
  <w:num w:numId="11" w16cid:durableId="75984615">
    <w:abstractNumId w:val="19"/>
  </w:num>
  <w:num w:numId="12" w16cid:durableId="1825928725">
    <w:abstractNumId w:val="20"/>
  </w:num>
  <w:num w:numId="13" w16cid:durableId="264969639">
    <w:abstractNumId w:val="17"/>
  </w:num>
  <w:num w:numId="14" w16cid:durableId="1059287351">
    <w:abstractNumId w:val="25"/>
  </w:num>
  <w:num w:numId="15" w16cid:durableId="838545720">
    <w:abstractNumId w:val="4"/>
  </w:num>
  <w:num w:numId="16" w16cid:durableId="651714432">
    <w:abstractNumId w:val="2"/>
  </w:num>
  <w:num w:numId="17" w16cid:durableId="1031418067">
    <w:abstractNumId w:val="14"/>
  </w:num>
  <w:num w:numId="18" w16cid:durableId="1729648348">
    <w:abstractNumId w:val="6"/>
  </w:num>
  <w:num w:numId="19" w16cid:durableId="399718337">
    <w:abstractNumId w:val="10"/>
  </w:num>
  <w:num w:numId="20" w16cid:durableId="1465922383">
    <w:abstractNumId w:val="11"/>
  </w:num>
  <w:num w:numId="21" w16cid:durableId="1781409518">
    <w:abstractNumId w:val="21"/>
  </w:num>
  <w:num w:numId="22" w16cid:durableId="1703433228">
    <w:abstractNumId w:val="13"/>
  </w:num>
  <w:num w:numId="23" w16cid:durableId="293296132">
    <w:abstractNumId w:val="5"/>
  </w:num>
  <w:num w:numId="24" w16cid:durableId="1313211906">
    <w:abstractNumId w:val="3"/>
  </w:num>
  <w:num w:numId="25" w16cid:durableId="319777848">
    <w:abstractNumId w:val="24"/>
  </w:num>
  <w:num w:numId="26" w16cid:durableId="317417877">
    <w:abstractNumId w:val="22"/>
  </w:num>
  <w:num w:numId="27" w16cid:durableId="719400683">
    <w:abstractNumId w:val="28"/>
  </w:num>
  <w:num w:numId="28" w16cid:durableId="771441301">
    <w:abstractNumId w:val="12"/>
  </w:num>
  <w:num w:numId="29" w16cid:durableId="1032682169">
    <w:abstractNumId w:val="27"/>
  </w:num>
  <w:num w:numId="30" w16cid:durableId="134639077">
    <w:abstractNumId w:val="27"/>
  </w:num>
  <w:num w:numId="31" w16cid:durableId="1327319626">
    <w:abstractNumId w:val="27"/>
  </w:num>
  <w:num w:numId="32" w16cid:durableId="1982926537">
    <w:abstractNumId w:val="7"/>
  </w:num>
  <w:num w:numId="33" w16cid:durableId="178005037">
    <w:abstractNumId w:val="27"/>
  </w:num>
  <w:num w:numId="34" w16cid:durableId="1913657470">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800"/>
    <w:rsid w:val="00010009"/>
    <w:rsid w:val="00023204"/>
    <w:rsid w:val="00026168"/>
    <w:rsid w:val="00026CA1"/>
    <w:rsid w:val="00034027"/>
    <w:rsid w:val="00034C9E"/>
    <w:rsid w:val="0003551E"/>
    <w:rsid w:val="00037528"/>
    <w:rsid w:val="00037D2F"/>
    <w:rsid w:val="000435F7"/>
    <w:rsid w:val="00055EB2"/>
    <w:rsid w:val="00057CBC"/>
    <w:rsid w:val="00062291"/>
    <w:rsid w:val="000673D0"/>
    <w:rsid w:val="000738B1"/>
    <w:rsid w:val="00077AA0"/>
    <w:rsid w:val="00077F4D"/>
    <w:rsid w:val="000837E6"/>
    <w:rsid w:val="000A0D56"/>
    <w:rsid w:val="000A2B80"/>
    <w:rsid w:val="000A4E0D"/>
    <w:rsid w:val="000A5ED0"/>
    <w:rsid w:val="000C6F0F"/>
    <w:rsid w:val="000D02D7"/>
    <w:rsid w:val="000E51E6"/>
    <w:rsid w:val="000E54D1"/>
    <w:rsid w:val="000F3FB6"/>
    <w:rsid w:val="0010530E"/>
    <w:rsid w:val="00105937"/>
    <w:rsid w:val="00106238"/>
    <w:rsid w:val="00110CD1"/>
    <w:rsid w:val="00113653"/>
    <w:rsid w:val="0013211F"/>
    <w:rsid w:val="00146D29"/>
    <w:rsid w:val="00146E79"/>
    <w:rsid w:val="0014747B"/>
    <w:rsid w:val="001508C5"/>
    <w:rsid w:val="00161AE8"/>
    <w:rsid w:val="00162081"/>
    <w:rsid w:val="00164F78"/>
    <w:rsid w:val="00166211"/>
    <w:rsid w:val="0017355F"/>
    <w:rsid w:val="00174ED0"/>
    <w:rsid w:val="00176FCF"/>
    <w:rsid w:val="00185FA5"/>
    <w:rsid w:val="0019034C"/>
    <w:rsid w:val="001A285D"/>
    <w:rsid w:val="001B0A19"/>
    <w:rsid w:val="001B14F2"/>
    <w:rsid w:val="001B267B"/>
    <w:rsid w:val="001B3282"/>
    <w:rsid w:val="001B7023"/>
    <w:rsid w:val="001C6762"/>
    <w:rsid w:val="001C6A16"/>
    <w:rsid w:val="001D523F"/>
    <w:rsid w:val="001E18CB"/>
    <w:rsid w:val="001F0E17"/>
    <w:rsid w:val="001F1985"/>
    <w:rsid w:val="00203CBC"/>
    <w:rsid w:val="0020479F"/>
    <w:rsid w:val="0020573D"/>
    <w:rsid w:val="002102F6"/>
    <w:rsid w:val="00211253"/>
    <w:rsid w:val="002172B7"/>
    <w:rsid w:val="0022090B"/>
    <w:rsid w:val="00220C5E"/>
    <w:rsid w:val="00230251"/>
    <w:rsid w:val="00232DDC"/>
    <w:rsid w:val="002357F8"/>
    <w:rsid w:val="002510C5"/>
    <w:rsid w:val="002517B6"/>
    <w:rsid w:val="0025469A"/>
    <w:rsid w:val="00270EEE"/>
    <w:rsid w:val="00274025"/>
    <w:rsid w:val="002767F1"/>
    <w:rsid w:val="00280050"/>
    <w:rsid w:val="002819BB"/>
    <w:rsid w:val="00286CCD"/>
    <w:rsid w:val="0029123D"/>
    <w:rsid w:val="002A5649"/>
    <w:rsid w:val="002B2A4D"/>
    <w:rsid w:val="002C0449"/>
    <w:rsid w:val="002C2D20"/>
    <w:rsid w:val="002C67C0"/>
    <w:rsid w:val="002C7835"/>
    <w:rsid w:val="002D03E1"/>
    <w:rsid w:val="002D4C82"/>
    <w:rsid w:val="002D58DA"/>
    <w:rsid w:val="002D75DE"/>
    <w:rsid w:val="002F12F4"/>
    <w:rsid w:val="002F1F96"/>
    <w:rsid w:val="00300115"/>
    <w:rsid w:val="003108E8"/>
    <w:rsid w:val="00317EE2"/>
    <w:rsid w:val="003201F0"/>
    <w:rsid w:val="00321930"/>
    <w:rsid w:val="0032246E"/>
    <w:rsid w:val="003275C3"/>
    <w:rsid w:val="00331756"/>
    <w:rsid w:val="00335787"/>
    <w:rsid w:val="00336821"/>
    <w:rsid w:val="00341720"/>
    <w:rsid w:val="0034461F"/>
    <w:rsid w:val="0034533F"/>
    <w:rsid w:val="00355AB9"/>
    <w:rsid w:val="00360EA8"/>
    <w:rsid w:val="003668B2"/>
    <w:rsid w:val="003676F3"/>
    <w:rsid w:val="00375953"/>
    <w:rsid w:val="00377DDE"/>
    <w:rsid w:val="00380113"/>
    <w:rsid w:val="00393CB1"/>
    <w:rsid w:val="003A304F"/>
    <w:rsid w:val="003A4DBD"/>
    <w:rsid w:val="003C23A5"/>
    <w:rsid w:val="003C7A73"/>
    <w:rsid w:val="003D1388"/>
    <w:rsid w:val="003D5382"/>
    <w:rsid w:val="003D7529"/>
    <w:rsid w:val="003E19FD"/>
    <w:rsid w:val="003E25CE"/>
    <w:rsid w:val="003E2C28"/>
    <w:rsid w:val="003E6F2A"/>
    <w:rsid w:val="003F5D95"/>
    <w:rsid w:val="00403D83"/>
    <w:rsid w:val="004066B2"/>
    <w:rsid w:val="00407B45"/>
    <w:rsid w:val="004161B1"/>
    <w:rsid w:val="004217C0"/>
    <w:rsid w:val="00431998"/>
    <w:rsid w:val="00431E40"/>
    <w:rsid w:val="00432756"/>
    <w:rsid w:val="00433835"/>
    <w:rsid w:val="00447F02"/>
    <w:rsid w:val="0045309C"/>
    <w:rsid w:val="00454515"/>
    <w:rsid w:val="00464202"/>
    <w:rsid w:val="004704EC"/>
    <w:rsid w:val="00471C82"/>
    <w:rsid w:val="00474CFE"/>
    <w:rsid w:val="004819E3"/>
    <w:rsid w:val="0048528E"/>
    <w:rsid w:val="00490415"/>
    <w:rsid w:val="00492892"/>
    <w:rsid w:val="004964E5"/>
    <w:rsid w:val="004A016B"/>
    <w:rsid w:val="004A2800"/>
    <w:rsid w:val="004A3335"/>
    <w:rsid w:val="004B036D"/>
    <w:rsid w:val="004B5150"/>
    <w:rsid w:val="004C6E57"/>
    <w:rsid w:val="004D3204"/>
    <w:rsid w:val="004D5D33"/>
    <w:rsid w:val="004E46E9"/>
    <w:rsid w:val="004F2666"/>
    <w:rsid w:val="004F30E1"/>
    <w:rsid w:val="004F4667"/>
    <w:rsid w:val="004F50A1"/>
    <w:rsid w:val="00500C50"/>
    <w:rsid w:val="00506AF5"/>
    <w:rsid w:val="005110D5"/>
    <w:rsid w:val="005122C5"/>
    <w:rsid w:val="00512711"/>
    <w:rsid w:val="00513607"/>
    <w:rsid w:val="00513884"/>
    <w:rsid w:val="00514DC7"/>
    <w:rsid w:val="0051522F"/>
    <w:rsid w:val="0052158D"/>
    <w:rsid w:val="00523B99"/>
    <w:rsid w:val="00526013"/>
    <w:rsid w:val="0054741F"/>
    <w:rsid w:val="00547B42"/>
    <w:rsid w:val="005627E4"/>
    <w:rsid w:val="00562A54"/>
    <w:rsid w:val="00570E25"/>
    <w:rsid w:val="00577540"/>
    <w:rsid w:val="005865BE"/>
    <w:rsid w:val="00593C55"/>
    <w:rsid w:val="00595E9A"/>
    <w:rsid w:val="00596532"/>
    <w:rsid w:val="005A4175"/>
    <w:rsid w:val="005A59E1"/>
    <w:rsid w:val="005A6FD3"/>
    <w:rsid w:val="005B0BF3"/>
    <w:rsid w:val="005C1357"/>
    <w:rsid w:val="005C1D88"/>
    <w:rsid w:val="005C2398"/>
    <w:rsid w:val="005C46D9"/>
    <w:rsid w:val="005E1C61"/>
    <w:rsid w:val="005E591D"/>
    <w:rsid w:val="00600397"/>
    <w:rsid w:val="0060645A"/>
    <w:rsid w:val="00606C19"/>
    <w:rsid w:val="00615381"/>
    <w:rsid w:val="006168ED"/>
    <w:rsid w:val="006217D5"/>
    <w:rsid w:val="00622B5B"/>
    <w:rsid w:val="00627A45"/>
    <w:rsid w:val="006367A6"/>
    <w:rsid w:val="00640243"/>
    <w:rsid w:val="00643432"/>
    <w:rsid w:val="00644F51"/>
    <w:rsid w:val="0064531E"/>
    <w:rsid w:val="00655089"/>
    <w:rsid w:val="00670608"/>
    <w:rsid w:val="00672B13"/>
    <w:rsid w:val="00692DA2"/>
    <w:rsid w:val="00693294"/>
    <w:rsid w:val="00694F1F"/>
    <w:rsid w:val="006A4153"/>
    <w:rsid w:val="006A6473"/>
    <w:rsid w:val="006A6A0D"/>
    <w:rsid w:val="006A716C"/>
    <w:rsid w:val="006B3DF7"/>
    <w:rsid w:val="006B61A3"/>
    <w:rsid w:val="006D4DE9"/>
    <w:rsid w:val="006E1010"/>
    <w:rsid w:val="006E1F2D"/>
    <w:rsid w:val="006E4BBF"/>
    <w:rsid w:val="006F75AC"/>
    <w:rsid w:val="006F7770"/>
    <w:rsid w:val="007005EA"/>
    <w:rsid w:val="0070139A"/>
    <w:rsid w:val="00712773"/>
    <w:rsid w:val="00715F59"/>
    <w:rsid w:val="0071768D"/>
    <w:rsid w:val="0072090B"/>
    <w:rsid w:val="00734EF9"/>
    <w:rsid w:val="007467BD"/>
    <w:rsid w:val="00755E1E"/>
    <w:rsid w:val="007705AB"/>
    <w:rsid w:val="007728C7"/>
    <w:rsid w:val="00781F45"/>
    <w:rsid w:val="00782B32"/>
    <w:rsid w:val="00787418"/>
    <w:rsid w:val="00787AA6"/>
    <w:rsid w:val="00787BDD"/>
    <w:rsid w:val="007917F1"/>
    <w:rsid w:val="0079454F"/>
    <w:rsid w:val="00797660"/>
    <w:rsid w:val="007A7D59"/>
    <w:rsid w:val="007C5FC2"/>
    <w:rsid w:val="007D2286"/>
    <w:rsid w:val="007D788C"/>
    <w:rsid w:val="007E3E4A"/>
    <w:rsid w:val="007E5EF5"/>
    <w:rsid w:val="007E64BF"/>
    <w:rsid w:val="007F4F47"/>
    <w:rsid w:val="00813AE0"/>
    <w:rsid w:val="00814ACB"/>
    <w:rsid w:val="008205C9"/>
    <w:rsid w:val="008255E2"/>
    <w:rsid w:val="0084348C"/>
    <w:rsid w:val="00877DB1"/>
    <w:rsid w:val="0088341B"/>
    <w:rsid w:val="00887FF7"/>
    <w:rsid w:val="00893505"/>
    <w:rsid w:val="008A5452"/>
    <w:rsid w:val="008B548B"/>
    <w:rsid w:val="008B62F3"/>
    <w:rsid w:val="008B682E"/>
    <w:rsid w:val="008B752C"/>
    <w:rsid w:val="008C73B9"/>
    <w:rsid w:val="008D68B2"/>
    <w:rsid w:val="008E31A7"/>
    <w:rsid w:val="008E503C"/>
    <w:rsid w:val="008E52DB"/>
    <w:rsid w:val="008F19F1"/>
    <w:rsid w:val="008F2174"/>
    <w:rsid w:val="008F24EB"/>
    <w:rsid w:val="008F25B1"/>
    <w:rsid w:val="00910471"/>
    <w:rsid w:val="0091083D"/>
    <w:rsid w:val="00910F55"/>
    <w:rsid w:val="00912F30"/>
    <w:rsid w:val="00923D4A"/>
    <w:rsid w:val="0093165E"/>
    <w:rsid w:val="00935890"/>
    <w:rsid w:val="009428D0"/>
    <w:rsid w:val="009431DA"/>
    <w:rsid w:val="0095428F"/>
    <w:rsid w:val="009561E0"/>
    <w:rsid w:val="009623C7"/>
    <w:rsid w:val="00970685"/>
    <w:rsid w:val="0097146D"/>
    <w:rsid w:val="00971F34"/>
    <w:rsid w:val="00977445"/>
    <w:rsid w:val="009839C6"/>
    <w:rsid w:val="00983F3B"/>
    <w:rsid w:val="00987753"/>
    <w:rsid w:val="00991E68"/>
    <w:rsid w:val="009A13BC"/>
    <w:rsid w:val="009A260F"/>
    <w:rsid w:val="009A5762"/>
    <w:rsid w:val="009B5D19"/>
    <w:rsid w:val="009C4DFB"/>
    <w:rsid w:val="009D1954"/>
    <w:rsid w:val="009D3795"/>
    <w:rsid w:val="009D6AD6"/>
    <w:rsid w:val="009E25AE"/>
    <w:rsid w:val="009F49F4"/>
    <w:rsid w:val="009F74FC"/>
    <w:rsid w:val="00A02204"/>
    <w:rsid w:val="00A0679E"/>
    <w:rsid w:val="00A10944"/>
    <w:rsid w:val="00A13EED"/>
    <w:rsid w:val="00A1532A"/>
    <w:rsid w:val="00A27C47"/>
    <w:rsid w:val="00A32365"/>
    <w:rsid w:val="00A36BA1"/>
    <w:rsid w:val="00A4655D"/>
    <w:rsid w:val="00A649C3"/>
    <w:rsid w:val="00A72BD4"/>
    <w:rsid w:val="00A7461E"/>
    <w:rsid w:val="00A86CFB"/>
    <w:rsid w:val="00A93639"/>
    <w:rsid w:val="00A944D0"/>
    <w:rsid w:val="00A94C27"/>
    <w:rsid w:val="00A97EF0"/>
    <w:rsid w:val="00AA5FA5"/>
    <w:rsid w:val="00AA6B81"/>
    <w:rsid w:val="00AC1741"/>
    <w:rsid w:val="00AC2114"/>
    <w:rsid w:val="00AD5D70"/>
    <w:rsid w:val="00AD679D"/>
    <w:rsid w:val="00AD7CE2"/>
    <w:rsid w:val="00AE2257"/>
    <w:rsid w:val="00AE6851"/>
    <w:rsid w:val="00AF5003"/>
    <w:rsid w:val="00B02F40"/>
    <w:rsid w:val="00B03DEC"/>
    <w:rsid w:val="00B13E7B"/>
    <w:rsid w:val="00B5097E"/>
    <w:rsid w:val="00B54618"/>
    <w:rsid w:val="00B565D1"/>
    <w:rsid w:val="00B60710"/>
    <w:rsid w:val="00B6406A"/>
    <w:rsid w:val="00B661EC"/>
    <w:rsid w:val="00B6655B"/>
    <w:rsid w:val="00B77361"/>
    <w:rsid w:val="00B80A0F"/>
    <w:rsid w:val="00B85A03"/>
    <w:rsid w:val="00B87E85"/>
    <w:rsid w:val="00B908A1"/>
    <w:rsid w:val="00B9191D"/>
    <w:rsid w:val="00B9307B"/>
    <w:rsid w:val="00BA128A"/>
    <w:rsid w:val="00BA3BCD"/>
    <w:rsid w:val="00BA74FB"/>
    <w:rsid w:val="00BB2477"/>
    <w:rsid w:val="00BB25FD"/>
    <w:rsid w:val="00BC03D2"/>
    <w:rsid w:val="00BD0109"/>
    <w:rsid w:val="00BD1CE7"/>
    <w:rsid w:val="00BD6FEB"/>
    <w:rsid w:val="00BD77F2"/>
    <w:rsid w:val="00BE087E"/>
    <w:rsid w:val="00BE2D84"/>
    <w:rsid w:val="00BE4ED0"/>
    <w:rsid w:val="00BF06C7"/>
    <w:rsid w:val="00BF7855"/>
    <w:rsid w:val="00C023A2"/>
    <w:rsid w:val="00C02505"/>
    <w:rsid w:val="00C05AB6"/>
    <w:rsid w:val="00C129B8"/>
    <w:rsid w:val="00C3518A"/>
    <w:rsid w:val="00C37506"/>
    <w:rsid w:val="00C44E38"/>
    <w:rsid w:val="00C468E5"/>
    <w:rsid w:val="00C534C4"/>
    <w:rsid w:val="00C7247A"/>
    <w:rsid w:val="00C768A4"/>
    <w:rsid w:val="00C80C3D"/>
    <w:rsid w:val="00C8503F"/>
    <w:rsid w:val="00C86058"/>
    <w:rsid w:val="00C95FD6"/>
    <w:rsid w:val="00CA1938"/>
    <w:rsid w:val="00CA7BD5"/>
    <w:rsid w:val="00CB1C55"/>
    <w:rsid w:val="00CC4519"/>
    <w:rsid w:val="00CC7BD9"/>
    <w:rsid w:val="00CC7D35"/>
    <w:rsid w:val="00CD2253"/>
    <w:rsid w:val="00CD5337"/>
    <w:rsid w:val="00CD5FD7"/>
    <w:rsid w:val="00CD6588"/>
    <w:rsid w:val="00CE1122"/>
    <w:rsid w:val="00CE567F"/>
    <w:rsid w:val="00CF0730"/>
    <w:rsid w:val="00CF210C"/>
    <w:rsid w:val="00CF2ECA"/>
    <w:rsid w:val="00CF47C3"/>
    <w:rsid w:val="00D0092B"/>
    <w:rsid w:val="00D039B8"/>
    <w:rsid w:val="00D05606"/>
    <w:rsid w:val="00D05A39"/>
    <w:rsid w:val="00D0720E"/>
    <w:rsid w:val="00D07E3A"/>
    <w:rsid w:val="00D12038"/>
    <w:rsid w:val="00D12438"/>
    <w:rsid w:val="00D12D04"/>
    <w:rsid w:val="00D21C97"/>
    <w:rsid w:val="00D26061"/>
    <w:rsid w:val="00D26B81"/>
    <w:rsid w:val="00D30D15"/>
    <w:rsid w:val="00D316E1"/>
    <w:rsid w:val="00D34BFE"/>
    <w:rsid w:val="00D377C1"/>
    <w:rsid w:val="00D50E39"/>
    <w:rsid w:val="00D52247"/>
    <w:rsid w:val="00D53B32"/>
    <w:rsid w:val="00D548B6"/>
    <w:rsid w:val="00D554E4"/>
    <w:rsid w:val="00D561C4"/>
    <w:rsid w:val="00D65874"/>
    <w:rsid w:val="00D6737E"/>
    <w:rsid w:val="00D72580"/>
    <w:rsid w:val="00D90428"/>
    <w:rsid w:val="00D91DE7"/>
    <w:rsid w:val="00D92A6C"/>
    <w:rsid w:val="00D94DD7"/>
    <w:rsid w:val="00D9678F"/>
    <w:rsid w:val="00DA0D39"/>
    <w:rsid w:val="00DA7E5C"/>
    <w:rsid w:val="00DB4922"/>
    <w:rsid w:val="00DB6A6C"/>
    <w:rsid w:val="00DC191A"/>
    <w:rsid w:val="00DC7FFD"/>
    <w:rsid w:val="00DD1382"/>
    <w:rsid w:val="00DE00DA"/>
    <w:rsid w:val="00DE1005"/>
    <w:rsid w:val="00DE46AD"/>
    <w:rsid w:val="00DE4C39"/>
    <w:rsid w:val="00DF4119"/>
    <w:rsid w:val="00DF64C8"/>
    <w:rsid w:val="00E00872"/>
    <w:rsid w:val="00E04807"/>
    <w:rsid w:val="00E06907"/>
    <w:rsid w:val="00E10E3D"/>
    <w:rsid w:val="00E10F7C"/>
    <w:rsid w:val="00E21C48"/>
    <w:rsid w:val="00E229FC"/>
    <w:rsid w:val="00E2379A"/>
    <w:rsid w:val="00E31E9A"/>
    <w:rsid w:val="00E32409"/>
    <w:rsid w:val="00E34249"/>
    <w:rsid w:val="00E40410"/>
    <w:rsid w:val="00E40F70"/>
    <w:rsid w:val="00E51289"/>
    <w:rsid w:val="00E5616C"/>
    <w:rsid w:val="00E56CE0"/>
    <w:rsid w:val="00E632D3"/>
    <w:rsid w:val="00E63CF5"/>
    <w:rsid w:val="00E64937"/>
    <w:rsid w:val="00E76590"/>
    <w:rsid w:val="00E81EE3"/>
    <w:rsid w:val="00E9487F"/>
    <w:rsid w:val="00EA3D6A"/>
    <w:rsid w:val="00EB240D"/>
    <w:rsid w:val="00EC3CE5"/>
    <w:rsid w:val="00ED00E3"/>
    <w:rsid w:val="00EE422F"/>
    <w:rsid w:val="00EE63E7"/>
    <w:rsid w:val="00EF02EE"/>
    <w:rsid w:val="00EF61FE"/>
    <w:rsid w:val="00F0156A"/>
    <w:rsid w:val="00F03FC6"/>
    <w:rsid w:val="00F11BF4"/>
    <w:rsid w:val="00F140ED"/>
    <w:rsid w:val="00F14D6C"/>
    <w:rsid w:val="00F15097"/>
    <w:rsid w:val="00F22521"/>
    <w:rsid w:val="00F22FD6"/>
    <w:rsid w:val="00F327A4"/>
    <w:rsid w:val="00F36958"/>
    <w:rsid w:val="00F40ADC"/>
    <w:rsid w:val="00F40D14"/>
    <w:rsid w:val="00F4452D"/>
    <w:rsid w:val="00F51B20"/>
    <w:rsid w:val="00F5414C"/>
    <w:rsid w:val="00F63AC8"/>
    <w:rsid w:val="00F66F64"/>
    <w:rsid w:val="00F75423"/>
    <w:rsid w:val="00F757D2"/>
    <w:rsid w:val="00F856B4"/>
    <w:rsid w:val="00F87EE5"/>
    <w:rsid w:val="00F96E92"/>
    <w:rsid w:val="00FA5FD7"/>
    <w:rsid w:val="00FA76D2"/>
    <w:rsid w:val="00FB1B13"/>
    <w:rsid w:val="00FB28A0"/>
    <w:rsid w:val="00FC0424"/>
    <w:rsid w:val="00FC4193"/>
    <w:rsid w:val="00FC523A"/>
    <w:rsid w:val="00FE657B"/>
    <w:rsid w:val="00FE6944"/>
    <w:rsid w:val="00FF3E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546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57B"/>
    <w:rPr>
      <w:rFonts w:ascii="Calibri" w:hAnsi="Calibri"/>
    </w:rPr>
  </w:style>
  <w:style w:type="paragraph" w:styleId="Heading2">
    <w:name w:val="heading 2"/>
    <w:basedOn w:val="Normal"/>
    <w:next w:val="Normal"/>
    <w:link w:val="Heading2Char"/>
    <w:uiPriority w:val="9"/>
    <w:semiHidden/>
    <w:unhideWhenUsed/>
    <w:qFormat/>
    <w:rsid w:val="00E649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aliases w:val="Don'tUse,Don'tUse1,Don'tUse2,Don'tUse3,Don'tUse4,Don'tUse5,Don'tUse6,Don'tUse11,Don'tUse21,Don'tUse12,Don'tUse22,Don'tUse31,Don'tUse111,Don'tUse211,Don'tUse13,Don'tUse23,Don'tUse32,Don'tUse112,Don'tUse212,Don'tUse14,Don'tUse24,Don'tUse33"/>
    <w:basedOn w:val="Normal"/>
    <w:next w:val="Normal"/>
    <w:link w:val="Heading9Char"/>
    <w:qFormat/>
    <w:rsid w:val="00577540"/>
    <w:pPr>
      <w:keepNext/>
      <w:spacing w:after="0" w:line="240" w:lineRule="auto"/>
      <w:jc w:val="center"/>
      <w:outlineLvl w:val="8"/>
    </w:pPr>
    <w:rPr>
      <w:rFonts w:eastAsia="Times New Roman" w:cs="Arial"/>
      <w:b/>
      <w:color w:val="000000"/>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SectionHeading">
    <w:name w:val="2-Section Heading"/>
    <w:qFormat/>
    <w:rsid w:val="004A2800"/>
    <w:pPr>
      <w:keepNext/>
      <w:numPr>
        <w:numId w:val="1"/>
      </w:numPr>
      <w:spacing w:before="240" w:after="120" w:line="240" w:lineRule="auto"/>
      <w:outlineLvl w:val="0"/>
    </w:pPr>
    <w:rPr>
      <w:rFonts w:asciiTheme="minorHAnsi" w:eastAsia="Times New Roman" w:hAnsiTheme="minorHAnsi" w:cs="Arial"/>
      <w:b/>
      <w:snapToGrid w:val="0"/>
      <w:sz w:val="32"/>
      <w:szCs w:val="32"/>
      <w:lang w:eastAsia="en-AU"/>
    </w:rPr>
  </w:style>
  <w:style w:type="paragraph" w:customStyle="1" w:styleId="1-MainHeading">
    <w:name w:val="1-Main Heading"/>
    <w:link w:val="1-MainHeadingChar"/>
    <w:qFormat/>
    <w:rsid w:val="004A2800"/>
    <w:pPr>
      <w:keepNext/>
      <w:spacing w:before="120" w:line="240" w:lineRule="auto"/>
      <w:ind w:left="720" w:hanging="720"/>
      <w:outlineLvl w:val="0"/>
    </w:pPr>
    <w:rPr>
      <w:rFonts w:asciiTheme="minorHAnsi" w:eastAsiaTheme="majorEastAsia" w:hAnsiTheme="minorHAnsi" w:cstheme="majorBidi"/>
      <w:b/>
      <w:spacing w:val="5"/>
      <w:kern w:val="28"/>
      <w:sz w:val="36"/>
      <w:szCs w:val="36"/>
      <w:lang w:eastAsia="en-AU"/>
    </w:rPr>
  </w:style>
  <w:style w:type="character" w:customStyle="1" w:styleId="1-MainHeadingChar">
    <w:name w:val="1-Main Heading Char"/>
    <w:basedOn w:val="DefaultParagraphFont"/>
    <w:link w:val="1-MainHeading"/>
    <w:rsid w:val="004A2800"/>
    <w:rPr>
      <w:rFonts w:asciiTheme="minorHAnsi" w:eastAsiaTheme="majorEastAsia" w:hAnsiTheme="minorHAnsi" w:cstheme="majorBidi"/>
      <w:b/>
      <w:spacing w:val="5"/>
      <w:kern w:val="28"/>
      <w:sz w:val="36"/>
      <w:szCs w:val="36"/>
      <w:lang w:eastAsia="en-AU"/>
    </w:rPr>
  </w:style>
  <w:style w:type="paragraph" w:customStyle="1" w:styleId="3-BodyText">
    <w:name w:val="3-Body Text"/>
    <w:basedOn w:val="ListParagraph"/>
    <w:link w:val="3-BodyTextChar"/>
    <w:qFormat/>
    <w:rsid w:val="004A2800"/>
    <w:pPr>
      <w:numPr>
        <w:ilvl w:val="1"/>
        <w:numId w:val="1"/>
      </w:numPr>
      <w:spacing w:after="120" w:line="240" w:lineRule="auto"/>
      <w:contextualSpacing w:val="0"/>
      <w:jc w:val="both"/>
    </w:pPr>
    <w:rPr>
      <w:rFonts w:asciiTheme="minorHAnsi" w:eastAsia="Times New Roman" w:hAnsiTheme="minorHAnsi" w:cs="Arial"/>
      <w:snapToGrid w:val="0"/>
      <w:lang w:eastAsia="en-AU"/>
    </w:rPr>
  </w:style>
  <w:style w:type="paragraph" w:styleId="ListParagraph">
    <w:name w:val="List Paragraph"/>
    <w:aliases w:val="BulletPoints,Numbered para,Body Text Bullet Points,List Paragraph1,Bullet point,List Paragraph11,Recommendation,Section heading,Footnote,Bullet List,PBAC ES Paragraph,ES Paragraph,PBAC normal points,Bullet 1,Bullet1,Summary Bullets,lp1"/>
    <w:basedOn w:val="Normal"/>
    <w:link w:val="ListParagraphChar"/>
    <w:uiPriority w:val="34"/>
    <w:qFormat/>
    <w:rsid w:val="004A2800"/>
    <w:pPr>
      <w:ind w:left="720"/>
      <w:contextualSpacing/>
    </w:pPr>
  </w:style>
  <w:style w:type="paragraph" w:styleId="Header">
    <w:name w:val="header"/>
    <w:basedOn w:val="Normal"/>
    <w:link w:val="HeaderChar"/>
    <w:uiPriority w:val="99"/>
    <w:unhideWhenUsed/>
    <w:rsid w:val="004A2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800"/>
    <w:rPr>
      <w:rFonts w:ascii="Calibri" w:hAnsi="Calibri"/>
    </w:rPr>
  </w:style>
  <w:style w:type="paragraph" w:styleId="Footer">
    <w:name w:val="footer"/>
    <w:basedOn w:val="Normal"/>
    <w:link w:val="FooterChar"/>
    <w:uiPriority w:val="99"/>
    <w:unhideWhenUsed/>
    <w:rsid w:val="004A2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800"/>
    <w:rPr>
      <w:rFonts w:ascii="Calibri" w:hAnsi="Calibri"/>
    </w:rPr>
  </w:style>
  <w:style w:type="paragraph" w:styleId="FootnoteText">
    <w:name w:val="footnote text"/>
    <w:basedOn w:val="Normal"/>
    <w:link w:val="FootnoteTextChar"/>
    <w:uiPriority w:val="99"/>
    <w:semiHidden/>
    <w:unhideWhenUsed/>
    <w:rsid w:val="006367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67A6"/>
    <w:rPr>
      <w:rFonts w:ascii="Calibri" w:hAnsi="Calibri"/>
      <w:sz w:val="20"/>
      <w:szCs w:val="20"/>
    </w:rPr>
  </w:style>
  <w:style w:type="character" w:styleId="FootnoteReference">
    <w:name w:val="footnote reference"/>
    <w:basedOn w:val="DefaultParagraphFont"/>
    <w:uiPriority w:val="99"/>
    <w:semiHidden/>
    <w:unhideWhenUsed/>
    <w:rsid w:val="006367A6"/>
    <w:rPr>
      <w:vertAlign w:val="superscript"/>
    </w:rPr>
  </w:style>
  <w:style w:type="character" w:styleId="Hyperlink">
    <w:name w:val="Hyperlink"/>
    <w:basedOn w:val="DefaultParagraphFont"/>
    <w:uiPriority w:val="99"/>
    <w:unhideWhenUsed/>
    <w:rsid w:val="006367A6"/>
    <w:rPr>
      <w:color w:val="0563C1" w:themeColor="hyperlink"/>
      <w:u w:val="single"/>
    </w:rPr>
  </w:style>
  <w:style w:type="character" w:styleId="UnresolvedMention">
    <w:name w:val="Unresolved Mention"/>
    <w:basedOn w:val="DefaultParagraphFont"/>
    <w:uiPriority w:val="99"/>
    <w:semiHidden/>
    <w:unhideWhenUsed/>
    <w:rsid w:val="006367A6"/>
    <w:rPr>
      <w:color w:val="605E5C"/>
      <w:shd w:val="clear" w:color="auto" w:fill="E1DFDD"/>
    </w:rPr>
  </w:style>
  <w:style w:type="table" w:styleId="TableGrid">
    <w:name w:val="Table Grid"/>
    <w:aliases w:val="ASD Table"/>
    <w:basedOn w:val="TableNormal"/>
    <w:uiPriority w:val="39"/>
    <w:rsid w:val="00105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5AB9"/>
    <w:rPr>
      <w:sz w:val="16"/>
      <w:szCs w:val="16"/>
    </w:rPr>
  </w:style>
  <w:style w:type="paragraph" w:styleId="CommentText">
    <w:name w:val="annotation text"/>
    <w:basedOn w:val="Normal"/>
    <w:link w:val="CommentTextChar"/>
    <w:uiPriority w:val="99"/>
    <w:unhideWhenUsed/>
    <w:rsid w:val="00355AB9"/>
    <w:pPr>
      <w:spacing w:line="240" w:lineRule="auto"/>
    </w:pPr>
    <w:rPr>
      <w:sz w:val="20"/>
      <w:szCs w:val="20"/>
    </w:rPr>
  </w:style>
  <w:style w:type="character" w:customStyle="1" w:styleId="CommentTextChar">
    <w:name w:val="Comment Text Char"/>
    <w:basedOn w:val="DefaultParagraphFont"/>
    <w:link w:val="CommentText"/>
    <w:uiPriority w:val="99"/>
    <w:rsid w:val="00355AB9"/>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355AB9"/>
    <w:rPr>
      <w:b/>
      <w:bCs/>
    </w:rPr>
  </w:style>
  <w:style w:type="character" w:customStyle="1" w:styleId="CommentSubjectChar">
    <w:name w:val="Comment Subject Char"/>
    <w:basedOn w:val="CommentTextChar"/>
    <w:link w:val="CommentSubject"/>
    <w:uiPriority w:val="99"/>
    <w:semiHidden/>
    <w:rsid w:val="00355AB9"/>
    <w:rPr>
      <w:rFonts w:ascii="Calibri" w:hAnsi="Calibri"/>
      <w:b/>
      <w:bCs/>
      <w:sz w:val="20"/>
      <w:szCs w:val="20"/>
    </w:rPr>
  </w:style>
  <w:style w:type="character" w:customStyle="1" w:styleId="A9">
    <w:name w:val="A9"/>
    <w:uiPriority w:val="99"/>
    <w:rsid w:val="00CF47C3"/>
    <w:rPr>
      <w:rFonts w:cs="Frutiger 45 Light"/>
      <w:color w:val="000000"/>
      <w:sz w:val="23"/>
      <w:szCs w:val="23"/>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Bullet List Char,PBAC ES Paragraph Char,lp1 Char"/>
    <w:basedOn w:val="DefaultParagraphFont"/>
    <w:link w:val="ListParagraph"/>
    <w:uiPriority w:val="34"/>
    <w:qFormat/>
    <w:locked/>
    <w:rsid w:val="00DF4119"/>
    <w:rPr>
      <w:rFonts w:ascii="Calibri" w:hAnsi="Calibri"/>
    </w:rPr>
  </w:style>
  <w:style w:type="character" w:customStyle="1" w:styleId="Heading9Char">
    <w:name w:val="Heading 9 Char"/>
    <w:aliases w:val="Don'tUse Char,Don'tUse1 Char,Don'tUse2 Char,Don'tUse3 Char,Don'tUse4 Char,Don'tUse5 Char,Don'tUse6 Char,Don'tUse11 Char,Don'tUse21 Char,Don'tUse12 Char,Don'tUse22 Char,Don'tUse31 Char,Don'tUse111 Char,Don'tUse211 Char,Don'tUse13 Char"/>
    <w:basedOn w:val="DefaultParagraphFont"/>
    <w:link w:val="Heading9"/>
    <w:rsid w:val="00577540"/>
    <w:rPr>
      <w:rFonts w:ascii="Calibri" w:eastAsia="Times New Roman" w:hAnsi="Calibri" w:cs="Arial"/>
      <w:b/>
      <w:color w:val="000000"/>
      <w:sz w:val="20"/>
      <w:lang w:eastAsia="en-AU"/>
    </w:rPr>
  </w:style>
  <w:style w:type="character" w:customStyle="1" w:styleId="3-BodyTextChar">
    <w:name w:val="3-Body Text Char"/>
    <w:basedOn w:val="DefaultParagraphFont"/>
    <w:link w:val="3-BodyText"/>
    <w:rsid w:val="000E54D1"/>
    <w:rPr>
      <w:rFonts w:asciiTheme="minorHAnsi" w:eastAsia="Times New Roman" w:hAnsiTheme="minorHAnsi" w:cs="Arial"/>
      <w:snapToGrid w:val="0"/>
      <w:lang w:eastAsia="en-AU"/>
    </w:rPr>
  </w:style>
  <w:style w:type="paragraph" w:customStyle="1" w:styleId="Tabletext">
    <w:name w:val="Table text"/>
    <w:basedOn w:val="Normal"/>
    <w:link w:val="TabletextChar"/>
    <w:uiPriority w:val="2"/>
    <w:qFormat/>
    <w:rsid w:val="000E54D1"/>
    <w:pPr>
      <w:spacing w:after="0" w:line="240" w:lineRule="auto"/>
    </w:pPr>
    <w:rPr>
      <w:rFonts w:ascii="Arial Narrow" w:eastAsia="Times New Roman" w:hAnsi="Arial Narrow"/>
      <w:snapToGrid w:val="0"/>
      <w:sz w:val="20"/>
      <w:lang w:eastAsia="en-AU"/>
    </w:rPr>
  </w:style>
  <w:style w:type="character" w:customStyle="1" w:styleId="TabletextChar">
    <w:name w:val="Table text Char"/>
    <w:link w:val="Tabletext"/>
    <w:uiPriority w:val="2"/>
    <w:rsid w:val="000E54D1"/>
    <w:rPr>
      <w:rFonts w:ascii="Arial Narrow" w:eastAsia="Times New Roman" w:hAnsi="Arial Narrow"/>
      <w:snapToGrid w:val="0"/>
      <w:sz w:val="20"/>
      <w:lang w:eastAsia="en-AU"/>
    </w:rPr>
  </w:style>
  <w:style w:type="character" w:customStyle="1" w:styleId="normaltextrun">
    <w:name w:val="normaltextrun"/>
    <w:basedOn w:val="DefaultParagraphFont"/>
    <w:rsid w:val="000E54D1"/>
  </w:style>
  <w:style w:type="paragraph" w:customStyle="1" w:styleId="paragraph">
    <w:name w:val="paragraph"/>
    <w:basedOn w:val="Normal"/>
    <w:rsid w:val="000E54D1"/>
    <w:pPr>
      <w:spacing w:before="100" w:beforeAutospacing="1" w:after="100" w:afterAutospacing="1" w:line="240" w:lineRule="auto"/>
    </w:pPr>
    <w:rPr>
      <w:rFonts w:ascii="Times New Roman" w:eastAsia="Times New Roman" w:hAnsi="Times New Roman"/>
      <w:lang w:eastAsia="en-AU"/>
    </w:rPr>
  </w:style>
  <w:style w:type="paragraph" w:styleId="Caption">
    <w:name w:val="caption"/>
    <w:basedOn w:val="Normal"/>
    <w:next w:val="Normal"/>
    <w:uiPriority w:val="35"/>
    <w:unhideWhenUsed/>
    <w:qFormat/>
    <w:rsid w:val="00D6737E"/>
    <w:pPr>
      <w:spacing w:after="0" w:line="240" w:lineRule="auto"/>
    </w:pPr>
    <w:rPr>
      <w:rFonts w:ascii="Arial Narrow" w:hAnsi="Arial Narrow"/>
      <w:b/>
      <w:bCs/>
      <w:color w:val="44546A" w:themeColor="text2"/>
      <w:sz w:val="20"/>
      <w:szCs w:val="20"/>
    </w:rPr>
  </w:style>
  <w:style w:type="character" w:customStyle="1" w:styleId="Heading2Char">
    <w:name w:val="Heading 2 Char"/>
    <w:basedOn w:val="DefaultParagraphFont"/>
    <w:link w:val="Heading2"/>
    <w:uiPriority w:val="9"/>
    <w:rsid w:val="00E64937"/>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1B7023"/>
    <w:pPr>
      <w:spacing w:before="100" w:beforeAutospacing="1" w:after="100" w:afterAutospacing="1" w:line="240" w:lineRule="auto"/>
    </w:pPr>
    <w:rPr>
      <w:rFonts w:ascii="Times New Roman" w:eastAsia="Times New Roman" w:hAnsi="Times New Roman"/>
      <w:lang w:eastAsia="en-AU"/>
    </w:rPr>
  </w:style>
  <w:style w:type="character" w:styleId="FollowedHyperlink">
    <w:name w:val="FollowedHyperlink"/>
    <w:basedOn w:val="DefaultParagraphFont"/>
    <w:uiPriority w:val="99"/>
    <w:semiHidden/>
    <w:unhideWhenUsed/>
    <w:rsid w:val="00C05AB6"/>
    <w:rPr>
      <w:color w:val="954F72" w:themeColor="followedHyperlink"/>
      <w:u w:val="single"/>
    </w:rPr>
  </w:style>
  <w:style w:type="paragraph" w:customStyle="1" w:styleId="Default">
    <w:name w:val="Default"/>
    <w:rsid w:val="00692DA2"/>
    <w:pPr>
      <w:autoSpaceDE w:val="0"/>
      <w:autoSpaceDN w:val="0"/>
      <w:adjustRightInd w:val="0"/>
      <w:spacing w:after="0" w:line="240" w:lineRule="auto"/>
    </w:pPr>
    <w:rPr>
      <w:rFonts w:ascii="Calibri" w:hAnsi="Calibri" w:cs="Calibri"/>
      <w:color w:val="000000"/>
    </w:rPr>
  </w:style>
  <w:style w:type="paragraph" w:styleId="Revision">
    <w:name w:val="Revision"/>
    <w:hidden/>
    <w:uiPriority w:val="99"/>
    <w:semiHidden/>
    <w:rsid w:val="00AE6851"/>
    <w:pPr>
      <w:spacing w:after="0" w:line="240" w:lineRule="auto"/>
    </w:pPr>
    <w:rPr>
      <w:rFonts w:ascii="Calibri" w:hAnsi="Calibri"/>
    </w:rPr>
  </w:style>
  <w:style w:type="paragraph" w:customStyle="1" w:styleId="Numberbullet2">
    <w:name w:val="Number bullet 2"/>
    <w:basedOn w:val="ListBullet2"/>
    <w:qFormat/>
    <w:rsid w:val="00BE087E"/>
    <w:pPr>
      <w:numPr>
        <w:ilvl w:val="1"/>
      </w:numPr>
      <w:spacing w:before="120" w:after="180" w:line="240" w:lineRule="atLeast"/>
      <w:ind w:left="1080" w:hanging="360"/>
      <w:contextualSpacing w:val="0"/>
    </w:pPr>
    <w:rPr>
      <w:rFonts w:ascii="Cambria" w:eastAsia="Cambria" w:hAnsi="Cambria"/>
      <w:sz w:val="22"/>
      <w:szCs w:val="22"/>
    </w:rPr>
  </w:style>
  <w:style w:type="paragraph" w:customStyle="1" w:styleId="Numberbullet3">
    <w:name w:val="Number bullet 3"/>
    <w:basedOn w:val="ListBullet3"/>
    <w:qFormat/>
    <w:rsid w:val="00BE087E"/>
    <w:pPr>
      <w:numPr>
        <w:ilvl w:val="2"/>
        <w:numId w:val="32"/>
      </w:numPr>
      <w:spacing w:before="120" w:after="180" w:line="240" w:lineRule="atLeast"/>
      <w:ind w:left="1800" w:hanging="180"/>
      <w:contextualSpacing w:val="0"/>
    </w:pPr>
    <w:rPr>
      <w:rFonts w:ascii="Cambria" w:eastAsia="Cambria" w:hAnsi="Cambria"/>
      <w:sz w:val="22"/>
      <w:szCs w:val="22"/>
    </w:rPr>
  </w:style>
  <w:style w:type="numbering" w:customStyle="1" w:styleId="NumberBullet">
    <w:name w:val="NumberBullet"/>
    <w:uiPriority w:val="99"/>
    <w:locked/>
    <w:rsid w:val="00BE087E"/>
    <w:pPr>
      <w:numPr>
        <w:numId w:val="32"/>
      </w:numPr>
    </w:pPr>
  </w:style>
  <w:style w:type="paragraph" w:customStyle="1" w:styleId="COMH1numbered">
    <w:name w:val="COM H1 numbered"/>
    <w:next w:val="Normal"/>
    <w:link w:val="COMH1numberedChar"/>
    <w:qFormat/>
    <w:rsid w:val="00BE087E"/>
    <w:pPr>
      <w:keepNext/>
      <w:numPr>
        <w:numId w:val="32"/>
      </w:numPr>
      <w:spacing w:before="240" w:after="120" w:line="240" w:lineRule="auto"/>
      <w:outlineLvl w:val="0"/>
    </w:pPr>
    <w:rPr>
      <w:rFonts w:asciiTheme="minorHAnsi" w:eastAsia="Times New Roman" w:hAnsiTheme="minorHAnsi" w:cs="Arial"/>
      <w:b/>
      <w:snapToGrid w:val="0"/>
      <w:sz w:val="32"/>
      <w:szCs w:val="32"/>
      <w:lang w:eastAsia="en-AU"/>
    </w:rPr>
  </w:style>
  <w:style w:type="character" w:customStyle="1" w:styleId="COMH1numberedChar">
    <w:name w:val="COM H1 numbered Char"/>
    <w:basedOn w:val="DefaultParagraphFont"/>
    <w:link w:val="COMH1numbered"/>
    <w:rsid w:val="00BE087E"/>
    <w:rPr>
      <w:rFonts w:asciiTheme="minorHAnsi" w:eastAsia="Times New Roman" w:hAnsiTheme="minorHAnsi" w:cs="Arial"/>
      <w:b/>
      <w:snapToGrid w:val="0"/>
      <w:sz w:val="32"/>
      <w:szCs w:val="32"/>
      <w:lang w:eastAsia="en-AU"/>
    </w:rPr>
  </w:style>
  <w:style w:type="paragraph" w:styleId="ListBullet2">
    <w:name w:val="List Bullet 2"/>
    <w:basedOn w:val="Normal"/>
    <w:uiPriority w:val="99"/>
    <w:semiHidden/>
    <w:unhideWhenUsed/>
    <w:rsid w:val="00BE087E"/>
    <w:pPr>
      <w:ind w:left="425" w:hanging="425"/>
      <w:contextualSpacing/>
    </w:pPr>
  </w:style>
  <w:style w:type="paragraph" w:styleId="ListBullet3">
    <w:name w:val="List Bullet 3"/>
    <w:basedOn w:val="Normal"/>
    <w:uiPriority w:val="99"/>
    <w:semiHidden/>
    <w:unhideWhenUsed/>
    <w:rsid w:val="00BE087E"/>
    <w:pPr>
      <w:tabs>
        <w:tab w:val="num" w:pos="360"/>
      </w:tabs>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7410">
      <w:bodyDiv w:val="1"/>
      <w:marLeft w:val="0"/>
      <w:marRight w:val="0"/>
      <w:marTop w:val="0"/>
      <w:marBottom w:val="0"/>
      <w:divBdr>
        <w:top w:val="none" w:sz="0" w:space="0" w:color="auto"/>
        <w:left w:val="none" w:sz="0" w:space="0" w:color="auto"/>
        <w:bottom w:val="none" w:sz="0" w:space="0" w:color="auto"/>
        <w:right w:val="none" w:sz="0" w:space="0" w:color="auto"/>
      </w:divBdr>
    </w:div>
    <w:div w:id="212157721">
      <w:bodyDiv w:val="1"/>
      <w:marLeft w:val="0"/>
      <w:marRight w:val="0"/>
      <w:marTop w:val="0"/>
      <w:marBottom w:val="0"/>
      <w:divBdr>
        <w:top w:val="none" w:sz="0" w:space="0" w:color="auto"/>
        <w:left w:val="none" w:sz="0" w:space="0" w:color="auto"/>
        <w:bottom w:val="none" w:sz="0" w:space="0" w:color="auto"/>
        <w:right w:val="none" w:sz="0" w:space="0" w:color="auto"/>
      </w:divBdr>
    </w:div>
    <w:div w:id="264189275">
      <w:bodyDiv w:val="1"/>
      <w:marLeft w:val="0"/>
      <w:marRight w:val="0"/>
      <w:marTop w:val="0"/>
      <w:marBottom w:val="0"/>
      <w:divBdr>
        <w:top w:val="none" w:sz="0" w:space="0" w:color="auto"/>
        <w:left w:val="none" w:sz="0" w:space="0" w:color="auto"/>
        <w:bottom w:val="none" w:sz="0" w:space="0" w:color="auto"/>
        <w:right w:val="none" w:sz="0" w:space="0" w:color="auto"/>
      </w:divBdr>
    </w:div>
    <w:div w:id="400561529">
      <w:bodyDiv w:val="1"/>
      <w:marLeft w:val="0"/>
      <w:marRight w:val="0"/>
      <w:marTop w:val="0"/>
      <w:marBottom w:val="0"/>
      <w:divBdr>
        <w:top w:val="none" w:sz="0" w:space="0" w:color="auto"/>
        <w:left w:val="none" w:sz="0" w:space="0" w:color="auto"/>
        <w:bottom w:val="none" w:sz="0" w:space="0" w:color="auto"/>
        <w:right w:val="none" w:sz="0" w:space="0" w:color="auto"/>
      </w:divBdr>
    </w:div>
    <w:div w:id="1010255664">
      <w:bodyDiv w:val="1"/>
      <w:marLeft w:val="0"/>
      <w:marRight w:val="0"/>
      <w:marTop w:val="0"/>
      <w:marBottom w:val="0"/>
      <w:divBdr>
        <w:top w:val="none" w:sz="0" w:space="0" w:color="auto"/>
        <w:left w:val="none" w:sz="0" w:space="0" w:color="auto"/>
        <w:bottom w:val="none" w:sz="0" w:space="0" w:color="auto"/>
        <w:right w:val="none" w:sz="0" w:space="0" w:color="auto"/>
      </w:divBdr>
    </w:div>
    <w:div w:id="1678382920">
      <w:bodyDiv w:val="1"/>
      <w:marLeft w:val="0"/>
      <w:marRight w:val="0"/>
      <w:marTop w:val="0"/>
      <w:marBottom w:val="0"/>
      <w:divBdr>
        <w:top w:val="none" w:sz="0" w:space="0" w:color="auto"/>
        <w:left w:val="none" w:sz="0" w:space="0" w:color="auto"/>
        <w:bottom w:val="none" w:sz="0" w:space="0" w:color="auto"/>
        <w:right w:val="none" w:sz="0" w:space="0" w:color="auto"/>
      </w:divBdr>
    </w:div>
    <w:div w:id="1731610944">
      <w:bodyDiv w:val="1"/>
      <w:marLeft w:val="0"/>
      <w:marRight w:val="0"/>
      <w:marTop w:val="0"/>
      <w:marBottom w:val="0"/>
      <w:divBdr>
        <w:top w:val="none" w:sz="0" w:space="0" w:color="auto"/>
        <w:left w:val="none" w:sz="0" w:space="0" w:color="auto"/>
        <w:bottom w:val="none" w:sz="0" w:space="0" w:color="auto"/>
        <w:right w:val="none" w:sz="0" w:space="0" w:color="auto"/>
      </w:divBdr>
      <w:divsChild>
        <w:div w:id="809245439">
          <w:marLeft w:val="806"/>
          <w:marRight w:val="0"/>
          <w:marTop w:val="200"/>
          <w:marBottom w:val="0"/>
          <w:divBdr>
            <w:top w:val="none" w:sz="0" w:space="0" w:color="auto"/>
            <w:left w:val="none" w:sz="0" w:space="0" w:color="auto"/>
            <w:bottom w:val="none" w:sz="0" w:space="0" w:color="auto"/>
            <w:right w:val="none" w:sz="0" w:space="0" w:color="auto"/>
          </w:divBdr>
        </w:div>
        <w:div w:id="1085420644">
          <w:marLeft w:val="806"/>
          <w:marRight w:val="0"/>
          <w:marTop w:val="200"/>
          <w:marBottom w:val="0"/>
          <w:divBdr>
            <w:top w:val="none" w:sz="0" w:space="0" w:color="auto"/>
            <w:left w:val="none" w:sz="0" w:space="0" w:color="auto"/>
            <w:bottom w:val="none" w:sz="0" w:space="0" w:color="auto"/>
            <w:right w:val="none" w:sz="0" w:space="0" w:color="auto"/>
          </w:divBdr>
        </w:div>
        <w:div w:id="789478073">
          <w:marLeft w:val="806"/>
          <w:marRight w:val="0"/>
          <w:marTop w:val="200"/>
          <w:marBottom w:val="0"/>
          <w:divBdr>
            <w:top w:val="none" w:sz="0" w:space="0" w:color="auto"/>
            <w:left w:val="none" w:sz="0" w:space="0" w:color="auto"/>
            <w:bottom w:val="none" w:sz="0" w:space="0" w:color="auto"/>
            <w:right w:val="none" w:sz="0" w:space="0" w:color="auto"/>
          </w:divBdr>
        </w:div>
        <w:div w:id="2052607112">
          <w:marLeft w:val="806"/>
          <w:marRight w:val="0"/>
          <w:marTop w:val="200"/>
          <w:marBottom w:val="0"/>
          <w:divBdr>
            <w:top w:val="none" w:sz="0" w:space="0" w:color="auto"/>
            <w:left w:val="none" w:sz="0" w:space="0" w:color="auto"/>
            <w:bottom w:val="none" w:sz="0" w:space="0" w:color="auto"/>
            <w:right w:val="none" w:sz="0" w:space="0" w:color="auto"/>
          </w:divBdr>
        </w:div>
        <w:div w:id="1649750119">
          <w:marLeft w:val="806"/>
          <w:marRight w:val="0"/>
          <w:marTop w:val="200"/>
          <w:marBottom w:val="0"/>
          <w:divBdr>
            <w:top w:val="none" w:sz="0" w:space="0" w:color="auto"/>
            <w:left w:val="none" w:sz="0" w:space="0" w:color="auto"/>
            <w:bottom w:val="none" w:sz="0" w:space="0" w:color="auto"/>
            <w:right w:val="none" w:sz="0" w:space="0" w:color="auto"/>
          </w:divBdr>
        </w:div>
      </w:divsChild>
    </w:div>
    <w:div w:id="1929192466">
      <w:bodyDiv w:val="1"/>
      <w:marLeft w:val="0"/>
      <w:marRight w:val="0"/>
      <w:marTop w:val="0"/>
      <w:marBottom w:val="0"/>
      <w:divBdr>
        <w:top w:val="none" w:sz="0" w:space="0" w:color="auto"/>
        <w:left w:val="none" w:sz="0" w:space="0" w:color="auto"/>
        <w:bottom w:val="none" w:sz="0" w:space="0" w:color="auto"/>
        <w:right w:val="none" w:sz="0" w:space="0" w:color="auto"/>
      </w:divBdr>
    </w:div>
    <w:div w:id="206852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gov.au/news/national-immunisation-program-changes-to-shingles-vaccination-from-1-november-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43610-FA56-440D-AF3C-C37B99BFC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5708</Words>
  <Characters>32537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2024-02-27T02:04:00Z</dcterms:created>
  <dcterms:modified xsi:type="dcterms:W3CDTF">2024-02-27T02:05:00Z</dcterms:modified>
</cp:coreProperties>
</file>